
<file path=[Content_Types].xml><?xml version="1.0" encoding="utf-8"?>
<Types xmlns="http://schemas.openxmlformats.org/package/2006/content-types">
  <Default Extension="xml" ContentType="application/xml"/>
  <Default Extension="bin" ContentType="application/vnd.openxmlformats-officedocument.oleObject"/>
  <Default Extension="gif" ContentType="image/gif"/>
  <Default Extension="wmf" ContentType="image/x-w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1CBD2B">
      <w:pPr>
        <w:spacing w:line="440" w:lineRule="atLeast"/>
        <w:jc w:val="center"/>
        <w:rPr>
          <w:rFonts w:ascii="华文中宋" w:hAnsi="华文中宋" w:eastAsia="华文中宋" w:cs="华文宋体"/>
          <w:sz w:val="96"/>
          <w:szCs w:val="160"/>
        </w:rPr>
      </w:pPr>
    </w:p>
    <w:p w14:paraId="356FE9C6">
      <w:pPr>
        <w:spacing w:line="440" w:lineRule="atLeast"/>
        <w:jc w:val="center"/>
        <w:rPr>
          <w:rFonts w:ascii="华文中宋" w:hAnsi="华文中宋" w:eastAsia="华文中宋" w:cs="华文宋体"/>
          <w:sz w:val="96"/>
          <w:szCs w:val="160"/>
        </w:rPr>
      </w:pPr>
      <w:r>
        <w:rPr>
          <w:rFonts w:hint="eastAsia" w:ascii="华文中宋" w:hAnsi="华文中宋" w:eastAsia="华文中宋" w:cs="华文宋体"/>
          <w:sz w:val="96"/>
          <w:szCs w:val="160"/>
        </w:rPr>
        <w:t>资产评估行业联合检查法规汇编</w:t>
      </w:r>
    </w:p>
    <w:p w14:paraId="70C4773F">
      <w:pPr>
        <w:pStyle w:val="7"/>
        <w:spacing w:line="440" w:lineRule="atLeast"/>
        <w:jc w:val="center"/>
      </w:pPr>
    </w:p>
    <w:p w14:paraId="28E421A4">
      <w:pPr>
        <w:pStyle w:val="7"/>
        <w:spacing w:line="440" w:lineRule="atLeast"/>
        <w:ind w:firstLine="0" w:firstLineChars="0"/>
        <w:jc w:val="center"/>
        <w:rPr>
          <w:rFonts w:ascii="华文中宋" w:hAnsi="华文中宋" w:eastAsia="华文中宋"/>
          <w:sz w:val="52"/>
          <w:szCs w:val="52"/>
        </w:rPr>
      </w:pPr>
      <w:r>
        <w:rPr>
          <w:rFonts w:hint="eastAsia" w:ascii="华文中宋" w:hAnsi="华文中宋" w:eastAsia="华文中宋"/>
          <w:sz w:val="52"/>
          <w:szCs w:val="52"/>
        </w:rPr>
        <w:t>（2</w:t>
      </w:r>
      <w:r>
        <w:rPr>
          <w:rFonts w:ascii="华文中宋" w:hAnsi="华文中宋" w:eastAsia="华文中宋"/>
          <w:sz w:val="52"/>
          <w:szCs w:val="52"/>
        </w:rPr>
        <w:t>02</w:t>
      </w:r>
      <w:r>
        <w:rPr>
          <w:rFonts w:hint="eastAsia" w:ascii="华文中宋" w:hAnsi="华文中宋" w:eastAsia="华文中宋"/>
          <w:sz w:val="52"/>
          <w:szCs w:val="52"/>
        </w:rPr>
        <w:t>3）</w:t>
      </w:r>
    </w:p>
    <w:p w14:paraId="0EBD4271">
      <w:pPr>
        <w:spacing w:line="440" w:lineRule="atLeast"/>
      </w:pPr>
    </w:p>
    <w:p w14:paraId="3B1A0620">
      <w:pPr>
        <w:spacing w:line="440" w:lineRule="atLeast"/>
      </w:pPr>
    </w:p>
    <w:p w14:paraId="6BC3A656">
      <w:pPr>
        <w:spacing w:line="440" w:lineRule="atLeast"/>
      </w:pPr>
    </w:p>
    <w:p w14:paraId="039D89F2">
      <w:pPr>
        <w:spacing w:line="440" w:lineRule="atLeast"/>
      </w:pPr>
    </w:p>
    <w:p w14:paraId="33EB2E41">
      <w:pPr>
        <w:spacing w:line="440" w:lineRule="atLeast"/>
      </w:pPr>
    </w:p>
    <w:p w14:paraId="6BE2B7C9">
      <w:pPr>
        <w:spacing w:line="440" w:lineRule="atLeast"/>
      </w:pPr>
    </w:p>
    <w:p w14:paraId="2D5804C7">
      <w:pPr>
        <w:spacing w:line="440" w:lineRule="atLeast"/>
      </w:pPr>
    </w:p>
    <w:p w14:paraId="5A55CD6B">
      <w:pPr>
        <w:spacing w:line="440" w:lineRule="atLeast"/>
      </w:pPr>
    </w:p>
    <w:p w14:paraId="28C39A5C">
      <w:pPr>
        <w:spacing w:line="440" w:lineRule="atLeast"/>
      </w:pPr>
    </w:p>
    <w:p w14:paraId="063A42BC">
      <w:pPr>
        <w:spacing w:line="440" w:lineRule="atLeast"/>
      </w:pPr>
    </w:p>
    <w:p w14:paraId="23560A77">
      <w:pPr>
        <w:spacing w:line="440" w:lineRule="atLeast"/>
      </w:pPr>
    </w:p>
    <w:p w14:paraId="0D7A1330">
      <w:pPr>
        <w:tabs>
          <w:tab w:val="left" w:pos="1454"/>
        </w:tabs>
        <w:spacing w:line="440" w:lineRule="atLeast"/>
        <w:jc w:val="center"/>
        <w:rPr>
          <w:rFonts w:ascii="华文中宋" w:hAnsi="华文中宋" w:eastAsia="华文中宋"/>
          <w:sz w:val="52"/>
          <w:szCs w:val="52"/>
        </w:rPr>
      </w:pPr>
      <w:r>
        <w:rPr>
          <w:rFonts w:hint="eastAsia" w:ascii="华文中宋" w:hAnsi="华文中宋" w:eastAsia="华文中宋"/>
          <w:sz w:val="52"/>
          <w:szCs w:val="52"/>
        </w:rPr>
        <w:t>财政部监督评价局</w:t>
      </w:r>
    </w:p>
    <w:p w14:paraId="54915D22">
      <w:pPr>
        <w:tabs>
          <w:tab w:val="left" w:pos="1454"/>
        </w:tabs>
        <w:spacing w:line="440" w:lineRule="atLeast"/>
        <w:jc w:val="center"/>
        <w:rPr>
          <w:rFonts w:ascii="华文中宋" w:hAnsi="华文中宋" w:eastAsia="华文中宋"/>
          <w:sz w:val="52"/>
          <w:szCs w:val="52"/>
        </w:rPr>
      </w:pPr>
      <w:r>
        <w:rPr>
          <w:rFonts w:hint="eastAsia" w:ascii="华文中宋" w:hAnsi="华文中宋" w:eastAsia="华文中宋"/>
          <w:sz w:val="52"/>
          <w:szCs w:val="52"/>
        </w:rPr>
        <w:t>中国资产评估协会</w:t>
      </w:r>
    </w:p>
    <w:p w14:paraId="23F34463">
      <w:pPr>
        <w:tabs>
          <w:tab w:val="left" w:pos="1454"/>
        </w:tabs>
        <w:spacing w:line="440" w:lineRule="atLeast"/>
        <w:sectPr>
          <w:footerReference r:id="rId4" w:type="first"/>
          <w:footerReference r:id="rId3" w:type="default"/>
          <w:pgSz w:w="11906" w:h="16838"/>
          <w:pgMar w:top="1440" w:right="1800" w:bottom="1440" w:left="1800" w:header="851" w:footer="992" w:gutter="0"/>
          <w:cols w:space="425" w:num="1"/>
          <w:titlePg/>
          <w:docGrid w:type="lines" w:linePitch="312" w:charSpace="0"/>
        </w:sectPr>
      </w:pPr>
      <w:r>
        <w:tab/>
      </w:r>
    </w:p>
    <w:p w14:paraId="223FA050">
      <w:pPr>
        <w:spacing w:line="440" w:lineRule="atLeast"/>
        <w:rPr>
          <w:rFonts w:ascii="仿宋" w:hAnsi="仿宋" w:eastAsia="仿宋" w:cs="仿宋"/>
          <w:sz w:val="24"/>
        </w:rPr>
      </w:pPr>
    </w:p>
    <w:sdt>
      <w:sdtPr>
        <w:rPr>
          <w:rFonts w:ascii="宋体" w:hAnsi="宋体" w:eastAsia="宋体"/>
        </w:rPr>
        <w:id w:val="147475698"/>
        <w:docPartObj>
          <w:docPartGallery w:val="Table of Contents"/>
          <w:docPartUnique/>
        </w:docPartObj>
      </w:sdtPr>
      <w:sdtEndPr>
        <w:rPr>
          <w:rFonts w:ascii="宋体" w:hAnsi="宋体" w:eastAsia="宋体"/>
        </w:rPr>
      </w:sdtEndPr>
      <w:sdtContent>
        <w:p w14:paraId="275B528B">
          <w:pPr>
            <w:spacing w:line="440" w:lineRule="atLeast"/>
            <w:jc w:val="center"/>
          </w:pPr>
          <w:r>
            <w:rPr>
              <w:rFonts w:ascii="宋体" w:hAnsi="宋体" w:eastAsia="宋体"/>
            </w:rPr>
            <w:t>目录</w:t>
          </w:r>
        </w:p>
        <w:p w14:paraId="450C3CC8">
          <w:pPr>
            <w:pStyle w:val="19"/>
            <w:tabs>
              <w:tab w:val="right" w:leader="dot" w:pos="8844"/>
            </w:tabs>
          </w:pPr>
          <w:r>
            <w:fldChar w:fldCharType="begin"/>
          </w:r>
          <w:r>
            <w:instrText xml:space="preserve">TOC \o "1-3" \h \u </w:instrText>
          </w:r>
          <w:r>
            <w:fldChar w:fldCharType="separate"/>
          </w:r>
          <w:r>
            <w:fldChar w:fldCharType="begin"/>
          </w:r>
          <w:r>
            <w:instrText xml:space="preserve"> HYPERLINK \l "_Toc8149" </w:instrText>
          </w:r>
          <w:r>
            <w:fldChar w:fldCharType="separate"/>
          </w:r>
          <w:r>
            <w:rPr>
              <w:rFonts w:hint="eastAsia" w:ascii="黑体" w:hAnsi="黑体" w:eastAsia="黑体" w:cs="黑体"/>
              <w:shd w:val="clear" w:color="FFFFFF" w:fill="D9D9D9"/>
            </w:rPr>
            <w:t>资产评估法律文件</w:t>
          </w:r>
          <w:r>
            <w:tab/>
          </w:r>
          <w:r>
            <w:fldChar w:fldCharType="begin"/>
          </w:r>
          <w:r>
            <w:instrText xml:space="preserve"> PAGEREF _Toc8149 \h </w:instrText>
          </w:r>
          <w:r>
            <w:fldChar w:fldCharType="separate"/>
          </w:r>
          <w:r>
            <w:t>5</w:t>
          </w:r>
          <w:r>
            <w:fldChar w:fldCharType="end"/>
          </w:r>
          <w:r>
            <w:fldChar w:fldCharType="end"/>
          </w:r>
        </w:p>
        <w:p w14:paraId="46EC3725">
          <w:pPr>
            <w:pStyle w:val="13"/>
            <w:tabs>
              <w:tab w:val="right" w:leader="dot" w:pos="8844"/>
            </w:tabs>
          </w:pPr>
          <w:r>
            <w:fldChar w:fldCharType="begin"/>
          </w:r>
          <w:r>
            <w:instrText xml:space="preserve"> HYPERLINK \l "_Toc13338" </w:instrText>
          </w:r>
          <w:r>
            <w:fldChar w:fldCharType="separate"/>
          </w:r>
          <w:r>
            <w:rPr>
              <w:rFonts w:hint="eastAsia" w:ascii="宋体" w:hAnsi="宋体" w:eastAsia="宋体" w:cs="宋体"/>
            </w:rPr>
            <w:t>中国人民共和国资产评估法</w:t>
          </w:r>
          <w:r>
            <w:tab/>
          </w:r>
          <w:r>
            <w:fldChar w:fldCharType="begin"/>
          </w:r>
          <w:r>
            <w:instrText xml:space="preserve"> PAGEREF _Toc13338 \h </w:instrText>
          </w:r>
          <w:r>
            <w:fldChar w:fldCharType="separate"/>
          </w:r>
          <w:r>
            <w:t>5</w:t>
          </w:r>
          <w:r>
            <w:fldChar w:fldCharType="end"/>
          </w:r>
          <w:r>
            <w:fldChar w:fldCharType="end"/>
          </w:r>
        </w:p>
        <w:p w14:paraId="6130FA9F">
          <w:pPr>
            <w:pStyle w:val="19"/>
            <w:tabs>
              <w:tab w:val="right" w:leader="dot" w:pos="8844"/>
            </w:tabs>
          </w:pPr>
          <w:r>
            <w:fldChar w:fldCharType="begin"/>
          </w:r>
          <w:r>
            <w:instrText xml:space="preserve"> HYPERLINK \l "_Toc24164" </w:instrText>
          </w:r>
          <w:r>
            <w:fldChar w:fldCharType="separate"/>
          </w:r>
          <w:r>
            <w:rPr>
              <w:rFonts w:hint="eastAsia" w:ascii="黑体" w:hAnsi="黑体" w:eastAsia="黑体" w:cs="黑体"/>
              <w:shd w:val="clear" w:color="FFFFFF" w:fill="D9D9D9"/>
            </w:rPr>
            <w:t>资产评估行政法规</w:t>
          </w:r>
          <w:r>
            <w:tab/>
          </w:r>
          <w:r>
            <w:fldChar w:fldCharType="begin"/>
          </w:r>
          <w:r>
            <w:instrText xml:space="preserve"> PAGEREF _Toc24164 \h </w:instrText>
          </w:r>
          <w:r>
            <w:fldChar w:fldCharType="separate"/>
          </w:r>
          <w:r>
            <w:t>13</w:t>
          </w:r>
          <w:r>
            <w:fldChar w:fldCharType="end"/>
          </w:r>
          <w:r>
            <w:fldChar w:fldCharType="end"/>
          </w:r>
        </w:p>
        <w:p w14:paraId="12495C76">
          <w:pPr>
            <w:pStyle w:val="13"/>
            <w:tabs>
              <w:tab w:val="right" w:leader="dot" w:pos="8844"/>
            </w:tabs>
          </w:pPr>
          <w:r>
            <w:fldChar w:fldCharType="begin"/>
          </w:r>
          <w:r>
            <w:instrText xml:space="preserve"> HYPERLINK \l "_Toc31400" </w:instrText>
          </w:r>
          <w:r>
            <w:fldChar w:fldCharType="separate"/>
          </w:r>
          <w:r>
            <w:rPr>
              <w:rFonts w:hint="eastAsia" w:ascii="宋体" w:hAnsi="宋体" w:eastAsia="宋体" w:cs="宋体"/>
            </w:rPr>
            <w:t>国有资产评估管理办法</w:t>
          </w:r>
          <w:r>
            <w:tab/>
          </w:r>
          <w:r>
            <w:fldChar w:fldCharType="begin"/>
          </w:r>
          <w:r>
            <w:instrText xml:space="preserve"> PAGEREF _Toc31400 \h </w:instrText>
          </w:r>
          <w:r>
            <w:fldChar w:fldCharType="separate"/>
          </w:r>
          <w:r>
            <w:t>13</w:t>
          </w:r>
          <w:r>
            <w:fldChar w:fldCharType="end"/>
          </w:r>
          <w:r>
            <w:fldChar w:fldCharType="end"/>
          </w:r>
        </w:p>
        <w:p w14:paraId="37680997">
          <w:pPr>
            <w:pStyle w:val="13"/>
            <w:tabs>
              <w:tab w:val="right" w:leader="dot" w:pos="8844"/>
            </w:tabs>
          </w:pPr>
          <w:r>
            <w:fldChar w:fldCharType="begin"/>
          </w:r>
          <w:r>
            <w:instrText xml:space="preserve"> HYPERLINK \l "_Toc8993" </w:instrText>
          </w:r>
          <w:r>
            <w:fldChar w:fldCharType="separate"/>
          </w:r>
          <w:r>
            <w:rPr>
              <w:rFonts w:hint="eastAsia"/>
            </w:rPr>
            <w:t>关于印发《国有资产评估管理办法施行细则》的通知</w:t>
          </w:r>
          <w:r>
            <w:tab/>
          </w:r>
          <w:r>
            <w:fldChar w:fldCharType="begin"/>
          </w:r>
          <w:r>
            <w:instrText xml:space="preserve"> PAGEREF _Toc8993 \h </w:instrText>
          </w:r>
          <w:r>
            <w:fldChar w:fldCharType="separate"/>
          </w:r>
          <w:r>
            <w:t>18</w:t>
          </w:r>
          <w:r>
            <w:fldChar w:fldCharType="end"/>
          </w:r>
          <w:r>
            <w:fldChar w:fldCharType="end"/>
          </w:r>
        </w:p>
        <w:p w14:paraId="7A6B382B">
          <w:pPr>
            <w:pStyle w:val="13"/>
            <w:tabs>
              <w:tab w:val="right" w:leader="dot" w:pos="8844"/>
            </w:tabs>
          </w:pPr>
          <w:r>
            <w:fldChar w:fldCharType="begin"/>
          </w:r>
          <w:r>
            <w:instrText xml:space="preserve"> HYPERLINK \l "_Toc1497" </w:instrText>
          </w:r>
          <w:r>
            <w:fldChar w:fldCharType="separate"/>
          </w:r>
          <w:r>
            <w:rPr>
              <w:rFonts w:hint="eastAsia" w:ascii="宋体" w:hAnsi="宋体" w:eastAsia="宋体" w:cs="宋体"/>
            </w:rPr>
            <w:t>国务院办公厅转发财政部关于加强和</w:t>
          </w:r>
          <w:r>
            <w:tab/>
          </w:r>
          <w:r>
            <w:fldChar w:fldCharType="begin"/>
          </w:r>
          <w:r>
            <w:instrText xml:space="preserve"> PAGEREF _Toc1497 \h </w:instrText>
          </w:r>
          <w:r>
            <w:fldChar w:fldCharType="separate"/>
          </w:r>
          <w:r>
            <w:t>30</w:t>
          </w:r>
          <w:r>
            <w:fldChar w:fldCharType="end"/>
          </w:r>
          <w:r>
            <w:fldChar w:fldCharType="end"/>
          </w:r>
        </w:p>
        <w:p w14:paraId="6D9DEF25">
          <w:pPr>
            <w:pStyle w:val="13"/>
            <w:tabs>
              <w:tab w:val="right" w:leader="dot" w:pos="8844"/>
            </w:tabs>
          </w:pPr>
          <w:r>
            <w:fldChar w:fldCharType="begin"/>
          </w:r>
          <w:r>
            <w:instrText xml:space="preserve"> HYPERLINK \l "_Toc3448" </w:instrText>
          </w:r>
          <w:r>
            <w:fldChar w:fldCharType="separate"/>
          </w:r>
          <w:r>
            <w:rPr>
              <w:rFonts w:hint="eastAsia" w:ascii="宋体" w:hAnsi="宋体" w:eastAsia="宋体" w:cs="宋体"/>
            </w:rPr>
            <w:t>规范评估行业管理意见的通知</w:t>
          </w:r>
          <w:r>
            <w:tab/>
          </w:r>
          <w:r>
            <w:fldChar w:fldCharType="begin"/>
          </w:r>
          <w:r>
            <w:instrText xml:space="preserve"> PAGEREF _Toc3448 \h </w:instrText>
          </w:r>
          <w:r>
            <w:fldChar w:fldCharType="separate"/>
          </w:r>
          <w:r>
            <w:t>30</w:t>
          </w:r>
          <w:r>
            <w:fldChar w:fldCharType="end"/>
          </w:r>
          <w:r>
            <w:fldChar w:fldCharType="end"/>
          </w:r>
        </w:p>
        <w:p w14:paraId="13A98EB3">
          <w:pPr>
            <w:pStyle w:val="19"/>
            <w:tabs>
              <w:tab w:val="right" w:leader="dot" w:pos="8844"/>
            </w:tabs>
          </w:pPr>
          <w:r>
            <w:fldChar w:fldCharType="begin"/>
          </w:r>
          <w:r>
            <w:instrText xml:space="preserve"> HYPERLINK \l "_Toc23224" </w:instrText>
          </w:r>
          <w:r>
            <w:fldChar w:fldCharType="separate"/>
          </w:r>
          <w:r>
            <w:rPr>
              <w:rFonts w:hint="eastAsia" w:ascii="黑体" w:hAnsi="黑体" w:eastAsia="黑体" w:cs="黑体"/>
              <w:shd w:val="clear" w:color="FFFFFF" w:fill="D9D9D9"/>
            </w:rPr>
            <w:t>资产评估部门规章制度</w:t>
          </w:r>
          <w:r>
            <w:tab/>
          </w:r>
          <w:r>
            <w:fldChar w:fldCharType="begin"/>
          </w:r>
          <w:r>
            <w:instrText xml:space="preserve"> PAGEREF _Toc23224 \h </w:instrText>
          </w:r>
          <w:r>
            <w:fldChar w:fldCharType="separate"/>
          </w:r>
          <w:r>
            <w:t>33</w:t>
          </w:r>
          <w:r>
            <w:fldChar w:fldCharType="end"/>
          </w:r>
          <w:r>
            <w:fldChar w:fldCharType="end"/>
          </w:r>
        </w:p>
        <w:p w14:paraId="5527A361">
          <w:pPr>
            <w:pStyle w:val="13"/>
            <w:tabs>
              <w:tab w:val="right" w:leader="dot" w:pos="8844"/>
            </w:tabs>
          </w:pPr>
          <w:r>
            <w:fldChar w:fldCharType="begin"/>
          </w:r>
          <w:r>
            <w:instrText xml:space="preserve"> HYPERLINK \l "_Toc11343" </w:instrText>
          </w:r>
          <w:r>
            <w:fldChar w:fldCharType="separate"/>
          </w:r>
          <w:r>
            <w:rPr>
              <w:rFonts w:hint="eastAsia" w:ascii="宋体" w:hAnsi="宋体" w:eastAsia="宋体" w:cs="宋体"/>
            </w:rPr>
            <w:t>国有资产评估管理若干问题的规定</w:t>
          </w:r>
          <w:r>
            <w:tab/>
          </w:r>
          <w:r>
            <w:fldChar w:fldCharType="begin"/>
          </w:r>
          <w:r>
            <w:instrText xml:space="preserve"> PAGEREF _Toc11343 \h </w:instrText>
          </w:r>
          <w:r>
            <w:fldChar w:fldCharType="separate"/>
          </w:r>
          <w:r>
            <w:t>33</w:t>
          </w:r>
          <w:r>
            <w:fldChar w:fldCharType="end"/>
          </w:r>
          <w:r>
            <w:fldChar w:fldCharType="end"/>
          </w:r>
        </w:p>
        <w:p w14:paraId="69EFE66D">
          <w:pPr>
            <w:pStyle w:val="13"/>
            <w:tabs>
              <w:tab w:val="right" w:leader="dot" w:pos="8844"/>
            </w:tabs>
          </w:pPr>
          <w:r>
            <w:fldChar w:fldCharType="begin"/>
          </w:r>
          <w:r>
            <w:instrText xml:space="preserve"> HYPERLINK \l "_Toc6774" </w:instrText>
          </w:r>
          <w:r>
            <w:fldChar w:fldCharType="separate"/>
          </w:r>
          <w:r>
            <w:rPr>
              <w:rFonts w:hint="eastAsia" w:ascii="宋体" w:hAnsi="宋体" w:eastAsia="宋体" w:cs="宋体"/>
            </w:rPr>
            <w:t>国有资产评估违法行为处罚办法</w:t>
          </w:r>
          <w:r>
            <w:tab/>
          </w:r>
          <w:r>
            <w:fldChar w:fldCharType="begin"/>
          </w:r>
          <w:r>
            <w:instrText xml:space="preserve"> PAGEREF _Toc6774 \h </w:instrText>
          </w:r>
          <w:r>
            <w:fldChar w:fldCharType="separate"/>
          </w:r>
          <w:r>
            <w:t>36</w:t>
          </w:r>
          <w:r>
            <w:fldChar w:fldCharType="end"/>
          </w:r>
          <w:r>
            <w:fldChar w:fldCharType="end"/>
          </w:r>
        </w:p>
        <w:p w14:paraId="492A64CD">
          <w:pPr>
            <w:pStyle w:val="13"/>
            <w:tabs>
              <w:tab w:val="right" w:leader="dot" w:pos="8844"/>
            </w:tabs>
          </w:pPr>
          <w:r>
            <w:fldChar w:fldCharType="begin"/>
          </w:r>
          <w:r>
            <w:instrText xml:space="preserve"> HYPERLINK \l "_Toc14960" </w:instrText>
          </w:r>
          <w:r>
            <w:fldChar w:fldCharType="separate"/>
          </w:r>
          <w:r>
            <w:rPr>
              <w:rFonts w:hint="eastAsia" w:ascii="宋体" w:hAnsi="宋体" w:eastAsia="宋体" w:cs="宋体"/>
            </w:rPr>
            <w:t>企业国有资产评估管理暂行办法</w:t>
          </w:r>
          <w:r>
            <w:tab/>
          </w:r>
          <w:r>
            <w:fldChar w:fldCharType="begin"/>
          </w:r>
          <w:r>
            <w:instrText xml:space="preserve"> PAGEREF _Toc14960 \h </w:instrText>
          </w:r>
          <w:r>
            <w:fldChar w:fldCharType="separate"/>
          </w:r>
          <w:r>
            <w:t>39</w:t>
          </w:r>
          <w:r>
            <w:fldChar w:fldCharType="end"/>
          </w:r>
          <w:r>
            <w:fldChar w:fldCharType="end"/>
          </w:r>
        </w:p>
        <w:p w14:paraId="7BF74128">
          <w:pPr>
            <w:pStyle w:val="13"/>
            <w:tabs>
              <w:tab w:val="right" w:leader="dot" w:pos="8844"/>
            </w:tabs>
          </w:pPr>
          <w:r>
            <w:fldChar w:fldCharType="begin"/>
          </w:r>
          <w:r>
            <w:instrText xml:space="preserve"> HYPERLINK \l "_Toc8612" </w:instrText>
          </w:r>
          <w:r>
            <w:fldChar w:fldCharType="separate"/>
          </w:r>
          <w:r>
            <w:rPr>
              <w:rFonts w:hint="eastAsia" w:ascii="宋体" w:hAnsi="宋体" w:eastAsia="宋体" w:cs="宋体"/>
            </w:rPr>
            <w:t>金融企业国有资产评估监督管理暂行办法</w:t>
          </w:r>
          <w:r>
            <w:tab/>
          </w:r>
          <w:r>
            <w:fldChar w:fldCharType="begin"/>
          </w:r>
          <w:r>
            <w:instrText xml:space="preserve"> PAGEREF _Toc8612 \h </w:instrText>
          </w:r>
          <w:r>
            <w:fldChar w:fldCharType="separate"/>
          </w:r>
          <w:r>
            <w:t>45</w:t>
          </w:r>
          <w:r>
            <w:fldChar w:fldCharType="end"/>
          </w:r>
          <w:r>
            <w:fldChar w:fldCharType="end"/>
          </w:r>
        </w:p>
        <w:p w14:paraId="2DCFD28E">
          <w:pPr>
            <w:pStyle w:val="13"/>
            <w:tabs>
              <w:tab w:val="right" w:leader="dot" w:pos="8844"/>
            </w:tabs>
          </w:pPr>
          <w:r>
            <w:fldChar w:fldCharType="begin"/>
          </w:r>
          <w:r>
            <w:instrText xml:space="preserve"> HYPERLINK \l "_Toc17232" </w:instrText>
          </w:r>
          <w:r>
            <w:fldChar w:fldCharType="separate"/>
          </w:r>
          <w:r>
            <w:rPr>
              <w:rFonts w:hint="eastAsia" w:ascii="宋体" w:hAnsi="宋体" w:eastAsia="宋体" w:cs="宋体"/>
            </w:rPr>
            <w:t>最高人民法院关于人民法院确定财产</w:t>
          </w:r>
          <w:r>
            <w:tab/>
          </w:r>
          <w:r>
            <w:fldChar w:fldCharType="begin"/>
          </w:r>
          <w:r>
            <w:instrText xml:space="preserve"> PAGEREF _Toc17232 \h </w:instrText>
          </w:r>
          <w:r>
            <w:fldChar w:fldCharType="separate"/>
          </w:r>
          <w:r>
            <w:t>51</w:t>
          </w:r>
          <w:r>
            <w:fldChar w:fldCharType="end"/>
          </w:r>
          <w:r>
            <w:fldChar w:fldCharType="end"/>
          </w:r>
        </w:p>
        <w:p w14:paraId="559D2895">
          <w:pPr>
            <w:pStyle w:val="13"/>
            <w:tabs>
              <w:tab w:val="right" w:leader="dot" w:pos="8844"/>
            </w:tabs>
          </w:pPr>
          <w:r>
            <w:fldChar w:fldCharType="begin"/>
          </w:r>
          <w:r>
            <w:instrText xml:space="preserve"> HYPERLINK \l "_Toc4714" </w:instrText>
          </w:r>
          <w:r>
            <w:fldChar w:fldCharType="separate"/>
          </w:r>
          <w:r>
            <w:rPr>
              <w:rFonts w:hint="eastAsia" w:ascii="宋体" w:hAnsi="宋体" w:eastAsia="宋体" w:cs="宋体"/>
            </w:rPr>
            <w:t>处置参考价若干问题的规定</w:t>
          </w:r>
          <w:r>
            <w:tab/>
          </w:r>
          <w:r>
            <w:fldChar w:fldCharType="begin"/>
          </w:r>
          <w:r>
            <w:instrText xml:space="preserve"> PAGEREF _Toc4714 \h </w:instrText>
          </w:r>
          <w:r>
            <w:fldChar w:fldCharType="separate"/>
          </w:r>
          <w:r>
            <w:t>51</w:t>
          </w:r>
          <w:r>
            <w:fldChar w:fldCharType="end"/>
          </w:r>
          <w:r>
            <w:fldChar w:fldCharType="end"/>
          </w:r>
        </w:p>
        <w:p w14:paraId="3C9ED033">
          <w:pPr>
            <w:pStyle w:val="13"/>
            <w:tabs>
              <w:tab w:val="right" w:leader="dot" w:pos="8844"/>
            </w:tabs>
          </w:pPr>
          <w:r>
            <w:fldChar w:fldCharType="begin"/>
          </w:r>
          <w:r>
            <w:instrText xml:space="preserve"> HYPERLINK \l "_Toc6894" </w:instrText>
          </w:r>
          <w:r>
            <w:fldChar w:fldCharType="separate"/>
          </w:r>
          <w:r>
            <w:rPr>
              <w:rFonts w:hint="eastAsia" w:ascii="宋体" w:hAnsi="宋体" w:eastAsia="宋体" w:cs="宋体"/>
            </w:rPr>
            <w:t>资产评估行业财政监督管理办法</w:t>
          </w:r>
          <w:r>
            <w:tab/>
          </w:r>
          <w:r>
            <w:fldChar w:fldCharType="begin"/>
          </w:r>
          <w:r>
            <w:instrText xml:space="preserve"> PAGEREF _Toc6894 \h </w:instrText>
          </w:r>
          <w:r>
            <w:fldChar w:fldCharType="separate"/>
          </w:r>
          <w:r>
            <w:t>58</w:t>
          </w:r>
          <w:r>
            <w:fldChar w:fldCharType="end"/>
          </w:r>
          <w:r>
            <w:fldChar w:fldCharType="end"/>
          </w:r>
        </w:p>
        <w:p w14:paraId="3DA8CCB9">
          <w:pPr>
            <w:pStyle w:val="19"/>
            <w:tabs>
              <w:tab w:val="right" w:leader="dot" w:pos="8844"/>
            </w:tabs>
          </w:pPr>
          <w:r>
            <w:fldChar w:fldCharType="begin"/>
          </w:r>
          <w:r>
            <w:instrText xml:space="preserve"> HYPERLINK \l "_Toc10585" </w:instrText>
          </w:r>
          <w:r>
            <w:fldChar w:fldCharType="separate"/>
          </w:r>
          <w:r>
            <w:rPr>
              <w:rFonts w:hint="eastAsia" w:ascii="黑体" w:hAnsi="黑体" w:eastAsia="黑体" w:cs="黑体"/>
              <w:shd w:val="clear" w:color="FFFFFF" w:fill="D9D9D9"/>
            </w:rPr>
            <w:t>资产评估行业规范性文件</w:t>
          </w:r>
          <w:r>
            <w:tab/>
          </w:r>
          <w:r>
            <w:fldChar w:fldCharType="begin"/>
          </w:r>
          <w:r>
            <w:instrText xml:space="preserve"> PAGEREF _Toc10585 \h </w:instrText>
          </w:r>
          <w:r>
            <w:fldChar w:fldCharType="separate"/>
          </w:r>
          <w:r>
            <w:t>69</w:t>
          </w:r>
          <w:r>
            <w:fldChar w:fldCharType="end"/>
          </w:r>
          <w:r>
            <w:fldChar w:fldCharType="end"/>
          </w:r>
        </w:p>
        <w:p w14:paraId="4B8FD055">
          <w:pPr>
            <w:pStyle w:val="13"/>
            <w:tabs>
              <w:tab w:val="right" w:leader="dot" w:pos="8844"/>
            </w:tabs>
          </w:pPr>
          <w:r>
            <w:fldChar w:fldCharType="begin"/>
          </w:r>
          <w:r>
            <w:instrText xml:space="preserve"> HYPERLINK \l "_Toc10727" </w:instrText>
          </w:r>
          <w:r>
            <w:fldChar w:fldCharType="separate"/>
          </w:r>
          <w:r>
            <w:rPr>
              <w:rFonts w:hint="eastAsia" w:ascii="宋体" w:hAnsi="宋体" w:eastAsia="宋体" w:cs="宋体"/>
            </w:rPr>
            <w:t>财政部关于中央企业破产资产评估项目管理有关问题的通知</w:t>
          </w:r>
          <w:r>
            <w:tab/>
          </w:r>
          <w:r>
            <w:fldChar w:fldCharType="begin"/>
          </w:r>
          <w:r>
            <w:instrText xml:space="preserve"> PAGEREF _Toc10727 \h </w:instrText>
          </w:r>
          <w:r>
            <w:fldChar w:fldCharType="separate"/>
          </w:r>
          <w:r>
            <w:t>69</w:t>
          </w:r>
          <w:r>
            <w:fldChar w:fldCharType="end"/>
          </w:r>
          <w:r>
            <w:fldChar w:fldCharType="end"/>
          </w:r>
        </w:p>
        <w:p w14:paraId="2A3641C4">
          <w:pPr>
            <w:pStyle w:val="13"/>
            <w:tabs>
              <w:tab w:val="right" w:leader="dot" w:pos="8844"/>
            </w:tabs>
          </w:pPr>
          <w:r>
            <w:fldChar w:fldCharType="begin"/>
          </w:r>
          <w:r>
            <w:instrText xml:space="preserve"> HYPERLINK \l "_Toc31163" </w:instrText>
          </w:r>
          <w:r>
            <w:fldChar w:fldCharType="separate"/>
          </w:r>
          <w:r>
            <w:rPr>
              <w:rFonts w:hint="eastAsia" w:ascii="宋体" w:hAnsi="宋体" w:eastAsia="宋体" w:cs="宋体"/>
            </w:rPr>
            <w:t>财政部、国家知识产权局关于加强知识产权</w:t>
          </w:r>
          <w:r>
            <w:tab/>
          </w:r>
          <w:r>
            <w:fldChar w:fldCharType="begin"/>
          </w:r>
          <w:r>
            <w:instrText xml:space="preserve"> PAGEREF _Toc31163 \h </w:instrText>
          </w:r>
          <w:r>
            <w:fldChar w:fldCharType="separate"/>
          </w:r>
          <w:r>
            <w:t>77</w:t>
          </w:r>
          <w:r>
            <w:fldChar w:fldCharType="end"/>
          </w:r>
          <w:r>
            <w:fldChar w:fldCharType="end"/>
          </w:r>
        </w:p>
        <w:p w14:paraId="6577D79D">
          <w:pPr>
            <w:pStyle w:val="13"/>
            <w:tabs>
              <w:tab w:val="right" w:leader="dot" w:pos="8844"/>
            </w:tabs>
          </w:pPr>
          <w:r>
            <w:fldChar w:fldCharType="begin"/>
          </w:r>
          <w:r>
            <w:instrText xml:space="preserve"> HYPERLINK \l "_Toc22261" </w:instrText>
          </w:r>
          <w:r>
            <w:fldChar w:fldCharType="separate"/>
          </w:r>
          <w:r>
            <w:rPr>
              <w:rFonts w:hint="eastAsia" w:ascii="宋体" w:hAnsi="宋体" w:eastAsia="宋体" w:cs="宋体"/>
            </w:rPr>
            <w:t>资产评估管理工作若干问题的通知</w:t>
          </w:r>
          <w:r>
            <w:tab/>
          </w:r>
          <w:r>
            <w:fldChar w:fldCharType="begin"/>
          </w:r>
          <w:r>
            <w:instrText xml:space="preserve"> PAGEREF _Toc22261 \h </w:instrText>
          </w:r>
          <w:r>
            <w:fldChar w:fldCharType="separate"/>
          </w:r>
          <w:r>
            <w:t>77</w:t>
          </w:r>
          <w:r>
            <w:fldChar w:fldCharType="end"/>
          </w:r>
          <w:r>
            <w:fldChar w:fldCharType="end"/>
          </w:r>
        </w:p>
        <w:p w14:paraId="1483C7CE">
          <w:pPr>
            <w:pStyle w:val="13"/>
            <w:tabs>
              <w:tab w:val="right" w:leader="dot" w:pos="8844"/>
            </w:tabs>
          </w:pPr>
          <w:r>
            <w:fldChar w:fldCharType="begin"/>
          </w:r>
          <w:r>
            <w:instrText xml:space="preserve"> HYPERLINK \l "_Toc21914" </w:instrText>
          </w:r>
          <w:r>
            <w:fldChar w:fldCharType="separate"/>
          </w:r>
          <w:r>
            <w:rPr>
              <w:rFonts w:hint="eastAsia" w:ascii="宋体" w:hAnsi="宋体" w:eastAsia="宋体" w:cs="宋体"/>
            </w:rPr>
            <w:t>资产评估机构职业风险基金管理办法</w:t>
          </w:r>
          <w:r>
            <w:tab/>
          </w:r>
          <w:r>
            <w:fldChar w:fldCharType="begin"/>
          </w:r>
          <w:r>
            <w:instrText xml:space="preserve"> PAGEREF _Toc21914 \h </w:instrText>
          </w:r>
          <w:r>
            <w:fldChar w:fldCharType="separate"/>
          </w:r>
          <w:r>
            <w:t>79</w:t>
          </w:r>
          <w:r>
            <w:fldChar w:fldCharType="end"/>
          </w:r>
          <w:r>
            <w:fldChar w:fldCharType="end"/>
          </w:r>
        </w:p>
        <w:p w14:paraId="32810C61">
          <w:pPr>
            <w:pStyle w:val="13"/>
            <w:tabs>
              <w:tab w:val="right" w:leader="dot" w:pos="8844"/>
            </w:tabs>
          </w:pPr>
          <w:r>
            <w:fldChar w:fldCharType="begin"/>
          </w:r>
          <w:r>
            <w:instrText xml:space="preserve"> HYPERLINK \l "_Toc24928" </w:instrText>
          </w:r>
          <w:r>
            <w:fldChar w:fldCharType="separate"/>
          </w:r>
          <w:r>
            <w:rPr>
              <w:rFonts w:hint="eastAsia" w:ascii="宋体" w:hAnsi="宋体" w:eastAsia="宋体" w:cs="宋体"/>
            </w:rPr>
            <w:t>中央文化企业国有资产评估管理暂行办法</w:t>
          </w:r>
          <w:r>
            <w:tab/>
          </w:r>
          <w:r>
            <w:fldChar w:fldCharType="begin"/>
          </w:r>
          <w:r>
            <w:instrText xml:space="preserve"> PAGEREF _Toc24928 \h </w:instrText>
          </w:r>
          <w:r>
            <w:fldChar w:fldCharType="separate"/>
          </w:r>
          <w:r>
            <w:t>81</w:t>
          </w:r>
          <w:r>
            <w:fldChar w:fldCharType="end"/>
          </w:r>
          <w:r>
            <w:fldChar w:fldCharType="end"/>
          </w:r>
        </w:p>
        <w:p w14:paraId="0794D018">
          <w:pPr>
            <w:pStyle w:val="13"/>
            <w:tabs>
              <w:tab w:val="right" w:leader="dot" w:pos="8844"/>
            </w:tabs>
          </w:pPr>
          <w:r>
            <w:fldChar w:fldCharType="begin"/>
          </w:r>
          <w:r>
            <w:instrText xml:space="preserve"> HYPERLINK \l "_Toc1752" </w:instrText>
          </w:r>
          <w:r>
            <w:fldChar w:fldCharType="separate"/>
          </w:r>
          <w:r>
            <w:rPr>
              <w:rFonts w:hint="eastAsia" w:ascii="宋体" w:hAnsi="宋体" w:eastAsia="宋体" w:cs="宋体"/>
            </w:rPr>
            <w:t>企业国有资产评估项目备案工作指引</w:t>
          </w:r>
          <w:r>
            <w:tab/>
          </w:r>
          <w:r>
            <w:fldChar w:fldCharType="begin"/>
          </w:r>
          <w:r>
            <w:instrText xml:space="preserve"> PAGEREF _Toc1752 \h </w:instrText>
          </w:r>
          <w:r>
            <w:fldChar w:fldCharType="separate"/>
          </w:r>
          <w:r>
            <w:t>87</w:t>
          </w:r>
          <w:r>
            <w:fldChar w:fldCharType="end"/>
          </w:r>
          <w:r>
            <w:fldChar w:fldCharType="end"/>
          </w:r>
        </w:p>
        <w:p w14:paraId="5A0AF126">
          <w:pPr>
            <w:pStyle w:val="13"/>
            <w:tabs>
              <w:tab w:val="right" w:leader="dot" w:pos="8844"/>
            </w:tabs>
          </w:pPr>
          <w:r>
            <w:fldChar w:fldCharType="begin"/>
          </w:r>
          <w:r>
            <w:instrText xml:space="preserve"> HYPERLINK \l "_Toc23618" </w:instrText>
          </w:r>
          <w:r>
            <w:fldChar w:fldCharType="separate"/>
          </w:r>
          <w:r>
            <w:rPr>
              <w:rFonts w:hint="eastAsia" w:ascii="宋体" w:hAnsi="宋体" w:eastAsia="宋体" w:cs="宋体"/>
            </w:rPr>
            <w:t>关于公布取消和调整行政审批项目等事项的通知</w:t>
          </w:r>
          <w:r>
            <w:tab/>
          </w:r>
          <w:r>
            <w:fldChar w:fldCharType="begin"/>
          </w:r>
          <w:r>
            <w:instrText xml:space="preserve"> PAGEREF _Toc23618 \h </w:instrText>
          </w:r>
          <w:r>
            <w:fldChar w:fldCharType="separate"/>
          </w:r>
          <w:r>
            <w:t>95</w:t>
          </w:r>
          <w:r>
            <w:fldChar w:fldCharType="end"/>
          </w:r>
          <w:r>
            <w:fldChar w:fldCharType="end"/>
          </w:r>
        </w:p>
        <w:p w14:paraId="743729C8">
          <w:pPr>
            <w:pStyle w:val="13"/>
            <w:tabs>
              <w:tab w:val="right" w:leader="dot" w:pos="8844"/>
            </w:tabs>
          </w:pPr>
          <w:r>
            <w:fldChar w:fldCharType="begin"/>
          </w:r>
          <w:r>
            <w:instrText xml:space="preserve"> HYPERLINK \l "_Toc27137" </w:instrText>
          </w:r>
          <w:r>
            <w:fldChar w:fldCharType="separate"/>
          </w:r>
          <w:r>
            <w:rPr>
              <w:rFonts w:hint="eastAsia" w:ascii="宋体" w:hAnsi="宋体" w:eastAsia="宋体" w:cs="宋体"/>
            </w:rPr>
            <w:t>行政事业单位资产清查核实管理办法</w:t>
          </w:r>
          <w:r>
            <w:tab/>
          </w:r>
          <w:r>
            <w:fldChar w:fldCharType="begin"/>
          </w:r>
          <w:r>
            <w:instrText xml:space="preserve"> PAGEREF _Toc27137 \h </w:instrText>
          </w:r>
          <w:r>
            <w:fldChar w:fldCharType="separate"/>
          </w:r>
          <w:r>
            <w:t>98</w:t>
          </w:r>
          <w:r>
            <w:fldChar w:fldCharType="end"/>
          </w:r>
          <w:r>
            <w:fldChar w:fldCharType="end"/>
          </w:r>
        </w:p>
        <w:p w14:paraId="5A6A1B91">
          <w:pPr>
            <w:pStyle w:val="13"/>
            <w:tabs>
              <w:tab w:val="right" w:leader="dot" w:pos="8844"/>
            </w:tabs>
          </w:pPr>
          <w:r>
            <w:fldChar w:fldCharType="begin"/>
          </w:r>
          <w:r>
            <w:instrText xml:space="preserve"> HYPERLINK \l "_Toc14464" </w:instrText>
          </w:r>
          <w:r>
            <w:fldChar w:fldCharType="separate"/>
          </w:r>
          <w:r>
            <w:rPr>
              <w:rFonts w:hint="eastAsia" w:ascii="宋体" w:hAnsi="宋体" w:eastAsia="宋体" w:cs="宋体"/>
            </w:rPr>
            <w:t>人力资源社会保障部　财政部关于修订印发《资产评估师职业资格制度暂行规定》和《资产评估师职业资格考试实施办法》的通知</w:t>
          </w:r>
          <w:r>
            <w:tab/>
          </w:r>
          <w:r>
            <w:fldChar w:fldCharType="begin"/>
          </w:r>
          <w:r>
            <w:instrText xml:space="preserve"> PAGEREF _Toc14464 \h </w:instrText>
          </w:r>
          <w:r>
            <w:fldChar w:fldCharType="separate"/>
          </w:r>
          <w:r>
            <w:t>117</w:t>
          </w:r>
          <w:r>
            <w:fldChar w:fldCharType="end"/>
          </w:r>
          <w:r>
            <w:fldChar w:fldCharType="end"/>
          </w:r>
        </w:p>
        <w:p w14:paraId="59F8DE42">
          <w:pPr>
            <w:pStyle w:val="13"/>
            <w:tabs>
              <w:tab w:val="right" w:leader="dot" w:pos="8844"/>
            </w:tabs>
          </w:pPr>
          <w:r>
            <w:fldChar w:fldCharType="begin"/>
          </w:r>
          <w:r>
            <w:instrText xml:space="preserve"> HYPERLINK \l "_Toc16580" </w:instrText>
          </w:r>
          <w:r>
            <w:fldChar w:fldCharType="separate"/>
          </w:r>
          <w:r>
            <w:rPr>
              <w:rFonts w:hint="eastAsia" w:ascii="宋体" w:hAnsi="宋体" w:eastAsia="宋体" w:cs="宋体"/>
            </w:rPr>
            <w:t>关于做好资产评估机构备案管理工作的通知</w:t>
          </w:r>
          <w:r>
            <w:tab/>
          </w:r>
          <w:r>
            <w:fldChar w:fldCharType="begin"/>
          </w:r>
          <w:r>
            <w:instrText xml:space="preserve"> PAGEREF _Toc16580 \h </w:instrText>
          </w:r>
          <w:r>
            <w:fldChar w:fldCharType="separate"/>
          </w:r>
          <w:r>
            <w:t>123</w:t>
          </w:r>
          <w:r>
            <w:fldChar w:fldCharType="end"/>
          </w:r>
          <w:r>
            <w:fldChar w:fldCharType="end"/>
          </w:r>
        </w:p>
        <w:p w14:paraId="67295410">
          <w:pPr>
            <w:pStyle w:val="13"/>
            <w:tabs>
              <w:tab w:val="right" w:leader="dot" w:pos="8844"/>
            </w:tabs>
          </w:pPr>
          <w:r>
            <w:fldChar w:fldCharType="begin"/>
          </w:r>
          <w:r>
            <w:instrText xml:space="preserve"> HYPERLINK \l "_Toc31712" </w:instrText>
          </w:r>
          <w:r>
            <w:fldChar w:fldCharType="separate"/>
          </w:r>
          <w:r>
            <w:rPr>
              <w:rFonts w:hint="eastAsia" w:ascii="宋体" w:hAnsi="宋体" w:eastAsia="宋体" w:cs="宋体"/>
            </w:rPr>
            <w:t>关于中央文化企业国有资产评估管理的补充通知</w:t>
          </w:r>
          <w:r>
            <w:tab/>
          </w:r>
          <w:r>
            <w:fldChar w:fldCharType="begin"/>
          </w:r>
          <w:r>
            <w:instrText xml:space="preserve"> PAGEREF _Toc31712 \h </w:instrText>
          </w:r>
          <w:r>
            <w:fldChar w:fldCharType="separate"/>
          </w:r>
          <w:r>
            <w:t>127</w:t>
          </w:r>
          <w:r>
            <w:fldChar w:fldCharType="end"/>
          </w:r>
          <w:r>
            <w:fldChar w:fldCharType="end"/>
          </w:r>
        </w:p>
        <w:p w14:paraId="3BD10D1D">
          <w:pPr>
            <w:pStyle w:val="13"/>
            <w:tabs>
              <w:tab w:val="right" w:leader="dot" w:pos="8844"/>
            </w:tabs>
          </w:pPr>
          <w:r>
            <w:fldChar w:fldCharType="begin"/>
          </w:r>
          <w:r>
            <w:instrText xml:space="preserve"> HYPERLINK \l "_Toc320" </w:instrText>
          </w:r>
          <w:r>
            <w:fldChar w:fldCharType="separate"/>
          </w:r>
          <w:r>
            <w:rPr>
              <w:rFonts w:hint="eastAsia" w:ascii="宋体" w:hAnsi="宋体" w:eastAsia="宋体" w:cs="宋体"/>
            </w:rPr>
            <w:t>关于金融企业国有资产评估监督管理有关问题的通知</w:t>
          </w:r>
          <w:r>
            <w:tab/>
          </w:r>
          <w:r>
            <w:fldChar w:fldCharType="begin"/>
          </w:r>
          <w:r>
            <w:instrText xml:space="preserve"> PAGEREF _Toc320 \h </w:instrText>
          </w:r>
          <w:r>
            <w:fldChar w:fldCharType="separate"/>
          </w:r>
          <w:r>
            <w:t>130</w:t>
          </w:r>
          <w:r>
            <w:fldChar w:fldCharType="end"/>
          </w:r>
          <w:r>
            <w:fldChar w:fldCharType="end"/>
          </w:r>
        </w:p>
        <w:p w14:paraId="5693A181">
          <w:pPr>
            <w:pStyle w:val="13"/>
            <w:tabs>
              <w:tab w:val="right" w:leader="dot" w:pos="8844"/>
            </w:tabs>
          </w:pPr>
          <w:r>
            <w:fldChar w:fldCharType="begin"/>
          </w:r>
          <w:r>
            <w:instrText xml:space="preserve"> HYPERLINK \l "_Toc30136" </w:instrText>
          </w:r>
          <w:r>
            <w:fldChar w:fldCharType="separate"/>
          </w:r>
          <w:r>
            <w:rPr>
              <w:rFonts w:hint="eastAsia" w:ascii="宋体" w:hAnsi="宋体" w:eastAsia="宋体" w:cs="宋体"/>
            </w:rPr>
            <w:t>人民法院委托评估工作规范</w:t>
          </w:r>
          <w:r>
            <w:tab/>
          </w:r>
          <w:r>
            <w:fldChar w:fldCharType="begin"/>
          </w:r>
          <w:r>
            <w:instrText xml:space="preserve"> PAGEREF _Toc30136 \h </w:instrText>
          </w:r>
          <w:r>
            <w:fldChar w:fldCharType="separate"/>
          </w:r>
          <w:r>
            <w:t>134</w:t>
          </w:r>
          <w:r>
            <w:fldChar w:fldCharType="end"/>
          </w:r>
          <w:r>
            <w:fldChar w:fldCharType="end"/>
          </w:r>
        </w:p>
        <w:p w14:paraId="40508A9F">
          <w:pPr>
            <w:pStyle w:val="13"/>
            <w:tabs>
              <w:tab w:val="right" w:leader="dot" w:pos="8844"/>
            </w:tabs>
          </w:pPr>
          <w:r>
            <w:fldChar w:fldCharType="begin"/>
          </w:r>
          <w:r>
            <w:instrText xml:space="preserve"> HYPERLINK \l "_Toc20599" </w:instrText>
          </w:r>
          <w:r>
            <w:fldChar w:fldCharType="separate"/>
          </w:r>
          <w:r>
            <w:rPr>
              <w:rFonts w:hint="eastAsia" w:ascii="宋体" w:hAnsi="宋体" w:eastAsia="宋体" w:cs="宋体"/>
            </w:rPr>
            <w:t>人民法院委托评估专业技术评审工作规范</w:t>
          </w:r>
          <w:r>
            <w:tab/>
          </w:r>
          <w:r>
            <w:fldChar w:fldCharType="begin"/>
          </w:r>
          <w:r>
            <w:instrText xml:space="preserve"> PAGEREF _Toc20599 \h </w:instrText>
          </w:r>
          <w:r>
            <w:fldChar w:fldCharType="separate"/>
          </w:r>
          <w:r>
            <w:t>148</w:t>
          </w:r>
          <w:r>
            <w:fldChar w:fldCharType="end"/>
          </w:r>
          <w:r>
            <w:fldChar w:fldCharType="end"/>
          </w:r>
        </w:p>
        <w:p w14:paraId="456558BE">
          <w:pPr>
            <w:pStyle w:val="13"/>
            <w:tabs>
              <w:tab w:val="right" w:leader="dot" w:pos="8844"/>
            </w:tabs>
          </w:pPr>
          <w:r>
            <w:fldChar w:fldCharType="begin"/>
          </w:r>
          <w:r>
            <w:instrText xml:space="preserve"> HYPERLINK \l "_Toc1527" </w:instrText>
          </w:r>
          <w:r>
            <w:fldChar w:fldCharType="separate"/>
          </w:r>
          <w:r>
            <w:rPr>
              <w:rFonts w:hint="eastAsia" w:ascii="宋体" w:hAnsi="宋体" w:eastAsia="宋体" w:cs="宋体"/>
            </w:rPr>
            <w:t>关于进一步规范银行函证及回函工作的通知</w:t>
          </w:r>
          <w:r>
            <w:tab/>
          </w:r>
          <w:r>
            <w:fldChar w:fldCharType="begin"/>
          </w:r>
          <w:r>
            <w:instrText xml:space="preserve"> PAGEREF _Toc1527 \h </w:instrText>
          </w:r>
          <w:r>
            <w:fldChar w:fldCharType="separate"/>
          </w:r>
          <w:r>
            <w:t>153</w:t>
          </w:r>
          <w:r>
            <w:fldChar w:fldCharType="end"/>
          </w:r>
          <w:r>
            <w:fldChar w:fldCharType="end"/>
          </w:r>
        </w:p>
        <w:p w14:paraId="11F2BEA9">
          <w:pPr>
            <w:pStyle w:val="13"/>
            <w:tabs>
              <w:tab w:val="right" w:leader="dot" w:pos="8844"/>
            </w:tabs>
          </w:pPr>
          <w:r>
            <w:fldChar w:fldCharType="begin"/>
          </w:r>
          <w:r>
            <w:instrText xml:space="preserve"> HYPERLINK \l "_Toc2477" </w:instrText>
          </w:r>
          <w:r>
            <w:fldChar w:fldCharType="separate"/>
          </w:r>
          <w:r>
            <w:rPr>
              <w:rFonts w:hint="eastAsia" w:ascii="宋体" w:hAnsi="宋体" w:eastAsia="宋体" w:cs="宋体"/>
            </w:rPr>
            <w:t>关于联合印发《资产评估机构从事</w:t>
          </w:r>
          <w:r>
            <w:tab/>
          </w:r>
          <w:r>
            <w:fldChar w:fldCharType="begin"/>
          </w:r>
          <w:r>
            <w:instrText xml:space="preserve"> PAGEREF _Toc2477 \h </w:instrText>
          </w:r>
          <w:r>
            <w:fldChar w:fldCharType="separate"/>
          </w:r>
          <w:r>
            <w:t>156</w:t>
          </w:r>
          <w:r>
            <w:fldChar w:fldCharType="end"/>
          </w:r>
          <w:r>
            <w:fldChar w:fldCharType="end"/>
          </w:r>
        </w:p>
        <w:p w14:paraId="432291DE">
          <w:pPr>
            <w:pStyle w:val="13"/>
            <w:tabs>
              <w:tab w:val="right" w:leader="dot" w:pos="8844"/>
            </w:tabs>
          </w:pPr>
          <w:r>
            <w:fldChar w:fldCharType="begin"/>
          </w:r>
          <w:r>
            <w:instrText xml:space="preserve"> HYPERLINK \l "_Toc29085" </w:instrText>
          </w:r>
          <w:r>
            <w:fldChar w:fldCharType="separate"/>
          </w:r>
          <w:r>
            <w:rPr>
              <w:rFonts w:hint="eastAsia" w:ascii="宋体" w:hAnsi="宋体" w:eastAsia="宋体" w:cs="宋体"/>
            </w:rPr>
            <w:t>证券服务业务备案办法》的通知</w:t>
          </w:r>
          <w:r>
            <w:tab/>
          </w:r>
          <w:r>
            <w:fldChar w:fldCharType="begin"/>
          </w:r>
          <w:r>
            <w:instrText xml:space="preserve"> PAGEREF _Toc29085 \h </w:instrText>
          </w:r>
          <w:r>
            <w:fldChar w:fldCharType="separate"/>
          </w:r>
          <w:r>
            <w:t>156</w:t>
          </w:r>
          <w:r>
            <w:fldChar w:fldCharType="end"/>
          </w:r>
          <w:r>
            <w:fldChar w:fldCharType="end"/>
          </w:r>
        </w:p>
        <w:p w14:paraId="2F024423">
          <w:pPr>
            <w:pStyle w:val="19"/>
            <w:tabs>
              <w:tab w:val="right" w:leader="dot" w:pos="8844"/>
            </w:tabs>
          </w:pPr>
          <w:r>
            <w:fldChar w:fldCharType="begin"/>
          </w:r>
          <w:r>
            <w:instrText xml:space="preserve"> HYPERLINK \l "_Toc386" </w:instrText>
          </w:r>
          <w:r>
            <w:fldChar w:fldCharType="separate"/>
          </w:r>
          <w:r>
            <w:rPr>
              <w:rFonts w:hint="eastAsia" w:ascii="黑体" w:hAnsi="黑体" w:eastAsia="黑体" w:cs="黑体"/>
              <w:shd w:val="clear" w:color="FFFFFF" w:fill="D9D9D9"/>
            </w:rPr>
            <w:t>中国资产评估协会发布的行业制度性文件</w:t>
          </w:r>
          <w:r>
            <w:tab/>
          </w:r>
          <w:r>
            <w:fldChar w:fldCharType="begin"/>
          </w:r>
          <w:r>
            <w:instrText xml:space="preserve"> PAGEREF _Toc386 \h </w:instrText>
          </w:r>
          <w:r>
            <w:fldChar w:fldCharType="separate"/>
          </w:r>
          <w:r>
            <w:t>169</w:t>
          </w:r>
          <w:r>
            <w:fldChar w:fldCharType="end"/>
          </w:r>
          <w:r>
            <w:fldChar w:fldCharType="end"/>
          </w:r>
        </w:p>
        <w:p w14:paraId="7FD20558">
          <w:pPr>
            <w:pStyle w:val="13"/>
            <w:tabs>
              <w:tab w:val="right" w:leader="dot" w:pos="8844"/>
            </w:tabs>
          </w:pPr>
          <w:r>
            <w:fldChar w:fldCharType="begin"/>
          </w:r>
          <w:r>
            <w:instrText xml:space="preserve"> HYPERLINK \l "_Toc22501" </w:instrText>
          </w:r>
          <w:r>
            <w:fldChar w:fldCharType="separate"/>
          </w:r>
          <w:r>
            <w:rPr>
              <w:rFonts w:hint="eastAsia" w:ascii="宋体" w:hAnsi="宋体" w:eastAsia="宋体" w:cs="宋体"/>
            </w:rPr>
            <w:t>评估机构内部治理指引</w:t>
          </w:r>
          <w:r>
            <w:tab/>
          </w:r>
          <w:r>
            <w:fldChar w:fldCharType="begin"/>
          </w:r>
          <w:r>
            <w:instrText xml:space="preserve"> PAGEREF _Toc22501 \h </w:instrText>
          </w:r>
          <w:r>
            <w:fldChar w:fldCharType="separate"/>
          </w:r>
          <w:r>
            <w:t>169</w:t>
          </w:r>
          <w:r>
            <w:fldChar w:fldCharType="end"/>
          </w:r>
          <w:r>
            <w:fldChar w:fldCharType="end"/>
          </w:r>
        </w:p>
        <w:p w14:paraId="452E0CE5">
          <w:pPr>
            <w:pStyle w:val="13"/>
            <w:tabs>
              <w:tab w:val="right" w:leader="dot" w:pos="8844"/>
            </w:tabs>
          </w:pPr>
          <w:r>
            <w:fldChar w:fldCharType="begin"/>
          </w:r>
          <w:r>
            <w:instrText xml:space="preserve"> HYPERLINK \l "_Toc27390" </w:instrText>
          </w:r>
          <w:r>
            <w:fldChar w:fldCharType="separate"/>
          </w:r>
          <w:r>
            <w:rPr>
              <w:rFonts w:hint="eastAsia" w:ascii="宋体" w:hAnsi="宋体" w:eastAsia="宋体" w:cs="宋体"/>
            </w:rPr>
            <w:t>资产评估机构综合评价办法</w:t>
          </w:r>
          <w:r>
            <w:tab/>
          </w:r>
          <w:r>
            <w:fldChar w:fldCharType="begin"/>
          </w:r>
          <w:r>
            <w:instrText xml:space="preserve"> PAGEREF _Toc27390 \h </w:instrText>
          </w:r>
          <w:r>
            <w:fldChar w:fldCharType="separate"/>
          </w:r>
          <w:r>
            <w:t>180</w:t>
          </w:r>
          <w:r>
            <w:fldChar w:fldCharType="end"/>
          </w:r>
          <w:r>
            <w:fldChar w:fldCharType="end"/>
          </w:r>
        </w:p>
        <w:p w14:paraId="55CE917E">
          <w:pPr>
            <w:pStyle w:val="13"/>
            <w:tabs>
              <w:tab w:val="right" w:leader="dot" w:pos="8844"/>
            </w:tabs>
          </w:pPr>
          <w:r>
            <w:fldChar w:fldCharType="begin"/>
          </w:r>
          <w:r>
            <w:instrText xml:space="preserve"> HYPERLINK \l "_Toc13725" </w:instrText>
          </w:r>
          <w:r>
            <w:fldChar w:fldCharType="separate"/>
          </w:r>
          <w:r>
            <w:rPr>
              <w:rFonts w:hint="eastAsia" w:ascii="宋体" w:hAnsi="宋体" w:eastAsia="宋体" w:cs="宋体"/>
            </w:rPr>
            <w:t>中国资产评估协会会费管理办法</w:t>
          </w:r>
          <w:r>
            <w:tab/>
          </w:r>
          <w:r>
            <w:fldChar w:fldCharType="begin"/>
          </w:r>
          <w:r>
            <w:instrText xml:space="preserve"> PAGEREF _Toc13725 \h </w:instrText>
          </w:r>
          <w:r>
            <w:fldChar w:fldCharType="separate"/>
          </w:r>
          <w:r>
            <w:t>184</w:t>
          </w:r>
          <w:r>
            <w:fldChar w:fldCharType="end"/>
          </w:r>
          <w:r>
            <w:fldChar w:fldCharType="end"/>
          </w:r>
        </w:p>
        <w:p w14:paraId="0D92652B">
          <w:pPr>
            <w:pStyle w:val="13"/>
            <w:tabs>
              <w:tab w:val="right" w:leader="dot" w:pos="8844"/>
            </w:tabs>
          </w:pPr>
          <w:r>
            <w:fldChar w:fldCharType="begin"/>
          </w:r>
          <w:r>
            <w:instrText xml:space="preserve"> HYPERLINK \l "_Toc13809" </w:instrText>
          </w:r>
          <w:r>
            <w:fldChar w:fldCharType="separate"/>
          </w:r>
          <w:r>
            <w:rPr>
              <w:rFonts w:hint="eastAsia" w:ascii="宋体" w:hAnsi="宋体" w:eastAsia="宋体" w:cs="宋体"/>
            </w:rPr>
            <w:t>资产评估行业谈话提醒办法</w:t>
          </w:r>
          <w:r>
            <w:tab/>
          </w:r>
          <w:r>
            <w:fldChar w:fldCharType="begin"/>
          </w:r>
          <w:r>
            <w:instrText xml:space="preserve"> PAGEREF _Toc13809 \h </w:instrText>
          </w:r>
          <w:r>
            <w:fldChar w:fldCharType="separate"/>
          </w:r>
          <w:r>
            <w:t>186</w:t>
          </w:r>
          <w:r>
            <w:fldChar w:fldCharType="end"/>
          </w:r>
          <w:r>
            <w:fldChar w:fldCharType="end"/>
          </w:r>
        </w:p>
        <w:p w14:paraId="48FE8F9D">
          <w:pPr>
            <w:pStyle w:val="13"/>
            <w:tabs>
              <w:tab w:val="right" w:leader="dot" w:pos="8844"/>
            </w:tabs>
          </w:pPr>
          <w:r>
            <w:fldChar w:fldCharType="begin"/>
          </w:r>
          <w:r>
            <w:instrText xml:space="preserve"> HYPERLINK \l "_Toc4239" </w:instrText>
          </w:r>
          <w:r>
            <w:fldChar w:fldCharType="separate"/>
          </w:r>
          <w:r>
            <w:rPr>
              <w:rFonts w:hint="eastAsia" w:ascii="宋体" w:hAnsi="宋体" w:eastAsia="宋体" w:cs="宋体"/>
            </w:rPr>
            <w:t>首席评估师管理办法</w:t>
          </w:r>
          <w:r>
            <w:tab/>
          </w:r>
          <w:r>
            <w:fldChar w:fldCharType="begin"/>
          </w:r>
          <w:r>
            <w:instrText xml:space="preserve"> PAGEREF _Toc4239 \h </w:instrText>
          </w:r>
          <w:r>
            <w:fldChar w:fldCharType="separate"/>
          </w:r>
          <w:r>
            <w:t>188</w:t>
          </w:r>
          <w:r>
            <w:fldChar w:fldCharType="end"/>
          </w:r>
          <w:r>
            <w:fldChar w:fldCharType="end"/>
          </w:r>
        </w:p>
        <w:p w14:paraId="32B5BEC4">
          <w:pPr>
            <w:pStyle w:val="13"/>
            <w:tabs>
              <w:tab w:val="right" w:leader="dot" w:pos="8844"/>
            </w:tabs>
          </w:pPr>
          <w:r>
            <w:fldChar w:fldCharType="begin"/>
          </w:r>
          <w:r>
            <w:instrText xml:space="preserve"> HYPERLINK \l "_Toc14672" </w:instrText>
          </w:r>
          <w:r>
            <w:fldChar w:fldCharType="separate"/>
          </w:r>
          <w:r>
            <w:rPr>
              <w:rFonts w:hint="eastAsia" w:ascii="宋体" w:hAnsi="宋体" w:eastAsia="宋体" w:cs="宋体"/>
            </w:rPr>
            <w:t>中国资产评估协会会员执业行为自律惩戒办法</w:t>
          </w:r>
          <w:r>
            <w:tab/>
          </w:r>
          <w:r>
            <w:fldChar w:fldCharType="begin"/>
          </w:r>
          <w:r>
            <w:instrText xml:space="preserve"> PAGEREF _Toc14672 \h </w:instrText>
          </w:r>
          <w:r>
            <w:fldChar w:fldCharType="separate"/>
          </w:r>
          <w:r>
            <w:t>191</w:t>
          </w:r>
          <w:r>
            <w:fldChar w:fldCharType="end"/>
          </w:r>
          <w:r>
            <w:fldChar w:fldCharType="end"/>
          </w:r>
        </w:p>
        <w:p w14:paraId="137652A3">
          <w:pPr>
            <w:pStyle w:val="13"/>
            <w:tabs>
              <w:tab w:val="right" w:leader="dot" w:pos="8844"/>
            </w:tabs>
          </w:pPr>
          <w:r>
            <w:fldChar w:fldCharType="begin"/>
          </w:r>
          <w:r>
            <w:instrText xml:space="preserve"> HYPERLINK \l "_Toc29418" </w:instrText>
          </w:r>
          <w:r>
            <w:fldChar w:fldCharType="separate"/>
          </w:r>
          <w:r>
            <w:rPr>
              <w:rFonts w:hint="eastAsia" w:ascii="宋体" w:hAnsi="宋体" w:eastAsia="宋体" w:cs="宋体"/>
            </w:rPr>
            <w:t>中国资产评估协会会员申诉管理办法</w:t>
          </w:r>
          <w:r>
            <w:tab/>
          </w:r>
          <w:r>
            <w:fldChar w:fldCharType="begin"/>
          </w:r>
          <w:r>
            <w:instrText xml:space="preserve"> PAGEREF _Toc29418 \h </w:instrText>
          </w:r>
          <w:r>
            <w:fldChar w:fldCharType="separate"/>
          </w:r>
          <w:r>
            <w:t>199</w:t>
          </w:r>
          <w:r>
            <w:fldChar w:fldCharType="end"/>
          </w:r>
          <w:r>
            <w:fldChar w:fldCharType="end"/>
          </w:r>
        </w:p>
        <w:p w14:paraId="2BD48C4E">
          <w:pPr>
            <w:pStyle w:val="13"/>
            <w:tabs>
              <w:tab w:val="right" w:leader="dot" w:pos="8844"/>
            </w:tabs>
          </w:pPr>
          <w:r>
            <w:fldChar w:fldCharType="begin"/>
          </w:r>
          <w:r>
            <w:instrText xml:space="preserve"> HYPERLINK \l "_Toc20853" </w:instrText>
          </w:r>
          <w:r>
            <w:fldChar w:fldCharType="separate"/>
          </w:r>
          <w:r>
            <w:rPr>
              <w:rFonts w:hint="eastAsia" w:ascii="宋体" w:hAnsi="宋体" w:eastAsia="宋体" w:cs="宋体"/>
            </w:rPr>
            <w:t>中国资产评估协会资产评估业务报备管理办法</w:t>
          </w:r>
          <w:r>
            <w:tab/>
          </w:r>
          <w:r>
            <w:fldChar w:fldCharType="begin"/>
          </w:r>
          <w:r>
            <w:instrText xml:space="preserve"> PAGEREF _Toc20853 \h </w:instrText>
          </w:r>
          <w:r>
            <w:fldChar w:fldCharType="separate"/>
          </w:r>
          <w:r>
            <w:t>204</w:t>
          </w:r>
          <w:r>
            <w:fldChar w:fldCharType="end"/>
          </w:r>
          <w:r>
            <w:fldChar w:fldCharType="end"/>
          </w:r>
        </w:p>
        <w:p w14:paraId="406B71A6">
          <w:pPr>
            <w:pStyle w:val="13"/>
            <w:tabs>
              <w:tab w:val="right" w:leader="dot" w:pos="8844"/>
            </w:tabs>
          </w:pPr>
          <w:r>
            <w:fldChar w:fldCharType="begin"/>
          </w:r>
          <w:r>
            <w:instrText xml:space="preserve"> HYPERLINK \l "_Toc24313" </w:instrText>
          </w:r>
          <w:r>
            <w:fldChar w:fldCharType="separate"/>
          </w:r>
          <w:r>
            <w:rPr>
              <w:rFonts w:hint="eastAsia" w:ascii="宋体" w:hAnsi="宋体" w:eastAsia="宋体" w:cs="宋体"/>
            </w:rPr>
            <w:t>中国资产评估协会资产评估报告统一编码管理暂行办法</w:t>
          </w:r>
          <w:r>
            <w:tab/>
          </w:r>
          <w:r>
            <w:fldChar w:fldCharType="begin"/>
          </w:r>
          <w:r>
            <w:instrText xml:space="preserve"> PAGEREF _Toc24313 \h </w:instrText>
          </w:r>
          <w:r>
            <w:fldChar w:fldCharType="separate"/>
          </w:r>
          <w:r>
            <w:t>207</w:t>
          </w:r>
          <w:r>
            <w:fldChar w:fldCharType="end"/>
          </w:r>
          <w:r>
            <w:fldChar w:fldCharType="end"/>
          </w:r>
        </w:p>
        <w:p w14:paraId="0C355019">
          <w:pPr>
            <w:pStyle w:val="13"/>
            <w:tabs>
              <w:tab w:val="right" w:leader="dot" w:pos="8844"/>
            </w:tabs>
          </w:pPr>
          <w:r>
            <w:fldChar w:fldCharType="begin"/>
          </w:r>
          <w:r>
            <w:instrText xml:space="preserve"> HYPERLINK \l "_Toc6511" </w:instrText>
          </w:r>
          <w:r>
            <w:fldChar w:fldCharType="separate"/>
          </w:r>
          <w:r>
            <w:rPr>
              <w:rFonts w:hint="eastAsia" w:ascii="宋体" w:hAnsi="宋体" w:eastAsia="宋体" w:cs="宋体"/>
              <w:lang w:val="zh-TW" w:eastAsia="zh-TW"/>
            </w:rPr>
            <w:t>人民法院委托资产评估专业技术评审收费管理办法（试行）</w:t>
          </w:r>
          <w:r>
            <w:tab/>
          </w:r>
          <w:r>
            <w:fldChar w:fldCharType="begin"/>
          </w:r>
          <w:r>
            <w:instrText xml:space="preserve"> PAGEREF _Toc6511 \h </w:instrText>
          </w:r>
          <w:r>
            <w:fldChar w:fldCharType="separate"/>
          </w:r>
          <w:r>
            <w:t>211</w:t>
          </w:r>
          <w:r>
            <w:fldChar w:fldCharType="end"/>
          </w:r>
          <w:r>
            <w:fldChar w:fldCharType="end"/>
          </w:r>
        </w:p>
        <w:p w14:paraId="2F33F7D1">
          <w:pPr>
            <w:pStyle w:val="13"/>
            <w:tabs>
              <w:tab w:val="right" w:leader="dot" w:pos="8844"/>
            </w:tabs>
          </w:pPr>
          <w:r>
            <w:fldChar w:fldCharType="begin"/>
          </w:r>
          <w:r>
            <w:instrText xml:space="preserve"> HYPERLINK \l "_Toc26043" </w:instrText>
          </w:r>
          <w:r>
            <w:fldChar w:fldCharType="separate"/>
          </w:r>
          <w:r>
            <w:rPr>
              <w:rFonts w:hint="eastAsia" w:ascii="宋体" w:hAnsi="宋体" w:eastAsia="宋体" w:cs="宋体"/>
              <w:lang w:val="zh-TW" w:eastAsia="zh-TW"/>
            </w:rPr>
            <w:t>人民法院委托资产评估专业技术评审工作实施细则（试行）</w:t>
          </w:r>
          <w:r>
            <w:tab/>
          </w:r>
          <w:r>
            <w:fldChar w:fldCharType="begin"/>
          </w:r>
          <w:r>
            <w:instrText xml:space="preserve"> PAGEREF _Toc26043 \h </w:instrText>
          </w:r>
          <w:r>
            <w:fldChar w:fldCharType="separate"/>
          </w:r>
          <w:r>
            <w:t>213</w:t>
          </w:r>
          <w:r>
            <w:fldChar w:fldCharType="end"/>
          </w:r>
          <w:r>
            <w:fldChar w:fldCharType="end"/>
          </w:r>
        </w:p>
        <w:p w14:paraId="3C1A1F53">
          <w:pPr>
            <w:pStyle w:val="13"/>
            <w:tabs>
              <w:tab w:val="right" w:leader="dot" w:pos="8844"/>
            </w:tabs>
          </w:pPr>
          <w:r>
            <w:fldChar w:fldCharType="begin"/>
          </w:r>
          <w:r>
            <w:instrText xml:space="preserve"> HYPERLINK \l "_Toc24515" </w:instrText>
          </w:r>
          <w:r>
            <w:fldChar w:fldCharType="separate"/>
          </w:r>
          <w:r>
            <w:rPr>
              <w:rFonts w:hint="eastAsia" w:ascii="宋体" w:hAnsi="宋体" w:eastAsia="宋体" w:cs="宋体"/>
              <w:lang w:val="zh-TW" w:eastAsia="zh-TW"/>
            </w:rPr>
            <w:t>人民法院委托资产评估专业技术评审人员库管理办法（试行）</w:t>
          </w:r>
          <w:r>
            <w:tab/>
          </w:r>
          <w:r>
            <w:fldChar w:fldCharType="begin"/>
          </w:r>
          <w:r>
            <w:instrText xml:space="preserve"> PAGEREF _Toc24515 \h </w:instrText>
          </w:r>
          <w:r>
            <w:fldChar w:fldCharType="separate"/>
          </w:r>
          <w:r>
            <w:t>220</w:t>
          </w:r>
          <w:r>
            <w:fldChar w:fldCharType="end"/>
          </w:r>
          <w:r>
            <w:fldChar w:fldCharType="end"/>
          </w:r>
        </w:p>
        <w:p w14:paraId="0E2BBD35">
          <w:pPr>
            <w:pStyle w:val="13"/>
            <w:tabs>
              <w:tab w:val="right" w:leader="dot" w:pos="8844"/>
            </w:tabs>
          </w:pPr>
          <w:r>
            <w:fldChar w:fldCharType="begin"/>
          </w:r>
          <w:r>
            <w:instrText xml:space="preserve"> HYPERLINK \l "_Toc7957" </w:instrText>
          </w:r>
          <w:r>
            <w:fldChar w:fldCharType="separate"/>
          </w:r>
          <w:r>
            <w:rPr>
              <w:rFonts w:hint="eastAsia" w:ascii="宋体" w:hAnsi="宋体" w:eastAsia="宋体" w:cs="宋体"/>
            </w:rPr>
            <w:t>中国资产评估协会章程</w:t>
          </w:r>
          <w:r>
            <w:tab/>
          </w:r>
          <w:r>
            <w:fldChar w:fldCharType="begin"/>
          </w:r>
          <w:r>
            <w:instrText xml:space="preserve"> PAGEREF _Toc7957 \h </w:instrText>
          </w:r>
          <w:r>
            <w:fldChar w:fldCharType="separate"/>
          </w:r>
          <w:r>
            <w:t>222</w:t>
          </w:r>
          <w:r>
            <w:fldChar w:fldCharType="end"/>
          </w:r>
          <w:r>
            <w:fldChar w:fldCharType="end"/>
          </w:r>
        </w:p>
        <w:p w14:paraId="3A2D65F3">
          <w:pPr>
            <w:pStyle w:val="13"/>
            <w:tabs>
              <w:tab w:val="right" w:leader="dot" w:pos="8844"/>
            </w:tabs>
          </w:pPr>
          <w:r>
            <w:fldChar w:fldCharType="begin"/>
          </w:r>
          <w:r>
            <w:instrText xml:space="preserve"> HYPERLINK \l "_Toc14929" </w:instrText>
          </w:r>
          <w:r>
            <w:fldChar w:fldCharType="separate"/>
          </w:r>
          <w:r>
            <w:rPr>
              <w:rFonts w:hint="eastAsia" w:ascii="宋体" w:hAnsi="宋体" w:eastAsia="宋体" w:cs="宋体"/>
              <w:lang w:val="zh-TW" w:eastAsia="zh-TW"/>
            </w:rPr>
            <w:t>中国资产评估协会非执业会员管理办法</w:t>
          </w:r>
          <w:r>
            <w:tab/>
          </w:r>
          <w:r>
            <w:fldChar w:fldCharType="begin"/>
          </w:r>
          <w:r>
            <w:instrText xml:space="preserve"> PAGEREF _Toc14929 \h </w:instrText>
          </w:r>
          <w:r>
            <w:fldChar w:fldCharType="separate"/>
          </w:r>
          <w:r>
            <w:t>228</w:t>
          </w:r>
          <w:r>
            <w:fldChar w:fldCharType="end"/>
          </w:r>
          <w:r>
            <w:fldChar w:fldCharType="end"/>
          </w:r>
        </w:p>
        <w:p w14:paraId="5D5503AD">
          <w:pPr>
            <w:pStyle w:val="13"/>
            <w:tabs>
              <w:tab w:val="right" w:leader="dot" w:pos="8844"/>
            </w:tabs>
          </w:pPr>
          <w:r>
            <w:fldChar w:fldCharType="begin"/>
          </w:r>
          <w:r>
            <w:instrText xml:space="preserve"> HYPERLINK \l "_Toc30900" </w:instrText>
          </w:r>
          <w:r>
            <w:fldChar w:fldCharType="separate"/>
          </w:r>
          <w:r>
            <w:rPr>
              <w:rFonts w:hint="eastAsia" w:ascii="宋体" w:hAnsi="宋体" w:eastAsia="宋体" w:cs="宋体"/>
              <w:lang w:val="zh-TW" w:eastAsia="zh-TW"/>
            </w:rPr>
            <w:t>资产评估师职业资格证书登记办法（试行）</w:t>
          </w:r>
          <w:r>
            <w:tab/>
          </w:r>
          <w:r>
            <w:fldChar w:fldCharType="begin"/>
          </w:r>
          <w:r>
            <w:instrText xml:space="preserve"> PAGEREF _Toc30900 \h </w:instrText>
          </w:r>
          <w:r>
            <w:fldChar w:fldCharType="separate"/>
          </w:r>
          <w:r>
            <w:t>239</w:t>
          </w:r>
          <w:r>
            <w:fldChar w:fldCharType="end"/>
          </w:r>
          <w:r>
            <w:fldChar w:fldCharType="end"/>
          </w:r>
        </w:p>
        <w:p w14:paraId="6CA2A6E1">
          <w:pPr>
            <w:pStyle w:val="13"/>
            <w:tabs>
              <w:tab w:val="right" w:leader="dot" w:pos="8844"/>
            </w:tabs>
          </w:pPr>
          <w:r>
            <w:fldChar w:fldCharType="begin"/>
          </w:r>
          <w:r>
            <w:instrText xml:space="preserve"> HYPERLINK \l "_Toc31287" </w:instrText>
          </w:r>
          <w:r>
            <w:fldChar w:fldCharType="separate"/>
          </w:r>
          <w:r>
            <w:rPr>
              <w:rFonts w:hint="eastAsia" w:ascii="宋体" w:hAnsi="宋体" w:eastAsia="宋体" w:cs="宋体"/>
              <w:lang w:val="zh-TW" w:eastAsia="zh-TW"/>
            </w:rPr>
            <w:t>中国资产评估协会执业会员管理办法（试行）</w:t>
          </w:r>
          <w:r>
            <w:tab/>
          </w:r>
          <w:r>
            <w:fldChar w:fldCharType="begin"/>
          </w:r>
          <w:r>
            <w:instrText xml:space="preserve"> PAGEREF _Toc31287 \h </w:instrText>
          </w:r>
          <w:r>
            <w:fldChar w:fldCharType="separate"/>
          </w:r>
          <w:r>
            <w:t>248</w:t>
          </w:r>
          <w:r>
            <w:fldChar w:fldCharType="end"/>
          </w:r>
          <w:r>
            <w:fldChar w:fldCharType="end"/>
          </w:r>
        </w:p>
        <w:p w14:paraId="0E5CBA42">
          <w:pPr>
            <w:pStyle w:val="13"/>
            <w:tabs>
              <w:tab w:val="right" w:leader="dot" w:pos="8844"/>
            </w:tabs>
          </w:pPr>
          <w:r>
            <w:fldChar w:fldCharType="begin"/>
          </w:r>
          <w:r>
            <w:instrText xml:space="preserve"> HYPERLINK \l "_Toc14553" </w:instrText>
          </w:r>
          <w:r>
            <w:fldChar w:fldCharType="separate"/>
          </w:r>
          <w:r>
            <w:rPr>
              <w:rFonts w:hint="eastAsia" w:ascii="宋体" w:hAnsi="宋体" w:eastAsia="宋体" w:cs="宋体"/>
              <w:lang w:val="zh-TW" w:eastAsia="zh-TW"/>
            </w:rPr>
            <w:t>中国资产评估协会会员管理办法</w:t>
          </w:r>
          <w:r>
            <w:tab/>
          </w:r>
          <w:r>
            <w:fldChar w:fldCharType="begin"/>
          </w:r>
          <w:r>
            <w:instrText xml:space="preserve"> PAGEREF _Toc14553 \h </w:instrText>
          </w:r>
          <w:r>
            <w:fldChar w:fldCharType="separate"/>
          </w:r>
          <w:r>
            <w:t>265</w:t>
          </w:r>
          <w:r>
            <w:fldChar w:fldCharType="end"/>
          </w:r>
          <w:r>
            <w:fldChar w:fldCharType="end"/>
          </w:r>
        </w:p>
        <w:p w14:paraId="2123B8F2">
          <w:pPr>
            <w:pStyle w:val="13"/>
            <w:tabs>
              <w:tab w:val="right" w:leader="dot" w:pos="8844"/>
            </w:tabs>
          </w:pPr>
          <w:r>
            <w:fldChar w:fldCharType="begin"/>
          </w:r>
          <w:r>
            <w:instrText xml:space="preserve"> HYPERLINK \l "_Toc2019" </w:instrText>
          </w:r>
          <w:r>
            <w:fldChar w:fldCharType="separate"/>
          </w:r>
          <w:r>
            <w:rPr>
              <w:rFonts w:hint="eastAsia" w:ascii="宋体" w:hAnsi="宋体" w:eastAsia="宋体" w:cs="宋体"/>
              <w:lang w:val="zh-TW" w:eastAsia="zh-TW"/>
            </w:rPr>
            <w:t>中国资产评估协会会员信用档案管理办法</w:t>
          </w:r>
          <w:r>
            <w:tab/>
          </w:r>
          <w:r>
            <w:fldChar w:fldCharType="begin"/>
          </w:r>
          <w:r>
            <w:instrText xml:space="preserve"> PAGEREF _Toc2019 \h </w:instrText>
          </w:r>
          <w:r>
            <w:fldChar w:fldCharType="separate"/>
          </w:r>
          <w:r>
            <w:t>269</w:t>
          </w:r>
          <w:r>
            <w:fldChar w:fldCharType="end"/>
          </w:r>
          <w:r>
            <w:fldChar w:fldCharType="end"/>
          </w:r>
        </w:p>
        <w:p w14:paraId="645969E7">
          <w:pPr>
            <w:pStyle w:val="13"/>
            <w:tabs>
              <w:tab w:val="right" w:leader="dot" w:pos="8844"/>
            </w:tabs>
          </w:pPr>
          <w:r>
            <w:fldChar w:fldCharType="begin"/>
          </w:r>
          <w:r>
            <w:instrText xml:space="preserve"> HYPERLINK \l "_Toc15522" </w:instrText>
          </w:r>
          <w:r>
            <w:fldChar w:fldCharType="separate"/>
          </w:r>
          <w:r>
            <w:rPr>
              <w:rFonts w:hint="eastAsia" w:ascii="宋体" w:hAnsi="宋体" w:eastAsia="宋体" w:cs="宋体"/>
            </w:rPr>
            <w:t>中国资产评估协会执业会员继续教育管理办法</w:t>
          </w:r>
          <w:r>
            <w:tab/>
          </w:r>
          <w:r>
            <w:fldChar w:fldCharType="begin"/>
          </w:r>
          <w:r>
            <w:instrText xml:space="preserve"> PAGEREF _Toc15522 \h </w:instrText>
          </w:r>
          <w:r>
            <w:fldChar w:fldCharType="separate"/>
          </w:r>
          <w:r>
            <w:t>272</w:t>
          </w:r>
          <w:r>
            <w:fldChar w:fldCharType="end"/>
          </w:r>
          <w:r>
            <w:fldChar w:fldCharType="end"/>
          </w:r>
        </w:p>
        <w:p w14:paraId="2C08E07A">
          <w:pPr>
            <w:pStyle w:val="19"/>
            <w:tabs>
              <w:tab w:val="right" w:leader="dot" w:pos="8844"/>
            </w:tabs>
          </w:pPr>
          <w:r>
            <w:fldChar w:fldCharType="begin"/>
          </w:r>
          <w:r>
            <w:instrText xml:space="preserve"> HYPERLINK \l "_Toc12477" </w:instrText>
          </w:r>
          <w:r>
            <w:fldChar w:fldCharType="separate"/>
          </w:r>
          <w:r>
            <w:rPr>
              <w:rFonts w:hint="eastAsia" w:ascii="黑体" w:hAnsi="黑体" w:eastAsia="黑体" w:cs="黑体"/>
              <w:shd w:val="clear" w:color="FFFFFF" w:fill="D9D9D9"/>
            </w:rPr>
            <w:t>2020年准则和专家指引</w:t>
          </w:r>
          <w:r>
            <w:tab/>
          </w:r>
          <w:r>
            <w:fldChar w:fldCharType="begin"/>
          </w:r>
          <w:r>
            <w:instrText xml:space="preserve"> PAGEREF _Toc12477 \h </w:instrText>
          </w:r>
          <w:r>
            <w:fldChar w:fldCharType="separate"/>
          </w:r>
          <w:r>
            <w:t>278</w:t>
          </w:r>
          <w:r>
            <w:fldChar w:fldCharType="end"/>
          </w:r>
          <w:r>
            <w:fldChar w:fldCharType="end"/>
          </w:r>
        </w:p>
        <w:p w14:paraId="209566C0">
          <w:pPr>
            <w:pStyle w:val="13"/>
            <w:tabs>
              <w:tab w:val="right" w:leader="dot" w:pos="8844"/>
            </w:tabs>
          </w:pPr>
          <w:r>
            <w:fldChar w:fldCharType="begin"/>
          </w:r>
          <w:r>
            <w:instrText xml:space="preserve"> HYPERLINK \l "_Toc30100" </w:instrText>
          </w:r>
          <w:r>
            <w:fldChar w:fldCharType="separate"/>
          </w:r>
          <w:r>
            <w:rPr>
              <w:rFonts w:hint="eastAsia" w:ascii="宋体" w:hAnsi="宋体" w:eastAsia="宋体" w:cs="宋体"/>
            </w:rPr>
            <w:t>资产评估基本准则</w:t>
          </w:r>
          <w:r>
            <w:tab/>
          </w:r>
          <w:r>
            <w:fldChar w:fldCharType="begin"/>
          </w:r>
          <w:r>
            <w:instrText xml:space="preserve"> PAGEREF _Toc30100 \h </w:instrText>
          </w:r>
          <w:r>
            <w:fldChar w:fldCharType="separate"/>
          </w:r>
          <w:r>
            <w:t>278</w:t>
          </w:r>
          <w:r>
            <w:fldChar w:fldCharType="end"/>
          </w:r>
          <w:r>
            <w:fldChar w:fldCharType="end"/>
          </w:r>
        </w:p>
        <w:p w14:paraId="3593DD33">
          <w:pPr>
            <w:pStyle w:val="13"/>
            <w:tabs>
              <w:tab w:val="right" w:leader="dot" w:pos="8844"/>
            </w:tabs>
          </w:pPr>
          <w:r>
            <w:fldChar w:fldCharType="begin"/>
          </w:r>
          <w:r>
            <w:instrText xml:space="preserve"> HYPERLINK \l "_Toc31497" </w:instrText>
          </w:r>
          <w:r>
            <w:fldChar w:fldCharType="separate"/>
          </w:r>
          <w:r>
            <w:rPr>
              <w:rFonts w:hint="eastAsia" w:ascii="宋体" w:hAnsi="宋体" w:eastAsia="宋体" w:cs="宋体"/>
            </w:rPr>
            <w:t>资产评估职业道德准则</w:t>
          </w:r>
          <w:r>
            <w:tab/>
          </w:r>
          <w:r>
            <w:fldChar w:fldCharType="begin"/>
          </w:r>
          <w:r>
            <w:instrText xml:space="preserve"> PAGEREF _Toc31497 \h </w:instrText>
          </w:r>
          <w:r>
            <w:fldChar w:fldCharType="separate"/>
          </w:r>
          <w:r>
            <w:t>283</w:t>
          </w:r>
          <w:r>
            <w:fldChar w:fldCharType="end"/>
          </w:r>
          <w:r>
            <w:fldChar w:fldCharType="end"/>
          </w:r>
        </w:p>
        <w:p w14:paraId="4A58C4BA">
          <w:pPr>
            <w:pStyle w:val="13"/>
            <w:tabs>
              <w:tab w:val="right" w:leader="dot" w:pos="8844"/>
            </w:tabs>
          </w:pPr>
          <w:r>
            <w:fldChar w:fldCharType="begin"/>
          </w:r>
          <w:r>
            <w:instrText xml:space="preserve"> HYPERLINK \l "_Toc2156" </w:instrText>
          </w:r>
          <w:r>
            <w:fldChar w:fldCharType="separate"/>
          </w:r>
          <w:r>
            <w:rPr>
              <w:rFonts w:hint="eastAsia" w:ascii="宋体" w:hAnsi="宋体" w:eastAsia="宋体" w:cs="宋体"/>
            </w:rPr>
            <w:t>资产评估执业准则——资产评估程序</w:t>
          </w:r>
          <w:r>
            <w:tab/>
          </w:r>
          <w:r>
            <w:fldChar w:fldCharType="begin"/>
          </w:r>
          <w:r>
            <w:instrText xml:space="preserve"> PAGEREF _Toc2156 \h </w:instrText>
          </w:r>
          <w:r>
            <w:fldChar w:fldCharType="separate"/>
          </w:r>
          <w:r>
            <w:t>286</w:t>
          </w:r>
          <w:r>
            <w:fldChar w:fldCharType="end"/>
          </w:r>
          <w:r>
            <w:fldChar w:fldCharType="end"/>
          </w:r>
        </w:p>
        <w:p w14:paraId="7FB7D007">
          <w:pPr>
            <w:pStyle w:val="13"/>
            <w:tabs>
              <w:tab w:val="right" w:leader="dot" w:pos="8844"/>
            </w:tabs>
          </w:pPr>
          <w:r>
            <w:fldChar w:fldCharType="begin"/>
          </w:r>
          <w:r>
            <w:instrText xml:space="preserve"> HYPERLINK \l "_Toc31217" </w:instrText>
          </w:r>
          <w:r>
            <w:fldChar w:fldCharType="separate"/>
          </w:r>
          <w:r>
            <w:rPr>
              <w:rFonts w:hint="eastAsia" w:ascii="宋体" w:hAnsi="宋体" w:eastAsia="宋体" w:cs="宋体"/>
            </w:rPr>
            <w:t>资产评估执业准则——资产评估报告</w:t>
          </w:r>
          <w:r>
            <w:tab/>
          </w:r>
          <w:r>
            <w:fldChar w:fldCharType="begin"/>
          </w:r>
          <w:r>
            <w:instrText xml:space="preserve"> PAGEREF _Toc31217 \h </w:instrText>
          </w:r>
          <w:r>
            <w:fldChar w:fldCharType="separate"/>
          </w:r>
          <w:r>
            <w:t>290</w:t>
          </w:r>
          <w:r>
            <w:fldChar w:fldCharType="end"/>
          </w:r>
          <w:r>
            <w:fldChar w:fldCharType="end"/>
          </w:r>
        </w:p>
        <w:p w14:paraId="5D429636">
          <w:pPr>
            <w:pStyle w:val="13"/>
            <w:tabs>
              <w:tab w:val="right" w:leader="dot" w:pos="8844"/>
            </w:tabs>
          </w:pPr>
          <w:r>
            <w:fldChar w:fldCharType="begin"/>
          </w:r>
          <w:r>
            <w:instrText xml:space="preserve"> HYPERLINK \l "_Toc16258" </w:instrText>
          </w:r>
          <w:r>
            <w:fldChar w:fldCharType="separate"/>
          </w:r>
          <w:r>
            <w:rPr>
              <w:rFonts w:hint="eastAsia" w:ascii="宋体" w:hAnsi="宋体" w:eastAsia="宋体" w:cs="宋体"/>
            </w:rPr>
            <w:t>资产评估执业准则——资产评估委托合同</w:t>
          </w:r>
          <w:r>
            <w:tab/>
          </w:r>
          <w:r>
            <w:fldChar w:fldCharType="begin"/>
          </w:r>
          <w:r>
            <w:instrText xml:space="preserve"> PAGEREF _Toc16258 \h </w:instrText>
          </w:r>
          <w:r>
            <w:fldChar w:fldCharType="separate"/>
          </w:r>
          <w:r>
            <w:t>297</w:t>
          </w:r>
          <w:r>
            <w:fldChar w:fldCharType="end"/>
          </w:r>
          <w:r>
            <w:fldChar w:fldCharType="end"/>
          </w:r>
        </w:p>
        <w:p w14:paraId="197429C4">
          <w:pPr>
            <w:pStyle w:val="13"/>
            <w:tabs>
              <w:tab w:val="right" w:leader="dot" w:pos="8844"/>
            </w:tabs>
          </w:pPr>
          <w:r>
            <w:fldChar w:fldCharType="begin"/>
          </w:r>
          <w:r>
            <w:instrText xml:space="preserve"> HYPERLINK \l "_Toc10975" </w:instrText>
          </w:r>
          <w:r>
            <w:fldChar w:fldCharType="separate"/>
          </w:r>
          <w:r>
            <w:rPr>
              <w:rFonts w:hint="eastAsia" w:ascii="宋体" w:hAnsi="宋体" w:eastAsia="宋体" w:cs="宋体"/>
            </w:rPr>
            <w:t>资产评估执业准则——资产评估档案</w:t>
          </w:r>
          <w:r>
            <w:tab/>
          </w:r>
          <w:r>
            <w:fldChar w:fldCharType="begin"/>
          </w:r>
          <w:r>
            <w:instrText xml:space="preserve"> PAGEREF _Toc10975 \h </w:instrText>
          </w:r>
          <w:r>
            <w:fldChar w:fldCharType="separate"/>
          </w:r>
          <w:r>
            <w:t>301</w:t>
          </w:r>
          <w:r>
            <w:fldChar w:fldCharType="end"/>
          </w:r>
          <w:r>
            <w:fldChar w:fldCharType="end"/>
          </w:r>
        </w:p>
        <w:p w14:paraId="70728F52">
          <w:pPr>
            <w:pStyle w:val="13"/>
            <w:tabs>
              <w:tab w:val="right" w:leader="dot" w:pos="8844"/>
            </w:tabs>
          </w:pPr>
          <w:r>
            <w:fldChar w:fldCharType="begin"/>
          </w:r>
          <w:r>
            <w:instrText xml:space="preserve"> HYPERLINK \l "_Toc21831" </w:instrText>
          </w:r>
          <w:r>
            <w:fldChar w:fldCharType="separate"/>
          </w:r>
          <w:r>
            <w:rPr>
              <w:rFonts w:hint="eastAsia" w:ascii="宋体" w:hAnsi="宋体" w:eastAsia="宋体" w:cs="宋体"/>
            </w:rPr>
            <w:t>资产评估执业准则——资产评估方法</w:t>
          </w:r>
          <w:r>
            <w:tab/>
          </w:r>
          <w:r>
            <w:fldChar w:fldCharType="begin"/>
          </w:r>
          <w:r>
            <w:instrText xml:space="preserve"> PAGEREF _Toc21831 \h </w:instrText>
          </w:r>
          <w:r>
            <w:fldChar w:fldCharType="separate"/>
          </w:r>
          <w:r>
            <w:t>304</w:t>
          </w:r>
          <w:r>
            <w:fldChar w:fldCharType="end"/>
          </w:r>
          <w:r>
            <w:fldChar w:fldCharType="end"/>
          </w:r>
        </w:p>
        <w:p w14:paraId="3A5D375B">
          <w:pPr>
            <w:pStyle w:val="13"/>
            <w:tabs>
              <w:tab w:val="right" w:leader="dot" w:pos="8844"/>
            </w:tabs>
          </w:pPr>
          <w:r>
            <w:fldChar w:fldCharType="begin"/>
          </w:r>
          <w:r>
            <w:instrText xml:space="preserve"> HYPERLINK \l "_Toc28293" </w:instrText>
          </w:r>
          <w:r>
            <w:fldChar w:fldCharType="separate"/>
          </w:r>
          <w:r>
            <w:rPr>
              <w:rFonts w:hint="eastAsia" w:ascii="宋体" w:hAnsi="宋体" w:eastAsia="宋体" w:cs="宋体"/>
            </w:rPr>
            <w:t>资产评估执业准则——利用专家及相关报告</w:t>
          </w:r>
          <w:r>
            <w:tab/>
          </w:r>
          <w:r>
            <w:fldChar w:fldCharType="begin"/>
          </w:r>
          <w:r>
            <w:instrText xml:space="preserve"> PAGEREF _Toc28293 \h </w:instrText>
          </w:r>
          <w:r>
            <w:fldChar w:fldCharType="separate"/>
          </w:r>
          <w:r>
            <w:t>309</w:t>
          </w:r>
          <w:r>
            <w:fldChar w:fldCharType="end"/>
          </w:r>
          <w:r>
            <w:fldChar w:fldCharType="end"/>
          </w:r>
        </w:p>
        <w:p w14:paraId="63719433">
          <w:pPr>
            <w:pStyle w:val="13"/>
            <w:tabs>
              <w:tab w:val="right" w:leader="dot" w:pos="8844"/>
            </w:tabs>
          </w:pPr>
          <w:r>
            <w:fldChar w:fldCharType="begin"/>
          </w:r>
          <w:r>
            <w:instrText xml:space="preserve"> HYPERLINK \l "_Toc32670" </w:instrText>
          </w:r>
          <w:r>
            <w:fldChar w:fldCharType="separate"/>
          </w:r>
          <w:r>
            <w:rPr>
              <w:rFonts w:hint="eastAsia" w:ascii="宋体" w:hAnsi="宋体" w:eastAsia="宋体" w:cs="宋体"/>
            </w:rPr>
            <w:t>资产评估执业准则——企业价值</w:t>
          </w:r>
          <w:r>
            <w:tab/>
          </w:r>
          <w:r>
            <w:fldChar w:fldCharType="begin"/>
          </w:r>
          <w:r>
            <w:instrText xml:space="preserve"> PAGEREF _Toc32670 \h </w:instrText>
          </w:r>
          <w:r>
            <w:fldChar w:fldCharType="separate"/>
          </w:r>
          <w:r>
            <w:t>314</w:t>
          </w:r>
          <w:r>
            <w:fldChar w:fldCharType="end"/>
          </w:r>
          <w:r>
            <w:fldChar w:fldCharType="end"/>
          </w:r>
        </w:p>
        <w:p w14:paraId="2833495C">
          <w:pPr>
            <w:pStyle w:val="13"/>
            <w:tabs>
              <w:tab w:val="right" w:leader="dot" w:pos="8844"/>
            </w:tabs>
          </w:pPr>
          <w:r>
            <w:fldChar w:fldCharType="begin"/>
          </w:r>
          <w:r>
            <w:instrText xml:space="preserve"> HYPERLINK \l "_Toc838" </w:instrText>
          </w:r>
          <w:r>
            <w:fldChar w:fldCharType="separate"/>
          </w:r>
          <w:r>
            <w:rPr>
              <w:rFonts w:hint="eastAsia" w:ascii="宋体" w:hAnsi="宋体" w:eastAsia="宋体" w:cs="宋体"/>
            </w:rPr>
            <w:t>资产评估执业准则——不动产</w:t>
          </w:r>
          <w:r>
            <w:tab/>
          </w:r>
          <w:r>
            <w:fldChar w:fldCharType="begin"/>
          </w:r>
          <w:r>
            <w:instrText xml:space="preserve"> PAGEREF _Toc838 \h </w:instrText>
          </w:r>
          <w:r>
            <w:fldChar w:fldCharType="separate"/>
          </w:r>
          <w:r>
            <w:t>322</w:t>
          </w:r>
          <w:r>
            <w:fldChar w:fldCharType="end"/>
          </w:r>
          <w:r>
            <w:fldChar w:fldCharType="end"/>
          </w:r>
        </w:p>
        <w:p w14:paraId="29758A71">
          <w:pPr>
            <w:pStyle w:val="13"/>
            <w:tabs>
              <w:tab w:val="right" w:leader="dot" w:pos="8844"/>
            </w:tabs>
          </w:pPr>
          <w:r>
            <w:fldChar w:fldCharType="begin"/>
          </w:r>
          <w:r>
            <w:instrText xml:space="preserve"> HYPERLINK \l "_Toc11048" </w:instrText>
          </w:r>
          <w:r>
            <w:fldChar w:fldCharType="separate"/>
          </w:r>
          <w:r>
            <w:rPr>
              <w:rFonts w:hint="eastAsia" w:ascii="宋体" w:hAnsi="宋体" w:eastAsia="宋体" w:cs="宋体"/>
            </w:rPr>
            <w:t>资产评估执业准则——机器设备</w:t>
          </w:r>
          <w:r>
            <w:tab/>
          </w:r>
          <w:r>
            <w:fldChar w:fldCharType="begin"/>
          </w:r>
          <w:r>
            <w:instrText xml:space="preserve"> PAGEREF _Toc11048 \h </w:instrText>
          </w:r>
          <w:r>
            <w:fldChar w:fldCharType="separate"/>
          </w:r>
          <w:r>
            <w:t>327</w:t>
          </w:r>
          <w:r>
            <w:fldChar w:fldCharType="end"/>
          </w:r>
          <w:r>
            <w:fldChar w:fldCharType="end"/>
          </w:r>
        </w:p>
        <w:p w14:paraId="355DA507">
          <w:pPr>
            <w:pStyle w:val="13"/>
            <w:tabs>
              <w:tab w:val="right" w:leader="dot" w:pos="8844"/>
            </w:tabs>
          </w:pPr>
          <w:r>
            <w:fldChar w:fldCharType="begin"/>
          </w:r>
          <w:r>
            <w:instrText xml:space="preserve"> HYPERLINK \l "_Toc21475" </w:instrText>
          </w:r>
          <w:r>
            <w:fldChar w:fldCharType="separate"/>
          </w:r>
          <w:r>
            <w:rPr>
              <w:rFonts w:hint="eastAsia" w:ascii="宋体" w:hAnsi="宋体" w:eastAsia="宋体" w:cs="宋体"/>
            </w:rPr>
            <w:t>资产评估执业准则——无形资产</w:t>
          </w:r>
          <w:r>
            <w:tab/>
          </w:r>
          <w:r>
            <w:fldChar w:fldCharType="begin"/>
          </w:r>
          <w:r>
            <w:instrText xml:space="preserve"> PAGEREF _Toc21475 \h </w:instrText>
          </w:r>
          <w:r>
            <w:fldChar w:fldCharType="separate"/>
          </w:r>
          <w:r>
            <w:t>331</w:t>
          </w:r>
          <w:r>
            <w:fldChar w:fldCharType="end"/>
          </w:r>
          <w:r>
            <w:fldChar w:fldCharType="end"/>
          </w:r>
        </w:p>
        <w:p w14:paraId="34467217">
          <w:pPr>
            <w:pStyle w:val="13"/>
            <w:tabs>
              <w:tab w:val="right" w:leader="dot" w:pos="8844"/>
            </w:tabs>
          </w:pPr>
          <w:r>
            <w:fldChar w:fldCharType="begin"/>
          </w:r>
          <w:r>
            <w:instrText xml:space="preserve"> HYPERLINK \l "_Toc3511" </w:instrText>
          </w:r>
          <w:r>
            <w:fldChar w:fldCharType="separate"/>
          </w:r>
          <w:r>
            <w:rPr>
              <w:rFonts w:hint="eastAsia" w:ascii="宋体" w:hAnsi="宋体" w:eastAsia="宋体" w:cs="宋体"/>
            </w:rPr>
            <w:t>资产评估执业准则——森林资源资产</w:t>
          </w:r>
          <w:r>
            <w:tab/>
          </w:r>
          <w:r>
            <w:fldChar w:fldCharType="begin"/>
          </w:r>
          <w:r>
            <w:instrText xml:space="preserve"> PAGEREF _Toc3511 \h </w:instrText>
          </w:r>
          <w:r>
            <w:fldChar w:fldCharType="separate"/>
          </w:r>
          <w:r>
            <w:t>335</w:t>
          </w:r>
          <w:r>
            <w:fldChar w:fldCharType="end"/>
          </w:r>
          <w:r>
            <w:fldChar w:fldCharType="end"/>
          </w:r>
        </w:p>
        <w:p w14:paraId="31E88D5B">
          <w:pPr>
            <w:pStyle w:val="13"/>
            <w:tabs>
              <w:tab w:val="right" w:leader="dot" w:pos="8844"/>
            </w:tabs>
          </w:pPr>
          <w:r>
            <w:fldChar w:fldCharType="begin"/>
          </w:r>
          <w:r>
            <w:instrText xml:space="preserve"> HYPERLINK \l "_Toc17564" </w:instrText>
          </w:r>
          <w:r>
            <w:fldChar w:fldCharType="separate"/>
          </w:r>
          <w:r>
            <w:rPr>
              <w:rFonts w:hint="eastAsia" w:ascii="宋体" w:hAnsi="宋体" w:eastAsia="宋体" w:cs="宋体"/>
            </w:rPr>
            <w:t>资产评估执业准则——珠宝首饰</w:t>
          </w:r>
          <w:r>
            <w:tab/>
          </w:r>
          <w:r>
            <w:fldChar w:fldCharType="begin"/>
          </w:r>
          <w:r>
            <w:instrText xml:space="preserve"> PAGEREF _Toc17564 \h </w:instrText>
          </w:r>
          <w:r>
            <w:fldChar w:fldCharType="separate"/>
          </w:r>
          <w:r>
            <w:t>339</w:t>
          </w:r>
          <w:r>
            <w:fldChar w:fldCharType="end"/>
          </w:r>
          <w:r>
            <w:fldChar w:fldCharType="end"/>
          </w:r>
        </w:p>
        <w:p w14:paraId="355F2D1C">
          <w:pPr>
            <w:pStyle w:val="13"/>
            <w:tabs>
              <w:tab w:val="right" w:leader="dot" w:pos="8844"/>
            </w:tabs>
          </w:pPr>
          <w:r>
            <w:fldChar w:fldCharType="begin"/>
          </w:r>
          <w:r>
            <w:instrText xml:space="preserve"> HYPERLINK \l "_Toc12671" </w:instrText>
          </w:r>
          <w:r>
            <w:fldChar w:fldCharType="separate"/>
          </w:r>
          <w:r>
            <w:rPr>
              <w:rFonts w:hint="eastAsia" w:ascii="宋体" w:hAnsi="宋体" w:eastAsia="宋体" w:cs="宋体"/>
            </w:rPr>
            <w:t>企业国有资产评估报告指南</w:t>
          </w:r>
          <w:r>
            <w:tab/>
          </w:r>
          <w:r>
            <w:fldChar w:fldCharType="begin"/>
          </w:r>
          <w:r>
            <w:instrText xml:space="preserve"> PAGEREF _Toc12671 \h </w:instrText>
          </w:r>
          <w:r>
            <w:fldChar w:fldCharType="separate"/>
          </w:r>
          <w:r>
            <w:t>343</w:t>
          </w:r>
          <w:r>
            <w:fldChar w:fldCharType="end"/>
          </w:r>
          <w:r>
            <w:fldChar w:fldCharType="end"/>
          </w:r>
        </w:p>
        <w:p w14:paraId="21A14979">
          <w:pPr>
            <w:pStyle w:val="13"/>
            <w:tabs>
              <w:tab w:val="right" w:leader="dot" w:pos="8844"/>
            </w:tabs>
          </w:pPr>
          <w:r>
            <w:fldChar w:fldCharType="begin"/>
          </w:r>
          <w:r>
            <w:instrText xml:space="preserve"> HYPERLINK \l "_Toc14868" </w:instrText>
          </w:r>
          <w:r>
            <w:fldChar w:fldCharType="separate"/>
          </w:r>
          <w:r>
            <w:rPr>
              <w:rFonts w:hint="eastAsia" w:ascii="宋体" w:hAnsi="宋体" w:eastAsia="宋体" w:cs="宋体"/>
            </w:rPr>
            <w:t>金融企业国有资产评估报告指南</w:t>
          </w:r>
          <w:r>
            <w:tab/>
          </w:r>
          <w:r>
            <w:fldChar w:fldCharType="begin"/>
          </w:r>
          <w:r>
            <w:instrText xml:space="preserve"> PAGEREF _Toc14868 \h </w:instrText>
          </w:r>
          <w:r>
            <w:fldChar w:fldCharType="separate"/>
          </w:r>
          <w:r>
            <w:t>378</w:t>
          </w:r>
          <w:r>
            <w:fldChar w:fldCharType="end"/>
          </w:r>
          <w:r>
            <w:fldChar w:fldCharType="end"/>
          </w:r>
        </w:p>
        <w:p w14:paraId="631C4C40">
          <w:pPr>
            <w:pStyle w:val="13"/>
            <w:tabs>
              <w:tab w:val="right" w:leader="dot" w:pos="8844"/>
            </w:tabs>
          </w:pPr>
          <w:r>
            <w:fldChar w:fldCharType="begin"/>
          </w:r>
          <w:r>
            <w:instrText xml:space="preserve"> HYPERLINK \l "_Toc26310" </w:instrText>
          </w:r>
          <w:r>
            <w:fldChar w:fldCharType="separate"/>
          </w:r>
          <w:r>
            <w:rPr>
              <w:rFonts w:hint="eastAsia" w:ascii="宋体" w:hAnsi="宋体" w:eastAsia="宋体" w:cs="宋体"/>
            </w:rPr>
            <w:t>知识产权资产评估指南</w:t>
          </w:r>
          <w:r>
            <w:tab/>
          </w:r>
          <w:r>
            <w:fldChar w:fldCharType="begin"/>
          </w:r>
          <w:r>
            <w:instrText xml:space="preserve"> PAGEREF _Toc26310 \h </w:instrText>
          </w:r>
          <w:r>
            <w:fldChar w:fldCharType="separate"/>
          </w:r>
          <w:r>
            <w:t>415</w:t>
          </w:r>
          <w:r>
            <w:fldChar w:fldCharType="end"/>
          </w:r>
          <w:r>
            <w:fldChar w:fldCharType="end"/>
          </w:r>
        </w:p>
        <w:p w14:paraId="5E6328F4">
          <w:pPr>
            <w:pStyle w:val="13"/>
            <w:tabs>
              <w:tab w:val="right" w:leader="dot" w:pos="8844"/>
            </w:tabs>
          </w:pPr>
          <w:r>
            <w:fldChar w:fldCharType="begin"/>
          </w:r>
          <w:r>
            <w:instrText xml:space="preserve"> HYPERLINK \l "_Toc12490" </w:instrText>
          </w:r>
          <w:r>
            <w:fldChar w:fldCharType="separate"/>
          </w:r>
          <w:r>
            <w:rPr>
              <w:rFonts w:hint="eastAsia" w:ascii="宋体" w:hAnsi="宋体" w:eastAsia="宋体" w:cs="宋体"/>
            </w:rPr>
            <w:t>以财务报告为目的的评估指南</w:t>
          </w:r>
          <w:r>
            <w:tab/>
          </w:r>
          <w:r>
            <w:fldChar w:fldCharType="begin"/>
          </w:r>
          <w:r>
            <w:instrText xml:space="preserve"> PAGEREF _Toc12490 \h </w:instrText>
          </w:r>
          <w:r>
            <w:fldChar w:fldCharType="separate"/>
          </w:r>
          <w:r>
            <w:t>425</w:t>
          </w:r>
          <w:r>
            <w:fldChar w:fldCharType="end"/>
          </w:r>
          <w:r>
            <w:fldChar w:fldCharType="end"/>
          </w:r>
        </w:p>
        <w:p w14:paraId="66B3CF90">
          <w:pPr>
            <w:pStyle w:val="13"/>
            <w:tabs>
              <w:tab w:val="right" w:leader="dot" w:pos="8844"/>
            </w:tabs>
          </w:pPr>
          <w:r>
            <w:fldChar w:fldCharType="begin"/>
          </w:r>
          <w:r>
            <w:instrText xml:space="preserve"> HYPERLINK \l "_Toc14370" </w:instrText>
          </w:r>
          <w:r>
            <w:fldChar w:fldCharType="separate"/>
          </w:r>
          <w:r>
            <w:rPr>
              <w:rFonts w:hint="eastAsia" w:ascii="宋体" w:hAnsi="宋体" w:eastAsia="宋体" w:cs="宋体"/>
            </w:rPr>
            <w:t>资产评估机构业务质量控制指南</w:t>
          </w:r>
          <w:r>
            <w:tab/>
          </w:r>
          <w:r>
            <w:fldChar w:fldCharType="begin"/>
          </w:r>
          <w:r>
            <w:instrText xml:space="preserve"> PAGEREF _Toc14370 \h </w:instrText>
          </w:r>
          <w:r>
            <w:fldChar w:fldCharType="separate"/>
          </w:r>
          <w:r>
            <w:t>431</w:t>
          </w:r>
          <w:r>
            <w:fldChar w:fldCharType="end"/>
          </w:r>
          <w:r>
            <w:fldChar w:fldCharType="end"/>
          </w:r>
        </w:p>
        <w:p w14:paraId="65BA4009">
          <w:pPr>
            <w:pStyle w:val="13"/>
            <w:tabs>
              <w:tab w:val="right" w:leader="dot" w:pos="8844"/>
            </w:tabs>
          </w:pPr>
          <w:r>
            <w:fldChar w:fldCharType="begin"/>
          </w:r>
          <w:r>
            <w:instrText xml:space="preserve"> HYPERLINK \l "_Toc12513" </w:instrText>
          </w:r>
          <w:r>
            <w:fldChar w:fldCharType="separate"/>
          </w:r>
          <w:r>
            <w:rPr>
              <w:rFonts w:hint="eastAsia" w:ascii="宋体" w:hAnsi="宋体" w:eastAsia="宋体" w:cs="宋体"/>
            </w:rPr>
            <w:t>文化企业无形资产评估指导意见</w:t>
          </w:r>
          <w:r>
            <w:tab/>
          </w:r>
          <w:r>
            <w:fldChar w:fldCharType="begin"/>
          </w:r>
          <w:r>
            <w:instrText xml:space="preserve"> PAGEREF _Toc12513 \h </w:instrText>
          </w:r>
          <w:r>
            <w:fldChar w:fldCharType="separate"/>
          </w:r>
          <w:r>
            <w:t>440</w:t>
          </w:r>
          <w:r>
            <w:fldChar w:fldCharType="end"/>
          </w:r>
          <w:r>
            <w:fldChar w:fldCharType="end"/>
          </w:r>
        </w:p>
        <w:p w14:paraId="3FA82583">
          <w:pPr>
            <w:pStyle w:val="13"/>
            <w:tabs>
              <w:tab w:val="right" w:leader="dot" w:pos="8844"/>
            </w:tabs>
          </w:pPr>
          <w:r>
            <w:fldChar w:fldCharType="begin"/>
          </w:r>
          <w:r>
            <w:instrText xml:space="preserve"> HYPERLINK \l "_Toc7551" </w:instrText>
          </w:r>
          <w:r>
            <w:fldChar w:fldCharType="separate"/>
          </w:r>
          <w:r>
            <w:rPr>
              <w:rFonts w:hint="eastAsia" w:ascii="宋体" w:hAnsi="宋体" w:eastAsia="宋体" w:cs="宋体"/>
            </w:rPr>
            <w:t>资产评估价值类型指导意见</w:t>
          </w:r>
          <w:r>
            <w:tab/>
          </w:r>
          <w:r>
            <w:fldChar w:fldCharType="begin"/>
          </w:r>
          <w:r>
            <w:instrText xml:space="preserve"> PAGEREF _Toc7551 \h </w:instrText>
          </w:r>
          <w:r>
            <w:fldChar w:fldCharType="separate"/>
          </w:r>
          <w:r>
            <w:t>453</w:t>
          </w:r>
          <w:r>
            <w:fldChar w:fldCharType="end"/>
          </w:r>
          <w:r>
            <w:fldChar w:fldCharType="end"/>
          </w:r>
        </w:p>
        <w:p w14:paraId="4E6F2B01">
          <w:pPr>
            <w:pStyle w:val="13"/>
            <w:tabs>
              <w:tab w:val="right" w:leader="dot" w:pos="8844"/>
            </w:tabs>
          </w:pPr>
          <w:r>
            <w:fldChar w:fldCharType="begin"/>
          </w:r>
          <w:r>
            <w:instrText xml:space="preserve"> HYPERLINK \l "_Toc2436" </w:instrText>
          </w:r>
          <w:r>
            <w:fldChar w:fldCharType="separate"/>
          </w:r>
          <w:r>
            <w:rPr>
              <w:rFonts w:hint="eastAsia" w:ascii="宋体" w:hAnsi="宋体" w:eastAsia="宋体" w:cs="宋体"/>
            </w:rPr>
            <w:t>资产评估对象法律权属指导意见</w:t>
          </w:r>
          <w:r>
            <w:tab/>
          </w:r>
          <w:r>
            <w:fldChar w:fldCharType="begin"/>
          </w:r>
          <w:r>
            <w:instrText xml:space="preserve"> PAGEREF _Toc2436 \h </w:instrText>
          </w:r>
          <w:r>
            <w:fldChar w:fldCharType="separate"/>
          </w:r>
          <w:r>
            <w:t>456</w:t>
          </w:r>
          <w:r>
            <w:fldChar w:fldCharType="end"/>
          </w:r>
          <w:r>
            <w:fldChar w:fldCharType="end"/>
          </w:r>
        </w:p>
        <w:p w14:paraId="2BD98713">
          <w:pPr>
            <w:pStyle w:val="13"/>
            <w:tabs>
              <w:tab w:val="right" w:leader="dot" w:pos="8844"/>
            </w:tabs>
          </w:pPr>
          <w:r>
            <w:fldChar w:fldCharType="begin"/>
          </w:r>
          <w:r>
            <w:instrText xml:space="preserve"> HYPERLINK \l "_Toc19591" </w:instrText>
          </w:r>
          <w:r>
            <w:fldChar w:fldCharType="separate"/>
          </w:r>
          <w:r>
            <w:rPr>
              <w:rFonts w:hint="eastAsia" w:ascii="宋体" w:hAnsi="宋体" w:eastAsia="宋体" w:cs="宋体"/>
            </w:rPr>
            <w:t>专利资产评估指导意见</w:t>
          </w:r>
          <w:r>
            <w:tab/>
          </w:r>
          <w:r>
            <w:fldChar w:fldCharType="begin"/>
          </w:r>
          <w:r>
            <w:instrText xml:space="preserve"> PAGEREF _Toc19591 \h </w:instrText>
          </w:r>
          <w:r>
            <w:fldChar w:fldCharType="separate"/>
          </w:r>
          <w:r>
            <w:t>458</w:t>
          </w:r>
          <w:r>
            <w:fldChar w:fldCharType="end"/>
          </w:r>
          <w:r>
            <w:fldChar w:fldCharType="end"/>
          </w:r>
        </w:p>
        <w:p w14:paraId="62136124">
          <w:pPr>
            <w:pStyle w:val="13"/>
            <w:tabs>
              <w:tab w:val="right" w:leader="dot" w:pos="8844"/>
            </w:tabs>
          </w:pPr>
          <w:r>
            <w:fldChar w:fldCharType="begin"/>
          </w:r>
          <w:r>
            <w:instrText xml:space="preserve"> HYPERLINK \l "_Toc22584" </w:instrText>
          </w:r>
          <w:r>
            <w:fldChar w:fldCharType="separate"/>
          </w:r>
          <w:r>
            <w:rPr>
              <w:rFonts w:hint="eastAsia" w:ascii="宋体" w:hAnsi="宋体" w:eastAsia="宋体" w:cs="宋体"/>
            </w:rPr>
            <w:t>著作权资产评估指导意见</w:t>
          </w:r>
          <w:r>
            <w:tab/>
          </w:r>
          <w:r>
            <w:fldChar w:fldCharType="begin"/>
          </w:r>
          <w:r>
            <w:instrText xml:space="preserve"> PAGEREF _Toc22584 \h </w:instrText>
          </w:r>
          <w:r>
            <w:fldChar w:fldCharType="separate"/>
          </w:r>
          <w:r>
            <w:t>464</w:t>
          </w:r>
          <w:r>
            <w:fldChar w:fldCharType="end"/>
          </w:r>
          <w:r>
            <w:fldChar w:fldCharType="end"/>
          </w:r>
        </w:p>
        <w:p w14:paraId="440D672B">
          <w:pPr>
            <w:pStyle w:val="13"/>
            <w:tabs>
              <w:tab w:val="right" w:leader="dot" w:pos="8844"/>
            </w:tabs>
          </w:pPr>
          <w:r>
            <w:fldChar w:fldCharType="begin"/>
          </w:r>
          <w:r>
            <w:instrText xml:space="preserve"> HYPERLINK \l "_Toc14630" </w:instrText>
          </w:r>
          <w:r>
            <w:fldChar w:fldCharType="separate"/>
          </w:r>
          <w:r>
            <w:rPr>
              <w:rFonts w:hint="eastAsia" w:ascii="宋体" w:hAnsi="宋体" w:eastAsia="宋体" w:cs="宋体"/>
            </w:rPr>
            <w:t>商标资产评估指导意见</w:t>
          </w:r>
          <w:r>
            <w:tab/>
          </w:r>
          <w:r>
            <w:fldChar w:fldCharType="begin"/>
          </w:r>
          <w:r>
            <w:instrText xml:space="preserve"> PAGEREF _Toc14630 \h </w:instrText>
          </w:r>
          <w:r>
            <w:fldChar w:fldCharType="separate"/>
          </w:r>
          <w:r>
            <w:t>470</w:t>
          </w:r>
          <w:r>
            <w:fldChar w:fldCharType="end"/>
          </w:r>
          <w:r>
            <w:fldChar w:fldCharType="end"/>
          </w:r>
        </w:p>
        <w:p w14:paraId="4C006257">
          <w:pPr>
            <w:pStyle w:val="13"/>
            <w:tabs>
              <w:tab w:val="right" w:leader="dot" w:pos="8844"/>
            </w:tabs>
          </w:pPr>
          <w:r>
            <w:fldChar w:fldCharType="begin"/>
          </w:r>
          <w:r>
            <w:instrText xml:space="preserve"> HYPERLINK \l "_Toc17356" </w:instrText>
          </w:r>
          <w:r>
            <w:fldChar w:fldCharType="separate"/>
          </w:r>
          <w:r>
            <w:rPr>
              <w:rFonts w:hint="eastAsia" w:ascii="宋体" w:hAnsi="宋体" w:eastAsia="宋体" w:cs="宋体"/>
            </w:rPr>
            <w:t>金融不良资产评估指导意见</w:t>
          </w:r>
          <w:r>
            <w:tab/>
          </w:r>
          <w:r>
            <w:fldChar w:fldCharType="begin"/>
          </w:r>
          <w:r>
            <w:instrText xml:space="preserve"> PAGEREF _Toc17356 \h </w:instrText>
          </w:r>
          <w:r>
            <w:fldChar w:fldCharType="separate"/>
          </w:r>
          <w:r>
            <w:t>475</w:t>
          </w:r>
          <w:r>
            <w:fldChar w:fldCharType="end"/>
          </w:r>
          <w:r>
            <w:fldChar w:fldCharType="end"/>
          </w:r>
        </w:p>
        <w:p w14:paraId="233ACC68">
          <w:pPr>
            <w:pStyle w:val="13"/>
            <w:tabs>
              <w:tab w:val="right" w:leader="dot" w:pos="8844"/>
            </w:tabs>
          </w:pPr>
          <w:r>
            <w:fldChar w:fldCharType="begin"/>
          </w:r>
          <w:r>
            <w:instrText xml:space="preserve"> HYPERLINK \l "_Toc12087" </w:instrText>
          </w:r>
          <w:r>
            <w:fldChar w:fldCharType="separate"/>
          </w:r>
          <w:r>
            <w:rPr>
              <w:rFonts w:hint="eastAsia" w:ascii="宋体" w:hAnsi="宋体" w:eastAsia="宋体" w:cs="宋体"/>
            </w:rPr>
            <w:t>投资性房地产评估指导意见</w:t>
          </w:r>
          <w:r>
            <w:tab/>
          </w:r>
          <w:r>
            <w:fldChar w:fldCharType="begin"/>
          </w:r>
          <w:r>
            <w:instrText xml:space="preserve"> PAGEREF _Toc12087 \h </w:instrText>
          </w:r>
          <w:r>
            <w:fldChar w:fldCharType="separate"/>
          </w:r>
          <w:r>
            <w:t>479</w:t>
          </w:r>
          <w:r>
            <w:fldChar w:fldCharType="end"/>
          </w:r>
          <w:r>
            <w:fldChar w:fldCharType="end"/>
          </w:r>
        </w:p>
        <w:p w14:paraId="44635F2F">
          <w:pPr>
            <w:pStyle w:val="13"/>
            <w:tabs>
              <w:tab w:val="right" w:leader="dot" w:pos="8844"/>
            </w:tabs>
          </w:pPr>
          <w:r>
            <w:fldChar w:fldCharType="begin"/>
          </w:r>
          <w:r>
            <w:instrText xml:space="preserve"> HYPERLINK \l "_Toc20433" </w:instrText>
          </w:r>
          <w:r>
            <w:fldChar w:fldCharType="separate"/>
          </w:r>
          <w:r>
            <w:rPr>
              <w:rFonts w:hint="eastAsia" w:ascii="宋体" w:hAnsi="宋体" w:eastAsia="宋体" w:cs="宋体"/>
            </w:rPr>
            <w:t>实物期权评估指导意见</w:t>
          </w:r>
          <w:r>
            <w:tab/>
          </w:r>
          <w:r>
            <w:fldChar w:fldCharType="begin"/>
          </w:r>
          <w:r>
            <w:instrText xml:space="preserve"> PAGEREF _Toc20433 \h </w:instrText>
          </w:r>
          <w:r>
            <w:fldChar w:fldCharType="separate"/>
          </w:r>
          <w:r>
            <w:t>483</w:t>
          </w:r>
          <w:r>
            <w:fldChar w:fldCharType="end"/>
          </w:r>
          <w:r>
            <w:fldChar w:fldCharType="end"/>
          </w:r>
        </w:p>
        <w:p w14:paraId="7E99A331">
          <w:pPr>
            <w:pStyle w:val="13"/>
            <w:tabs>
              <w:tab w:val="right" w:leader="dot" w:pos="8844"/>
            </w:tabs>
          </w:pPr>
          <w:r>
            <w:fldChar w:fldCharType="begin"/>
          </w:r>
          <w:r>
            <w:instrText xml:space="preserve"> HYPERLINK \l "_Toc30372" </w:instrText>
          </w:r>
          <w:r>
            <w:fldChar w:fldCharType="separate"/>
          </w:r>
          <w:r>
            <w:rPr>
              <w:rFonts w:hint="eastAsia" w:ascii="宋体" w:hAnsi="宋体" w:eastAsia="宋体" w:cs="宋体"/>
            </w:rPr>
            <w:t>珠宝首饰评估程序指导意见</w:t>
          </w:r>
          <w:r>
            <w:tab/>
          </w:r>
          <w:r>
            <w:fldChar w:fldCharType="begin"/>
          </w:r>
          <w:r>
            <w:instrText xml:space="preserve"> PAGEREF _Toc30372 \h </w:instrText>
          </w:r>
          <w:r>
            <w:fldChar w:fldCharType="separate"/>
          </w:r>
          <w:r>
            <w:t>493</w:t>
          </w:r>
          <w:r>
            <w:fldChar w:fldCharType="end"/>
          </w:r>
          <w:r>
            <w:fldChar w:fldCharType="end"/>
          </w:r>
        </w:p>
        <w:p w14:paraId="6B350D5E">
          <w:pPr>
            <w:pStyle w:val="13"/>
            <w:tabs>
              <w:tab w:val="right" w:leader="dot" w:pos="8844"/>
            </w:tabs>
          </w:pPr>
          <w:r>
            <w:fldChar w:fldCharType="begin"/>
          </w:r>
          <w:r>
            <w:instrText xml:space="preserve"> HYPERLINK \l "_Toc5304" </w:instrText>
          </w:r>
          <w:r>
            <w:fldChar w:fldCharType="separate"/>
          </w:r>
          <w:r>
            <w:rPr>
              <w:rFonts w:hint="eastAsia" w:ascii="宋体" w:hAnsi="宋体" w:eastAsia="宋体" w:cs="宋体"/>
            </w:rPr>
            <w:t>人民法院委托司法执行财产处置资产评估指导意见</w:t>
          </w:r>
          <w:r>
            <w:tab/>
          </w:r>
          <w:r>
            <w:fldChar w:fldCharType="begin"/>
          </w:r>
          <w:r>
            <w:instrText xml:space="preserve"> PAGEREF _Toc5304 \h </w:instrText>
          </w:r>
          <w:r>
            <w:fldChar w:fldCharType="separate"/>
          </w:r>
          <w:r>
            <w:t>499</w:t>
          </w:r>
          <w:r>
            <w:fldChar w:fldCharType="end"/>
          </w:r>
          <w:r>
            <w:fldChar w:fldCharType="end"/>
          </w:r>
        </w:p>
        <w:p w14:paraId="21C0F917">
          <w:pPr>
            <w:pStyle w:val="13"/>
            <w:tabs>
              <w:tab w:val="right" w:leader="dot" w:pos="8844"/>
            </w:tabs>
          </w:pPr>
          <w:r>
            <w:fldChar w:fldCharType="begin"/>
          </w:r>
          <w:r>
            <w:instrText xml:space="preserve"> HYPERLINK \l "_Toc15743" </w:instrText>
          </w:r>
          <w:r>
            <w:fldChar w:fldCharType="separate"/>
          </w:r>
          <w:r>
            <w:rPr>
              <w:rFonts w:hint="eastAsia" w:ascii="宋体" w:hAnsi="宋体" w:eastAsia="宋体" w:cs="宋体"/>
            </w:rPr>
            <w:t>企业并购投资价值评估指导意见</w:t>
          </w:r>
          <w:r>
            <w:tab/>
          </w:r>
          <w:r>
            <w:fldChar w:fldCharType="begin"/>
          </w:r>
          <w:r>
            <w:instrText xml:space="preserve"> PAGEREF _Toc15743 \h </w:instrText>
          </w:r>
          <w:r>
            <w:fldChar w:fldCharType="separate"/>
          </w:r>
          <w:r>
            <w:t>505</w:t>
          </w:r>
          <w:r>
            <w:fldChar w:fldCharType="end"/>
          </w:r>
          <w:r>
            <w:fldChar w:fldCharType="end"/>
          </w:r>
        </w:p>
        <w:p w14:paraId="3737DAE7">
          <w:pPr>
            <w:pStyle w:val="13"/>
            <w:tabs>
              <w:tab w:val="right" w:leader="dot" w:pos="8844"/>
            </w:tabs>
          </w:pPr>
          <w:r>
            <w:fldChar w:fldCharType="begin"/>
          </w:r>
          <w:r>
            <w:instrText xml:space="preserve"> HYPERLINK \l "_Toc18960" </w:instrText>
          </w:r>
          <w:r>
            <w:fldChar w:fldCharType="separate"/>
          </w:r>
          <w:r>
            <w:rPr>
              <w:rFonts w:hint="eastAsia" w:ascii="宋体" w:hAnsi="宋体" w:eastAsia="宋体" w:cs="宋体"/>
            </w:rPr>
            <w:t>资产评估专家指引第1号——金融企业评估中应关注的金融监管指标</w:t>
          </w:r>
          <w:r>
            <w:tab/>
          </w:r>
          <w:r>
            <w:fldChar w:fldCharType="begin"/>
          </w:r>
          <w:r>
            <w:instrText xml:space="preserve"> PAGEREF _Toc18960 \h </w:instrText>
          </w:r>
          <w:r>
            <w:fldChar w:fldCharType="separate"/>
          </w:r>
          <w:r>
            <w:t>512</w:t>
          </w:r>
          <w:r>
            <w:fldChar w:fldCharType="end"/>
          </w:r>
          <w:r>
            <w:fldChar w:fldCharType="end"/>
          </w:r>
        </w:p>
        <w:p w14:paraId="2662FE6B">
          <w:pPr>
            <w:pStyle w:val="13"/>
            <w:tabs>
              <w:tab w:val="right" w:leader="dot" w:pos="8844"/>
            </w:tabs>
          </w:pPr>
          <w:r>
            <w:fldChar w:fldCharType="begin"/>
          </w:r>
          <w:r>
            <w:instrText xml:space="preserve"> HYPERLINK \l "_Toc8154" </w:instrText>
          </w:r>
          <w:r>
            <w:fldChar w:fldCharType="separate"/>
          </w:r>
          <w:r>
            <w:rPr>
              <w:rFonts w:hint="eastAsia" w:ascii="宋体" w:hAnsi="宋体" w:eastAsia="宋体" w:cs="宋体"/>
            </w:rPr>
            <w:t>资产评估专家指引第2号——金融企业首次公开发行上市资产评估方法选用</w:t>
          </w:r>
          <w:r>
            <w:tab/>
          </w:r>
          <w:r>
            <w:fldChar w:fldCharType="begin"/>
          </w:r>
          <w:r>
            <w:instrText xml:space="preserve"> PAGEREF _Toc8154 \h </w:instrText>
          </w:r>
          <w:r>
            <w:fldChar w:fldCharType="separate"/>
          </w:r>
          <w:r>
            <w:t>540</w:t>
          </w:r>
          <w:r>
            <w:fldChar w:fldCharType="end"/>
          </w:r>
          <w:r>
            <w:fldChar w:fldCharType="end"/>
          </w:r>
        </w:p>
        <w:p w14:paraId="004C882A">
          <w:pPr>
            <w:pStyle w:val="13"/>
            <w:tabs>
              <w:tab w:val="right" w:leader="dot" w:pos="8844"/>
            </w:tabs>
          </w:pPr>
          <w:r>
            <w:fldChar w:fldCharType="begin"/>
          </w:r>
          <w:r>
            <w:instrText xml:space="preserve"> HYPERLINK \l "_Toc15222" </w:instrText>
          </w:r>
          <w:r>
            <w:fldChar w:fldCharType="separate"/>
          </w:r>
          <w:r>
            <w:rPr>
              <w:rFonts w:hint="eastAsia" w:ascii="宋体" w:hAnsi="宋体" w:eastAsia="宋体" w:cs="宋体"/>
            </w:rPr>
            <w:t>资产评估专家指引第3号——金融企业收益法评估模型与参数确定</w:t>
          </w:r>
          <w:r>
            <w:tab/>
          </w:r>
          <w:r>
            <w:fldChar w:fldCharType="begin"/>
          </w:r>
          <w:r>
            <w:instrText xml:space="preserve"> PAGEREF _Toc15222 \h </w:instrText>
          </w:r>
          <w:r>
            <w:fldChar w:fldCharType="separate"/>
          </w:r>
          <w:r>
            <w:t>553</w:t>
          </w:r>
          <w:r>
            <w:fldChar w:fldCharType="end"/>
          </w:r>
          <w:r>
            <w:fldChar w:fldCharType="end"/>
          </w:r>
        </w:p>
        <w:p w14:paraId="60CE1A2D">
          <w:pPr>
            <w:pStyle w:val="13"/>
            <w:tabs>
              <w:tab w:val="right" w:leader="dot" w:pos="8844"/>
            </w:tabs>
          </w:pPr>
          <w:r>
            <w:fldChar w:fldCharType="begin"/>
          </w:r>
          <w:r>
            <w:instrText xml:space="preserve"> HYPERLINK \l "_Toc9065" </w:instrText>
          </w:r>
          <w:r>
            <w:fldChar w:fldCharType="separate"/>
          </w:r>
          <w:r>
            <w:rPr>
              <w:rFonts w:hint="eastAsia" w:ascii="宋体" w:hAnsi="宋体" w:eastAsia="宋体" w:cs="宋体"/>
            </w:rPr>
            <w:t>资产评估专家指引第4号——金融企业市场法评估模型与参数确定</w:t>
          </w:r>
          <w:r>
            <w:tab/>
          </w:r>
          <w:r>
            <w:fldChar w:fldCharType="begin"/>
          </w:r>
          <w:r>
            <w:instrText xml:space="preserve"> PAGEREF _Toc9065 \h </w:instrText>
          </w:r>
          <w:r>
            <w:fldChar w:fldCharType="separate"/>
          </w:r>
          <w:r>
            <w:t>582</w:t>
          </w:r>
          <w:r>
            <w:fldChar w:fldCharType="end"/>
          </w:r>
          <w:r>
            <w:fldChar w:fldCharType="end"/>
          </w:r>
        </w:p>
        <w:p w14:paraId="4B41CC11">
          <w:pPr>
            <w:pStyle w:val="13"/>
            <w:tabs>
              <w:tab w:val="right" w:leader="dot" w:pos="8844"/>
            </w:tabs>
          </w:pPr>
          <w:r>
            <w:fldChar w:fldCharType="begin"/>
          </w:r>
          <w:r>
            <w:instrText xml:space="preserve"> HYPERLINK \l "_Toc17966" </w:instrText>
          </w:r>
          <w:r>
            <w:fldChar w:fldCharType="separate"/>
          </w:r>
          <w:r>
            <w:rPr>
              <w:rFonts w:hint="eastAsia" w:ascii="宋体" w:hAnsi="宋体" w:eastAsia="宋体" w:cs="宋体"/>
            </w:rPr>
            <w:t>资产评估专家指引第5号——寿险公司内部精算报告及价值评估中的利用</w:t>
          </w:r>
          <w:r>
            <w:tab/>
          </w:r>
          <w:r>
            <w:fldChar w:fldCharType="begin"/>
          </w:r>
          <w:r>
            <w:instrText xml:space="preserve"> PAGEREF _Toc17966 \h </w:instrText>
          </w:r>
          <w:r>
            <w:fldChar w:fldCharType="separate"/>
          </w:r>
          <w:r>
            <w:t>586</w:t>
          </w:r>
          <w:r>
            <w:fldChar w:fldCharType="end"/>
          </w:r>
          <w:r>
            <w:fldChar w:fldCharType="end"/>
          </w:r>
        </w:p>
        <w:p w14:paraId="3F699BEF">
          <w:pPr>
            <w:pStyle w:val="13"/>
            <w:tabs>
              <w:tab w:val="right" w:leader="dot" w:pos="8844"/>
            </w:tabs>
          </w:pPr>
          <w:r>
            <w:fldChar w:fldCharType="begin"/>
          </w:r>
          <w:r>
            <w:instrText xml:space="preserve"> HYPERLINK \l "_Toc27957" </w:instrText>
          </w:r>
          <w:r>
            <w:fldChar w:fldCharType="separate"/>
          </w:r>
          <w:r>
            <w:rPr>
              <w:rFonts w:hint="eastAsia" w:ascii="宋体" w:hAnsi="宋体" w:eastAsia="宋体" w:cs="宋体"/>
            </w:rPr>
            <w:t>资产评估专家指引第6号——上市公司重大资产重组评估报告披露</w:t>
          </w:r>
          <w:r>
            <w:tab/>
          </w:r>
          <w:r>
            <w:fldChar w:fldCharType="begin"/>
          </w:r>
          <w:r>
            <w:instrText xml:space="preserve"> PAGEREF _Toc27957 \h </w:instrText>
          </w:r>
          <w:r>
            <w:fldChar w:fldCharType="separate"/>
          </w:r>
          <w:r>
            <w:t>592</w:t>
          </w:r>
          <w:r>
            <w:fldChar w:fldCharType="end"/>
          </w:r>
          <w:r>
            <w:fldChar w:fldCharType="end"/>
          </w:r>
        </w:p>
        <w:p w14:paraId="4EB89683">
          <w:pPr>
            <w:pStyle w:val="13"/>
            <w:tabs>
              <w:tab w:val="right" w:leader="dot" w:pos="8844"/>
            </w:tabs>
          </w:pPr>
          <w:r>
            <w:fldChar w:fldCharType="begin"/>
          </w:r>
          <w:r>
            <w:instrText xml:space="preserve"> HYPERLINK \l "_Toc11405" </w:instrText>
          </w:r>
          <w:r>
            <w:fldChar w:fldCharType="separate"/>
          </w:r>
          <w:r>
            <w:rPr>
              <w:rFonts w:hint="eastAsia" w:ascii="宋体" w:hAnsi="宋体" w:eastAsia="宋体" w:cs="宋体"/>
            </w:rPr>
            <w:t>资产评估专家指引第7号——中小评估机构业务质量控制</w:t>
          </w:r>
          <w:r>
            <w:tab/>
          </w:r>
          <w:r>
            <w:fldChar w:fldCharType="begin"/>
          </w:r>
          <w:r>
            <w:instrText xml:space="preserve"> PAGEREF _Toc11405 \h </w:instrText>
          </w:r>
          <w:r>
            <w:fldChar w:fldCharType="separate"/>
          </w:r>
          <w:r>
            <w:t>596</w:t>
          </w:r>
          <w:r>
            <w:fldChar w:fldCharType="end"/>
          </w:r>
          <w:r>
            <w:fldChar w:fldCharType="end"/>
          </w:r>
        </w:p>
        <w:p w14:paraId="241588C3">
          <w:pPr>
            <w:pStyle w:val="13"/>
            <w:tabs>
              <w:tab w:val="right" w:leader="dot" w:pos="8844"/>
            </w:tabs>
          </w:pPr>
          <w:r>
            <w:fldChar w:fldCharType="begin"/>
          </w:r>
          <w:r>
            <w:instrText xml:space="preserve"> HYPERLINK \l "_Toc27115" </w:instrText>
          </w:r>
          <w:r>
            <w:fldChar w:fldCharType="separate"/>
          </w:r>
          <w:r>
            <w:rPr>
              <w:rFonts w:hint="eastAsia" w:ascii="宋体" w:hAnsi="宋体" w:eastAsia="宋体" w:cs="宋体"/>
            </w:rPr>
            <w:t>资产评估专家指引第8号——资产评估中的核查验证</w:t>
          </w:r>
          <w:r>
            <w:tab/>
          </w:r>
          <w:r>
            <w:fldChar w:fldCharType="begin"/>
          </w:r>
          <w:r>
            <w:instrText xml:space="preserve"> PAGEREF _Toc27115 \h </w:instrText>
          </w:r>
          <w:r>
            <w:fldChar w:fldCharType="separate"/>
          </w:r>
          <w:r>
            <w:t>608</w:t>
          </w:r>
          <w:r>
            <w:fldChar w:fldCharType="end"/>
          </w:r>
          <w:r>
            <w:fldChar w:fldCharType="end"/>
          </w:r>
        </w:p>
        <w:p w14:paraId="399F9693">
          <w:pPr>
            <w:pStyle w:val="13"/>
            <w:tabs>
              <w:tab w:val="right" w:leader="dot" w:pos="8844"/>
            </w:tabs>
          </w:pPr>
          <w:r>
            <w:fldChar w:fldCharType="begin"/>
          </w:r>
          <w:r>
            <w:instrText xml:space="preserve"> HYPERLINK \l "_Toc13716" </w:instrText>
          </w:r>
          <w:r>
            <w:fldChar w:fldCharType="separate"/>
          </w:r>
          <w:r>
            <w:rPr>
              <w:rFonts w:hint="eastAsia" w:ascii="宋体" w:hAnsi="宋体" w:eastAsia="宋体" w:cs="宋体"/>
            </w:rPr>
            <w:t>资产评估专家指引第9号——数据资产评估</w:t>
          </w:r>
          <w:r>
            <w:tab/>
          </w:r>
          <w:r>
            <w:fldChar w:fldCharType="begin"/>
          </w:r>
          <w:r>
            <w:instrText xml:space="preserve"> PAGEREF _Toc13716 \h </w:instrText>
          </w:r>
          <w:r>
            <w:fldChar w:fldCharType="separate"/>
          </w:r>
          <w:r>
            <w:t>615</w:t>
          </w:r>
          <w:r>
            <w:fldChar w:fldCharType="end"/>
          </w:r>
          <w:r>
            <w:fldChar w:fldCharType="end"/>
          </w:r>
        </w:p>
        <w:p w14:paraId="2D0D8E3D">
          <w:pPr>
            <w:pStyle w:val="13"/>
            <w:tabs>
              <w:tab w:val="right" w:leader="dot" w:pos="8844"/>
            </w:tabs>
          </w:pPr>
          <w:r>
            <w:fldChar w:fldCharType="begin"/>
          </w:r>
          <w:r>
            <w:instrText xml:space="preserve"> HYPERLINK \l "_Toc9603" </w:instrText>
          </w:r>
          <w:r>
            <w:fldChar w:fldCharType="separate"/>
          </w:r>
          <w:r>
            <w:rPr>
              <w:rFonts w:hint="eastAsia" w:ascii="宋体" w:hAnsi="宋体" w:eastAsia="宋体" w:cs="宋体"/>
            </w:rPr>
            <w:t>资产评估专家指引第10号——在新冠肺疫情期间合理履行资产评估程序</w:t>
          </w:r>
          <w:r>
            <w:tab/>
          </w:r>
          <w:r>
            <w:fldChar w:fldCharType="begin"/>
          </w:r>
          <w:r>
            <w:instrText xml:space="preserve"> PAGEREF _Toc9603 \h </w:instrText>
          </w:r>
          <w:r>
            <w:fldChar w:fldCharType="separate"/>
          </w:r>
          <w:r>
            <w:t>626</w:t>
          </w:r>
          <w:r>
            <w:fldChar w:fldCharType="end"/>
          </w:r>
          <w:r>
            <w:fldChar w:fldCharType="end"/>
          </w:r>
        </w:p>
        <w:p w14:paraId="5CF9F5E1">
          <w:pPr>
            <w:pStyle w:val="13"/>
            <w:tabs>
              <w:tab w:val="right" w:leader="dot" w:pos="8844"/>
            </w:tabs>
          </w:pPr>
          <w:r>
            <w:fldChar w:fldCharType="begin"/>
          </w:r>
          <w:r>
            <w:instrText xml:space="preserve"> HYPERLINK \l "_Toc613" </w:instrText>
          </w:r>
          <w:r>
            <w:fldChar w:fldCharType="separate"/>
          </w:r>
          <w:r>
            <w:rPr>
              <w:rFonts w:hint="eastAsia" w:ascii="宋体" w:hAnsi="宋体" w:eastAsia="宋体" w:cs="宋体"/>
            </w:rPr>
            <w:t>资产评估专家指引第11号——商誉减值测试评估</w:t>
          </w:r>
          <w:r>
            <w:tab/>
          </w:r>
          <w:r>
            <w:fldChar w:fldCharType="begin"/>
          </w:r>
          <w:r>
            <w:instrText xml:space="preserve"> PAGEREF _Toc613 \h </w:instrText>
          </w:r>
          <w:r>
            <w:fldChar w:fldCharType="separate"/>
          </w:r>
          <w:r>
            <w:t>629</w:t>
          </w:r>
          <w:r>
            <w:fldChar w:fldCharType="end"/>
          </w:r>
          <w:r>
            <w:fldChar w:fldCharType="end"/>
          </w:r>
        </w:p>
        <w:p w14:paraId="77525831">
          <w:pPr>
            <w:pStyle w:val="13"/>
            <w:tabs>
              <w:tab w:val="right" w:leader="dot" w:pos="8844"/>
            </w:tabs>
          </w:pPr>
          <w:r>
            <w:fldChar w:fldCharType="begin"/>
          </w:r>
          <w:r>
            <w:instrText xml:space="preserve"> HYPERLINK \l "_Toc13661" </w:instrText>
          </w:r>
          <w:r>
            <w:fldChar w:fldCharType="separate"/>
          </w:r>
          <w:r>
            <w:rPr>
              <w:rFonts w:hint="eastAsia" w:ascii="宋体" w:hAnsi="宋体" w:eastAsia="宋体" w:cs="宋体"/>
            </w:rPr>
            <w:t>资产评估专家指引第12号——收益法评估企业价值中折现率的测算</w:t>
          </w:r>
          <w:r>
            <w:tab/>
          </w:r>
          <w:r>
            <w:fldChar w:fldCharType="begin"/>
          </w:r>
          <w:r>
            <w:instrText xml:space="preserve"> PAGEREF _Toc13661 \h </w:instrText>
          </w:r>
          <w:r>
            <w:fldChar w:fldCharType="separate"/>
          </w:r>
          <w:r>
            <w:t>636</w:t>
          </w:r>
          <w:r>
            <w:fldChar w:fldCharType="end"/>
          </w:r>
          <w:r>
            <w:fldChar w:fldCharType="end"/>
          </w:r>
        </w:p>
        <w:p w14:paraId="648CB240">
          <w:pPr>
            <w:pStyle w:val="13"/>
            <w:tabs>
              <w:tab w:val="right" w:leader="dot" w:pos="8844"/>
            </w:tabs>
          </w:pPr>
          <w:r>
            <w:fldChar w:fldCharType="begin"/>
          </w:r>
          <w:r>
            <w:instrText xml:space="preserve"> HYPERLINK \l "_Toc4231" </w:instrText>
          </w:r>
          <w:r>
            <w:fldChar w:fldCharType="separate"/>
          </w:r>
          <w:r>
            <w:rPr>
              <w:rFonts w:hint="eastAsia" w:ascii="宋体" w:hAnsi="宋体" w:eastAsia="宋体" w:cs="宋体"/>
            </w:rPr>
            <w:t>资产评估专家指引第13号——境外并购资产评估</w:t>
          </w:r>
          <w:r>
            <w:tab/>
          </w:r>
          <w:r>
            <w:fldChar w:fldCharType="begin"/>
          </w:r>
          <w:r>
            <w:instrText xml:space="preserve"> PAGEREF _Toc4231 \h </w:instrText>
          </w:r>
          <w:r>
            <w:fldChar w:fldCharType="separate"/>
          </w:r>
          <w:r>
            <w:t>640</w:t>
          </w:r>
          <w:r>
            <w:fldChar w:fldCharType="end"/>
          </w:r>
          <w:r>
            <w:fldChar w:fldCharType="end"/>
          </w:r>
        </w:p>
        <w:p w14:paraId="562ACCE0">
          <w:pPr>
            <w:pStyle w:val="13"/>
            <w:tabs>
              <w:tab w:val="right" w:leader="dot" w:pos="8844"/>
            </w:tabs>
          </w:pPr>
          <w:r>
            <w:fldChar w:fldCharType="begin"/>
          </w:r>
          <w:r>
            <w:instrText xml:space="preserve"> HYPERLINK \l "_Toc28677" </w:instrText>
          </w:r>
          <w:r>
            <w:fldChar w:fldCharType="separate"/>
          </w:r>
          <w:r>
            <w:rPr>
              <w:rFonts w:hint="eastAsia" w:ascii="宋体" w:hAnsi="宋体" w:eastAsia="宋体" w:cs="宋体"/>
            </w:rPr>
            <w:t>资产评估专家指引第14号——科创企业资产评估</w:t>
          </w:r>
          <w:r>
            <w:tab/>
          </w:r>
          <w:r>
            <w:fldChar w:fldCharType="begin"/>
          </w:r>
          <w:r>
            <w:instrText xml:space="preserve"> PAGEREF _Toc28677 \h </w:instrText>
          </w:r>
          <w:r>
            <w:fldChar w:fldCharType="separate"/>
          </w:r>
          <w:r>
            <w:t>666</w:t>
          </w:r>
          <w:r>
            <w:fldChar w:fldCharType="end"/>
          </w:r>
          <w:r>
            <w:fldChar w:fldCharType="end"/>
          </w:r>
        </w:p>
        <w:p w14:paraId="09828691">
          <w:pPr>
            <w:spacing w:line="440" w:lineRule="atLeast"/>
            <w:rPr>
              <w:rFonts w:ascii="宋体" w:hAnsi="宋体" w:eastAsia="宋体"/>
            </w:rPr>
          </w:pPr>
          <w:r>
            <w:fldChar w:fldCharType="end"/>
          </w:r>
        </w:p>
      </w:sdtContent>
    </w:sdt>
    <w:p w14:paraId="4808C3AB">
      <w:pPr>
        <w:pStyle w:val="19"/>
        <w:tabs>
          <w:tab w:val="right" w:leader="dot" w:pos="8844"/>
        </w:tabs>
        <w:rPr>
          <w:rFonts w:ascii="宋体" w:hAnsi="宋体" w:eastAsia="宋体"/>
          <w:b/>
        </w:rPr>
      </w:pPr>
      <w:r>
        <w:rPr>
          <w:rFonts w:ascii="宋体" w:hAnsi="宋体" w:eastAsia="宋体"/>
          <w:b/>
        </w:rPr>
        <w:br w:type="page"/>
      </w:r>
    </w:p>
    <w:p w14:paraId="56EEB731">
      <w:pPr>
        <w:pStyle w:val="4"/>
        <w:spacing w:line="440" w:lineRule="atLeast"/>
        <w:jc w:val="center"/>
        <w:rPr>
          <w:rFonts w:ascii="黑体" w:hAnsi="黑体" w:cs="黑体"/>
          <w:shd w:val="clear" w:color="FFFFFF" w:fill="D9D9D9"/>
        </w:rPr>
      </w:pPr>
      <w:bookmarkStart w:id="0" w:name="_Toc8149"/>
      <w:r>
        <w:rPr>
          <w:rFonts w:hint="eastAsia" w:ascii="黑体" w:hAnsi="黑体" w:cs="黑体"/>
          <w:shd w:val="clear" w:color="FFFFFF" w:fill="D9D9D9"/>
        </w:rPr>
        <w:t>资产评估法律文件</w:t>
      </w:r>
      <w:bookmarkEnd w:id="0"/>
      <w:bookmarkStart w:id="1" w:name="资产评估法律文件"/>
      <w:bookmarkEnd w:id="1"/>
    </w:p>
    <w:p w14:paraId="620B47C3">
      <w:pPr>
        <w:pStyle w:val="5"/>
        <w:spacing w:line="440" w:lineRule="atLeast"/>
        <w:jc w:val="center"/>
        <w:rPr>
          <w:rFonts w:ascii="宋体" w:hAnsi="宋体" w:eastAsia="宋体" w:cs="宋体"/>
        </w:rPr>
      </w:pPr>
      <w:bookmarkStart w:id="2" w:name="_Toc13338"/>
      <w:r>
        <w:rPr>
          <w:rFonts w:hint="eastAsia" w:ascii="宋体" w:hAnsi="宋体" w:eastAsia="宋体" w:cs="宋体"/>
        </w:rPr>
        <w:t>中国人民共和国资产评估法</w:t>
      </w:r>
      <w:bookmarkEnd w:id="2"/>
    </w:p>
    <w:p w14:paraId="1360431D">
      <w:pPr>
        <w:shd w:val="clear" w:color="auto" w:fill="FFFFFF"/>
        <w:spacing w:line="440" w:lineRule="atLeast"/>
        <w:jc w:val="center"/>
        <w:rPr>
          <w:rFonts w:ascii="黑体" w:hAnsi="黑体" w:eastAsia="黑体" w:cs="黑体"/>
          <w:color w:val="000000"/>
          <w:kern w:val="0"/>
          <w:sz w:val="28"/>
          <w:szCs w:val="28"/>
          <w:shd w:val="clear" w:color="auto" w:fill="FFFFFF"/>
        </w:rPr>
      </w:pPr>
      <w:r>
        <w:rPr>
          <w:rFonts w:hint="eastAsia" w:ascii="黑体" w:hAnsi="黑体" w:eastAsia="黑体" w:cs="黑体"/>
          <w:color w:val="000000"/>
          <w:kern w:val="0"/>
          <w:sz w:val="28"/>
          <w:szCs w:val="28"/>
          <w:shd w:val="clear" w:color="auto" w:fill="FFFFFF"/>
        </w:rPr>
        <w:t>第一章　总则</w:t>
      </w:r>
    </w:p>
    <w:p w14:paraId="5179F32E">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bCs/>
          <w:color w:val="000000"/>
          <w:kern w:val="0"/>
          <w:sz w:val="24"/>
          <w:shd w:val="clear" w:color="auto" w:fill="FFFFFF"/>
        </w:rPr>
        <w:t>第一条</w:t>
      </w:r>
      <w:r>
        <w:rPr>
          <w:rFonts w:hint="eastAsia" w:ascii="宋体" w:hAnsi="宋体" w:eastAsia="宋体" w:cs="宋体"/>
          <w:color w:val="000000"/>
          <w:kern w:val="0"/>
          <w:sz w:val="24"/>
          <w:shd w:val="clear" w:color="auto" w:fill="FFFFFF"/>
        </w:rPr>
        <w:t>　为了规范资产评估行为，保护资产评估当</w:t>
      </w:r>
      <w:bookmarkStart w:id="249" w:name="_GoBack"/>
      <w:bookmarkEnd w:id="249"/>
      <w:r>
        <w:rPr>
          <w:rFonts w:hint="eastAsia" w:ascii="宋体" w:hAnsi="宋体" w:eastAsia="宋体" w:cs="宋体"/>
          <w:color w:val="000000"/>
          <w:kern w:val="0"/>
          <w:sz w:val="24"/>
          <w:shd w:val="clear" w:color="auto" w:fill="FFFFFF"/>
        </w:rPr>
        <w:t>事人合法权益和公共利益，促进资产评估行业健康发展，维护社会主义市场经济秩序，制定本法。</w:t>
      </w:r>
    </w:p>
    <w:p w14:paraId="61E91FD1">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bCs/>
          <w:color w:val="000000"/>
          <w:kern w:val="0"/>
          <w:sz w:val="24"/>
          <w:shd w:val="clear" w:color="auto" w:fill="FFFFFF"/>
        </w:rPr>
        <w:t>第二条</w:t>
      </w:r>
      <w:r>
        <w:rPr>
          <w:rFonts w:hint="eastAsia" w:ascii="宋体" w:hAnsi="宋体" w:eastAsia="宋体" w:cs="宋体"/>
          <w:color w:val="000000"/>
          <w:kern w:val="0"/>
          <w:sz w:val="24"/>
          <w:shd w:val="clear" w:color="auto" w:fill="FFFFFF"/>
        </w:rPr>
        <w:t>　本法所称资产评估（以下称评估），是指评估机构及其评估专业人员根据委托对不动产、动产、无形资产、企业价值、资产损失或者其他经济权益进行评定、估算，并出具评估报告的专业服务行为。</w:t>
      </w:r>
    </w:p>
    <w:p w14:paraId="1176C282">
      <w:pPr>
        <w:shd w:val="clear" w:color="auto" w:fill="FFFFFF"/>
        <w:spacing w:line="440" w:lineRule="atLeast"/>
        <w:ind w:firstLine="482" w:firstLineChars="200"/>
        <w:rPr>
          <w:rFonts w:ascii="宋体" w:hAnsi="宋体" w:eastAsia="宋体" w:cs="宋体"/>
          <w:color w:val="000000"/>
          <w:kern w:val="0"/>
          <w:sz w:val="24"/>
        </w:rPr>
      </w:pPr>
      <w:r>
        <w:rPr>
          <w:rFonts w:hint="eastAsia" w:ascii="宋体" w:hAnsi="宋体" w:eastAsia="宋体" w:cs="宋体"/>
          <w:b/>
          <w:bCs/>
          <w:color w:val="000000"/>
          <w:kern w:val="0"/>
          <w:sz w:val="24"/>
          <w:shd w:val="clear" w:color="auto" w:fill="FFFFFF"/>
        </w:rPr>
        <w:t>第三条</w:t>
      </w:r>
      <w:r>
        <w:rPr>
          <w:rFonts w:hint="eastAsia" w:ascii="宋体" w:hAnsi="宋体" w:eastAsia="宋体" w:cs="宋体"/>
          <w:color w:val="000000"/>
          <w:kern w:val="0"/>
          <w:sz w:val="24"/>
          <w:shd w:val="clear" w:color="auto" w:fill="FFFFFF"/>
        </w:rPr>
        <w:t>　自然人、法人或者其他组织需要确定评估对象价值的，可以自愿委托评估机构评估。</w:t>
      </w:r>
    </w:p>
    <w:p w14:paraId="65B85470">
      <w:pPr>
        <w:shd w:val="clear" w:color="auto" w:fill="FFFFFF"/>
        <w:spacing w:line="440" w:lineRule="atLeast"/>
        <w:ind w:firstLine="480" w:firstLineChars="200"/>
        <w:rPr>
          <w:rFonts w:ascii="宋体" w:hAnsi="宋体" w:eastAsia="宋体" w:cs="宋体"/>
          <w:color w:val="000000"/>
          <w:kern w:val="0"/>
          <w:sz w:val="24"/>
        </w:rPr>
      </w:pPr>
      <w:r>
        <w:rPr>
          <w:rFonts w:hint="eastAsia" w:ascii="宋体" w:hAnsi="宋体" w:eastAsia="宋体" w:cs="宋体"/>
          <w:color w:val="000000"/>
          <w:kern w:val="0"/>
          <w:sz w:val="24"/>
          <w:shd w:val="clear" w:color="auto" w:fill="FFFFFF"/>
        </w:rPr>
        <w:t>涉及国有资产或者公共利益等事项，法律、行政法规规定需要评估的（以下称法定评估），应当依法委托评估机构评估。</w:t>
      </w:r>
    </w:p>
    <w:p w14:paraId="7A6819D8">
      <w:pPr>
        <w:shd w:val="clear" w:color="auto" w:fill="FFFFFF"/>
        <w:spacing w:line="440" w:lineRule="atLeast"/>
        <w:ind w:firstLine="482" w:firstLineChars="200"/>
        <w:rPr>
          <w:rFonts w:ascii="宋体" w:hAnsi="宋体" w:eastAsia="宋体" w:cs="宋体"/>
          <w:color w:val="000000"/>
          <w:kern w:val="0"/>
          <w:sz w:val="24"/>
        </w:rPr>
      </w:pPr>
      <w:r>
        <w:rPr>
          <w:rFonts w:hint="eastAsia" w:ascii="宋体" w:hAnsi="宋体" w:eastAsia="宋体" w:cs="宋体"/>
          <w:b/>
          <w:bCs/>
          <w:color w:val="000000"/>
          <w:kern w:val="0"/>
          <w:sz w:val="24"/>
          <w:shd w:val="clear" w:color="auto" w:fill="FFFFFF"/>
        </w:rPr>
        <w:t>第四条</w:t>
      </w:r>
      <w:r>
        <w:rPr>
          <w:rFonts w:hint="eastAsia" w:ascii="宋体" w:hAnsi="宋体" w:eastAsia="宋体" w:cs="宋体"/>
          <w:color w:val="000000"/>
          <w:kern w:val="0"/>
          <w:sz w:val="24"/>
          <w:shd w:val="clear" w:color="auto" w:fill="FFFFFF"/>
        </w:rPr>
        <w:t>　评估机构及其评估专业人员开展业务应当遵守法律、行政法规和评估准则，遵循独立、客观、公正的原则。</w:t>
      </w:r>
    </w:p>
    <w:p w14:paraId="733B15CB">
      <w:pPr>
        <w:shd w:val="clear" w:color="auto" w:fill="FFFFFF"/>
        <w:spacing w:line="440" w:lineRule="atLeast"/>
        <w:ind w:firstLine="480" w:firstLineChars="200"/>
        <w:rPr>
          <w:rFonts w:ascii="宋体" w:hAnsi="宋体" w:eastAsia="宋体" w:cs="宋体"/>
          <w:color w:val="000000"/>
          <w:kern w:val="0"/>
          <w:sz w:val="24"/>
        </w:rPr>
      </w:pPr>
      <w:r>
        <w:rPr>
          <w:rFonts w:hint="eastAsia" w:ascii="宋体" w:hAnsi="宋体" w:eastAsia="宋体" w:cs="宋体"/>
          <w:color w:val="000000"/>
          <w:kern w:val="0"/>
          <w:sz w:val="24"/>
          <w:shd w:val="clear" w:color="auto" w:fill="FFFFFF"/>
        </w:rPr>
        <w:t>评估机构及其评估专业人员依法开展业务，受法律保护。</w:t>
      </w:r>
    </w:p>
    <w:p w14:paraId="30E9FE65">
      <w:pPr>
        <w:shd w:val="clear" w:color="auto" w:fill="FFFFFF"/>
        <w:spacing w:line="440" w:lineRule="atLeast"/>
        <w:ind w:firstLine="482" w:firstLineChars="200"/>
        <w:rPr>
          <w:rFonts w:ascii="宋体" w:hAnsi="宋体" w:eastAsia="宋体" w:cs="宋体"/>
          <w:color w:val="000000"/>
          <w:kern w:val="0"/>
          <w:sz w:val="24"/>
        </w:rPr>
      </w:pPr>
      <w:r>
        <w:rPr>
          <w:rFonts w:hint="eastAsia" w:ascii="宋体" w:hAnsi="宋体" w:eastAsia="宋体" w:cs="宋体"/>
          <w:b/>
          <w:bCs/>
          <w:color w:val="000000"/>
          <w:kern w:val="0"/>
          <w:sz w:val="24"/>
          <w:shd w:val="clear" w:color="auto" w:fill="FFFFFF"/>
        </w:rPr>
        <w:t>第五条</w:t>
      </w:r>
      <w:r>
        <w:rPr>
          <w:rFonts w:hint="eastAsia" w:ascii="宋体" w:hAnsi="宋体" w:eastAsia="宋体" w:cs="宋体"/>
          <w:color w:val="000000"/>
          <w:kern w:val="0"/>
          <w:sz w:val="24"/>
          <w:shd w:val="clear" w:color="auto" w:fill="FFFFFF"/>
        </w:rPr>
        <w:t>　评估专业人员从事评估业务，应当加入评估机构，并且只能在一个评估机构从事业务。</w:t>
      </w:r>
    </w:p>
    <w:p w14:paraId="0FCA76F9">
      <w:pPr>
        <w:shd w:val="clear" w:color="auto" w:fill="FFFFFF"/>
        <w:spacing w:line="440" w:lineRule="atLeast"/>
        <w:ind w:firstLine="482" w:firstLineChars="200"/>
        <w:rPr>
          <w:rFonts w:ascii="宋体" w:hAnsi="宋体" w:eastAsia="宋体" w:cs="宋体"/>
          <w:color w:val="000000"/>
          <w:kern w:val="0"/>
          <w:sz w:val="24"/>
        </w:rPr>
      </w:pPr>
      <w:r>
        <w:rPr>
          <w:rFonts w:hint="eastAsia" w:ascii="宋体" w:hAnsi="宋体" w:eastAsia="宋体" w:cs="宋体"/>
          <w:b/>
          <w:bCs/>
          <w:color w:val="000000"/>
          <w:kern w:val="0"/>
          <w:sz w:val="24"/>
          <w:shd w:val="clear" w:color="auto" w:fill="FFFFFF"/>
        </w:rPr>
        <w:t>第六条</w:t>
      </w:r>
      <w:r>
        <w:rPr>
          <w:rFonts w:hint="eastAsia" w:ascii="宋体" w:hAnsi="宋体" w:eastAsia="宋体" w:cs="宋体"/>
          <w:color w:val="000000"/>
          <w:kern w:val="0"/>
          <w:sz w:val="24"/>
          <w:shd w:val="clear" w:color="auto" w:fill="FFFFFF"/>
        </w:rPr>
        <w:t>　评估行业可以按照专业领域依法设立行业协会，实行自律管理，并接受有关评估行政管理部门的监督和社会监督。</w:t>
      </w:r>
    </w:p>
    <w:p w14:paraId="63FB2CBA">
      <w:pPr>
        <w:shd w:val="clear" w:color="auto" w:fill="FFFFFF"/>
        <w:spacing w:line="440" w:lineRule="atLeast"/>
        <w:ind w:firstLine="482" w:firstLineChars="200"/>
        <w:rPr>
          <w:rFonts w:ascii="宋体" w:hAnsi="宋体" w:eastAsia="宋体" w:cs="宋体"/>
          <w:color w:val="000000"/>
          <w:kern w:val="0"/>
          <w:sz w:val="24"/>
        </w:rPr>
      </w:pPr>
      <w:r>
        <w:rPr>
          <w:rFonts w:hint="eastAsia" w:ascii="宋体" w:hAnsi="宋体" w:eastAsia="宋体" w:cs="宋体"/>
          <w:b/>
          <w:bCs/>
          <w:color w:val="000000"/>
          <w:kern w:val="0"/>
          <w:sz w:val="24"/>
          <w:shd w:val="clear" w:color="auto" w:fill="FFFFFF"/>
        </w:rPr>
        <w:t>第七条</w:t>
      </w:r>
      <w:r>
        <w:rPr>
          <w:rFonts w:hint="eastAsia" w:ascii="宋体" w:hAnsi="宋体" w:eastAsia="宋体" w:cs="宋体"/>
          <w:color w:val="000000"/>
          <w:kern w:val="0"/>
          <w:sz w:val="24"/>
          <w:shd w:val="clear" w:color="auto" w:fill="FFFFFF"/>
        </w:rPr>
        <w:t>　国务院有关评估行政管理部门按照各自职责分工，对评估行业进行监督管理。</w:t>
      </w:r>
    </w:p>
    <w:p w14:paraId="0E30DA4C">
      <w:pPr>
        <w:shd w:val="clear" w:color="auto" w:fill="FFFFFF"/>
        <w:spacing w:line="440" w:lineRule="atLeast"/>
        <w:ind w:firstLine="480" w:firstLineChars="200"/>
        <w:rPr>
          <w:rFonts w:ascii="宋体" w:hAnsi="宋体" w:eastAsia="宋体" w:cs="宋体"/>
          <w:color w:val="000000"/>
          <w:kern w:val="0"/>
          <w:sz w:val="24"/>
        </w:rPr>
      </w:pPr>
      <w:r>
        <w:rPr>
          <w:rFonts w:hint="eastAsia" w:ascii="宋体" w:hAnsi="宋体" w:eastAsia="宋体" w:cs="宋体"/>
          <w:color w:val="000000"/>
          <w:kern w:val="0"/>
          <w:sz w:val="24"/>
          <w:shd w:val="clear" w:color="auto" w:fill="FFFFFF"/>
        </w:rPr>
        <w:t>设区的市级以上地方人民政府有关评估行政管理部门按照各自职责分工，对本行政区域内的评估行业进行监督管理。</w:t>
      </w:r>
    </w:p>
    <w:p w14:paraId="419F9CE2">
      <w:pPr>
        <w:shd w:val="clear" w:color="auto" w:fill="FFFFFF"/>
        <w:spacing w:line="440" w:lineRule="atLeast"/>
        <w:jc w:val="center"/>
        <w:rPr>
          <w:rFonts w:ascii="黑体" w:hAnsi="黑体" w:eastAsia="黑体" w:cs="黑体"/>
          <w:color w:val="000000"/>
          <w:kern w:val="0"/>
          <w:sz w:val="28"/>
          <w:szCs w:val="28"/>
          <w:shd w:val="clear" w:color="auto" w:fill="FFFFFF"/>
        </w:rPr>
      </w:pPr>
      <w:r>
        <w:rPr>
          <w:rFonts w:hint="eastAsia" w:ascii="黑体" w:hAnsi="黑体" w:eastAsia="黑体" w:cs="黑体"/>
          <w:color w:val="000000"/>
          <w:kern w:val="0"/>
          <w:sz w:val="28"/>
          <w:szCs w:val="28"/>
          <w:shd w:val="clear" w:color="auto" w:fill="FFFFFF"/>
        </w:rPr>
        <w:t>第二章　评估专业人员</w:t>
      </w:r>
    </w:p>
    <w:p w14:paraId="1913F348">
      <w:pPr>
        <w:shd w:val="clear" w:color="auto" w:fill="FFFFFF"/>
        <w:spacing w:line="440" w:lineRule="atLeast"/>
        <w:ind w:firstLine="482" w:firstLineChars="200"/>
        <w:rPr>
          <w:rFonts w:ascii="宋体" w:hAnsi="宋体" w:eastAsia="宋体" w:cs="宋体"/>
          <w:color w:val="000000"/>
          <w:kern w:val="0"/>
          <w:sz w:val="24"/>
        </w:rPr>
      </w:pPr>
      <w:r>
        <w:rPr>
          <w:rFonts w:hint="eastAsia" w:ascii="宋体" w:hAnsi="宋体" w:eastAsia="宋体" w:cs="宋体"/>
          <w:b/>
          <w:bCs/>
          <w:color w:val="000000"/>
          <w:kern w:val="0"/>
          <w:sz w:val="24"/>
          <w:shd w:val="clear" w:color="auto" w:fill="FFFFFF"/>
        </w:rPr>
        <w:t>第八条</w:t>
      </w:r>
      <w:r>
        <w:rPr>
          <w:rFonts w:hint="eastAsia" w:ascii="宋体" w:hAnsi="宋体" w:eastAsia="宋体" w:cs="宋体"/>
          <w:color w:val="000000"/>
          <w:kern w:val="0"/>
          <w:sz w:val="24"/>
          <w:shd w:val="clear" w:color="auto" w:fill="FFFFFF"/>
        </w:rPr>
        <w:t>　评估专业人员包括评估师和其他具有评估专业知识及实践经验的评估从业人员。</w:t>
      </w:r>
    </w:p>
    <w:p w14:paraId="7F240107">
      <w:pPr>
        <w:shd w:val="clear" w:color="auto" w:fill="FFFFFF"/>
        <w:spacing w:line="440" w:lineRule="atLeast"/>
        <w:ind w:firstLine="480" w:firstLineChars="200"/>
        <w:rPr>
          <w:rFonts w:ascii="宋体" w:hAnsi="宋体" w:eastAsia="宋体" w:cs="宋体"/>
          <w:color w:val="000000"/>
          <w:kern w:val="0"/>
          <w:sz w:val="24"/>
        </w:rPr>
      </w:pPr>
      <w:r>
        <w:rPr>
          <w:rFonts w:hint="eastAsia" w:ascii="宋体" w:hAnsi="宋体" w:eastAsia="宋体" w:cs="宋体"/>
          <w:color w:val="000000"/>
          <w:kern w:val="0"/>
          <w:sz w:val="24"/>
          <w:shd w:val="clear" w:color="auto" w:fill="FFFFFF"/>
        </w:rPr>
        <w:t>评估师是指通过评估师资格考试的评估专业人员。国家根据经济社会发展需要确定评估师专业类别。</w:t>
      </w:r>
    </w:p>
    <w:p w14:paraId="3DF3680B">
      <w:pPr>
        <w:shd w:val="clear" w:color="auto" w:fill="FFFFFF"/>
        <w:spacing w:line="440" w:lineRule="atLeast"/>
        <w:ind w:firstLine="482" w:firstLineChars="200"/>
        <w:rPr>
          <w:rFonts w:ascii="宋体" w:hAnsi="宋体" w:eastAsia="宋体" w:cs="宋体"/>
          <w:color w:val="000000"/>
          <w:kern w:val="0"/>
          <w:sz w:val="24"/>
        </w:rPr>
      </w:pPr>
      <w:r>
        <w:rPr>
          <w:rFonts w:hint="eastAsia" w:ascii="宋体" w:hAnsi="宋体" w:eastAsia="宋体" w:cs="宋体"/>
          <w:b/>
          <w:bCs/>
          <w:color w:val="000000"/>
          <w:kern w:val="0"/>
          <w:sz w:val="24"/>
          <w:shd w:val="clear" w:color="auto" w:fill="FFFFFF"/>
        </w:rPr>
        <w:t>第九条</w:t>
      </w:r>
      <w:r>
        <w:rPr>
          <w:rFonts w:hint="eastAsia" w:ascii="宋体" w:hAnsi="宋体" w:eastAsia="宋体" w:cs="宋体"/>
          <w:color w:val="000000"/>
          <w:kern w:val="0"/>
          <w:sz w:val="24"/>
          <w:shd w:val="clear" w:color="auto" w:fill="FFFFFF"/>
        </w:rPr>
        <w:t>　有关全国性评估行业协会按照国家规定组织实施评估师资格全国统一考试。</w:t>
      </w:r>
    </w:p>
    <w:p w14:paraId="76A66527">
      <w:pPr>
        <w:shd w:val="clear" w:color="auto" w:fill="FFFFFF"/>
        <w:spacing w:line="440" w:lineRule="atLeast"/>
        <w:ind w:firstLine="480" w:firstLineChars="200"/>
        <w:rPr>
          <w:rFonts w:ascii="宋体" w:hAnsi="宋体" w:eastAsia="宋体" w:cs="宋体"/>
          <w:color w:val="000000"/>
          <w:kern w:val="0"/>
          <w:sz w:val="24"/>
        </w:rPr>
      </w:pPr>
      <w:r>
        <w:rPr>
          <w:rFonts w:hint="eastAsia" w:ascii="宋体" w:hAnsi="宋体" w:eastAsia="宋体" w:cs="宋体"/>
          <w:color w:val="000000"/>
          <w:kern w:val="0"/>
          <w:sz w:val="24"/>
          <w:shd w:val="clear" w:color="auto" w:fill="FFFFFF"/>
        </w:rPr>
        <w:t>具有高等院校专科以上学历的公民，可以参加评估师资格全国统一考试。</w:t>
      </w:r>
    </w:p>
    <w:p w14:paraId="56861DF4">
      <w:pPr>
        <w:shd w:val="clear" w:color="auto" w:fill="FFFFFF"/>
        <w:spacing w:line="440" w:lineRule="atLeast"/>
        <w:ind w:firstLine="482" w:firstLineChars="200"/>
        <w:rPr>
          <w:rFonts w:ascii="宋体" w:hAnsi="宋体" w:eastAsia="宋体" w:cs="宋体"/>
          <w:color w:val="000000"/>
          <w:kern w:val="0"/>
          <w:sz w:val="24"/>
        </w:rPr>
      </w:pPr>
      <w:r>
        <w:rPr>
          <w:rFonts w:hint="eastAsia" w:ascii="宋体" w:hAnsi="宋体" w:eastAsia="宋体" w:cs="宋体"/>
          <w:b/>
          <w:bCs/>
          <w:color w:val="000000"/>
          <w:kern w:val="0"/>
          <w:sz w:val="24"/>
          <w:shd w:val="clear" w:color="auto" w:fill="FFFFFF"/>
        </w:rPr>
        <w:t>第十条</w:t>
      </w:r>
      <w:r>
        <w:rPr>
          <w:rFonts w:hint="eastAsia" w:ascii="宋体" w:hAnsi="宋体" w:eastAsia="宋体" w:cs="宋体"/>
          <w:color w:val="000000"/>
          <w:kern w:val="0"/>
          <w:sz w:val="24"/>
          <w:shd w:val="clear" w:color="auto" w:fill="FFFFFF"/>
        </w:rPr>
        <w:t>　有关全国性评估行业协会应当在其网站上公布评估师名单，并实时更新。</w:t>
      </w:r>
    </w:p>
    <w:p w14:paraId="6C5E8703">
      <w:pPr>
        <w:shd w:val="clear" w:color="auto" w:fill="FFFFFF"/>
        <w:spacing w:line="440" w:lineRule="atLeast"/>
        <w:ind w:firstLine="482" w:firstLineChars="200"/>
        <w:rPr>
          <w:rFonts w:ascii="宋体" w:hAnsi="宋体" w:eastAsia="宋体" w:cs="宋体"/>
          <w:color w:val="000000"/>
          <w:kern w:val="0"/>
          <w:sz w:val="24"/>
        </w:rPr>
      </w:pPr>
      <w:r>
        <w:rPr>
          <w:rFonts w:hint="eastAsia" w:ascii="宋体" w:hAnsi="宋体" w:eastAsia="宋体" w:cs="宋体"/>
          <w:b/>
          <w:bCs/>
          <w:color w:val="000000"/>
          <w:kern w:val="0"/>
          <w:sz w:val="24"/>
          <w:shd w:val="clear" w:color="auto" w:fill="FFFFFF"/>
        </w:rPr>
        <w:t>第十一条</w:t>
      </w:r>
      <w:r>
        <w:rPr>
          <w:rFonts w:hint="eastAsia" w:ascii="宋体" w:hAnsi="宋体" w:eastAsia="宋体" w:cs="宋体"/>
          <w:color w:val="000000"/>
          <w:kern w:val="0"/>
          <w:sz w:val="24"/>
          <w:shd w:val="clear" w:color="auto" w:fill="FFFFFF"/>
        </w:rPr>
        <w:t>　因故意犯罪或者在从事评估、财务、会计、审计活动中因过失犯罪而受刑事处罚，自刑罚执行完毕之日起不满五年的人员，不得从事评估业务。</w:t>
      </w:r>
    </w:p>
    <w:p w14:paraId="3D839607">
      <w:pPr>
        <w:shd w:val="clear" w:color="auto" w:fill="FFFFFF"/>
        <w:spacing w:line="440" w:lineRule="atLeast"/>
        <w:ind w:firstLine="482" w:firstLineChars="200"/>
        <w:rPr>
          <w:rFonts w:ascii="宋体" w:hAnsi="宋体" w:eastAsia="宋体" w:cs="宋体"/>
          <w:color w:val="000000"/>
          <w:kern w:val="0"/>
          <w:sz w:val="24"/>
        </w:rPr>
      </w:pPr>
      <w:r>
        <w:rPr>
          <w:rFonts w:hint="eastAsia" w:ascii="宋体" w:hAnsi="宋体" w:eastAsia="宋体" w:cs="宋体"/>
          <w:b/>
          <w:bCs/>
          <w:color w:val="000000"/>
          <w:kern w:val="0"/>
          <w:sz w:val="24"/>
          <w:shd w:val="clear" w:color="auto" w:fill="FFFFFF"/>
        </w:rPr>
        <w:t>第十二条</w:t>
      </w:r>
      <w:r>
        <w:rPr>
          <w:rFonts w:hint="eastAsia" w:ascii="宋体" w:hAnsi="宋体" w:eastAsia="宋体" w:cs="宋体"/>
          <w:color w:val="000000"/>
          <w:kern w:val="0"/>
          <w:sz w:val="24"/>
          <w:shd w:val="clear" w:color="auto" w:fill="FFFFFF"/>
        </w:rPr>
        <w:t>　评估专业人员享有下列权利：</w:t>
      </w:r>
    </w:p>
    <w:p w14:paraId="3F8673F2">
      <w:pPr>
        <w:shd w:val="clear" w:color="auto" w:fill="FFFFFF"/>
        <w:spacing w:line="440" w:lineRule="atLeast"/>
        <w:ind w:firstLine="480" w:firstLineChars="200"/>
        <w:rPr>
          <w:rFonts w:ascii="宋体" w:hAnsi="宋体" w:eastAsia="宋体" w:cs="宋体"/>
          <w:color w:val="000000"/>
          <w:kern w:val="0"/>
          <w:sz w:val="24"/>
        </w:rPr>
      </w:pPr>
      <w:r>
        <w:rPr>
          <w:rFonts w:hint="eastAsia" w:ascii="宋体" w:hAnsi="宋体" w:eastAsia="宋体" w:cs="宋体"/>
          <w:color w:val="000000"/>
          <w:kern w:val="0"/>
          <w:sz w:val="24"/>
          <w:shd w:val="clear" w:color="auto" w:fill="FFFFFF"/>
        </w:rPr>
        <w:t>（一）要求委托人提供相关的权属证明、财务会计信息和其他资料，以及为执行公允的评估程序所需的必要协助；</w:t>
      </w:r>
    </w:p>
    <w:p w14:paraId="668BC6DC">
      <w:pPr>
        <w:shd w:val="clear" w:color="auto" w:fill="FFFFFF"/>
        <w:spacing w:line="440" w:lineRule="atLeast"/>
        <w:ind w:firstLine="480" w:firstLineChars="200"/>
        <w:rPr>
          <w:rFonts w:ascii="宋体" w:hAnsi="宋体" w:eastAsia="宋体" w:cs="宋体"/>
          <w:color w:val="000000"/>
          <w:kern w:val="0"/>
          <w:sz w:val="24"/>
        </w:rPr>
      </w:pPr>
      <w:r>
        <w:rPr>
          <w:rFonts w:hint="eastAsia" w:ascii="宋体" w:hAnsi="宋体" w:eastAsia="宋体" w:cs="宋体"/>
          <w:color w:val="000000"/>
          <w:kern w:val="0"/>
          <w:sz w:val="24"/>
          <w:shd w:val="clear" w:color="auto" w:fill="FFFFFF"/>
        </w:rPr>
        <w:t>（二）依法向有关国家机关或者其他组织查阅从事业务所需的文件、证明和资料；</w:t>
      </w:r>
    </w:p>
    <w:p w14:paraId="73BCB3E9">
      <w:pPr>
        <w:shd w:val="clear" w:color="auto" w:fill="FFFFFF"/>
        <w:spacing w:line="440" w:lineRule="atLeast"/>
        <w:ind w:firstLine="480" w:firstLineChars="200"/>
        <w:rPr>
          <w:rFonts w:ascii="宋体" w:hAnsi="宋体" w:eastAsia="宋体" w:cs="宋体"/>
          <w:color w:val="000000"/>
          <w:kern w:val="0"/>
          <w:sz w:val="24"/>
        </w:rPr>
      </w:pPr>
      <w:r>
        <w:rPr>
          <w:rFonts w:hint="eastAsia" w:ascii="宋体" w:hAnsi="宋体" w:eastAsia="宋体" w:cs="宋体"/>
          <w:color w:val="000000"/>
          <w:kern w:val="0"/>
          <w:sz w:val="24"/>
          <w:shd w:val="clear" w:color="auto" w:fill="FFFFFF"/>
        </w:rPr>
        <w:t>（三）拒绝委托人或者其他组织、个人对评估行为和评估结果的非法干预；</w:t>
      </w:r>
    </w:p>
    <w:p w14:paraId="300AEA5E">
      <w:pPr>
        <w:shd w:val="clear" w:color="auto" w:fill="FFFFFF"/>
        <w:spacing w:line="440" w:lineRule="atLeast"/>
        <w:ind w:firstLine="480" w:firstLineChars="200"/>
        <w:rPr>
          <w:rFonts w:ascii="宋体" w:hAnsi="宋体" w:eastAsia="宋体" w:cs="宋体"/>
          <w:color w:val="000000"/>
          <w:kern w:val="0"/>
          <w:sz w:val="24"/>
        </w:rPr>
      </w:pPr>
      <w:r>
        <w:rPr>
          <w:rFonts w:hint="eastAsia" w:ascii="宋体" w:hAnsi="宋体" w:eastAsia="宋体" w:cs="宋体"/>
          <w:color w:val="000000"/>
          <w:kern w:val="0"/>
          <w:sz w:val="24"/>
          <w:shd w:val="clear" w:color="auto" w:fill="FFFFFF"/>
        </w:rPr>
        <w:t>（四）依法签署评估报告；</w:t>
      </w:r>
    </w:p>
    <w:p w14:paraId="507B5E54">
      <w:pPr>
        <w:shd w:val="clear" w:color="auto" w:fill="FFFFFF"/>
        <w:spacing w:line="440" w:lineRule="atLeast"/>
        <w:ind w:firstLine="480" w:firstLineChars="200"/>
        <w:rPr>
          <w:rFonts w:ascii="宋体" w:hAnsi="宋体" w:eastAsia="宋体" w:cs="宋体"/>
          <w:color w:val="000000"/>
          <w:kern w:val="0"/>
          <w:sz w:val="24"/>
        </w:rPr>
      </w:pPr>
      <w:r>
        <w:rPr>
          <w:rFonts w:hint="eastAsia" w:ascii="宋体" w:hAnsi="宋体" w:eastAsia="宋体" w:cs="宋体"/>
          <w:color w:val="000000"/>
          <w:kern w:val="0"/>
          <w:sz w:val="24"/>
          <w:shd w:val="clear" w:color="auto" w:fill="FFFFFF"/>
        </w:rPr>
        <w:t>（五）法律、行政法规规定的其他权利。</w:t>
      </w:r>
    </w:p>
    <w:p w14:paraId="189C25B1">
      <w:pPr>
        <w:shd w:val="clear" w:color="auto" w:fill="FFFFFF"/>
        <w:spacing w:line="440" w:lineRule="atLeast"/>
        <w:ind w:firstLine="482" w:firstLineChars="200"/>
        <w:rPr>
          <w:rFonts w:ascii="宋体" w:hAnsi="宋体" w:eastAsia="宋体" w:cs="宋体"/>
          <w:color w:val="000000"/>
          <w:kern w:val="0"/>
          <w:sz w:val="24"/>
        </w:rPr>
      </w:pPr>
      <w:r>
        <w:rPr>
          <w:rFonts w:hint="eastAsia" w:ascii="宋体" w:hAnsi="宋体" w:eastAsia="宋体" w:cs="宋体"/>
          <w:b/>
          <w:bCs/>
          <w:color w:val="000000"/>
          <w:kern w:val="0"/>
          <w:sz w:val="24"/>
          <w:shd w:val="clear" w:color="auto" w:fill="FFFFFF"/>
        </w:rPr>
        <w:t>第十三条</w:t>
      </w:r>
      <w:r>
        <w:rPr>
          <w:rFonts w:hint="eastAsia" w:ascii="宋体" w:hAnsi="宋体" w:eastAsia="宋体" w:cs="宋体"/>
          <w:color w:val="000000"/>
          <w:kern w:val="0"/>
          <w:sz w:val="24"/>
          <w:shd w:val="clear" w:color="auto" w:fill="FFFFFF"/>
        </w:rPr>
        <w:t>　评估专业人员应当履行下列义务：</w:t>
      </w:r>
    </w:p>
    <w:p w14:paraId="490B8D78">
      <w:pPr>
        <w:shd w:val="clear" w:color="auto" w:fill="FFFFFF"/>
        <w:spacing w:line="440" w:lineRule="atLeast"/>
        <w:ind w:firstLine="480" w:firstLineChars="200"/>
        <w:rPr>
          <w:rFonts w:ascii="宋体" w:hAnsi="宋体" w:eastAsia="宋体" w:cs="宋体"/>
          <w:color w:val="000000"/>
          <w:kern w:val="0"/>
          <w:sz w:val="24"/>
        </w:rPr>
      </w:pPr>
      <w:r>
        <w:rPr>
          <w:rFonts w:hint="eastAsia" w:ascii="宋体" w:hAnsi="宋体" w:eastAsia="宋体" w:cs="宋体"/>
          <w:color w:val="000000"/>
          <w:kern w:val="0"/>
          <w:sz w:val="24"/>
          <w:shd w:val="clear" w:color="auto" w:fill="FFFFFF"/>
        </w:rPr>
        <w:t>（一）诚实守信，依法独立、客观、公正从事业务；</w:t>
      </w:r>
    </w:p>
    <w:p w14:paraId="1C8EC05D">
      <w:pPr>
        <w:shd w:val="clear" w:color="auto" w:fill="FFFFFF"/>
        <w:spacing w:line="440" w:lineRule="atLeast"/>
        <w:ind w:firstLine="480" w:firstLineChars="200"/>
        <w:rPr>
          <w:rFonts w:ascii="宋体" w:hAnsi="宋体" w:eastAsia="宋体" w:cs="宋体"/>
          <w:color w:val="000000"/>
          <w:kern w:val="0"/>
          <w:sz w:val="24"/>
        </w:rPr>
      </w:pPr>
      <w:r>
        <w:rPr>
          <w:rFonts w:hint="eastAsia" w:ascii="宋体" w:hAnsi="宋体" w:eastAsia="宋体" w:cs="宋体"/>
          <w:color w:val="000000"/>
          <w:kern w:val="0"/>
          <w:sz w:val="24"/>
          <w:shd w:val="clear" w:color="auto" w:fill="FFFFFF"/>
        </w:rPr>
        <w:t>（二）遵守评估准则，履行调查职责，独立分析估算，勤勉谨慎从事业务；</w:t>
      </w:r>
    </w:p>
    <w:p w14:paraId="4EACB264">
      <w:pPr>
        <w:shd w:val="clear" w:color="auto" w:fill="FFFFFF"/>
        <w:spacing w:line="440" w:lineRule="atLeast"/>
        <w:ind w:firstLine="480" w:firstLineChars="200"/>
        <w:rPr>
          <w:rFonts w:ascii="宋体" w:hAnsi="宋体" w:eastAsia="宋体" w:cs="宋体"/>
          <w:color w:val="000000"/>
          <w:kern w:val="0"/>
          <w:sz w:val="24"/>
        </w:rPr>
      </w:pPr>
      <w:r>
        <w:rPr>
          <w:rFonts w:hint="eastAsia" w:ascii="宋体" w:hAnsi="宋体" w:eastAsia="宋体" w:cs="宋体"/>
          <w:color w:val="000000"/>
          <w:kern w:val="0"/>
          <w:sz w:val="24"/>
          <w:shd w:val="clear" w:color="auto" w:fill="FFFFFF"/>
        </w:rPr>
        <w:t>（三）完成规定的继续教育，保持和提高专业能力；</w:t>
      </w:r>
    </w:p>
    <w:p w14:paraId="0813A3BC">
      <w:pPr>
        <w:shd w:val="clear" w:color="auto" w:fill="FFFFFF"/>
        <w:spacing w:line="440" w:lineRule="atLeast"/>
        <w:ind w:firstLine="480" w:firstLineChars="200"/>
        <w:rPr>
          <w:rFonts w:ascii="宋体" w:hAnsi="宋体" w:eastAsia="宋体" w:cs="宋体"/>
          <w:color w:val="000000"/>
          <w:kern w:val="0"/>
          <w:sz w:val="24"/>
        </w:rPr>
      </w:pPr>
      <w:r>
        <w:rPr>
          <w:rFonts w:hint="eastAsia" w:ascii="宋体" w:hAnsi="宋体" w:eastAsia="宋体" w:cs="宋体"/>
          <w:color w:val="000000"/>
          <w:kern w:val="0"/>
          <w:sz w:val="24"/>
          <w:shd w:val="clear" w:color="auto" w:fill="FFFFFF"/>
        </w:rPr>
        <w:t>（四）对评估活动中使用的有关文件、证明和资料的真实性、准确性、完整性进行核查和验证；</w:t>
      </w:r>
    </w:p>
    <w:p w14:paraId="57871C76">
      <w:pPr>
        <w:shd w:val="clear" w:color="auto" w:fill="FFFFFF"/>
        <w:spacing w:line="440" w:lineRule="atLeast"/>
        <w:ind w:firstLine="480" w:firstLineChars="200"/>
        <w:rPr>
          <w:rFonts w:ascii="宋体" w:hAnsi="宋体" w:eastAsia="宋体" w:cs="宋体"/>
          <w:color w:val="000000"/>
          <w:kern w:val="0"/>
          <w:sz w:val="24"/>
        </w:rPr>
      </w:pPr>
      <w:r>
        <w:rPr>
          <w:rFonts w:hint="eastAsia" w:ascii="宋体" w:hAnsi="宋体" w:eastAsia="宋体" w:cs="宋体"/>
          <w:color w:val="000000"/>
          <w:kern w:val="0"/>
          <w:sz w:val="24"/>
          <w:shd w:val="clear" w:color="auto" w:fill="FFFFFF"/>
        </w:rPr>
        <w:t>（五）对评估活动中知悉的国家秘密、商业秘密和个人隐私予以保密；</w:t>
      </w:r>
    </w:p>
    <w:p w14:paraId="391AC4B5">
      <w:pPr>
        <w:shd w:val="clear" w:color="auto" w:fill="FFFFFF"/>
        <w:spacing w:line="440" w:lineRule="atLeast"/>
        <w:ind w:firstLine="480" w:firstLineChars="200"/>
        <w:rPr>
          <w:rFonts w:ascii="宋体" w:hAnsi="宋体" w:eastAsia="宋体" w:cs="宋体"/>
          <w:color w:val="000000"/>
          <w:kern w:val="0"/>
          <w:sz w:val="24"/>
        </w:rPr>
      </w:pPr>
      <w:r>
        <w:rPr>
          <w:rFonts w:hint="eastAsia" w:ascii="宋体" w:hAnsi="宋体" w:eastAsia="宋体" w:cs="宋体"/>
          <w:color w:val="000000"/>
          <w:kern w:val="0"/>
          <w:sz w:val="24"/>
          <w:shd w:val="clear" w:color="auto" w:fill="FFFFFF"/>
        </w:rPr>
        <w:t>（六）与委托人或者其他相关当事人及评估对象有利害关系的，应当回避；</w:t>
      </w:r>
    </w:p>
    <w:p w14:paraId="4DFD61A4">
      <w:pPr>
        <w:shd w:val="clear" w:color="auto" w:fill="FFFFFF"/>
        <w:spacing w:line="440" w:lineRule="atLeast"/>
        <w:ind w:firstLine="480" w:firstLineChars="200"/>
        <w:rPr>
          <w:rFonts w:ascii="宋体" w:hAnsi="宋体" w:eastAsia="宋体" w:cs="宋体"/>
          <w:color w:val="000000"/>
          <w:kern w:val="0"/>
          <w:sz w:val="24"/>
        </w:rPr>
      </w:pPr>
      <w:r>
        <w:rPr>
          <w:rFonts w:hint="eastAsia" w:ascii="宋体" w:hAnsi="宋体" w:eastAsia="宋体" w:cs="宋体"/>
          <w:color w:val="000000"/>
          <w:kern w:val="0"/>
          <w:sz w:val="24"/>
          <w:shd w:val="clear" w:color="auto" w:fill="FFFFFF"/>
        </w:rPr>
        <w:t>（七）接受行业协会的自律管理，履行行业协会章程规定的义务；</w:t>
      </w:r>
    </w:p>
    <w:p w14:paraId="6EDB61D4">
      <w:pPr>
        <w:shd w:val="clear" w:color="auto" w:fill="FFFFFF"/>
        <w:spacing w:line="440" w:lineRule="atLeast"/>
        <w:ind w:firstLine="480" w:firstLineChars="200"/>
        <w:rPr>
          <w:rFonts w:ascii="宋体" w:hAnsi="宋体" w:eastAsia="宋体" w:cs="宋体"/>
          <w:color w:val="000000"/>
          <w:kern w:val="0"/>
          <w:sz w:val="24"/>
        </w:rPr>
      </w:pPr>
      <w:r>
        <w:rPr>
          <w:rFonts w:hint="eastAsia" w:ascii="宋体" w:hAnsi="宋体" w:eastAsia="宋体" w:cs="宋体"/>
          <w:color w:val="000000"/>
          <w:kern w:val="0"/>
          <w:sz w:val="24"/>
          <w:shd w:val="clear" w:color="auto" w:fill="FFFFFF"/>
        </w:rPr>
        <w:t>（八）法律、行政法规规定的其他义务。</w:t>
      </w:r>
    </w:p>
    <w:p w14:paraId="6F4B7834">
      <w:pPr>
        <w:shd w:val="clear" w:color="auto" w:fill="FFFFFF"/>
        <w:spacing w:line="440" w:lineRule="atLeast"/>
        <w:ind w:firstLine="482" w:firstLineChars="200"/>
        <w:rPr>
          <w:rFonts w:ascii="宋体" w:hAnsi="宋体" w:eastAsia="宋体" w:cs="宋体"/>
          <w:color w:val="000000"/>
          <w:kern w:val="0"/>
          <w:sz w:val="24"/>
        </w:rPr>
      </w:pPr>
      <w:r>
        <w:rPr>
          <w:rFonts w:hint="eastAsia" w:ascii="宋体" w:hAnsi="宋体" w:eastAsia="宋体" w:cs="宋体"/>
          <w:b/>
          <w:bCs/>
          <w:color w:val="000000"/>
          <w:kern w:val="0"/>
          <w:sz w:val="24"/>
          <w:shd w:val="clear" w:color="auto" w:fill="FFFFFF"/>
        </w:rPr>
        <w:t>第十四条</w:t>
      </w:r>
      <w:r>
        <w:rPr>
          <w:rFonts w:hint="eastAsia" w:ascii="宋体" w:hAnsi="宋体" w:eastAsia="宋体" w:cs="宋体"/>
          <w:color w:val="000000"/>
          <w:kern w:val="0"/>
          <w:sz w:val="24"/>
          <w:shd w:val="clear" w:color="auto" w:fill="FFFFFF"/>
        </w:rPr>
        <w:t>　评估专业人员不得有下列行为：</w:t>
      </w:r>
    </w:p>
    <w:p w14:paraId="15B469F0">
      <w:pPr>
        <w:shd w:val="clear" w:color="auto" w:fill="FFFFFF"/>
        <w:spacing w:line="440" w:lineRule="atLeast"/>
        <w:ind w:firstLine="480" w:firstLineChars="200"/>
        <w:rPr>
          <w:rFonts w:ascii="宋体" w:hAnsi="宋体" w:eastAsia="宋体" w:cs="宋体"/>
          <w:color w:val="000000"/>
          <w:kern w:val="0"/>
          <w:sz w:val="24"/>
        </w:rPr>
      </w:pPr>
      <w:r>
        <w:rPr>
          <w:rFonts w:hint="eastAsia" w:ascii="宋体" w:hAnsi="宋体" w:eastAsia="宋体" w:cs="宋体"/>
          <w:color w:val="000000"/>
          <w:kern w:val="0"/>
          <w:sz w:val="24"/>
          <w:shd w:val="clear" w:color="auto" w:fill="FFFFFF"/>
        </w:rPr>
        <w:t>（一）私自接受委托从事业务、收取费用；</w:t>
      </w:r>
    </w:p>
    <w:p w14:paraId="0E1C19CE">
      <w:pPr>
        <w:shd w:val="clear" w:color="auto" w:fill="FFFFFF"/>
        <w:spacing w:line="440" w:lineRule="atLeast"/>
        <w:ind w:firstLine="480" w:firstLineChars="200"/>
        <w:rPr>
          <w:rFonts w:ascii="宋体" w:hAnsi="宋体" w:eastAsia="宋体" w:cs="宋体"/>
          <w:color w:val="000000"/>
          <w:kern w:val="0"/>
          <w:sz w:val="24"/>
        </w:rPr>
      </w:pPr>
      <w:r>
        <w:rPr>
          <w:rFonts w:hint="eastAsia" w:ascii="宋体" w:hAnsi="宋体" w:eastAsia="宋体" w:cs="宋体"/>
          <w:color w:val="000000"/>
          <w:kern w:val="0"/>
          <w:sz w:val="24"/>
          <w:shd w:val="clear" w:color="auto" w:fill="FFFFFF"/>
        </w:rPr>
        <w:t>（二）同时在两个以上评估机构从事业务；</w:t>
      </w:r>
    </w:p>
    <w:p w14:paraId="181B02E1">
      <w:pPr>
        <w:shd w:val="clear" w:color="auto" w:fill="FFFFFF"/>
        <w:spacing w:line="440" w:lineRule="atLeast"/>
        <w:ind w:firstLine="480" w:firstLineChars="200"/>
        <w:rPr>
          <w:rFonts w:ascii="宋体" w:hAnsi="宋体" w:eastAsia="宋体" w:cs="宋体"/>
          <w:color w:val="000000"/>
          <w:kern w:val="0"/>
          <w:sz w:val="24"/>
        </w:rPr>
      </w:pPr>
      <w:r>
        <w:rPr>
          <w:rFonts w:hint="eastAsia" w:ascii="宋体" w:hAnsi="宋体" w:eastAsia="宋体" w:cs="宋体"/>
          <w:color w:val="000000"/>
          <w:kern w:val="0"/>
          <w:sz w:val="24"/>
          <w:shd w:val="clear" w:color="auto" w:fill="FFFFFF"/>
        </w:rPr>
        <w:t>（三）采用欺骗、利诱、胁迫，或者贬损、诋毁其他评估专业人员等不正当手段招揽业务；</w:t>
      </w:r>
    </w:p>
    <w:p w14:paraId="4FB74F20">
      <w:pPr>
        <w:shd w:val="clear" w:color="auto" w:fill="FFFFFF"/>
        <w:spacing w:line="440" w:lineRule="atLeast"/>
        <w:ind w:firstLine="480" w:firstLineChars="200"/>
        <w:rPr>
          <w:rFonts w:ascii="宋体" w:hAnsi="宋体" w:eastAsia="宋体" w:cs="宋体"/>
          <w:color w:val="000000"/>
          <w:kern w:val="0"/>
          <w:sz w:val="24"/>
        </w:rPr>
      </w:pPr>
      <w:r>
        <w:rPr>
          <w:rFonts w:hint="eastAsia" w:ascii="宋体" w:hAnsi="宋体" w:eastAsia="宋体" w:cs="宋体"/>
          <w:color w:val="000000"/>
          <w:kern w:val="0"/>
          <w:sz w:val="24"/>
          <w:shd w:val="clear" w:color="auto" w:fill="FFFFFF"/>
        </w:rPr>
        <w:t>（四）允许他人以本人名义从事业务，或者冒用他人名义从事业务；</w:t>
      </w:r>
    </w:p>
    <w:p w14:paraId="354A5E78">
      <w:pPr>
        <w:shd w:val="clear" w:color="auto" w:fill="FFFFFF"/>
        <w:spacing w:line="440" w:lineRule="atLeast"/>
        <w:ind w:firstLine="480" w:firstLineChars="200"/>
        <w:rPr>
          <w:rFonts w:ascii="宋体" w:hAnsi="宋体" w:eastAsia="宋体" w:cs="宋体"/>
          <w:color w:val="000000"/>
          <w:kern w:val="0"/>
          <w:sz w:val="24"/>
        </w:rPr>
      </w:pPr>
      <w:r>
        <w:rPr>
          <w:rFonts w:hint="eastAsia" w:ascii="宋体" w:hAnsi="宋体" w:eastAsia="宋体" w:cs="宋体"/>
          <w:color w:val="000000"/>
          <w:kern w:val="0"/>
          <w:sz w:val="24"/>
          <w:shd w:val="clear" w:color="auto" w:fill="FFFFFF"/>
        </w:rPr>
        <w:t>（五）签署本人未承办业务的评估报告；</w:t>
      </w:r>
    </w:p>
    <w:p w14:paraId="5061D727">
      <w:pPr>
        <w:shd w:val="clear" w:color="auto" w:fill="FFFFFF"/>
        <w:spacing w:line="440" w:lineRule="atLeast"/>
        <w:ind w:firstLine="480" w:firstLineChars="200"/>
        <w:rPr>
          <w:rFonts w:ascii="宋体" w:hAnsi="宋体" w:eastAsia="宋体" w:cs="宋体"/>
          <w:color w:val="000000"/>
          <w:kern w:val="0"/>
          <w:sz w:val="24"/>
        </w:rPr>
      </w:pPr>
      <w:r>
        <w:rPr>
          <w:rFonts w:hint="eastAsia" w:ascii="宋体" w:hAnsi="宋体" w:eastAsia="宋体" w:cs="宋体"/>
          <w:color w:val="000000"/>
          <w:kern w:val="0"/>
          <w:sz w:val="24"/>
          <w:shd w:val="clear" w:color="auto" w:fill="FFFFFF"/>
        </w:rPr>
        <w:t>（六）索要、收受或者变相索要、收受合同约定以外的酬金、财物，或者谋取其他不正当利益；</w:t>
      </w:r>
    </w:p>
    <w:p w14:paraId="5C7268FD">
      <w:pPr>
        <w:shd w:val="clear" w:color="auto" w:fill="FFFFFF"/>
        <w:spacing w:line="440" w:lineRule="atLeast"/>
        <w:ind w:firstLine="480" w:firstLineChars="200"/>
        <w:rPr>
          <w:rFonts w:ascii="宋体" w:hAnsi="宋体" w:eastAsia="宋体" w:cs="宋体"/>
          <w:color w:val="000000"/>
          <w:kern w:val="0"/>
          <w:sz w:val="24"/>
        </w:rPr>
      </w:pPr>
      <w:r>
        <w:rPr>
          <w:rFonts w:hint="eastAsia" w:ascii="宋体" w:hAnsi="宋体" w:eastAsia="宋体" w:cs="宋体"/>
          <w:color w:val="000000"/>
          <w:kern w:val="0"/>
          <w:sz w:val="24"/>
          <w:shd w:val="clear" w:color="auto" w:fill="FFFFFF"/>
        </w:rPr>
        <w:t>（七）签署虚假评估报告或者有重大遗漏的评估报告；</w:t>
      </w:r>
    </w:p>
    <w:p w14:paraId="12D3D7E3">
      <w:pPr>
        <w:shd w:val="clear" w:color="auto" w:fill="FFFFFF"/>
        <w:spacing w:line="440" w:lineRule="atLeast"/>
        <w:ind w:firstLine="480" w:firstLineChars="200"/>
        <w:rPr>
          <w:rFonts w:ascii="宋体" w:hAnsi="宋体" w:eastAsia="宋体" w:cs="宋体"/>
          <w:color w:val="000000"/>
          <w:kern w:val="0"/>
          <w:sz w:val="24"/>
        </w:rPr>
      </w:pPr>
      <w:r>
        <w:rPr>
          <w:rFonts w:hint="eastAsia" w:ascii="宋体" w:hAnsi="宋体" w:eastAsia="宋体" w:cs="宋体"/>
          <w:color w:val="000000"/>
          <w:kern w:val="0"/>
          <w:sz w:val="24"/>
          <w:shd w:val="clear" w:color="auto" w:fill="FFFFFF"/>
        </w:rPr>
        <w:t>（八）违反法律、行政法规的其他行为。</w:t>
      </w:r>
    </w:p>
    <w:p w14:paraId="73DA89C6">
      <w:pPr>
        <w:shd w:val="clear" w:color="auto" w:fill="FFFFFF"/>
        <w:spacing w:line="440" w:lineRule="atLeast"/>
        <w:jc w:val="center"/>
        <w:rPr>
          <w:rFonts w:ascii="黑体" w:hAnsi="黑体" w:eastAsia="黑体" w:cs="黑体"/>
          <w:color w:val="000000"/>
          <w:kern w:val="0"/>
          <w:sz w:val="28"/>
          <w:szCs w:val="28"/>
          <w:shd w:val="clear" w:color="auto" w:fill="FFFFFF"/>
        </w:rPr>
      </w:pPr>
      <w:r>
        <w:rPr>
          <w:rFonts w:hint="eastAsia" w:ascii="黑体" w:hAnsi="黑体" w:eastAsia="黑体" w:cs="黑体"/>
          <w:color w:val="000000"/>
          <w:kern w:val="0"/>
          <w:sz w:val="28"/>
          <w:szCs w:val="28"/>
          <w:shd w:val="clear" w:color="auto" w:fill="FFFFFF"/>
        </w:rPr>
        <w:t>第三章　评估机构</w:t>
      </w:r>
    </w:p>
    <w:p w14:paraId="7E04CA49">
      <w:pPr>
        <w:shd w:val="clear" w:color="auto" w:fill="FFFFFF"/>
        <w:spacing w:line="440" w:lineRule="atLeast"/>
        <w:ind w:firstLine="482" w:firstLineChars="200"/>
        <w:rPr>
          <w:rFonts w:ascii="宋体" w:hAnsi="宋体" w:eastAsia="宋体" w:cs="宋体"/>
          <w:color w:val="000000"/>
          <w:kern w:val="0"/>
          <w:sz w:val="24"/>
        </w:rPr>
      </w:pPr>
      <w:r>
        <w:rPr>
          <w:rFonts w:hint="eastAsia" w:ascii="宋体" w:hAnsi="宋体" w:eastAsia="宋体" w:cs="宋体"/>
          <w:b/>
          <w:bCs/>
          <w:color w:val="000000"/>
          <w:kern w:val="0"/>
          <w:sz w:val="24"/>
          <w:shd w:val="clear" w:color="auto" w:fill="FFFFFF"/>
        </w:rPr>
        <w:t>第十五条　</w:t>
      </w:r>
      <w:r>
        <w:rPr>
          <w:rFonts w:hint="eastAsia" w:ascii="宋体" w:hAnsi="宋体" w:eastAsia="宋体" w:cs="宋体"/>
          <w:color w:val="000000"/>
          <w:kern w:val="0"/>
          <w:sz w:val="24"/>
          <w:shd w:val="clear" w:color="auto" w:fill="FFFFFF"/>
        </w:rPr>
        <w:t>评估机构应当依法采用合伙或者公司形式，聘用评估专业人员开展评估业务。</w:t>
      </w:r>
    </w:p>
    <w:p w14:paraId="2A2734DA">
      <w:pPr>
        <w:shd w:val="clear" w:color="auto" w:fill="FFFFFF"/>
        <w:spacing w:line="440" w:lineRule="atLeast"/>
        <w:ind w:firstLine="480" w:firstLineChars="200"/>
        <w:rPr>
          <w:rFonts w:ascii="宋体" w:hAnsi="宋体" w:eastAsia="宋体" w:cs="宋体"/>
          <w:color w:val="000000"/>
          <w:kern w:val="0"/>
          <w:sz w:val="24"/>
        </w:rPr>
      </w:pPr>
      <w:r>
        <w:rPr>
          <w:rFonts w:hint="eastAsia" w:ascii="宋体" w:hAnsi="宋体" w:eastAsia="宋体" w:cs="宋体"/>
          <w:color w:val="000000"/>
          <w:kern w:val="0"/>
          <w:sz w:val="24"/>
          <w:shd w:val="clear" w:color="auto" w:fill="FFFFFF"/>
        </w:rPr>
        <w:t>合伙形式的评估机构，应当有两名以上评估师；其合伙人三分之二以上应当是具有三年以上从业经历且最近三年内未受停止从业处罚的评估师。</w:t>
      </w:r>
    </w:p>
    <w:p w14:paraId="4B4AE19E">
      <w:pPr>
        <w:shd w:val="clear" w:color="auto" w:fill="FFFFFF"/>
        <w:spacing w:line="440" w:lineRule="atLeast"/>
        <w:ind w:firstLine="480" w:firstLineChars="200"/>
        <w:rPr>
          <w:rFonts w:ascii="宋体" w:hAnsi="宋体" w:eastAsia="宋体" w:cs="宋体"/>
          <w:color w:val="000000"/>
          <w:kern w:val="0"/>
          <w:sz w:val="24"/>
        </w:rPr>
      </w:pPr>
      <w:r>
        <w:rPr>
          <w:rFonts w:hint="eastAsia" w:ascii="宋体" w:hAnsi="宋体" w:eastAsia="宋体" w:cs="宋体"/>
          <w:color w:val="000000"/>
          <w:kern w:val="0"/>
          <w:sz w:val="24"/>
          <w:shd w:val="clear" w:color="auto" w:fill="FFFFFF"/>
        </w:rPr>
        <w:t>公司形式的评估机构，应当有八名以上评估师和两名以上股东，其中三分之二以上股东应当是具有三年以上从业经历且最近三年内未受停止从业处罚的评估师。</w:t>
      </w:r>
    </w:p>
    <w:p w14:paraId="799A02D3">
      <w:pPr>
        <w:shd w:val="clear" w:color="auto" w:fill="FFFFFF"/>
        <w:spacing w:line="440" w:lineRule="atLeast"/>
        <w:ind w:firstLine="480" w:firstLineChars="200"/>
        <w:rPr>
          <w:rFonts w:ascii="宋体" w:hAnsi="宋体" w:eastAsia="宋体" w:cs="宋体"/>
          <w:color w:val="000000"/>
          <w:kern w:val="0"/>
          <w:sz w:val="24"/>
        </w:rPr>
      </w:pPr>
      <w:r>
        <w:rPr>
          <w:rFonts w:hint="eastAsia" w:ascii="宋体" w:hAnsi="宋体" w:eastAsia="宋体" w:cs="宋体"/>
          <w:color w:val="000000"/>
          <w:kern w:val="0"/>
          <w:sz w:val="24"/>
          <w:shd w:val="clear" w:color="auto" w:fill="FFFFFF"/>
        </w:rPr>
        <w:t>评估机构的合伙人或者股东为两名的，两名合伙人或者股东都应当是具有三年以上从业经历且最近三年内未受停止从业处罚的评估师。</w:t>
      </w:r>
    </w:p>
    <w:p w14:paraId="565252C8">
      <w:pPr>
        <w:shd w:val="clear" w:color="auto" w:fill="FFFFFF"/>
        <w:spacing w:line="440" w:lineRule="atLeast"/>
        <w:ind w:firstLine="482" w:firstLineChars="200"/>
        <w:rPr>
          <w:rFonts w:ascii="宋体" w:hAnsi="宋体" w:eastAsia="宋体" w:cs="宋体"/>
          <w:color w:val="000000"/>
          <w:kern w:val="0"/>
          <w:sz w:val="24"/>
        </w:rPr>
      </w:pPr>
      <w:r>
        <w:rPr>
          <w:rFonts w:hint="eastAsia" w:ascii="宋体" w:hAnsi="宋体" w:eastAsia="宋体" w:cs="宋体"/>
          <w:b/>
          <w:bCs/>
          <w:color w:val="000000"/>
          <w:kern w:val="0"/>
          <w:sz w:val="24"/>
          <w:shd w:val="clear" w:color="auto" w:fill="FFFFFF"/>
        </w:rPr>
        <w:t>第十六条</w:t>
      </w:r>
      <w:r>
        <w:rPr>
          <w:rFonts w:hint="eastAsia" w:ascii="宋体" w:hAnsi="宋体" w:eastAsia="宋体" w:cs="宋体"/>
          <w:color w:val="000000"/>
          <w:kern w:val="0"/>
          <w:sz w:val="24"/>
          <w:shd w:val="clear" w:color="auto" w:fill="FFFFFF"/>
        </w:rPr>
        <w:t>　设立评估机构，应当向工商行政管理部门申请办理登记。评估机构应当自领取营业执照之日起三十日内向有关评估行政管理部门备案。评估行政管理部门应当及时将评估机构备案情况向社会公告。</w:t>
      </w:r>
    </w:p>
    <w:p w14:paraId="52572DCD">
      <w:pPr>
        <w:shd w:val="clear" w:color="auto" w:fill="FFFFFF"/>
        <w:spacing w:line="440" w:lineRule="atLeast"/>
        <w:ind w:firstLine="482" w:firstLineChars="200"/>
        <w:rPr>
          <w:rFonts w:ascii="宋体" w:hAnsi="宋体" w:eastAsia="宋体" w:cs="宋体"/>
          <w:color w:val="000000"/>
          <w:kern w:val="0"/>
          <w:sz w:val="24"/>
        </w:rPr>
      </w:pPr>
      <w:r>
        <w:rPr>
          <w:rFonts w:hint="eastAsia" w:ascii="宋体" w:hAnsi="宋体" w:eastAsia="宋体" w:cs="宋体"/>
          <w:b/>
          <w:bCs/>
          <w:color w:val="000000"/>
          <w:kern w:val="0"/>
          <w:sz w:val="24"/>
          <w:shd w:val="clear" w:color="auto" w:fill="FFFFFF"/>
        </w:rPr>
        <w:t>第十七条</w:t>
      </w:r>
      <w:r>
        <w:rPr>
          <w:rFonts w:hint="eastAsia" w:ascii="宋体" w:hAnsi="宋体" w:eastAsia="宋体" w:cs="宋体"/>
          <w:color w:val="000000"/>
          <w:kern w:val="0"/>
          <w:sz w:val="24"/>
          <w:shd w:val="clear" w:color="auto" w:fill="FFFFFF"/>
        </w:rPr>
        <w:t>　评估机构应当依法独立、客观、公正开展业务，建立健全质量控制制度，保证评估报告的客观、真实、合理。</w:t>
      </w:r>
    </w:p>
    <w:p w14:paraId="18B05731">
      <w:pPr>
        <w:shd w:val="clear" w:color="auto" w:fill="FFFFFF"/>
        <w:spacing w:line="440" w:lineRule="atLeast"/>
        <w:ind w:firstLine="480" w:firstLineChars="200"/>
        <w:rPr>
          <w:rFonts w:ascii="宋体" w:hAnsi="宋体" w:eastAsia="宋体" w:cs="宋体"/>
          <w:color w:val="000000"/>
          <w:kern w:val="0"/>
          <w:sz w:val="24"/>
        </w:rPr>
      </w:pPr>
      <w:r>
        <w:rPr>
          <w:rFonts w:hint="eastAsia" w:ascii="宋体" w:hAnsi="宋体" w:eastAsia="宋体" w:cs="宋体"/>
          <w:color w:val="000000"/>
          <w:kern w:val="0"/>
          <w:sz w:val="24"/>
          <w:shd w:val="clear" w:color="auto" w:fill="FFFFFF"/>
        </w:rPr>
        <w:t>评估机构应当建立健全内部管理制度，对本机构的评估专业人员遵守法律、行政法规和评估准则的情况进行监督，并对其从业行为负责。</w:t>
      </w:r>
    </w:p>
    <w:p w14:paraId="74345C6A">
      <w:pPr>
        <w:shd w:val="clear" w:color="auto" w:fill="FFFFFF"/>
        <w:spacing w:line="440" w:lineRule="atLeast"/>
        <w:ind w:firstLine="480" w:firstLineChars="200"/>
        <w:rPr>
          <w:rFonts w:ascii="宋体" w:hAnsi="宋体" w:eastAsia="宋体" w:cs="宋体"/>
          <w:color w:val="000000"/>
          <w:kern w:val="0"/>
          <w:sz w:val="24"/>
        </w:rPr>
      </w:pPr>
      <w:r>
        <w:rPr>
          <w:rFonts w:hint="eastAsia" w:ascii="宋体" w:hAnsi="宋体" w:eastAsia="宋体" w:cs="宋体"/>
          <w:color w:val="000000"/>
          <w:kern w:val="0"/>
          <w:sz w:val="24"/>
          <w:shd w:val="clear" w:color="auto" w:fill="FFFFFF"/>
        </w:rPr>
        <w:t>评估机构应当依法接受监督检查，如实提供评估档案以及相关情况。</w:t>
      </w:r>
    </w:p>
    <w:p w14:paraId="6A2BCBCE">
      <w:pPr>
        <w:shd w:val="clear" w:color="auto" w:fill="FFFFFF"/>
        <w:spacing w:line="440" w:lineRule="atLeast"/>
        <w:ind w:firstLine="482" w:firstLineChars="200"/>
        <w:rPr>
          <w:rFonts w:ascii="宋体" w:hAnsi="宋体" w:eastAsia="宋体" w:cs="宋体"/>
          <w:color w:val="000000"/>
          <w:kern w:val="0"/>
          <w:sz w:val="24"/>
        </w:rPr>
      </w:pPr>
      <w:r>
        <w:rPr>
          <w:rFonts w:hint="eastAsia" w:ascii="宋体" w:hAnsi="宋体" w:eastAsia="宋体" w:cs="宋体"/>
          <w:b/>
          <w:bCs/>
          <w:color w:val="000000"/>
          <w:kern w:val="0"/>
          <w:sz w:val="24"/>
          <w:shd w:val="clear" w:color="auto" w:fill="FFFFFF"/>
        </w:rPr>
        <w:t>第十八条</w:t>
      </w:r>
      <w:r>
        <w:rPr>
          <w:rFonts w:hint="eastAsia" w:ascii="宋体" w:hAnsi="宋体" w:eastAsia="宋体" w:cs="宋体"/>
          <w:color w:val="000000"/>
          <w:kern w:val="0"/>
          <w:sz w:val="24"/>
          <w:shd w:val="clear" w:color="auto" w:fill="FFFFFF"/>
        </w:rPr>
        <w:t>　委托人拒绝提供或者不如实提供执行评估业务所需的权属证明、财务会计信息和其他资料的，评估机构有权依法拒绝其履行合同的要求。</w:t>
      </w:r>
    </w:p>
    <w:p w14:paraId="56DC4E34">
      <w:pPr>
        <w:shd w:val="clear" w:color="auto" w:fill="FFFFFF"/>
        <w:spacing w:line="440" w:lineRule="atLeast"/>
        <w:ind w:firstLine="482" w:firstLineChars="200"/>
        <w:rPr>
          <w:rFonts w:ascii="宋体" w:hAnsi="宋体" w:eastAsia="宋体" w:cs="宋体"/>
          <w:color w:val="000000"/>
          <w:kern w:val="0"/>
          <w:sz w:val="24"/>
        </w:rPr>
      </w:pPr>
      <w:r>
        <w:rPr>
          <w:rFonts w:hint="eastAsia" w:ascii="宋体" w:hAnsi="宋体" w:eastAsia="宋体" w:cs="宋体"/>
          <w:b/>
          <w:bCs/>
          <w:color w:val="000000"/>
          <w:kern w:val="0"/>
          <w:sz w:val="24"/>
          <w:shd w:val="clear" w:color="auto" w:fill="FFFFFF"/>
        </w:rPr>
        <w:t>第十九条</w:t>
      </w:r>
      <w:r>
        <w:rPr>
          <w:rFonts w:hint="eastAsia" w:ascii="宋体" w:hAnsi="宋体" w:eastAsia="宋体" w:cs="宋体"/>
          <w:color w:val="000000"/>
          <w:kern w:val="0"/>
          <w:sz w:val="24"/>
          <w:shd w:val="clear" w:color="auto" w:fill="FFFFFF"/>
        </w:rPr>
        <w:t>　委托人要求出具虚假评估报告或者有其他非法干预评估结果情形的，评估机构有权解除合同。</w:t>
      </w:r>
    </w:p>
    <w:p w14:paraId="738E4354">
      <w:pPr>
        <w:shd w:val="clear" w:color="auto" w:fill="FFFFFF"/>
        <w:spacing w:line="440" w:lineRule="atLeast"/>
        <w:ind w:firstLine="482" w:firstLineChars="200"/>
        <w:rPr>
          <w:rFonts w:ascii="宋体" w:hAnsi="宋体" w:eastAsia="宋体" w:cs="宋体"/>
          <w:color w:val="000000"/>
          <w:kern w:val="0"/>
          <w:sz w:val="24"/>
        </w:rPr>
      </w:pPr>
      <w:r>
        <w:rPr>
          <w:rFonts w:hint="eastAsia" w:ascii="宋体" w:hAnsi="宋体" w:eastAsia="宋体" w:cs="宋体"/>
          <w:b/>
          <w:bCs/>
          <w:color w:val="000000"/>
          <w:kern w:val="0"/>
          <w:sz w:val="24"/>
          <w:shd w:val="clear" w:color="auto" w:fill="FFFFFF"/>
        </w:rPr>
        <w:t>第二十条</w:t>
      </w:r>
      <w:r>
        <w:rPr>
          <w:rFonts w:hint="eastAsia" w:ascii="宋体" w:hAnsi="宋体" w:eastAsia="宋体" w:cs="宋体"/>
          <w:color w:val="000000"/>
          <w:kern w:val="0"/>
          <w:sz w:val="24"/>
          <w:shd w:val="clear" w:color="auto" w:fill="FFFFFF"/>
        </w:rPr>
        <w:t>　评估机构不得有下列行为：</w:t>
      </w:r>
    </w:p>
    <w:p w14:paraId="66431EE4">
      <w:pPr>
        <w:shd w:val="clear" w:color="auto" w:fill="FFFFFF"/>
        <w:spacing w:line="440" w:lineRule="atLeast"/>
        <w:ind w:firstLine="480" w:firstLineChars="200"/>
        <w:rPr>
          <w:rFonts w:ascii="宋体" w:hAnsi="宋体" w:eastAsia="宋体" w:cs="宋体"/>
          <w:color w:val="000000"/>
          <w:kern w:val="0"/>
          <w:sz w:val="24"/>
        </w:rPr>
      </w:pPr>
      <w:r>
        <w:rPr>
          <w:rFonts w:hint="eastAsia" w:ascii="宋体" w:hAnsi="宋体" w:eastAsia="宋体" w:cs="宋体"/>
          <w:color w:val="000000"/>
          <w:kern w:val="0"/>
          <w:sz w:val="24"/>
          <w:shd w:val="clear" w:color="auto" w:fill="FFFFFF"/>
        </w:rPr>
        <w:t>（一）利用开展业务之便，谋取不正当利益；</w:t>
      </w:r>
    </w:p>
    <w:p w14:paraId="4009587E">
      <w:pPr>
        <w:shd w:val="clear" w:color="auto" w:fill="FFFFFF"/>
        <w:spacing w:line="440" w:lineRule="atLeast"/>
        <w:ind w:firstLine="480" w:firstLineChars="200"/>
        <w:rPr>
          <w:rFonts w:ascii="宋体" w:hAnsi="宋体" w:eastAsia="宋体" w:cs="宋体"/>
          <w:color w:val="000000"/>
          <w:kern w:val="0"/>
          <w:sz w:val="24"/>
        </w:rPr>
      </w:pPr>
      <w:r>
        <w:rPr>
          <w:rFonts w:hint="eastAsia" w:ascii="宋体" w:hAnsi="宋体" w:eastAsia="宋体" w:cs="宋体"/>
          <w:color w:val="000000"/>
          <w:kern w:val="0"/>
          <w:sz w:val="24"/>
          <w:shd w:val="clear" w:color="auto" w:fill="FFFFFF"/>
        </w:rPr>
        <w:t>（二）允许其他机构以本机构名义开展业务，或者冒用其他机构名义开展业务；</w:t>
      </w:r>
    </w:p>
    <w:p w14:paraId="25F00C7A">
      <w:pPr>
        <w:shd w:val="clear" w:color="auto" w:fill="FFFFFF"/>
        <w:spacing w:line="440" w:lineRule="atLeast"/>
        <w:ind w:firstLine="480" w:firstLineChars="200"/>
        <w:rPr>
          <w:rFonts w:ascii="宋体" w:hAnsi="宋体" w:eastAsia="宋体" w:cs="宋体"/>
          <w:color w:val="000000"/>
          <w:kern w:val="0"/>
          <w:sz w:val="24"/>
        </w:rPr>
      </w:pPr>
      <w:r>
        <w:rPr>
          <w:rFonts w:hint="eastAsia" w:ascii="宋体" w:hAnsi="宋体" w:eastAsia="宋体" w:cs="宋体"/>
          <w:color w:val="000000"/>
          <w:kern w:val="0"/>
          <w:sz w:val="24"/>
          <w:shd w:val="clear" w:color="auto" w:fill="FFFFFF"/>
        </w:rPr>
        <w:t>（三）以恶性压价、支付回扣、虚假宣传，或者贬损、诋毁其他评估机构等不正当手段招揽业务；</w:t>
      </w:r>
    </w:p>
    <w:p w14:paraId="5D2754AF">
      <w:pPr>
        <w:shd w:val="clear" w:color="auto" w:fill="FFFFFF"/>
        <w:spacing w:line="440" w:lineRule="atLeast"/>
        <w:ind w:firstLine="480" w:firstLineChars="200"/>
        <w:rPr>
          <w:rFonts w:ascii="宋体" w:hAnsi="宋体" w:eastAsia="宋体" w:cs="宋体"/>
          <w:color w:val="000000"/>
          <w:kern w:val="0"/>
          <w:sz w:val="24"/>
        </w:rPr>
      </w:pPr>
      <w:r>
        <w:rPr>
          <w:rFonts w:hint="eastAsia" w:ascii="宋体" w:hAnsi="宋体" w:eastAsia="宋体" w:cs="宋体"/>
          <w:color w:val="000000"/>
          <w:kern w:val="0"/>
          <w:sz w:val="24"/>
          <w:shd w:val="clear" w:color="auto" w:fill="FFFFFF"/>
        </w:rPr>
        <w:t>（四）受理与自身有利害关系的业务；</w:t>
      </w:r>
    </w:p>
    <w:p w14:paraId="78315864">
      <w:pPr>
        <w:shd w:val="clear" w:color="auto" w:fill="FFFFFF"/>
        <w:spacing w:line="440" w:lineRule="atLeast"/>
        <w:ind w:firstLine="480" w:firstLineChars="200"/>
        <w:rPr>
          <w:rFonts w:ascii="宋体" w:hAnsi="宋体" w:eastAsia="宋体" w:cs="宋体"/>
          <w:color w:val="000000"/>
          <w:kern w:val="0"/>
          <w:sz w:val="24"/>
        </w:rPr>
      </w:pPr>
      <w:r>
        <w:rPr>
          <w:rFonts w:hint="eastAsia" w:ascii="宋体" w:hAnsi="宋体" w:eastAsia="宋体" w:cs="宋体"/>
          <w:color w:val="000000"/>
          <w:kern w:val="0"/>
          <w:sz w:val="24"/>
          <w:shd w:val="clear" w:color="auto" w:fill="FFFFFF"/>
        </w:rPr>
        <w:t>（五）分别接受利益冲突双方的委托，对同一评估对象进行评估；</w:t>
      </w:r>
    </w:p>
    <w:p w14:paraId="6086F7B7">
      <w:pPr>
        <w:shd w:val="clear" w:color="auto" w:fill="FFFFFF"/>
        <w:spacing w:line="440" w:lineRule="atLeast"/>
        <w:ind w:firstLine="480" w:firstLineChars="200"/>
        <w:rPr>
          <w:rFonts w:ascii="宋体" w:hAnsi="宋体" w:eastAsia="宋体" w:cs="宋体"/>
          <w:color w:val="000000"/>
          <w:kern w:val="0"/>
          <w:sz w:val="24"/>
        </w:rPr>
      </w:pPr>
      <w:r>
        <w:rPr>
          <w:rFonts w:hint="eastAsia" w:ascii="宋体" w:hAnsi="宋体" w:eastAsia="宋体" w:cs="宋体"/>
          <w:color w:val="000000"/>
          <w:kern w:val="0"/>
          <w:sz w:val="24"/>
          <w:shd w:val="clear" w:color="auto" w:fill="FFFFFF"/>
        </w:rPr>
        <w:t>（六）出具虚假评估报告或者有重大遗漏的评估报告；</w:t>
      </w:r>
    </w:p>
    <w:p w14:paraId="15215F6A">
      <w:pPr>
        <w:shd w:val="clear" w:color="auto" w:fill="FFFFFF"/>
        <w:spacing w:line="440" w:lineRule="atLeast"/>
        <w:ind w:firstLine="480" w:firstLineChars="200"/>
        <w:rPr>
          <w:rFonts w:ascii="宋体" w:hAnsi="宋体" w:eastAsia="宋体" w:cs="宋体"/>
          <w:color w:val="000000"/>
          <w:kern w:val="0"/>
          <w:sz w:val="24"/>
        </w:rPr>
      </w:pPr>
      <w:r>
        <w:rPr>
          <w:rFonts w:hint="eastAsia" w:ascii="宋体" w:hAnsi="宋体" w:eastAsia="宋体" w:cs="宋体"/>
          <w:color w:val="000000"/>
          <w:kern w:val="0"/>
          <w:sz w:val="24"/>
          <w:shd w:val="clear" w:color="auto" w:fill="FFFFFF"/>
        </w:rPr>
        <w:t>（七）聘用或者指定不符合本法规定的人员从事评估业务；</w:t>
      </w:r>
    </w:p>
    <w:p w14:paraId="2442BA7A">
      <w:pPr>
        <w:shd w:val="clear" w:color="auto" w:fill="FFFFFF"/>
        <w:spacing w:line="440" w:lineRule="atLeast"/>
        <w:ind w:firstLine="480" w:firstLineChars="200"/>
        <w:rPr>
          <w:rFonts w:ascii="宋体" w:hAnsi="宋体" w:eastAsia="宋体" w:cs="宋体"/>
          <w:color w:val="000000"/>
          <w:kern w:val="0"/>
          <w:sz w:val="24"/>
        </w:rPr>
      </w:pPr>
      <w:r>
        <w:rPr>
          <w:rFonts w:hint="eastAsia" w:ascii="宋体" w:hAnsi="宋体" w:eastAsia="宋体" w:cs="宋体"/>
          <w:color w:val="000000"/>
          <w:kern w:val="0"/>
          <w:sz w:val="24"/>
          <w:shd w:val="clear" w:color="auto" w:fill="FFFFFF"/>
        </w:rPr>
        <w:t>（八）违反法律、行政法规的其他行为。</w:t>
      </w:r>
    </w:p>
    <w:p w14:paraId="24D02EB9">
      <w:pPr>
        <w:shd w:val="clear" w:color="auto" w:fill="FFFFFF"/>
        <w:spacing w:line="440" w:lineRule="atLeast"/>
        <w:ind w:firstLine="482" w:firstLineChars="200"/>
        <w:rPr>
          <w:rFonts w:ascii="宋体" w:hAnsi="宋体" w:eastAsia="宋体" w:cs="宋体"/>
          <w:color w:val="000000"/>
          <w:kern w:val="0"/>
          <w:sz w:val="24"/>
        </w:rPr>
      </w:pPr>
      <w:r>
        <w:rPr>
          <w:rFonts w:hint="eastAsia" w:ascii="宋体" w:hAnsi="宋体" w:eastAsia="宋体" w:cs="宋体"/>
          <w:b/>
          <w:bCs/>
          <w:color w:val="000000"/>
          <w:kern w:val="0"/>
          <w:sz w:val="24"/>
          <w:shd w:val="clear" w:color="auto" w:fill="FFFFFF"/>
        </w:rPr>
        <w:t>第二十一条</w:t>
      </w:r>
      <w:r>
        <w:rPr>
          <w:rFonts w:hint="eastAsia" w:ascii="宋体" w:hAnsi="宋体" w:eastAsia="宋体" w:cs="宋体"/>
          <w:color w:val="000000"/>
          <w:kern w:val="0"/>
          <w:sz w:val="24"/>
          <w:shd w:val="clear" w:color="auto" w:fill="FFFFFF"/>
        </w:rPr>
        <w:t>　评估机构根据业务需要建立职业风险基金，或者自愿办理职业责任保险，完善风险防范机制。</w:t>
      </w:r>
    </w:p>
    <w:p w14:paraId="72E65C86">
      <w:pPr>
        <w:shd w:val="clear" w:color="auto" w:fill="FFFFFF"/>
        <w:spacing w:line="440" w:lineRule="atLeast"/>
        <w:jc w:val="center"/>
        <w:rPr>
          <w:rFonts w:ascii="黑体" w:hAnsi="黑体" w:eastAsia="黑体" w:cs="黑体"/>
          <w:color w:val="000000"/>
          <w:kern w:val="0"/>
          <w:sz w:val="28"/>
          <w:szCs w:val="28"/>
          <w:shd w:val="clear" w:color="auto" w:fill="FFFFFF"/>
        </w:rPr>
      </w:pPr>
      <w:r>
        <w:rPr>
          <w:rFonts w:hint="eastAsia" w:ascii="黑体" w:hAnsi="黑体" w:eastAsia="黑体" w:cs="黑体"/>
          <w:color w:val="000000"/>
          <w:kern w:val="0"/>
          <w:sz w:val="28"/>
          <w:szCs w:val="28"/>
          <w:shd w:val="clear" w:color="auto" w:fill="FFFFFF"/>
        </w:rPr>
        <w:t>第四章　评估程序</w:t>
      </w:r>
    </w:p>
    <w:p w14:paraId="79F0C478">
      <w:pPr>
        <w:shd w:val="clear" w:color="auto" w:fill="FFFFFF"/>
        <w:spacing w:line="440" w:lineRule="atLeast"/>
        <w:ind w:firstLine="482" w:firstLineChars="200"/>
        <w:rPr>
          <w:rFonts w:ascii="宋体" w:hAnsi="宋体" w:eastAsia="宋体" w:cs="宋体"/>
          <w:color w:val="000000"/>
          <w:kern w:val="0"/>
          <w:sz w:val="24"/>
        </w:rPr>
      </w:pPr>
      <w:r>
        <w:rPr>
          <w:rFonts w:hint="eastAsia" w:ascii="宋体" w:hAnsi="宋体" w:eastAsia="宋体" w:cs="宋体"/>
          <w:b/>
          <w:bCs/>
          <w:color w:val="000000"/>
          <w:kern w:val="0"/>
          <w:sz w:val="24"/>
          <w:shd w:val="clear" w:color="auto" w:fill="FFFFFF"/>
        </w:rPr>
        <w:t>第二十二条　</w:t>
      </w:r>
      <w:r>
        <w:rPr>
          <w:rFonts w:hint="eastAsia" w:ascii="宋体" w:hAnsi="宋体" w:eastAsia="宋体" w:cs="宋体"/>
          <w:color w:val="000000"/>
          <w:kern w:val="0"/>
          <w:sz w:val="24"/>
          <w:shd w:val="clear" w:color="auto" w:fill="FFFFFF"/>
        </w:rPr>
        <w:t>委托人有权自主选择符合本法规定的评估机构，任何组织或者个人不得非法限制或者干预。</w:t>
      </w:r>
    </w:p>
    <w:p w14:paraId="384EF439">
      <w:pPr>
        <w:shd w:val="clear" w:color="auto" w:fill="FFFFFF"/>
        <w:spacing w:line="440" w:lineRule="atLeast"/>
        <w:ind w:firstLine="480" w:firstLineChars="200"/>
        <w:rPr>
          <w:rFonts w:ascii="宋体" w:hAnsi="宋体" w:eastAsia="宋体" w:cs="宋体"/>
          <w:color w:val="000000"/>
          <w:kern w:val="0"/>
          <w:sz w:val="24"/>
        </w:rPr>
      </w:pPr>
      <w:r>
        <w:rPr>
          <w:rFonts w:hint="eastAsia" w:ascii="宋体" w:hAnsi="宋体" w:eastAsia="宋体" w:cs="宋体"/>
          <w:color w:val="000000"/>
          <w:kern w:val="0"/>
          <w:sz w:val="24"/>
          <w:shd w:val="clear" w:color="auto" w:fill="FFFFFF"/>
        </w:rPr>
        <w:t>评估事项涉及两个以上当事人的，由全体当事人协商委托评估机构。</w:t>
      </w:r>
    </w:p>
    <w:p w14:paraId="7E9B500A">
      <w:pPr>
        <w:shd w:val="clear" w:color="auto" w:fill="FFFFFF"/>
        <w:spacing w:line="440" w:lineRule="atLeast"/>
        <w:ind w:firstLine="480" w:firstLineChars="200"/>
        <w:rPr>
          <w:rFonts w:ascii="宋体" w:hAnsi="宋体" w:eastAsia="宋体" w:cs="宋体"/>
          <w:color w:val="000000"/>
          <w:kern w:val="0"/>
          <w:sz w:val="24"/>
        </w:rPr>
      </w:pPr>
      <w:r>
        <w:rPr>
          <w:rFonts w:hint="eastAsia" w:ascii="宋体" w:hAnsi="宋体" w:eastAsia="宋体" w:cs="宋体"/>
          <w:color w:val="000000"/>
          <w:kern w:val="0"/>
          <w:sz w:val="24"/>
          <w:shd w:val="clear" w:color="auto" w:fill="FFFFFF"/>
        </w:rPr>
        <w:t>委托开展法定评估业务，应当依法选择评估机构。</w:t>
      </w:r>
    </w:p>
    <w:p w14:paraId="0D65CB02">
      <w:pPr>
        <w:shd w:val="clear" w:color="auto" w:fill="FFFFFF"/>
        <w:spacing w:line="440" w:lineRule="atLeast"/>
        <w:ind w:firstLine="482" w:firstLineChars="200"/>
        <w:rPr>
          <w:rFonts w:ascii="宋体" w:hAnsi="宋体" w:eastAsia="宋体" w:cs="宋体"/>
          <w:color w:val="000000"/>
          <w:kern w:val="0"/>
          <w:sz w:val="24"/>
        </w:rPr>
      </w:pPr>
      <w:r>
        <w:rPr>
          <w:rFonts w:hint="eastAsia" w:ascii="宋体" w:hAnsi="宋体" w:eastAsia="宋体" w:cs="宋体"/>
          <w:b/>
          <w:bCs/>
          <w:color w:val="000000"/>
          <w:kern w:val="0"/>
          <w:sz w:val="24"/>
          <w:shd w:val="clear" w:color="auto" w:fill="FFFFFF"/>
        </w:rPr>
        <w:t>第二十三条</w:t>
      </w:r>
      <w:r>
        <w:rPr>
          <w:rFonts w:hint="eastAsia" w:ascii="宋体" w:hAnsi="宋体" w:eastAsia="宋体" w:cs="宋体"/>
          <w:color w:val="000000"/>
          <w:kern w:val="0"/>
          <w:sz w:val="24"/>
          <w:shd w:val="clear" w:color="auto" w:fill="FFFFFF"/>
        </w:rPr>
        <w:t>　委托人应当与评估机构订立委托合同，约定双方的权利和义务。</w:t>
      </w:r>
    </w:p>
    <w:p w14:paraId="5021CCC3">
      <w:pPr>
        <w:shd w:val="clear" w:color="auto" w:fill="FFFFFF"/>
        <w:spacing w:line="440" w:lineRule="atLeast"/>
        <w:ind w:firstLine="480" w:firstLineChars="200"/>
        <w:rPr>
          <w:rFonts w:ascii="宋体" w:hAnsi="宋体" w:eastAsia="宋体" w:cs="宋体"/>
          <w:color w:val="000000"/>
          <w:kern w:val="0"/>
          <w:sz w:val="24"/>
        </w:rPr>
      </w:pPr>
      <w:r>
        <w:rPr>
          <w:rFonts w:hint="eastAsia" w:ascii="宋体" w:hAnsi="宋体" w:eastAsia="宋体" w:cs="宋体"/>
          <w:color w:val="000000"/>
          <w:kern w:val="0"/>
          <w:sz w:val="24"/>
          <w:shd w:val="clear" w:color="auto" w:fill="FFFFFF"/>
        </w:rPr>
        <w:t>委托人应当按照合同约定向评估机构支付费用，不得索要、收受或者变相索要、收受回扣。</w:t>
      </w:r>
    </w:p>
    <w:p w14:paraId="1D197CA2">
      <w:pPr>
        <w:shd w:val="clear" w:color="auto" w:fill="FFFFFF"/>
        <w:spacing w:line="440" w:lineRule="atLeast"/>
        <w:ind w:firstLine="480" w:firstLineChars="200"/>
        <w:rPr>
          <w:rFonts w:ascii="宋体" w:hAnsi="宋体" w:eastAsia="宋体" w:cs="宋体"/>
          <w:color w:val="000000"/>
          <w:kern w:val="0"/>
          <w:sz w:val="24"/>
        </w:rPr>
      </w:pPr>
      <w:r>
        <w:rPr>
          <w:rFonts w:hint="eastAsia" w:ascii="宋体" w:hAnsi="宋体" w:eastAsia="宋体" w:cs="宋体"/>
          <w:color w:val="000000"/>
          <w:kern w:val="0"/>
          <w:sz w:val="24"/>
          <w:shd w:val="clear" w:color="auto" w:fill="FFFFFF"/>
        </w:rPr>
        <w:t>委托人应当对其提供的权属证明、财务会计信息和其他资料的真实性、完整性和合法性负责。</w:t>
      </w:r>
    </w:p>
    <w:p w14:paraId="06CB29A3">
      <w:pPr>
        <w:shd w:val="clear" w:color="auto" w:fill="FFFFFF"/>
        <w:spacing w:line="440" w:lineRule="atLeast"/>
        <w:ind w:firstLine="482" w:firstLineChars="200"/>
        <w:rPr>
          <w:rFonts w:ascii="宋体" w:hAnsi="宋体" w:eastAsia="宋体" w:cs="宋体"/>
          <w:color w:val="000000"/>
          <w:kern w:val="0"/>
          <w:sz w:val="24"/>
        </w:rPr>
      </w:pPr>
      <w:r>
        <w:rPr>
          <w:rFonts w:hint="eastAsia" w:ascii="宋体" w:hAnsi="宋体" w:eastAsia="宋体" w:cs="宋体"/>
          <w:b/>
          <w:bCs/>
          <w:color w:val="000000"/>
          <w:kern w:val="0"/>
          <w:sz w:val="24"/>
          <w:shd w:val="clear" w:color="auto" w:fill="FFFFFF"/>
        </w:rPr>
        <w:t>第二十四条</w:t>
      </w:r>
      <w:r>
        <w:rPr>
          <w:rFonts w:hint="eastAsia" w:ascii="宋体" w:hAnsi="宋体" w:eastAsia="宋体" w:cs="宋体"/>
          <w:color w:val="000000"/>
          <w:kern w:val="0"/>
          <w:sz w:val="24"/>
          <w:shd w:val="clear" w:color="auto" w:fill="FFFFFF"/>
        </w:rPr>
        <w:t>　对受理的评估业务，评估机构应当指定至少两名评估专业人员承办。</w:t>
      </w:r>
    </w:p>
    <w:p w14:paraId="2D50C2F7">
      <w:pPr>
        <w:shd w:val="clear" w:color="auto" w:fill="FFFFFF"/>
        <w:spacing w:line="440" w:lineRule="atLeast"/>
        <w:ind w:firstLine="480" w:firstLineChars="200"/>
        <w:rPr>
          <w:rFonts w:ascii="宋体" w:hAnsi="宋体" w:eastAsia="宋体" w:cs="宋体"/>
          <w:color w:val="000000"/>
          <w:kern w:val="0"/>
          <w:sz w:val="24"/>
        </w:rPr>
      </w:pPr>
      <w:r>
        <w:rPr>
          <w:rFonts w:hint="eastAsia" w:ascii="宋体" w:hAnsi="宋体" w:eastAsia="宋体" w:cs="宋体"/>
          <w:color w:val="000000"/>
          <w:kern w:val="0"/>
          <w:sz w:val="24"/>
          <w:shd w:val="clear" w:color="auto" w:fill="FFFFFF"/>
        </w:rPr>
        <w:t>委托人有权要求与相关当事人及评估对象有利害关系的评估专业人员回避。</w:t>
      </w:r>
    </w:p>
    <w:p w14:paraId="3FD8A95C">
      <w:pPr>
        <w:shd w:val="clear" w:color="auto" w:fill="FFFFFF"/>
        <w:spacing w:line="440" w:lineRule="atLeast"/>
        <w:ind w:firstLine="482" w:firstLineChars="200"/>
        <w:rPr>
          <w:rFonts w:ascii="宋体" w:hAnsi="宋体" w:eastAsia="宋体" w:cs="宋体"/>
          <w:color w:val="000000"/>
          <w:kern w:val="0"/>
          <w:sz w:val="24"/>
        </w:rPr>
      </w:pPr>
      <w:r>
        <w:rPr>
          <w:rFonts w:hint="eastAsia" w:ascii="宋体" w:hAnsi="宋体" w:eastAsia="宋体" w:cs="宋体"/>
          <w:b/>
          <w:bCs/>
          <w:color w:val="000000"/>
          <w:kern w:val="0"/>
          <w:sz w:val="24"/>
          <w:shd w:val="clear" w:color="auto" w:fill="FFFFFF"/>
        </w:rPr>
        <w:t>第二十五条</w:t>
      </w:r>
      <w:r>
        <w:rPr>
          <w:rFonts w:hint="eastAsia" w:ascii="宋体" w:hAnsi="宋体" w:eastAsia="宋体" w:cs="宋体"/>
          <w:color w:val="000000"/>
          <w:kern w:val="0"/>
          <w:sz w:val="24"/>
          <w:shd w:val="clear" w:color="auto" w:fill="FFFFFF"/>
        </w:rPr>
        <w:t>　评估专业人员应当根据评估业务具体情况，对评估对象进行现场调查，收集权属证明、财务会计信息和其他资料并进行核查验证、分析整理，作为评估的依据。</w:t>
      </w:r>
    </w:p>
    <w:p w14:paraId="39F57DD3">
      <w:pPr>
        <w:shd w:val="clear" w:color="auto" w:fill="FFFFFF"/>
        <w:spacing w:line="440" w:lineRule="atLeast"/>
        <w:ind w:firstLine="482" w:firstLineChars="200"/>
        <w:rPr>
          <w:rFonts w:ascii="宋体" w:hAnsi="宋体" w:eastAsia="宋体" w:cs="宋体"/>
          <w:color w:val="000000"/>
          <w:kern w:val="0"/>
          <w:sz w:val="24"/>
        </w:rPr>
      </w:pPr>
      <w:r>
        <w:rPr>
          <w:rFonts w:hint="eastAsia" w:ascii="宋体" w:hAnsi="宋体" w:eastAsia="宋体" w:cs="宋体"/>
          <w:b/>
          <w:bCs/>
          <w:color w:val="000000"/>
          <w:kern w:val="0"/>
          <w:sz w:val="24"/>
          <w:shd w:val="clear" w:color="auto" w:fill="FFFFFF"/>
        </w:rPr>
        <w:t>第二十六条</w:t>
      </w:r>
      <w:r>
        <w:rPr>
          <w:rFonts w:hint="eastAsia" w:ascii="宋体" w:hAnsi="宋体" w:eastAsia="宋体" w:cs="宋体"/>
          <w:color w:val="000000"/>
          <w:kern w:val="0"/>
          <w:sz w:val="24"/>
          <w:shd w:val="clear" w:color="auto" w:fill="FFFFFF"/>
        </w:rPr>
        <w:t>　评估专业人员应当恰当选择评估方法，除依据评估执业准则只能选择一种评估方法的外，应当选择两种以上评估方法，经综合分析，形成评估结论，编制评估报告。</w:t>
      </w:r>
    </w:p>
    <w:p w14:paraId="78EFCC11">
      <w:pPr>
        <w:shd w:val="clear" w:color="auto" w:fill="FFFFFF"/>
        <w:spacing w:line="440" w:lineRule="atLeast"/>
        <w:ind w:firstLine="480" w:firstLineChars="200"/>
        <w:rPr>
          <w:rFonts w:ascii="宋体" w:hAnsi="宋体" w:eastAsia="宋体" w:cs="宋体"/>
          <w:color w:val="000000"/>
          <w:kern w:val="0"/>
          <w:sz w:val="24"/>
        </w:rPr>
      </w:pPr>
      <w:r>
        <w:rPr>
          <w:rFonts w:hint="eastAsia" w:ascii="宋体" w:hAnsi="宋体" w:eastAsia="宋体" w:cs="宋体"/>
          <w:color w:val="000000"/>
          <w:kern w:val="0"/>
          <w:sz w:val="24"/>
          <w:shd w:val="clear" w:color="auto" w:fill="FFFFFF"/>
        </w:rPr>
        <w:t>评估机构应当对评估报告进行内部审核。</w:t>
      </w:r>
    </w:p>
    <w:p w14:paraId="20EF0153">
      <w:pPr>
        <w:shd w:val="clear" w:color="auto" w:fill="FFFFFF"/>
        <w:spacing w:line="440" w:lineRule="atLeast"/>
        <w:ind w:firstLine="482" w:firstLineChars="200"/>
        <w:rPr>
          <w:rFonts w:ascii="宋体" w:hAnsi="宋体" w:eastAsia="宋体" w:cs="宋体"/>
          <w:color w:val="000000"/>
          <w:kern w:val="0"/>
          <w:sz w:val="24"/>
        </w:rPr>
      </w:pPr>
      <w:r>
        <w:rPr>
          <w:rFonts w:hint="eastAsia" w:ascii="宋体" w:hAnsi="宋体" w:eastAsia="宋体" w:cs="宋体"/>
          <w:b/>
          <w:bCs/>
          <w:color w:val="000000"/>
          <w:kern w:val="0"/>
          <w:sz w:val="24"/>
          <w:shd w:val="clear" w:color="auto" w:fill="FFFFFF"/>
        </w:rPr>
        <w:t>第二十七条</w:t>
      </w:r>
      <w:r>
        <w:rPr>
          <w:rFonts w:hint="eastAsia" w:ascii="宋体" w:hAnsi="宋体" w:eastAsia="宋体" w:cs="宋体"/>
          <w:color w:val="000000"/>
          <w:kern w:val="0"/>
          <w:sz w:val="24"/>
          <w:shd w:val="clear" w:color="auto" w:fill="FFFFFF"/>
        </w:rPr>
        <w:t>　评估报告应当由至少两名承办该项业务的评估专业人员签名并加盖评估机构印章。</w:t>
      </w:r>
    </w:p>
    <w:p w14:paraId="6A7EC27D">
      <w:pPr>
        <w:shd w:val="clear" w:color="auto" w:fill="FFFFFF"/>
        <w:spacing w:line="440" w:lineRule="atLeast"/>
        <w:ind w:firstLine="480" w:firstLineChars="200"/>
        <w:rPr>
          <w:rFonts w:ascii="宋体" w:hAnsi="宋体" w:eastAsia="宋体" w:cs="宋体"/>
          <w:color w:val="000000"/>
          <w:kern w:val="0"/>
          <w:sz w:val="24"/>
        </w:rPr>
      </w:pPr>
      <w:r>
        <w:rPr>
          <w:rFonts w:hint="eastAsia" w:ascii="宋体" w:hAnsi="宋体" w:eastAsia="宋体" w:cs="宋体"/>
          <w:color w:val="000000"/>
          <w:kern w:val="0"/>
          <w:sz w:val="24"/>
          <w:shd w:val="clear" w:color="auto" w:fill="FFFFFF"/>
        </w:rPr>
        <w:t>评估机构及其评估专业人员对其出具的评估报告依法承担责任。</w:t>
      </w:r>
    </w:p>
    <w:p w14:paraId="03CB5F0D">
      <w:pPr>
        <w:shd w:val="clear" w:color="auto" w:fill="FFFFFF"/>
        <w:spacing w:line="440" w:lineRule="atLeast"/>
        <w:ind w:firstLine="480" w:firstLineChars="200"/>
        <w:rPr>
          <w:rFonts w:ascii="宋体" w:hAnsi="宋体" w:eastAsia="宋体" w:cs="宋体"/>
          <w:color w:val="000000"/>
          <w:kern w:val="0"/>
          <w:sz w:val="24"/>
        </w:rPr>
      </w:pPr>
      <w:r>
        <w:rPr>
          <w:rFonts w:hint="eastAsia" w:ascii="宋体" w:hAnsi="宋体" w:eastAsia="宋体" w:cs="宋体"/>
          <w:color w:val="000000"/>
          <w:kern w:val="0"/>
          <w:sz w:val="24"/>
          <w:shd w:val="clear" w:color="auto" w:fill="FFFFFF"/>
        </w:rPr>
        <w:t>委托人不得串通、唆使评估机构或者评估专业人员出具虚假评估报告。</w:t>
      </w:r>
    </w:p>
    <w:p w14:paraId="4FB9E3B7">
      <w:pPr>
        <w:shd w:val="clear" w:color="auto" w:fill="FFFFFF"/>
        <w:spacing w:line="440" w:lineRule="atLeast"/>
        <w:ind w:firstLine="482" w:firstLineChars="200"/>
        <w:rPr>
          <w:rFonts w:ascii="宋体" w:hAnsi="宋体" w:eastAsia="宋体" w:cs="宋体"/>
          <w:color w:val="000000"/>
          <w:kern w:val="0"/>
          <w:sz w:val="24"/>
        </w:rPr>
      </w:pPr>
      <w:r>
        <w:rPr>
          <w:rFonts w:hint="eastAsia" w:ascii="宋体" w:hAnsi="宋体" w:eastAsia="宋体" w:cs="宋体"/>
          <w:b/>
          <w:bCs/>
          <w:color w:val="000000"/>
          <w:kern w:val="0"/>
          <w:sz w:val="24"/>
          <w:shd w:val="clear" w:color="auto" w:fill="FFFFFF"/>
        </w:rPr>
        <w:t>第二十八条</w:t>
      </w:r>
      <w:r>
        <w:rPr>
          <w:rFonts w:hint="eastAsia" w:ascii="宋体" w:hAnsi="宋体" w:eastAsia="宋体" w:cs="宋体"/>
          <w:color w:val="000000"/>
          <w:kern w:val="0"/>
          <w:sz w:val="24"/>
          <w:shd w:val="clear" w:color="auto" w:fill="FFFFFF"/>
        </w:rPr>
        <w:t>　评估机构开展法定评估业务，应当指定至少两名相应专业类别的评估师承办，评估报告应当由至少两名承办该项业务的评估师签名并加盖评估机构印章。</w:t>
      </w:r>
    </w:p>
    <w:p w14:paraId="51848940">
      <w:pPr>
        <w:shd w:val="clear" w:color="auto" w:fill="FFFFFF"/>
        <w:spacing w:line="440" w:lineRule="atLeast"/>
        <w:ind w:firstLine="482" w:firstLineChars="200"/>
        <w:rPr>
          <w:rFonts w:ascii="宋体" w:hAnsi="宋体" w:eastAsia="宋体" w:cs="宋体"/>
          <w:color w:val="000000"/>
          <w:kern w:val="0"/>
          <w:sz w:val="24"/>
        </w:rPr>
      </w:pPr>
      <w:r>
        <w:rPr>
          <w:rFonts w:hint="eastAsia" w:ascii="宋体" w:hAnsi="宋体" w:eastAsia="宋体" w:cs="宋体"/>
          <w:b/>
          <w:bCs/>
          <w:color w:val="000000"/>
          <w:kern w:val="0"/>
          <w:sz w:val="24"/>
          <w:shd w:val="clear" w:color="auto" w:fill="FFFFFF"/>
        </w:rPr>
        <w:t>第二十九条</w:t>
      </w:r>
      <w:r>
        <w:rPr>
          <w:rFonts w:hint="eastAsia" w:ascii="宋体" w:hAnsi="宋体" w:eastAsia="宋体" w:cs="宋体"/>
          <w:color w:val="000000"/>
          <w:kern w:val="0"/>
          <w:sz w:val="24"/>
          <w:shd w:val="clear" w:color="auto" w:fill="FFFFFF"/>
        </w:rPr>
        <w:t>　评估档案的保存期限不少于十五年，属于法定评估业务的，保存期限不少于三十年。</w:t>
      </w:r>
    </w:p>
    <w:p w14:paraId="542D5ABD">
      <w:pPr>
        <w:shd w:val="clear" w:color="auto" w:fill="FFFFFF"/>
        <w:spacing w:line="440" w:lineRule="atLeast"/>
        <w:ind w:firstLine="482" w:firstLineChars="200"/>
        <w:rPr>
          <w:rFonts w:ascii="宋体" w:hAnsi="宋体" w:eastAsia="宋体" w:cs="宋体"/>
          <w:color w:val="000000"/>
          <w:kern w:val="0"/>
          <w:sz w:val="24"/>
        </w:rPr>
      </w:pPr>
      <w:r>
        <w:rPr>
          <w:rFonts w:hint="eastAsia" w:ascii="宋体" w:hAnsi="宋体" w:eastAsia="宋体" w:cs="宋体"/>
          <w:b/>
          <w:bCs/>
          <w:color w:val="000000"/>
          <w:kern w:val="0"/>
          <w:sz w:val="24"/>
          <w:shd w:val="clear" w:color="auto" w:fill="FFFFFF"/>
        </w:rPr>
        <w:t>第三十条</w:t>
      </w:r>
      <w:r>
        <w:rPr>
          <w:rFonts w:hint="eastAsia" w:ascii="宋体" w:hAnsi="宋体" w:eastAsia="宋体" w:cs="宋体"/>
          <w:color w:val="000000"/>
          <w:kern w:val="0"/>
          <w:sz w:val="24"/>
          <w:shd w:val="clear" w:color="auto" w:fill="FFFFFF"/>
        </w:rPr>
        <w:t>　委托人对评估报告有异议的，可以要求评估机构解释。</w:t>
      </w:r>
    </w:p>
    <w:p w14:paraId="79D1C721">
      <w:pPr>
        <w:shd w:val="clear" w:color="auto" w:fill="FFFFFF"/>
        <w:spacing w:line="440" w:lineRule="atLeast"/>
        <w:ind w:firstLine="482" w:firstLineChars="200"/>
        <w:rPr>
          <w:rFonts w:ascii="宋体" w:hAnsi="宋体" w:eastAsia="宋体" w:cs="宋体"/>
          <w:color w:val="000000"/>
          <w:kern w:val="0"/>
          <w:sz w:val="24"/>
        </w:rPr>
      </w:pPr>
      <w:r>
        <w:rPr>
          <w:rFonts w:hint="eastAsia" w:ascii="宋体" w:hAnsi="宋体" w:eastAsia="宋体" w:cs="宋体"/>
          <w:b/>
          <w:bCs/>
          <w:color w:val="000000"/>
          <w:kern w:val="0"/>
          <w:sz w:val="24"/>
          <w:shd w:val="clear" w:color="auto" w:fill="FFFFFF"/>
        </w:rPr>
        <w:t>第三十一条　　</w:t>
      </w:r>
      <w:r>
        <w:rPr>
          <w:rFonts w:hint="eastAsia" w:ascii="宋体" w:hAnsi="宋体" w:eastAsia="宋体" w:cs="宋体"/>
          <w:color w:val="000000"/>
          <w:kern w:val="0"/>
          <w:sz w:val="24"/>
          <w:shd w:val="clear" w:color="auto" w:fill="FFFFFF"/>
        </w:rPr>
        <w:t>委托人认为评估机构或者评估专业人员违法开展业务的，可以向有关评估行政管理部门或者行业协会投诉、举报，有关评估行政管理部门或者行业协会应当及时调查处理，并答复委托人。</w:t>
      </w:r>
    </w:p>
    <w:p w14:paraId="2018E2CE">
      <w:pPr>
        <w:shd w:val="clear" w:color="auto" w:fill="FFFFFF"/>
        <w:spacing w:line="440" w:lineRule="atLeast"/>
        <w:ind w:firstLine="482" w:firstLineChars="200"/>
        <w:rPr>
          <w:rFonts w:ascii="宋体" w:hAnsi="宋体" w:eastAsia="宋体" w:cs="宋体"/>
          <w:color w:val="000000"/>
          <w:kern w:val="0"/>
          <w:sz w:val="24"/>
        </w:rPr>
      </w:pPr>
      <w:r>
        <w:rPr>
          <w:rFonts w:hint="eastAsia" w:ascii="宋体" w:hAnsi="宋体" w:eastAsia="宋体" w:cs="宋体"/>
          <w:b/>
          <w:bCs/>
          <w:color w:val="000000"/>
          <w:kern w:val="0"/>
          <w:sz w:val="24"/>
          <w:shd w:val="clear" w:color="auto" w:fill="FFFFFF"/>
        </w:rPr>
        <w:t>第三十二条</w:t>
      </w:r>
      <w:r>
        <w:rPr>
          <w:rFonts w:hint="eastAsia" w:ascii="宋体" w:hAnsi="宋体" w:eastAsia="宋体" w:cs="宋体"/>
          <w:color w:val="000000"/>
          <w:kern w:val="0"/>
          <w:sz w:val="24"/>
          <w:shd w:val="clear" w:color="auto" w:fill="FFFFFF"/>
        </w:rPr>
        <w:t>　委托人或者评估报告使用人应当按照法律规定和评估报告载明的使用范围使用评估报告。</w:t>
      </w:r>
    </w:p>
    <w:p w14:paraId="570A6CFE">
      <w:pPr>
        <w:shd w:val="clear" w:color="auto" w:fill="FFFFFF"/>
        <w:spacing w:line="440" w:lineRule="atLeast"/>
        <w:ind w:firstLine="480" w:firstLineChars="200"/>
        <w:rPr>
          <w:rFonts w:ascii="宋体" w:hAnsi="宋体" w:eastAsia="宋体" w:cs="宋体"/>
          <w:color w:val="000000"/>
          <w:kern w:val="0"/>
          <w:sz w:val="24"/>
        </w:rPr>
      </w:pPr>
      <w:r>
        <w:rPr>
          <w:rFonts w:hint="eastAsia" w:ascii="宋体" w:hAnsi="宋体" w:eastAsia="宋体" w:cs="宋体"/>
          <w:color w:val="000000"/>
          <w:kern w:val="0"/>
          <w:sz w:val="24"/>
          <w:shd w:val="clear" w:color="auto" w:fill="FFFFFF"/>
        </w:rPr>
        <w:t>委托人或者评估报告使用人违反前款规定使用评估报告的，评估机构和评估专业人员不承担责任。</w:t>
      </w:r>
    </w:p>
    <w:p w14:paraId="26B7504F">
      <w:pPr>
        <w:shd w:val="clear" w:color="auto" w:fill="FFFFFF"/>
        <w:spacing w:line="440" w:lineRule="atLeast"/>
        <w:jc w:val="center"/>
        <w:rPr>
          <w:rFonts w:ascii="黑体" w:hAnsi="黑体" w:eastAsia="黑体" w:cs="黑体"/>
          <w:color w:val="000000"/>
          <w:kern w:val="0"/>
          <w:sz w:val="28"/>
          <w:szCs w:val="28"/>
          <w:shd w:val="clear" w:color="auto" w:fill="FFFFFF"/>
        </w:rPr>
      </w:pPr>
      <w:r>
        <w:rPr>
          <w:rFonts w:hint="eastAsia" w:ascii="黑体" w:hAnsi="黑体" w:eastAsia="黑体" w:cs="黑体"/>
          <w:color w:val="000000"/>
          <w:kern w:val="0"/>
          <w:sz w:val="28"/>
          <w:szCs w:val="28"/>
          <w:shd w:val="clear" w:color="auto" w:fill="FFFFFF"/>
        </w:rPr>
        <w:t>第五章　行业协会</w:t>
      </w:r>
    </w:p>
    <w:p w14:paraId="79952AEF">
      <w:pPr>
        <w:shd w:val="clear" w:color="auto" w:fill="FFFFFF"/>
        <w:spacing w:line="440" w:lineRule="atLeast"/>
        <w:ind w:firstLine="482" w:firstLineChars="200"/>
        <w:rPr>
          <w:rFonts w:ascii="宋体" w:hAnsi="宋体" w:eastAsia="宋体" w:cs="宋体"/>
          <w:color w:val="000000"/>
          <w:kern w:val="0"/>
          <w:sz w:val="24"/>
        </w:rPr>
      </w:pPr>
      <w:r>
        <w:rPr>
          <w:rFonts w:hint="eastAsia" w:ascii="宋体" w:hAnsi="宋体" w:eastAsia="宋体" w:cs="宋体"/>
          <w:b/>
          <w:bCs/>
          <w:color w:val="000000"/>
          <w:kern w:val="0"/>
          <w:sz w:val="24"/>
          <w:shd w:val="clear" w:color="auto" w:fill="FFFFFF"/>
        </w:rPr>
        <w:t>第三十三条</w:t>
      </w:r>
      <w:r>
        <w:rPr>
          <w:rFonts w:hint="eastAsia" w:ascii="宋体" w:hAnsi="宋体" w:eastAsia="宋体" w:cs="宋体"/>
          <w:color w:val="000000"/>
          <w:kern w:val="0"/>
          <w:sz w:val="24"/>
          <w:shd w:val="clear" w:color="auto" w:fill="FFFFFF"/>
        </w:rPr>
        <w:t>　评估行业协会是评估机构和评估专业人员的自律性组织，依照法律、行政法规和章程实行自律管理。</w:t>
      </w:r>
    </w:p>
    <w:p w14:paraId="2FF84D5A">
      <w:pPr>
        <w:shd w:val="clear" w:color="auto" w:fill="FFFFFF"/>
        <w:spacing w:line="440" w:lineRule="atLeast"/>
        <w:ind w:firstLine="480" w:firstLineChars="200"/>
        <w:rPr>
          <w:rFonts w:ascii="宋体" w:hAnsi="宋体" w:eastAsia="宋体" w:cs="宋体"/>
          <w:color w:val="000000"/>
          <w:kern w:val="0"/>
          <w:sz w:val="24"/>
        </w:rPr>
      </w:pPr>
      <w:r>
        <w:rPr>
          <w:rFonts w:hint="eastAsia" w:ascii="宋体" w:hAnsi="宋体" w:eastAsia="宋体" w:cs="宋体"/>
          <w:color w:val="000000"/>
          <w:kern w:val="0"/>
          <w:sz w:val="24"/>
          <w:shd w:val="clear" w:color="auto" w:fill="FFFFFF"/>
        </w:rPr>
        <w:t>评估行业按照专业领域设立全国性评估行业协会，根据需要设立地方性评估行业协会。</w:t>
      </w:r>
    </w:p>
    <w:p w14:paraId="3CBBEC83">
      <w:pPr>
        <w:shd w:val="clear" w:color="auto" w:fill="FFFFFF"/>
        <w:spacing w:line="440" w:lineRule="atLeast"/>
        <w:ind w:firstLine="482" w:firstLineChars="200"/>
        <w:rPr>
          <w:rFonts w:ascii="宋体" w:hAnsi="宋体" w:eastAsia="宋体" w:cs="宋体"/>
          <w:color w:val="000000"/>
          <w:kern w:val="0"/>
          <w:sz w:val="24"/>
        </w:rPr>
      </w:pPr>
      <w:r>
        <w:rPr>
          <w:rFonts w:hint="eastAsia" w:ascii="宋体" w:hAnsi="宋体" w:eastAsia="宋体" w:cs="宋体"/>
          <w:b/>
          <w:bCs/>
          <w:color w:val="000000"/>
          <w:kern w:val="0"/>
          <w:sz w:val="24"/>
          <w:shd w:val="clear" w:color="auto" w:fill="FFFFFF"/>
        </w:rPr>
        <w:t>第三十四条</w:t>
      </w:r>
      <w:r>
        <w:rPr>
          <w:rFonts w:hint="eastAsia" w:ascii="宋体" w:hAnsi="宋体" w:eastAsia="宋体" w:cs="宋体"/>
          <w:color w:val="000000"/>
          <w:kern w:val="0"/>
          <w:sz w:val="24"/>
          <w:shd w:val="clear" w:color="auto" w:fill="FFFFFF"/>
        </w:rPr>
        <w:t>　评估行业协会的章程由会员代表大会制定，报登记管理机关核准，并报有关评估行政管理部门备案。</w:t>
      </w:r>
    </w:p>
    <w:p w14:paraId="16263BB1">
      <w:pPr>
        <w:shd w:val="clear" w:color="auto" w:fill="FFFFFF"/>
        <w:spacing w:line="440" w:lineRule="atLeast"/>
        <w:ind w:firstLine="482" w:firstLineChars="200"/>
        <w:rPr>
          <w:rFonts w:ascii="宋体" w:hAnsi="宋体" w:eastAsia="宋体" w:cs="宋体"/>
          <w:color w:val="000000"/>
          <w:kern w:val="0"/>
          <w:sz w:val="24"/>
        </w:rPr>
      </w:pPr>
      <w:r>
        <w:rPr>
          <w:rFonts w:hint="eastAsia" w:ascii="宋体" w:hAnsi="宋体" w:eastAsia="宋体" w:cs="宋体"/>
          <w:b/>
          <w:bCs/>
          <w:color w:val="000000"/>
          <w:kern w:val="0"/>
          <w:sz w:val="24"/>
          <w:shd w:val="clear" w:color="auto" w:fill="FFFFFF"/>
        </w:rPr>
        <w:t>第三十五条</w:t>
      </w:r>
      <w:r>
        <w:rPr>
          <w:rFonts w:hint="eastAsia" w:ascii="宋体" w:hAnsi="宋体" w:eastAsia="宋体" w:cs="宋体"/>
          <w:color w:val="000000"/>
          <w:kern w:val="0"/>
          <w:sz w:val="24"/>
          <w:shd w:val="clear" w:color="auto" w:fill="FFFFFF"/>
        </w:rPr>
        <w:t>　评估机构、评估专业人员加入有关评估行业协会，平等享有章程规定的权利，履行章程规定的义务。有关评估行业协会公布加入本协会的评估机构、评估专业人员名单。</w:t>
      </w:r>
    </w:p>
    <w:p w14:paraId="64C08D14">
      <w:pPr>
        <w:shd w:val="clear" w:color="auto" w:fill="FFFFFF"/>
        <w:spacing w:line="440" w:lineRule="atLeast"/>
        <w:ind w:firstLine="482" w:firstLineChars="200"/>
        <w:rPr>
          <w:rFonts w:ascii="宋体" w:hAnsi="宋体" w:eastAsia="宋体" w:cs="宋体"/>
          <w:color w:val="000000"/>
          <w:kern w:val="0"/>
          <w:sz w:val="24"/>
        </w:rPr>
      </w:pPr>
      <w:r>
        <w:rPr>
          <w:rFonts w:hint="eastAsia" w:ascii="宋体" w:hAnsi="宋体" w:eastAsia="宋体" w:cs="宋体"/>
          <w:b/>
          <w:bCs/>
          <w:color w:val="000000"/>
          <w:kern w:val="0"/>
          <w:sz w:val="24"/>
          <w:shd w:val="clear" w:color="auto" w:fill="FFFFFF"/>
        </w:rPr>
        <w:t>第三十六条</w:t>
      </w:r>
      <w:r>
        <w:rPr>
          <w:rFonts w:hint="eastAsia" w:ascii="宋体" w:hAnsi="宋体" w:eastAsia="宋体" w:cs="宋体"/>
          <w:color w:val="000000"/>
          <w:kern w:val="0"/>
          <w:sz w:val="24"/>
          <w:shd w:val="clear" w:color="auto" w:fill="FFFFFF"/>
        </w:rPr>
        <w:t>　评估行业协会履行下列职责：</w:t>
      </w:r>
    </w:p>
    <w:p w14:paraId="14673F5D">
      <w:pPr>
        <w:shd w:val="clear" w:color="auto" w:fill="FFFFFF"/>
        <w:spacing w:line="440" w:lineRule="atLeast"/>
        <w:ind w:firstLine="480" w:firstLineChars="200"/>
        <w:rPr>
          <w:rFonts w:ascii="宋体" w:hAnsi="宋体" w:eastAsia="宋体" w:cs="宋体"/>
          <w:color w:val="000000"/>
          <w:kern w:val="0"/>
          <w:sz w:val="24"/>
        </w:rPr>
      </w:pPr>
      <w:r>
        <w:rPr>
          <w:rFonts w:hint="eastAsia" w:ascii="宋体" w:hAnsi="宋体" w:eastAsia="宋体" w:cs="宋体"/>
          <w:color w:val="000000"/>
          <w:kern w:val="0"/>
          <w:sz w:val="24"/>
          <w:shd w:val="clear" w:color="auto" w:fill="FFFFFF"/>
        </w:rPr>
        <w:t>（一）制定会员自律管理办法，对会员实行自律管理；</w:t>
      </w:r>
    </w:p>
    <w:p w14:paraId="57272728">
      <w:pPr>
        <w:shd w:val="clear" w:color="auto" w:fill="FFFFFF"/>
        <w:spacing w:line="440" w:lineRule="atLeast"/>
        <w:ind w:firstLine="480" w:firstLineChars="200"/>
        <w:rPr>
          <w:rFonts w:ascii="宋体" w:hAnsi="宋体" w:eastAsia="宋体" w:cs="宋体"/>
          <w:color w:val="000000"/>
          <w:kern w:val="0"/>
          <w:sz w:val="24"/>
        </w:rPr>
      </w:pPr>
      <w:r>
        <w:rPr>
          <w:rFonts w:hint="eastAsia" w:ascii="宋体" w:hAnsi="宋体" w:eastAsia="宋体" w:cs="宋体"/>
          <w:color w:val="000000"/>
          <w:kern w:val="0"/>
          <w:sz w:val="24"/>
          <w:shd w:val="clear" w:color="auto" w:fill="FFFFFF"/>
        </w:rPr>
        <w:t>（二）依据评估基本准则制定评估执业准则和职业道德准则；</w:t>
      </w:r>
    </w:p>
    <w:p w14:paraId="77141353">
      <w:pPr>
        <w:shd w:val="clear" w:color="auto" w:fill="FFFFFF"/>
        <w:spacing w:line="440" w:lineRule="atLeast"/>
        <w:ind w:firstLine="480" w:firstLineChars="200"/>
        <w:rPr>
          <w:rFonts w:ascii="宋体" w:hAnsi="宋体" w:eastAsia="宋体" w:cs="宋体"/>
          <w:color w:val="000000"/>
          <w:kern w:val="0"/>
          <w:sz w:val="24"/>
        </w:rPr>
      </w:pPr>
      <w:r>
        <w:rPr>
          <w:rFonts w:hint="eastAsia" w:ascii="宋体" w:hAnsi="宋体" w:eastAsia="宋体" w:cs="宋体"/>
          <w:color w:val="000000"/>
          <w:kern w:val="0"/>
          <w:sz w:val="24"/>
          <w:shd w:val="clear" w:color="auto" w:fill="FFFFFF"/>
        </w:rPr>
        <w:t>（三）组织开展会员继续教育；</w:t>
      </w:r>
    </w:p>
    <w:p w14:paraId="4FBF3CB5">
      <w:pPr>
        <w:shd w:val="clear" w:color="auto" w:fill="FFFFFF"/>
        <w:spacing w:line="440" w:lineRule="atLeast"/>
        <w:ind w:firstLine="480" w:firstLineChars="200"/>
        <w:rPr>
          <w:rFonts w:ascii="宋体" w:hAnsi="宋体" w:eastAsia="宋体" w:cs="宋体"/>
          <w:color w:val="000000"/>
          <w:kern w:val="0"/>
          <w:sz w:val="24"/>
        </w:rPr>
      </w:pPr>
      <w:r>
        <w:rPr>
          <w:rFonts w:hint="eastAsia" w:ascii="宋体" w:hAnsi="宋体" w:eastAsia="宋体" w:cs="宋体"/>
          <w:color w:val="000000"/>
          <w:kern w:val="0"/>
          <w:sz w:val="24"/>
          <w:shd w:val="clear" w:color="auto" w:fill="FFFFFF"/>
        </w:rPr>
        <w:t>（四）建立会员信用档案，将会员遵守法律、行政法规和评估准则的情况记入信用档案，并向社会公开；</w:t>
      </w:r>
    </w:p>
    <w:p w14:paraId="04311C2C">
      <w:pPr>
        <w:shd w:val="clear" w:color="auto" w:fill="FFFFFF"/>
        <w:spacing w:line="440" w:lineRule="atLeast"/>
        <w:ind w:firstLine="480" w:firstLineChars="200"/>
        <w:rPr>
          <w:rFonts w:ascii="宋体" w:hAnsi="宋体" w:eastAsia="宋体" w:cs="宋体"/>
          <w:color w:val="000000"/>
          <w:kern w:val="0"/>
          <w:sz w:val="24"/>
        </w:rPr>
      </w:pPr>
      <w:r>
        <w:rPr>
          <w:rFonts w:hint="eastAsia" w:ascii="宋体" w:hAnsi="宋体" w:eastAsia="宋体" w:cs="宋体"/>
          <w:color w:val="000000"/>
          <w:kern w:val="0"/>
          <w:sz w:val="24"/>
          <w:shd w:val="clear" w:color="auto" w:fill="FFFFFF"/>
        </w:rPr>
        <w:t>（五）检查会员建立风险防范机制的情况；</w:t>
      </w:r>
    </w:p>
    <w:p w14:paraId="2D61E119">
      <w:pPr>
        <w:shd w:val="clear" w:color="auto" w:fill="FFFFFF"/>
        <w:spacing w:line="440" w:lineRule="atLeast"/>
        <w:ind w:firstLine="480" w:firstLineChars="200"/>
        <w:rPr>
          <w:rFonts w:ascii="宋体" w:hAnsi="宋体" w:eastAsia="宋体" w:cs="宋体"/>
          <w:color w:val="000000"/>
          <w:kern w:val="0"/>
          <w:sz w:val="24"/>
        </w:rPr>
      </w:pPr>
      <w:r>
        <w:rPr>
          <w:rFonts w:hint="eastAsia" w:ascii="宋体" w:hAnsi="宋体" w:eastAsia="宋体" w:cs="宋体"/>
          <w:color w:val="000000"/>
          <w:kern w:val="0"/>
          <w:sz w:val="24"/>
          <w:shd w:val="clear" w:color="auto" w:fill="FFFFFF"/>
        </w:rPr>
        <w:t>（六）受理对会员的投诉、举报，受理会员的申诉，调解会员执业纠纷；</w:t>
      </w:r>
    </w:p>
    <w:p w14:paraId="0E9A740D">
      <w:pPr>
        <w:shd w:val="clear" w:color="auto" w:fill="FFFFFF"/>
        <w:spacing w:line="440" w:lineRule="atLeast"/>
        <w:ind w:firstLine="480" w:firstLineChars="200"/>
        <w:rPr>
          <w:rFonts w:ascii="宋体" w:hAnsi="宋体" w:eastAsia="宋体" w:cs="宋体"/>
          <w:color w:val="000000"/>
          <w:kern w:val="0"/>
          <w:sz w:val="24"/>
        </w:rPr>
      </w:pPr>
      <w:r>
        <w:rPr>
          <w:rFonts w:hint="eastAsia" w:ascii="宋体" w:hAnsi="宋体" w:eastAsia="宋体" w:cs="宋体"/>
          <w:color w:val="000000"/>
          <w:kern w:val="0"/>
          <w:sz w:val="24"/>
          <w:shd w:val="clear" w:color="auto" w:fill="FFFFFF"/>
        </w:rPr>
        <w:t>（七）规范会员从业行为，定期对会员出具的评估报告进行检查，按照章程规定对会员给予奖惩，并将奖惩情况及时报告有关评估行政管理部门；</w:t>
      </w:r>
    </w:p>
    <w:p w14:paraId="6F8C201E">
      <w:pPr>
        <w:shd w:val="clear" w:color="auto" w:fill="FFFFFF"/>
        <w:spacing w:line="440" w:lineRule="atLeast"/>
        <w:ind w:firstLine="480" w:firstLineChars="200"/>
        <w:rPr>
          <w:rFonts w:ascii="宋体" w:hAnsi="宋体" w:eastAsia="宋体" w:cs="宋体"/>
          <w:color w:val="000000"/>
          <w:kern w:val="0"/>
          <w:sz w:val="24"/>
        </w:rPr>
      </w:pPr>
      <w:r>
        <w:rPr>
          <w:rFonts w:hint="eastAsia" w:ascii="宋体" w:hAnsi="宋体" w:eastAsia="宋体" w:cs="宋体"/>
          <w:color w:val="000000"/>
          <w:kern w:val="0"/>
          <w:sz w:val="24"/>
          <w:shd w:val="clear" w:color="auto" w:fill="FFFFFF"/>
        </w:rPr>
        <w:t>（八）保障会员依法开展业务，维护会员合法权益；</w:t>
      </w:r>
    </w:p>
    <w:p w14:paraId="50FDE616">
      <w:pPr>
        <w:shd w:val="clear" w:color="auto" w:fill="FFFFFF"/>
        <w:spacing w:line="440" w:lineRule="atLeast"/>
        <w:ind w:firstLine="480" w:firstLineChars="200"/>
        <w:rPr>
          <w:rFonts w:ascii="宋体" w:hAnsi="宋体" w:eastAsia="宋体" w:cs="宋体"/>
          <w:color w:val="000000"/>
          <w:kern w:val="0"/>
          <w:sz w:val="24"/>
        </w:rPr>
      </w:pPr>
      <w:r>
        <w:rPr>
          <w:rFonts w:hint="eastAsia" w:ascii="宋体" w:hAnsi="宋体" w:eastAsia="宋体" w:cs="宋体"/>
          <w:color w:val="000000"/>
          <w:kern w:val="0"/>
          <w:sz w:val="24"/>
          <w:shd w:val="clear" w:color="auto" w:fill="FFFFFF"/>
        </w:rPr>
        <w:t>（九）法律、行政法规和章程规定的其他职责。</w:t>
      </w:r>
    </w:p>
    <w:p w14:paraId="72949916">
      <w:pPr>
        <w:shd w:val="clear" w:color="auto" w:fill="FFFFFF"/>
        <w:spacing w:line="440" w:lineRule="atLeast"/>
        <w:ind w:firstLine="482" w:firstLineChars="200"/>
        <w:rPr>
          <w:rFonts w:ascii="宋体" w:hAnsi="宋体" w:eastAsia="宋体" w:cs="宋体"/>
          <w:color w:val="000000"/>
          <w:kern w:val="0"/>
          <w:sz w:val="24"/>
        </w:rPr>
      </w:pPr>
      <w:r>
        <w:rPr>
          <w:rFonts w:hint="eastAsia" w:ascii="宋体" w:hAnsi="宋体" w:eastAsia="宋体" w:cs="宋体"/>
          <w:b/>
          <w:bCs/>
          <w:color w:val="000000"/>
          <w:kern w:val="0"/>
          <w:sz w:val="24"/>
          <w:shd w:val="clear" w:color="auto" w:fill="FFFFFF"/>
        </w:rPr>
        <w:t>第三十七条</w:t>
      </w:r>
      <w:r>
        <w:rPr>
          <w:rFonts w:hint="eastAsia" w:ascii="宋体" w:hAnsi="宋体" w:eastAsia="宋体" w:cs="宋体"/>
          <w:color w:val="000000"/>
          <w:kern w:val="0"/>
          <w:sz w:val="24"/>
          <w:shd w:val="clear" w:color="auto" w:fill="FFFFFF"/>
        </w:rPr>
        <w:t>　有关评估行业协会应当建立沟通协作和信息共享机制，根据需要制定共同的行为规范，促进评估行业健康有序发展。</w:t>
      </w:r>
    </w:p>
    <w:p w14:paraId="37D5E728">
      <w:pPr>
        <w:shd w:val="clear" w:color="auto" w:fill="FFFFFF"/>
        <w:spacing w:line="440" w:lineRule="atLeast"/>
        <w:ind w:firstLine="482" w:firstLineChars="200"/>
        <w:rPr>
          <w:rFonts w:ascii="宋体" w:hAnsi="宋体" w:eastAsia="宋体" w:cs="宋体"/>
          <w:color w:val="000000"/>
          <w:kern w:val="0"/>
          <w:sz w:val="24"/>
        </w:rPr>
      </w:pPr>
      <w:r>
        <w:rPr>
          <w:rFonts w:hint="eastAsia" w:ascii="宋体" w:hAnsi="宋体" w:eastAsia="宋体" w:cs="宋体"/>
          <w:b/>
          <w:bCs/>
          <w:color w:val="000000"/>
          <w:kern w:val="0"/>
          <w:sz w:val="24"/>
          <w:shd w:val="clear" w:color="auto" w:fill="FFFFFF"/>
        </w:rPr>
        <w:t>第三十八条</w:t>
      </w:r>
      <w:r>
        <w:rPr>
          <w:rFonts w:hint="eastAsia" w:ascii="宋体" w:hAnsi="宋体" w:eastAsia="宋体" w:cs="宋体"/>
          <w:color w:val="000000"/>
          <w:kern w:val="0"/>
          <w:sz w:val="24"/>
          <w:shd w:val="clear" w:color="auto" w:fill="FFFFFF"/>
        </w:rPr>
        <w:t>　评估行业协会收取会员会费的标准，由会员代表大会通过，并向社会公开。不得以会员交纳会费数额作为其在行业协会中担任职务的条件。</w:t>
      </w:r>
    </w:p>
    <w:p w14:paraId="73EB6992">
      <w:pPr>
        <w:shd w:val="clear" w:color="auto" w:fill="FFFFFF"/>
        <w:spacing w:line="440" w:lineRule="atLeast"/>
        <w:rPr>
          <w:rFonts w:ascii="宋体" w:hAnsi="宋体" w:eastAsia="宋体" w:cs="宋体"/>
          <w:color w:val="000000"/>
          <w:kern w:val="0"/>
          <w:sz w:val="24"/>
        </w:rPr>
      </w:pPr>
      <w:r>
        <w:rPr>
          <w:rFonts w:hint="eastAsia" w:ascii="宋体" w:hAnsi="宋体" w:eastAsia="宋体" w:cs="宋体"/>
          <w:color w:val="000000"/>
          <w:kern w:val="0"/>
          <w:sz w:val="24"/>
          <w:shd w:val="clear" w:color="auto" w:fill="FFFFFF"/>
        </w:rPr>
        <w:t>会费的收取、使用接受会员代表大会和有关部门的监督，任何组织或者个人不得侵占、私分和挪用。</w:t>
      </w:r>
    </w:p>
    <w:p w14:paraId="24613CBE">
      <w:pPr>
        <w:shd w:val="clear" w:color="auto" w:fill="FFFFFF"/>
        <w:spacing w:line="440" w:lineRule="atLeast"/>
        <w:jc w:val="center"/>
        <w:rPr>
          <w:rFonts w:ascii="黑体" w:hAnsi="黑体" w:eastAsia="黑体" w:cs="黑体"/>
          <w:color w:val="000000"/>
          <w:kern w:val="0"/>
          <w:sz w:val="28"/>
          <w:szCs w:val="28"/>
          <w:shd w:val="clear" w:color="auto" w:fill="FFFFFF"/>
        </w:rPr>
      </w:pPr>
      <w:r>
        <w:rPr>
          <w:rFonts w:hint="eastAsia" w:ascii="黑体" w:hAnsi="黑体" w:eastAsia="黑体" w:cs="黑体"/>
          <w:color w:val="000000"/>
          <w:kern w:val="0"/>
          <w:sz w:val="28"/>
          <w:szCs w:val="28"/>
          <w:shd w:val="clear" w:color="auto" w:fill="FFFFFF"/>
        </w:rPr>
        <w:t>第六章　监督管理</w:t>
      </w:r>
    </w:p>
    <w:p w14:paraId="6818FD2D">
      <w:pPr>
        <w:shd w:val="clear" w:color="auto" w:fill="FFFFFF"/>
        <w:spacing w:line="440" w:lineRule="atLeast"/>
        <w:ind w:firstLine="482" w:firstLineChars="200"/>
        <w:rPr>
          <w:rFonts w:ascii="宋体" w:hAnsi="宋体" w:eastAsia="宋体" w:cs="宋体"/>
          <w:color w:val="000000"/>
          <w:kern w:val="0"/>
          <w:sz w:val="24"/>
        </w:rPr>
      </w:pPr>
      <w:r>
        <w:rPr>
          <w:rFonts w:hint="eastAsia" w:ascii="宋体" w:hAnsi="宋体" w:eastAsia="宋体" w:cs="宋体"/>
          <w:b/>
          <w:bCs/>
          <w:color w:val="000000"/>
          <w:kern w:val="0"/>
          <w:sz w:val="24"/>
          <w:shd w:val="clear" w:color="auto" w:fill="FFFFFF"/>
        </w:rPr>
        <w:t>第三十九条　</w:t>
      </w:r>
      <w:r>
        <w:rPr>
          <w:rFonts w:hint="eastAsia" w:ascii="宋体" w:hAnsi="宋体" w:eastAsia="宋体" w:cs="宋体"/>
          <w:color w:val="000000"/>
          <w:kern w:val="0"/>
          <w:sz w:val="24"/>
          <w:shd w:val="clear" w:color="auto" w:fill="FFFFFF"/>
        </w:rPr>
        <w:t>国务院有关评估行政管理部门组织制定评估基本准则和评估行业监督管理办法。</w:t>
      </w:r>
    </w:p>
    <w:p w14:paraId="3117F2D9">
      <w:pPr>
        <w:shd w:val="clear" w:color="auto" w:fill="FFFFFF"/>
        <w:spacing w:line="440" w:lineRule="atLeast"/>
        <w:ind w:firstLine="482" w:firstLineChars="200"/>
        <w:rPr>
          <w:rFonts w:ascii="宋体" w:hAnsi="宋体" w:eastAsia="宋体" w:cs="宋体"/>
          <w:color w:val="000000"/>
          <w:kern w:val="0"/>
          <w:sz w:val="24"/>
        </w:rPr>
      </w:pPr>
      <w:r>
        <w:rPr>
          <w:rFonts w:hint="eastAsia" w:ascii="宋体" w:hAnsi="宋体" w:eastAsia="宋体" w:cs="宋体"/>
          <w:b/>
          <w:bCs/>
          <w:color w:val="000000"/>
          <w:kern w:val="0"/>
          <w:sz w:val="24"/>
          <w:shd w:val="clear" w:color="auto" w:fill="FFFFFF"/>
        </w:rPr>
        <w:t>第四十条</w:t>
      </w:r>
      <w:r>
        <w:rPr>
          <w:rFonts w:hint="eastAsia" w:ascii="宋体" w:hAnsi="宋体" w:eastAsia="宋体" w:cs="宋体"/>
          <w:color w:val="000000"/>
          <w:kern w:val="0"/>
          <w:sz w:val="24"/>
          <w:shd w:val="clear" w:color="auto" w:fill="FFFFFF"/>
        </w:rPr>
        <w:t>　设区的市级以上人民政府有关评估行政管理部门依据各自职责，负责监督管理评估行业，对评估机构和评估专业人员的违法行为依法实施行政处罚，将处罚情况及时通报有关评估行业协会，并依法向社会公开。</w:t>
      </w:r>
    </w:p>
    <w:p w14:paraId="59700DFA">
      <w:pPr>
        <w:shd w:val="clear" w:color="auto" w:fill="FFFFFF"/>
        <w:spacing w:line="440" w:lineRule="atLeast"/>
        <w:ind w:firstLine="482" w:firstLineChars="200"/>
        <w:rPr>
          <w:rFonts w:ascii="宋体" w:hAnsi="宋体" w:eastAsia="宋体" w:cs="宋体"/>
          <w:color w:val="000000"/>
          <w:kern w:val="0"/>
          <w:sz w:val="24"/>
        </w:rPr>
      </w:pPr>
      <w:r>
        <w:rPr>
          <w:rFonts w:hint="eastAsia" w:ascii="宋体" w:hAnsi="宋体" w:eastAsia="宋体" w:cs="宋体"/>
          <w:b/>
          <w:bCs/>
          <w:color w:val="000000"/>
          <w:kern w:val="0"/>
          <w:sz w:val="24"/>
          <w:shd w:val="clear" w:color="auto" w:fill="FFFFFF"/>
        </w:rPr>
        <w:t>第四十一条</w:t>
      </w:r>
      <w:r>
        <w:rPr>
          <w:rFonts w:hint="eastAsia" w:ascii="宋体" w:hAnsi="宋体" w:eastAsia="宋体" w:cs="宋体"/>
          <w:color w:val="000000"/>
          <w:kern w:val="0"/>
          <w:sz w:val="24"/>
          <w:shd w:val="clear" w:color="auto" w:fill="FFFFFF"/>
        </w:rPr>
        <w:t>　评估行政管理部门对有关评估行业协会实施监督检查，对检查发现的问题和针对协会的投诉、举报，应当及时调查处理。</w:t>
      </w:r>
    </w:p>
    <w:p w14:paraId="7B62C0C9">
      <w:pPr>
        <w:shd w:val="clear" w:color="auto" w:fill="FFFFFF"/>
        <w:spacing w:line="440" w:lineRule="atLeast"/>
        <w:ind w:firstLine="482" w:firstLineChars="200"/>
        <w:rPr>
          <w:rFonts w:ascii="宋体" w:hAnsi="宋体" w:eastAsia="宋体" w:cs="宋体"/>
          <w:color w:val="000000"/>
          <w:kern w:val="0"/>
          <w:sz w:val="24"/>
        </w:rPr>
      </w:pPr>
      <w:r>
        <w:rPr>
          <w:rFonts w:hint="eastAsia" w:ascii="宋体" w:hAnsi="宋体" w:eastAsia="宋体" w:cs="宋体"/>
          <w:b/>
          <w:bCs/>
          <w:color w:val="000000"/>
          <w:kern w:val="0"/>
          <w:sz w:val="24"/>
          <w:shd w:val="clear" w:color="auto" w:fill="FFFFFF"/>
        </w:rPr>
        <w:t>第四十二条</w:t>
      </w:r>
      <w:r>
        <w:rPr>
          <w:rFonts w:hint="eastAsia" w:ascii="宋体" w:hAnsi="宋体" w:eastAsia="宋体" w:cs="宋体"/>
          <w:color w:val="000000"/>
          <w:kern w:val="0"/>
          <w:sz w:val="24"/>
          <w:shd w:val="clear" w:color="auto" w:fill="FFFFFF"/>
        </w:rPr>
        <w:t>　评估行政管理部门不得违反本法规定，对评估机构依法开展业务进行限制。</w:t>
      </w:r>
    </w:p>
    <w:p w14:paraId="5C2A5BDA">
      <w:pPr>
        <w:shd w:val="clear" w:color="auto" w:fill="FFFFFF"/>
        <w:spacing w:line="440" w:lineRule="atLeast"/>
        <w:ind w:firstLine="482" w:firstLineChars="200"/>
        <w:rPr>
          <w:rFonts w:ascii="宋体" w:hAnsi="宋体" w:eastAsia="宋体" w:cs="宋体"/>
          <w:color w:val="000000"/>
          <w:kern w:val="0"/>
          <w:sz w:val="24"/>
        </w:rPr>
      </w:pPr>
      <w:r>
        <w:rPr>
          <w:rFonts w:hint="eastAsia" w:ascii="宋体" w:hAnsi="宋体" w:eastAsia="宋体" w:cs="宋体"/>
          <w:b/>
          <w:bCs/>
          <w:color w:val="000000"/>
          <w:kern w:val="0"/>
          <w:sz w:val="24"/>
          <w:shd w:val="clear" w:color="auto" w:fill="FFFFFF"/>
        </w:rPr>
        <w:t>第四十三条</w:t>
      </w:r>
      <w:r>
        <w:rPr>
          <w:rFonts w:hint="eastAsia" w:ascii="宋体" w:hAnsi="宋体" w:eastAsia="宋体" w:cs="宋体"/>
          <w:color w:val="000000"/>
          <w:kern w:val="0"/>
          <w:sz w:val="24"/>
          <w:shd w:val="clear" w:color="auto" w:fill="FFFFFF"/>
        </w:rPr>
        <w:t>　评估行政管理部门不得与评估行业协会、评估机构存在人员或者资金关联，不得利用职权为评估机构招揽业务。</w:t>
      </w:r>
    </w:p>
    <w:p w14:paraId="4C6F687C">
      <w:pPr>
        <w:shd w:val="clear" w:color="auto" w:fill="FFFFFF"/>
        <w:spacing w:line="440" w:lineRule="atLeast"/>
        <w:jc w:val="center"/>
        <w:rPr>
          <w:rFonts w:ascii="黑体" w:hAnsi="黑体" w:eastAsia="黑体" w:cs="黑体"/>
          <w:color w:val="000000"/>
          <w:kern w:val="0"/>
          <w:sz w:val="28"/>
          <w:szCs w:val="28"/>
          <w:shd w:val="clear" w:color="auto" w:fill="FFFFFF"/>
        </w:rPr>
      </w:pPr>
      <w:r>
        <w:rPr>
          <w:rFonts w:hint="eastAsia" w:ascii="黑体" w:hAnsi="黑体" w:eastAsia="黑体" w:cs="黑体"/>
          <w:color w:val="000000"/>
          <w:kern w:val="0"/>
          <w:sz w:val="28"/>
          <w:szCs w:val="28"/>
          <w:shd w:val="clear" w:color="auto" w:fill="FFFFFF"/>
        </w:rPr>
        <w:t>第七章　法律责任</w:t>
      </w:r>
    </w:p>
    <w:p w14:paraId="73EDA622">
      <w:pPr>
        <w:shd w:val="clear" w:color="auto" w:fill="FFFFFF"/>
        <w:spacing w:line="440" w:lineRule="atLeast"/>
        <w:ind w:firstLine="482" w:firstLineChars="200"/>
        <w:rPr>
          <w:rFonts w:ascii="宋体" w:hAnsi="宋体" w:eastAsia="宋体" w:cs="宋体"/>
          <w:color w:val="000000"/>
          <w:kern w:val="0"/>
          <w:sz w:val="24"/>
        </w:rPr>
      </w:pPr>
      <w:r>
        <w:rPr>
          <w:rFonts w:hint="eastAsia" w:ascii="宋体" w:hAnsi="宋体" w:eastAsia="宋体" w:cs="宋体"/>
          <w:b/>
          <w:bCs/>
          <w:color w:val="000000"/>
          <w:kern w:val="0"/>
          <w:sz w:val="24"/>
          <w:shd w:val="clear" w:color="auto" w:fill="FFFFFF"/>
        </w:rPr>
        <w:t>第四十四条</w:t>
      </w:r>
      <w:r>
        <w:rPr>
          <w:rFonts w:hint="eastAsia" w:ascii="宋体" w:hAnsi="宋体" w:eastAsia="宋体" w:cs="宋体"/>
          <w:color w:val="000000"/>
          <w:kern w:val="0"/>
          <w:sz w:val="24"/>
          <w:shd w:val="clear" w:color="auto" w:fill="FFFFFF"/>
        </w:rPr>
        <w:t>　评估专业人员违反本法规定，有下列情形之一的，由有关评估行政管理部门予以警告，可以责令停止从业六个月以上一年以下；有违法所得的，没收违法所得；情节严重的，责令停止从业一年以上五年以下；构成犯罪的，依法追究刑事责任：</w:t>
      </w:r>
    </w:p>
    <w:p w14:paraId="17520E2B">
      <w:pPr>
        <w:shd w:val="clear" w:color="auto" w:fill="FFFFFF"/>
        <w:spacing w:line="440" w:lineRule="atLeast"/>
        <w:ind w:firstLine="480" w:firstLineChars="200"/>
        <w:rPr>
          <w:rFonts w:ascii="宋体" w:hAnsi="宋体" w:eastAsia="宋体" w:cs="宋体"/>
          <w:color w:val="000000"/>
          <w:kern w:val="0"/>
          <w:sz w:val="24"/>
        </w:rPr>
      </w:pPr>
      <w:r>
        <w:rPr>
          <w:rFonts w:hint="eastAsia" w:ascii="宋体" w:hAnsi="宋体" w:eastAsia="宋体" w:cs="宋体"/>
          <w:color w:val="000000"/>
          <w:kern w:val="0"/>
          <w:sz w:val="24"/>
          <w:shd w:val="clear" w:color="auto" w:fill="FFFFFF"/>
        </w:rPr>
        <w:t>（一）私自接受委托从事业务、收取费用的；</w:t>
      </w:r>
    </w:p>
    <w:p w14:paraId="1BA06E6C">
      <w:pPr>
        <w:shd w:val="clear" w:color="auto" w:fill="FFFFFF"/>
        <w:spacing w:line="440" w:lineRule="atLeast"/>
        <w:ind w:firstLine="480" w:firstLineChars="200"/>
        <w:rPr>
          <w:rFonts w:ascii="宋体" w:hAnsi="宋体" w:eastAsia="宋体" w:cs="宋体"/>
          <w:color w:val="000000"/>
          <w:kern w:val="0"/>
          <w:sz w:val="24"/>
        </w:rPr>
      </w:pPr>
      <w:r>
        <w:rPr>
          <w:rFonts w:hint="eastAsia" w:ascii="宋体" w:hAnsi="宋体" w:eastAsia="宋体" w:cs="宋体"/>
          <w:color w:val="000000"/>
          <w:kern w:val="0"/>
          <w:sz w:val="24"/>
          <w:shd w:val="clear" w:color="auto" w:fill="FFFFFF"/>
        </w:rPr>
        <w:t>（二）同时在两个以上评估机构从事业务的；</w:t>
      </w:r>
    </w:p>
    <w:p w14:paraId="76746797">
      <w:pPr>
        <w:shd w:val="clear" w:color="auto" w:fill="FFFFFF"/>
        <w:spacing w:line="440" w:lineRule="atLeast"/>
        <w:ind w:firstLine="480" w:firstLineChars="200"/>
        <w:rPr>
          <w:rFonts w:ascii="宋体" w:hAnsi="宋体" w:eastAsia="宋体" w:cs="宋体"/>
          <w:color w:val="000000"/>
          <w:kern w:val="0"/>
          <w:sz w:val="24"/>
        </w:rPr>
      </w:pPr>
      <w:r>
        <w:rPr>
          <w:rFonts w:hint="eastAsia" w:ascii="宋体" w:hAnsi="宋体" w:eastAsia="宋体" w:cs="宋体"/>
          <w:color w:val="000000"/>
          <w:kern w:val="0"/>
          <w:sz w:val="24"/>
          <w:shd w:val="clear" w:color="auto" w:fill="FFFFFF"/>
        </w:rPr>
        <w:t>（三）采用欺骗、利诱、胁迫，或者贬损、诋毁其他评估专业人员等不正当手段招揽业务的；</w:t>
      </w:r>
    </w:p>
    <w:p w14:paraId="2B169C8A">
      <w:pPr>
        <w:shd w:val="clear" w:color="auto" w:fill="FFFFFF"/>
        <w:spacing w:line="440" w:lineRule="atLeast"/>
        <w:ind w:firstLine="480" w:firstLineChars="200"/>
        <w:rPr>
          <w:rFonts w:ascii="宋体" w:hAnsi="宋体" w:eastAsia="宋体" w:cs="宋体"/>
          <w:color w:val="000000"/>
          <w:kern w:val="0"/>
          <w:sz w:val="24"/>
        </w:rPr>
      </w:pPr>
      <w:r>
        <w:rPr>
          <w:rFonts w:hint="eastAsia" w:ascii="宋体" w:hAnsi="宋体" w:eastAsia="宋体" w:cs="宋体"/>
          <w:color w:val="000000"/>
          <w:kern w:val="0"/>
          <w:sz w:val="24"/>
          <w:shd w:val="clear" w:color="auto" w:fill="FFFFFF"/>
        </w:rPr>
        <w:t>（四）允许他人以本人名义从事业务，或者冒用他人名义从事业务的；</w:t>
      </w:r>
    </w:p>
    <w:p w14:paraId="044D90E6">
      <w:pPr>
        <w:shd w:val="clear" w:color="auto" w:fill="FFFFFF"/>
        <w:spacing w:line="440" w:lineRule="atLeast"/>
        <w:ind w:firstLine="480" w:firstLineChars="200"/>
        <w:rPr>
          <w:rFonts w:ascii="宋体" w:hAnsi="宋体" w:eastAsia="宋体" w:cs="宋体"/>
          <w:color w:val="000000"/>
          <w:kern w:val="0"/>
          <w:sz w:val="24"/>
        </w:rPr>
      </w:pPr>
      <w:r>
        <w:rPr>
          <w:rFonts w:hint="eastAsia" w:ascii="宋体" w:hAnsi="宋体" w:eastAsia="宋体" w:cs="宋体"/>
          <w:color w:val="000000"/>
          <w:kern w:val="0"/>
          <w:sz w:val="24"/>
          <w:shd w:val="clear" w:color="auto" w:fill="FFFFFF"/>
        </w:rPr>
        <w:t>（五）签署本人未承办业务的评估报告或者有重大遗漏的评估报告的；</w:t>
      </w:r>
    </w:p>
    <w:p w14:paraId="4D048235">
      <w:pPr>
        <w:shd w:val="clear" w:color="auto" w:fill="FFFFFF"/>
        <w:spacing w:line="440" w:lineRule="atLeast"/>
        <w:ind w:firstLine="480" w:firstLineChars="200"/>
        <w:rPr>
          <w:rFonts w:ascii="宋体" w:hAnsi="宋体" w:eastAsia="宋体" w:cs="宋体"/>
          <w:color w:val="000000"/>
          <w:kern w:val="0"/>
          <w:sz w:val="24"/>
        </w:rPr>
      </w:pPr>
      <w:r>
        <w:rPr>
          <w:rFonts w:hint="eastAsia" w:ascii="宋体" w:hAnsi="宋体" w:eastAsia="宋体" w:cs="宋体"/>
          <w:color w:val="000000"/>
          <w:kern w:val="0"/>
          <w:sz w:val="24"/>
          <w:shd w:val="clear" w:color="auto" w:fill="FFFFFF"/>
        </w:rPr>
        <w:t>（六）索要、收受或者变相索要、收受合同约定以外的酬金、财物，或者谋取其他不正当利益的。</w:t>
      </w:r>
    </w:p>
    <w:p w14:paraId="34A1A642">
      <w:pPr>
        <w:shd w:val="clear" w:color="auto" w:fill="FFFFFF"/>
        <w:spacing w:line="440" w:lineRule="atLeast"/>
        <w:ind w:firstLine="602" w:firstLineChars="250"/>
        <w:rPr>
          <w:rFonts w:ascii="宋体" w:hAnsi="宋体" w:eastAsia="宋体" w:cs="宋体"/>
          <w:color w:val="000000"/>
          <w:kern w:val="0"/>
          <w:sz w:val="24"/>
        </w:rPr>
      </w:pPr>
      <w:r>
        <w:rPr>
          <w:rFonts w:hint="eastAsia" w:ascii="宋体" w:hAnsi="宋体" w:eastAsia="宋体" w:cs="宋体"/>
          <w:b/>
          <w:bCs/>
          <w:color w:val="000000"/>
          <w:kern w:val="0"/>
          <w:sz w:val="24"/>
          <w:shd w:val="clear" w:color="auto" w:fill="FFFFFF"/>
        </w:rPr>
        <w:t>第四十五条</w:t>
      </w:r>
      <w:r>
        <w:rPr>
          <w:rFonts w:hint="eastAsia" w:ascii="宋体" w:hAnsi="宋体" w:eastAsia="宋体" w:cs="宋体"/>
          <w:color w:val="000000"/>
          <w:kern w:val="0"/>
          <w:sz w:val="24"/>
          <w:shd w:val="clear" w:color="auto" w:fill="FFFFFF"/>
        </w:rPr>
        <w:t>　评估专业人员违反本法规定，签署虚假评估报告的，由有关评估行政管理部门责令停止从业两年以上五年以下；有违法所得的，没收违法所得；情节严重的，责令停止从业五年以上十年以下；构成犯罪的，依法追究刑事责任，终身不得从事评估业务。</w:t>
      </w:r>
    </w:p>
    <w:p w14:paraId="344BD057">
      <w:pPr>
        <w:shd w:val="clear" w:color="auto" w:fill="FFFFFF"/>
        <w:spacing w:line="440" w:lineRule="atLeast"/>
        <w:ind w:firstLine="482" w:firstLineChars="200"/>
        <w:rPr>
          <w:rFonts w:ascii="宋体" w:hAnsi="宋体" w:eastAsia="宋体" w:cs="宋体"/>
          <w:color w:val="000000"/>
          <w:kern w:val="0"/>
          <w:sz w:val="24"/>
        </w:rPr>
      </w:pPr>
      <w:r>
        <w:rPr>
          <w:rFonts w:hint="eastAsia" w:ascii="宋体" w:hAnsi="宋体" w:eastAsia="宋体" w:cs="宋体"/>
          <w:b/>
          <w:bCs/>
          <w:color w:val="000000"/>
          <w:kern w:val="0"/>
          <w:sz w:val="24"/>
          <w:shd w:val="clear" w:color="auto" w:fill="FFFFFF"/>
        </w:rPr>
        <w:t>第四十六条</w:t>
      </w:r>
      <w:r>
        <w:rPr>
          <w:rFonts w:hint="eastAsia" w:ascii="宋体" w:hAnsi="宋体" w:eastAsia="宋体" w:cs="宋体"/>
          <w:color w:val="000000"/>
          <w:kern w:val="0"/>
          <w:sz w:val="24"/>
          <w:shd w:val="clear" w:color="auto" w:fill="FFFFFF"/>
        </w:rPr>
        <w:t>　违反本法规定，未经工商登记以评估机构名义从事评估业务的，由工商行政管理部门责令停止违法活动；有违法所得的，没收违法所得，并处违法所得一倍以上五倍以下罚款。</w:t>
      </w:r>
    </w:p>
    <w:p w14:paraId="3033D9C8">
      <w:pPr>
        <w:shd w:val="clear" w:color="auto" w:fill="FFFFFF"/>
        <w:spacing w:line="440" w:lineRule="atLeast"/>
        <w:ind w:firstLine="482" w:firstLineChars="200"/>
        <w:rPr>
          <w:rFonts w:ascii="宋体" w:hAnsi="宋体" w:eastAsia="宋体" w:cs="宋体"/>
          <w:color w:val="000000"/>
          <w:kern w:val="0"/>
          <w:sz w:val="24"/>
        </w:rPr>
      </w:pPr>
      <w:r>
        <w:rPr>
          <w:rFonts w:hint="eastAsia" w:ascii="宋体" w:hAnsi="宋体" w:eastAsia="宋体" w:cs="宋体"/>
          <w:b/>
          <w:bCs/>
          <w:color w:val="000000"/>
          <w:kern w:val="0"/>
          <w:sz w:val="24"/>
          <w:shd w:val="clear" w:color="auto" w:fill="FFFFFF"/>
        </w:rPr>
        <w:t>第四十七条</w:t>
      </w:r>
      <w:r>
        <w:rPr>
          <w:rFonts w:hint="eastAsia" w:ascii="宋体" w:hAnsi="宋体" w:eastAsia="宋体" w:cs="宋体"/>
          <w:color w:val="000000"/>
          <w:kern w:val="0"/>
          <w:sz w:val="24"/>
          <w:shd w:val="clear" w:color="auto" w:fill="FFFFFF"/>
        </w:rPr>
        <w:t>　评估机构违反本法规定，有下列情形之一的，由有关评估行政管理部门予以警告，可以责令停业一个月以上六个月以下；有违法所得的，没收违法所得，并处违法所得一倍以上五倍以下罚款；情节严重的，由工商行政管理部门吊销营业执照；构成犯罪的，依法追究刑事责任：</w:t>
      </w:r>
    </w:p>
    <w:p w14:paraId="2E18EFE8">
      <w:pPr>
        <w:shd w:val="clear" w:color="auto" w:fill="FFFFFF"/>
        <w:spacing w:line="440" w:lineRule="atLeast"/>
        <w:ind w:firstLine="480" w:firstLineChars="200"/>
        <w:rPr>
          <w:rFonts w:ascii="宋体" w:hAnsi="宋体" w:eastAsia="宋体" w:cs="宋体"/>
          <w:color w:val="000000"/>
          <w:kern w:val="0"/>
          <w:sz w:val="24"/>
        </w:rPr>
      </w:pPr>
      <w:r>
        <w:rPr>
          <w:rFonts w:hint="eastAsia" w:ascii="宋体" w:hAnsi="宋体" w:eastAsia="宋体" w:cs="宋体"/>
          <w:color w:val="000000"/>
          <w:kern w:val="0"/>
          <w:sz w:val="24"/>
          <w:shd w:val="clear" w:color="auto" w:fill="FFFFFF"/>
        </w:rPr>
        <w:t>（一）利用开展业务之便，谋取不正当利益的；</w:t>
      </w:r>
    </w:p>
    <w:p w14:paraId="3AF787BC">
      <w:pPr>
        <w:shd w:val="clear" w:color="auto" w:fill="FFFFFF"/>
        <w:spacing w:line="440" w:lineRule="atLeast"/>
        <w:ind w:firstLine="480" w:firstLineChars="200"/>
        <w:rPr>
          <w:rFonts w:ascii="宋体" w:hAnsi="宋体" w:eastAsia="宋体" w:cs="宋体"/>
          <w:color w:val="000000"/>
          <w:kern w:val="0"/>
          <w:sz w:val="24"/>
        </w:rPr>
      </w:pPr>
      <w:r>
        <w:rPr>
          <w:rFonts w:hint="eastAsia" w:ascii="宋体" w:hAnsi="宋体" w:eastAsia="宋体" w:cs="宋体"/>
          <w:color w:val="000000"/>
          <w:kern w:val="0"/>
          <w:sz w:val="24"/>
          <w:shd w:val="clear" w:color="auto" w:fill="FFFFFF"/>
        </w:rPr>
        <w:t>（二）允许其他机构以本机构名义开展业务，或者冒用其他机构名义开展业务的；</w:t>
      </w:r>
    </w:p>
    <w:p w14:paraId="66C29629">
      <w:pPr>
        <w:shd w:val="clear" w:color="auto" w:fill="FFFFFF"/>
        <w:spacing w:line="440" w:lineRule="atLeast"/>
        <w:ind w:firstLine="480" w:firstLineChars="200"/>
        <w:rPr>
          <w:rFonts w:ascii="宋体" w:hAnsi="宋体" w:eastAsia="宋体" w:cs="宋体"/>
          <w:color w:val="000000"/>
          <w:kern w:val="0"/>
          <w:sz w:val="24"/>
        </w:rPr>
      </w:pPr>
      <w:r>
        <w:rPr>
          <w:rFonts w:hint="eastAsia" w:ascii="宋体" w:hAnsi="宋体" w:eastAsia="宋体" w:cs="宋体"/>
          <w:color w:val="000000"/>
          <w:kern w:val="0"/>
          <w:sz w:val="24"/>
          <w:shd w:val="clear" w:color="auto" w:fill="FFFFFF"/>
        </w:rPr>
        <w:t>（三）以恶性压价、支付回扣、虚假宣传，或者贬损、诋毁其他评估机构等不正当手段招揽业务的；</w:t>
      </w:r>
    </w:p>
    <w:p w14:paraId="6DF2BB75">
      <w:pPr>
        <w:shd w:val="clear" w:color="auto" w:fill="FFFFFF"/>
        <w:spacing w:line="440" w:lineRule="atLeast"/>
        <w:ind w:firstLine="480" w:firstLineChars="200"/>
        <w:rPr>
          <w:rFonts w:ascii="宋体" w:hAnsi="宋体" w:eastAsia="宋体" w:cs="宋体"/>
          <w:color w:val="000000"/>
          <w:kern w:val="0"/>
          <w:sz w:val="24"/>
        </w:rPr>
      </w:pPr>
      <w:r>
        <w:rPr>
          <w:rFonts w:hint="eastAsia" w:ascii="宋体" w:hAnsi="宋体" w:eastAsia="宋体" w:cs="宋体"/>
          <w:color w:val="000000"/>
          <w:kern w:val="0"/>
          <w:sz w:val="24"/>
          <w:shd w:val="clear" w:color="auto" w:fill="FFFFFF"/>
        </w:rPr>
        <w:t>（四）受理与自身有利害关系的业务的；</w:t>
      </w:r>
    </w:p>
    <w:p w14:paraId="28B950CD">
      <w:pPr>
        <w:shd w:val="clear" w:color="auto" w:fill="FFFFFF"/>
        <w:spacing w:line="440" w:lineRule="atLeast"/>
        <w:ind w:firstLine="480" w:firstLineChars="200"/>
        <w:rPr>
          <w:rFonts w:ascii="宋体" w:hAnsi="宋体" w:eastAsia="宋体" w:cs="宋体"/>
          <w:color w:val="000000"/>
          <w:kern w:val="0"/>
          <w:sz w:val="24"/>
        </w:rPr>
      </w:pPr>
      <w:r>
        <w:rPr>
          <w:rFonts w:hint="eastAsia" w:ascii="宋体" w:hAnsi="宋体" w:eastAsia="宋体" w:cs="宋体"/>
          <w:color w:val="000000"/>
          <w:kern w:val="0"/>
          <w:sz w:val="24"/>
          <w:shd w:val="clear" w:color="auto" w:fill="FFFFFF"/>
        </w:rPr>
        <w:t>（五）分别接受利益冲突双方的委托，对同一评估对象进行评估的；</w:t>
      </w:r>
    </w:p>
    <w:p w14:paraId="0F82CA60">
      <w:pPr>
        <w:shd w:val="clear" w:color="auto" w:fill="FFFFFF"/>
        <w:spacing w:line="440" w:lineRule="atLeast"/>
        <w:ind w:firstLine="480" w:firstLineChars="200"/>
        <w:rPr>
          <w:rFonts w:ascii="宋体" w:hAnsi="宋体" w:eastAsia="宋体" w:cs="宋体"/>
          <w:color w:val="000000"/>
          <w:kern w:val="0"/>
          <w:sz w:val="24"/>
        </w:rPr>
      </w:pPr>
      <w:r>
        <w:rPr>
          <w:rFonts w:hint="eastAsia" w:ascii="宋体" w:hAnsi="宋体" w:eastAsia="宋体" w:cs="宋体"/>
          <w:color w:val="000000"/>
          <w:kern w:val="0"/>
          <w:sz w:val="24"/>
          <w:shd w:val="clear" w:color="auto" w:fill="FFFFFF"/>
        </w:rPr>
        <w:t>（六）出具有重大遗漏的评估报告的；</w:t>
      </w:r>
    </w:p>
    <w:p w14:paraId="5C994632">
      <w:pPr>
        <w:shd w:val="clear" w:color="auto" w:fill="FFFFFF"/>
        <w:spacing w:line="440" w:lineRule="atLeast"/>
        <w:ind w:firstLine="480" w:firstLineChars="200"/>
        <w:rPr>
          <w:rFonts w:ascii="宋体" w:hAnsi="宋体" w:eastAsia="宋体" w:cs="宋体"/>
          <w:color w:val="000000"/>
          <w:kern w:val="0"/>
          <w:sz w:val="24"/>
        </w:rPr>
      </w:pPr>
      <w:r>
        <w:rPr>
          <w:rFonts w:hint="eastAsia" w:ascii="宋体" w:hAnsi="宋体" w:eastAsia="宋体" w:cs="宋体"/>
          <w:color w:val="000000"/>
          <w:kern w:val="0"/>
          <w:sz w:val="24"/>
          <w:shd w:val="clear" w:color="auto" w:fill="FFFFFF"/>
        </w:rPr>
        <w:t>（七）未按本法规定的期限保存评估档案的；</w:t>
      </w:r>
    </w:p>
    <w:p w14:paraId="242B102B">
      <w:pPr>
        <w:shd w:val="clear" w:color="auto" w:fill="FFFFFF"/>
        <w:spacing w:line="440" w:lineRule="atLeast"/>
        <w:ind w:firstLine="480" w:firstLineChars="200"/>
        <w:rPr>
          <w:rFonts w:ascii="宋体" w:hAnsi="宋体" w:eastAsia="宋体" w:cs="宋体"/>
          <w:color w:val="000000"/>
          <w:kern w:val="0"/>
          <w:sz w:val="24"/>
        </w:rPr>
      </w:pPr>
      <w:r>
        <w:rPr>
          <w:rFonts w:hint="eastAsia" w:ascii="宋体" w:hAnsi="宋体" w:eastAsia="宋体" w:cs="宋体"/>
          <w:color w:val="000000"/>
          <w:kern w:val="0"/>
          <w:sz w:val="24"/>
          <w:shd w:val="clear" w:color="auto" w:fill="FFFFFF"/>
        </w:rPr>
        <w:t>（八）聘用或者指定不符合本法规定的人员从事评估业务的；</w:t>
      </w:r>
    </w:p>
    <w:p w14:paraId="46AD3D68">
      <w:pPr>
        <w:shd w:val="clear" w:color="auto" w:fill="FFFFFF"/>
        <w:spacing w:line="440" w:lineRule="atLeast"/>
        <w:ind w:firstLine="480" w:firstLineChars="200"/>
        <w:rPr>
          <w:rFonts w:ascii="宋体" w:hAnsi="宋体" w:eastAsia="宋体" w:cs="宋体"/>
          <w:color w:val="000000"/>
          <w:kern w:val="0"/>
          <w:sz w:val="24"/>
        </w:rPr>
      </w:pPr>
      <w:r>
        <w:rPr>
          <w:rFonts w:hint="eastAsia" w:ascii="宋体" w:hAnsi="宋体" w:eastAsia="宋体" w:cs="宋体"/>
          <w:color w:val="000000"/>
          <w:kern w:val="0"/>
          <w:sz w:val="24"/>
          <w:shd w:val="clear" w:color="auto" w:fill="FFFFFF"/>
        </w:rPr>
        <w:t>（九）对本机构的评估专业人员疏于管理，造成不良后果的。</w:t>
      </w:r>
    </w:p>
    <w:p w14:paraId="4D2C0DE4">
      <w:pPr>
        <w:shd w:val="clear" w:color="auto" w:fill="FFFFFF"/>
        <w:spacing w:line="440" w:lineRule="atLeast"/>
        <w:ind w:firstLine="480" w:firstLineChars="200"/>
        <w:rPr>
          <w:rFonts w:ascii="宋体" w:hAnsi="宋体" w:eastAsia="宋体" w:cs="宋体"/>
          <w:color w:val="000000"/>
          <w:kern w:val="0"/>
          <w:sz w:val="24"/>
        </w:rPr>
      </w:pPr>
      <w:r>
        <w:rPr>
          <w:rFonts w:hint="eastAsia" w:ascii="宋体" w:hAnsi="宋体" w:eastAsia="宋体" w:cs="宋体"/>
          <w:color w:val="000000"/>
          <w:kern w:val="0"/>
          <w:sz w:val="24"/>
          <w:shd w:val="clear" w:color="auto" w:fill="FFFFFF"/>
        </w:rPr>
        <w:t>评估机构未按本法规定备案或者不符合本法</w:t>
      </w:r>
      <w:r>
        <w:rPr>
          <w:rFonts w:hint="eastAsia" w:ascii="宋体" w:hAnsi="宋体" w:eastAsia="宋体" w:cs="宋体"/>
          <w:b/>
          <w:color w:val="000000"/>
          <w:kern w:val="0"/>
          <w:sz w:val="24"/>
          <w:shd w:val="clear" w:color="auto" w:fill="FFFFFF"/>
        </w:rPr>
        <w:t>第十五条</w:t>
      </w:r>
      <w:r>
        <w:rPr>
          <w:rFonts w:hint="eastAsia" w:ascii="宋体" w:hAnsi="宋体" w:eastAsia="宋体" w:cs="宋体"/>
          <w:color w:val="000000"/>
          <w:kern w:val="0"/>
          <w:sz w:val="24"/>
          <w:shd w:val="clear" w:color="auto" w:fill="FFFFFF"/>
        </w:rPr>
        <w:t>规定的条件的，由有关评估行政管理部门责令改正；拒不改正的，责令停业，可以并处一万元以上五万元以下罚款。</w:t>
      </w:r>
    </w:p>
    <w:p w14:paraId="19A1F36C">
      <w:pPr>
        <w:shd w:val="clear" w:color="auto" w:fill="FFFFFF"/>
        <w:spacing w:line="440" w:lineRule="atLeast"/>
        <w:ind w:firstLine="482" w:firstLineChars="200"/>
        <w:rPr>
          <w:rFonts w:ascii="宋体" w:hAnsi="宋体" w:eastAsia="宋体" w:cs="宋体"/>
          <w:color w:val="000000"/>
          <w:kern w:val="0"/>
          <w:sz w:val="24"/>
        </w:rPr>
      </w:pPr>
      <w:r>
        <w:rPr>
          <w:rFonts w:hint="eastAsia" w:ascii="宋体" w:hAnsi="宋体" w:eastAsia="宋体" w:cs="宋体"/>
          <w:b/>
          <w:bCs/>
          <w:color w:val="000000"/>
          <w:kern w:val="0"/>
          <w:sz w:val="24"/>
          <w:shd w:val="clear" w:color="auto" w:fill="FFFFFF"/>
        </w:rPr>
        <w:t>第四十八条</w:t>
      </w:r>
      <w:r>
        <w:rPr>
          <w:rFonts w:hint="eastAsia" w:ascii="宋体" w:hAnsi="宋体" w:eastAsia="宋体" w:cs="宋体"/>
          <w:color w:val="000000"/>
          <w:kern w:val="0"/>
          <w:sz w:val="24"/>
          <w:shd w:val="clear" w:color="auto" w:fill="FFFFFF"/>
        </w:rPr>
        <w:t>　评估机构违反本法规定，出具虚假评估报告的，由有关评估行政管理部门责令停业六个月以上一年以下；有违法所得的，没收违法所得，并处违法所得一倍以上五倍以下罚款；情节严重的，由工商行政管理部门吊销营业执照；构成犯罪的，依法追究刑事责任。</w:t>
      </w:r>
    </w:p>
    <w:p w14:paraId="516F5F6E">
      <w:pPr>
        <w:shd w:val="clear" w:color="auto" w:fill="FFFFFF"/>
        <w:spacing w:line="440" w:lineRule="atLeast"/>
        <w:ind w:firstLine="482" w:firstLineChars="200"/>
        <w:rPr>
          <w:rFonts w:ascii="宋体" w:hAnsi="宋体" w:eastAsia="宋体" w:cs="宋体"/>
          <w:color w:val="000000"/>
          <w:kern w:val="0"/>
          <w:sz w:val="24"/>
        </w:rPr>
      </w:pPr>
      <w:r>
        <w:rPr>
          <w:rFonts w:hint="eastAsia" w:ascii="宋体" w:hAnsi="宋体" w:eastAsia="宋体" w:cs="宋体"/>
          <w:b/>
          <w:bCs/>
          <w:color w:val="000000"/>
          <w:kern w:val="0"/>
          <w:sz w:val="24"/>
          <w:shd w:val="clear" w:color="auto" w:fill="FFFFFF"/>
        </w:rPr>
        <w:t>第四十九条</w:t>
      </w:r>
      <w:r>
        <w:rPr>
          <w:rFonts w:hint="eastAsia" w:ascii="宋体" w:hAnsi="宋体" w:eastAsia="宋体" w:cs="宋体"/>
          <w:color w:val="000000"/>
          <w:kern w:val="0"/>
          <w:sz w:val="24"/>
          <w:shd w:val="clear" w:color="auto" w:fill="FFFFFF"/>
        </w:rPr>
        <w:t>　评估机构、评估专业人员在一年内累计三次因违反本法规定受到责令停业、责令停止从业以外处罚的，有关评估行政管理部门可以责令其停业或者停止从业一年以上五年以下。</w:t>
      </w:r>
    </w:p>
    <w:p w14:paraId="23FCA205">
      <w:pPr>
        <w:shd w:val="clear" w:color="auto" w:fill="FFFFFF"/>
        <w:spacing w:line="440" w:lineRule="atLeast"/>
        <w:ind w:firstLine="482" w:firstLineChars="200"/>
        <w:rPr>
          <w:rFonts w:ascii="宋体" w:hAnsi="宋体" w:eastAsia="宋体" w:cs="宋体"/>
          <w:color w:val="000000"/>
          <w:kern w:val="0"/>
          <w:sz w:val="24"/>
        </w:rPr>
      </w:pPr>
      <w:r>
        <w:rPr>
          <w:rFonts w:hint="eastAsia" w:ascii="宋体" w:hAnsi="宋体" w:eastAsia="宋体" w:cs="宋体"/>
          <w:b/>
          <w:bCs/>
          <w:color w:val="000000"/>
          <w:kern w:val="0"/>
          <w:sz w:val="24"/>
          <w:shd w:val="clear" w:color="auto" w:fill="FFFFFF"/>
        </w:rPr>
        <w:t>第五十条</w:t>
      </w:r>
      <w:r>
        <w:rPr>
          <w:rFonts w:hint="eastAsia" w:ascii="宋体" w:hAnsi="宋体" w:eastAsia="宋体" w:cs="宋体"/>
          <w:color w:val="000000"/>
          <w:kern w:val="0"/>
          <w:sz w:val="24"/>
          <w:shd w:val="clear" w:color="auto" w:fill="FFFFFF"/>
        </w:rPr>
        <w:t>　评估专业人员违反本法规定，给委托人或者其他相关当事人造成损失的，由其所在的评估机构依法承担赔偿责任。评估机构履行赔偿责任后，可以向有故意或者重大过失行为的评估专业人员追偿。</w:t>
      </w:r>
    </w:p>
    <w:p w14:paraId="379EB55C">
      <w:pPr>
        <w:shd w:val="clear" w:color="auto" w:fill="FFFFFF"/>
        <w:spacing w:line="440" w:lineRule="atLeast"/>
        <w:ind w:firstLine="482" w:firstLineChars="200"/>
        <w:rPr>
          <w:rFonts w:ascii="宋体" w:hAnsi="宋体" w:eastAsia="宋体" w:cs="宋体"/>
          <w:color w:val="000000"/>
          <w:kern w:val="0"/>
          <w:sz w:val="24"/>
        </w:rPr>
      </w:pPr>
      <w:r>
        <w:rPr>
          <w:rFonts w:hint="eastAsia" w:ascii="宋体" w:hAnsi="宋体" w:eastAsia="宋体" w:cs="宋体"/>
          <w:b/>
          <w:bCs/>
          <w:color w:val="000000"/>
          <w:kern w:val="0"/>
          <w:sz w:val="24"/>
          <w:shd w:val="clear" w:color="auto" w:fill="FFFFFF"/>
        </w:rPr>
        <w:t>第五十一条</w:t>
      </w:r>
      <w:r>
        <w:rPr>
          <w:rFonts w:hint="eastAsia" w:ascii="宋体" w:hAnsi="宋体" w:eastAsia="宋体" w:cs="宋体"/>
          <w:color w:val="000000"/>
          <w:kern w:val="0"/>
          <w:sz w:val="24"/>
          <w:shd w:val="clear" w:color="auto" w:fill="FFFFFF"/>
        </w:rPr>
        <w:t>　违反本法规定，应当委托评估机构进行法定评估而未委托的，由有关部门责令改正；拒不改正的，处十万元以上五十万元以下罚款；情节严重的，对直接负责的主管人员和其他直接责任人员依法给予处分；造成损失的，依法承担赔偿责任；构成犯罪的，依法追究刑事责任。</w:t>
      </w:r>
    </w:p>
    <w:p w14:paraId="37007CBD">
      <w:pPr>
        <w:shd w:val="clear" w:color="auto" w:fill="FFFFFF"/>
        <w:spacing w:line="440" w:lineRule="atLeast"/>
        <w:ind w:firstLine="482" w:firstLineChars="200"/>
        <w:rPr>
          <w:rFonts w:ascii="宋体" w:hAnsi="宋体" w:eastAsia="宋体" w:cs="宋体"/>
          <w:color w:val="000000"/>
          <w:kern w:val="0"/>
          <w:sz w:val="24"/>
        </w:rPr>
      </w:pPr>
      <w:r>
        <w:rPr>
          <w:rFonts w:hint="eastAsia" w:ascii="宋体" w:hAnsi="宋体" w:eastAsia="宋体" w:cs="宋体"/>
          <w:b/>
          <w:bCs/>
          <w:color w:val="000000"/>
          <w:kern w:val="0"/>
          <w:sz w:val="24"/>
          <w:shd w:val="clear" w:color="auto" w:fill="FFFFFF"/>
        </w:rPr>
        <w:t>第五十二条</w:t>
      </w:r>
      <w:r>
        <w:rPr>
          <w:rFonts w:hint="eastAsia" w:ascii="宋体" w:hAnsi="宋体" w:eastAsia="宋体" w:cs="宋体"/>
          <w:color w:val="000000"/>
          <w:kern w:val="0"/>
          <w:sz w:val="24"/>
          <w:shd w:val="clear" w:color="auto" w:fill="FFFFFF"/>
        </w:rPr>
        <w:t>　违反本法规定，委托人在法定评估中有下列情形之一的，由有关评估行政管理部门会同有关部门责令改正；拒不改正的，处十万元以上五十万元以下罚款；有违法所得的，没收违法所得；情节严重的，对直接负责的主管人员和其他直接责任人员依法给予处分；造成损失的，依法承担赔偿责任；构成犯罪的，依法追究刑事责任：</w:t>
      </w:r>
    </w:p>
    <w:p w14:paraId="25ADB65B">
      <w:pPr>
        <w:shd w:val="clear" w:color="auto" w:fill="FFFFFF"/>
        <w:spacing w:line="440" w:lineRule="atLeast"/>
        <w:ind w:firstLine="480" w:firstLineChars="200"/>
        <w:rPr>
          <w:rFonts w:ascii="宋体" w:hAnsi="宋体" w:eastAsia="宋体" w:cs="宋体"/>
          <w:color w:val="000000"/>
          <w:kern w:val="0"/>
          <w:sz w:val="24"/>
        </w:rPr>
      </w:pPr>
      <w:r>
        <w:rPr>
          <w:rFonts w:hint="eastAsia" w:ascii="宋体" w:hAnsi="宋体" w:eastAsia="宋体" w:cs="宋体"/>
          <w:color w:val="000000"/>
          <w:kern w:val="0"/>
          <w:sz w:val="24"/>
          <w:shd w:val="clear" w:color="auto" w:fill="FFFFFF"/>
        </w:rPr>
        <w:t>（一）未依法选择评估机构的；</w:t>
      </w:r>
    </w:p>
    <w:p w14:paraId="7E1F657E">
      <w:pPr>
        <w:shd w:val="clear" w:color="auto" w:fill="FFFFFF"/>
        <w:spacing w:line="440" w:lineRule="atLeast"/>
        <w:ind w:firstLine="480" w:firstLineChars="200"/>
        <w:rPr>
          <w:rFonts w:ascii="宋体" w:hAnsi="宋体" w:eastAsia="宋体" w:cs="宋体"/>
          <w:color w:val="000000"/>
          <w:kern w:val="0"/>
          <w:sz w:val="24"/>
        </w:rPr>
      </w:pPr>
      <w:r>
        <w:rPr>
          <w:rFonts w:hint="eastAsia" w:ascii="宋体" w:hAnsi="宋体" w:eastAsia="宋体" w:cs="宋体"/>
          <w:color w:val="000000"/>
          <w:kern w:val="0"/>
          <w:sz w:val="24"/>
          <w:shd w:val="clear" w:color="auto" w:fill="FFFFFF"/>
        </w:rPr>
        <w:t>（二）索要、收受或者变相索要、收受回扣的；</w:t>
      </w:r>
    </w:p>
    <w:p w14:paraId="157627DD">
      <w:pPr>
        <w:shd w:val="clear" w:color="auto" w:fill="FFFFFF"/>
        <w:spacing w:line="440" w:lineRule="atLeast"/>
        <w:ind w:firstLine="480" w:firstLineChars="200"/>
        <w:rPr>
          <w:rFonts w:ascii="宋体" w:hAnsi="宋体" w:eastAsia="宋体" w:cs="宋体"/>
          <w:color w:val="000000"/>
          <w:kern w:val="0"/>
          <w:sz w:val="24"/>
        </w:rPr>
      </w:pPr>
      <w:r>
        <w:rPr>
          <w:rFonts w:hint="eastAsia" w:ascii="宋体" w:hAnsi="宋体" w:eastAsia="宋体" w:cs="宋体"/>
          <w:color w:val="000000"/>
          <w:kern w:val="0"/>
          <w:sz w:val="24"/>
          <w:shd w:val="clear" w:color="auto" w:fill="FFFFFF"/>
        </w:rPr>
        <w:t>（三）串通、唆使评估机构或者评估师出具虚假评估报告的；</w:t>
      </w:r>
    </w:p>
    <w:p w14:paraId="2FEE366C">
      <w:pPr>
        <w:shd w:val="clear" w:color="auto" w:fill="FFFFFF"/>
        <w:spacing w:line="440" w:lineRule="atLeast"/>
        <w:ind w:firstLine="480" w:firstLineChars="200"/>
        <w:rPr>
          <w:rFonts w:ascii="宋体" w:hAnsi="宋体" w:eastAsia="宋体" w:cs="宋体"/>
          <w:color w:val="000000"/>
          <w:kern w:val="0"/>
          <w:sz w:val="24"/>
        </w:rPr>
      </w:pPr>
      <w:r>
        <w:rPr>
          <w:rFonts w:hint="eastAsia" w:ascii="宋体" w:hAnsi="宋体" w:eastAsia="宋体" w:cs="宋体"/>
          <w:color w:val="000000"/>
          <w:kern w:val="0"/>
          <w:sz w:val="24"/>
          <w:shd w:val="clear" w:color="auto" w:fill="FFFFFF"/>
        </w:rPr>
        <w:t>（四）不如实向评估机构提供权属证明、财务会计信息和其他资料的；</w:t>
      </w:r>
    </w:p>
    <w:p w14:paraId="64FAE15E">
      <w:pPr>
        <w:shd w:val="clear" w:color="auto" w:fill="FFFFFF"/>
        <w:spacing w:line="440" w:lineRule="atLeast"/>
        <w:ind w:firstLine="480" w:firstLineChars="200"/>
        <w:rPr>
          <w:rFonts w:ascii="宋体" w:hAnsi="宋体" w:eastAsia="宋体" w:cs="宋体"/>
          <w:color w:val="000000"/>
          <w:kern w:val="0"/>
          <w:sz w:val="24"/>
        </w:rPr>
      </w:pPr>
      <w:r>
        <w:rPr>
          <w:rFonts w:hint="eastAsia" w:ascii="宋体" w:hAnsi="宋体" w:eastAsia="宋体" w:cs="宋体"/>
          <w:color w:val="000000"/>
          <w:kern w:val="0"/>
          <w:sz w:val="24"/>
          <w:shd w:val="clear" w:color="auto" w:fill="FFFFFF"/>
        </w:rPr>
        <w:t>（五）未按照法律规定和评估报告载明的使用范围使用评估报告的。</w:t>
      </w:r>
    </w:p>
    <w:p w14:paraId="705CD88C">
      <w:pPr>
        <w:shd w:val="clear" w:color="auto" w:fill="FFFFFF"/>
        <w:spacing w:line="440" w:lineRule="atLeast"/>
        <w:ind w:firstLine="480" w:firstLineChars="200"/>
        <w:rPr>
          <w:rFonts w:ascii="宋体" w:hAnsi="宋体" w:eastAsia="宋体" w:cs="宋体"/>
          <w:color w:val="000000"/>
          <w:kern w:val="0"/>
          <w:sz w:val="24"/>
        </w:rPr>
      </w:pPr>
      <w:r>
        <w:rPr>
          <w:rFonts w:hint="eastAsia" w:ascii="宋体" w:hAnsi="宋体" w:eastAsia="宋体" w:cs="宋体"/>
          <w:color w:val="000000"/>
          <w:kern w:val="0"/>
          <w:sz w:val="24"/>
          <w:shd w:val="clear" w:color="auto" w:fill="FFFFFF"/>
        </w:rPr>
        <w:t>前款规定以外的委托人违反本法规定，给他人造成损失的，依法承担赔偿责任。</w:t>
      </w:r>
    </w:p>
    <w:p w14:paraId="225636E2">
      <w:pPr>
        <w:shd w:val="clear" w:color="auto" w:fill="FFFFFF"/>
        <w:spacing w:line="440" w:lineRule="atLeast"/>
        <w:ind w:firstLine="482" w:firstLineChars="200"/>
        <w:rPr>
          <w:rFonts w:ascii="宋体" w:hAnsi="宋体" w:eastAsia="宋体" w:cs="宋体"/>
          <w:color w:val="000000"/>
          <w:kern w:val="0"/>
          <w:sz w:val="24"/>
        </w:rPr>
      </w:pPr>
      <w:r>
        <w:rPr>
          <w:rFonts w:hint="eastAsia" w:ascii="宋体" w:hAnsi="宋体" w:eastAsia="宋体" w:cs="宋体"/>
          <w:b/>
          <w:bCs/>
          <w:color w:val="000000"/>
          <w:kern w:val="0"/>
          <w:sz w:val="24"/>
          <w:shd w:val="clear" w:color="auto" w:fill="FFFFFF"/>
        </w:rPr>
        <w:t>第五十三条</w:t>
      </w:r>
      <w:r>
        <w:rPr>
          <w:rFonts w:hint="eastAsia" w:ascii="宋体" w:hAnsi="宋体" w:eastAsia="宋体" w:cs="宋体"/>
          <w:color w:val="000000"/>
          <w:kern w:val="0"/>
          <w:sz w:val="24"/>
          <w:shd w:val="clear" w:color="auto" w:fill="FFFFFF"/>
        </w:rPr>
        <w:t>　评估行业协会违反本法规定的，由有关评估行政管理部门给予警告，责令改正；拒不改正的，可以通报登记管理机关，由其依法给予处罚。</w:t>
      </w:r>
    </w:p>
    <w:p w14:paraId="5F6A50F8">
      <w:pPr>
        <w:shd w:val="clear" w:color="auto" w:fill="FFFFFF"/>
        <w:spacing w:line="440" w:lineRule="atLeast"/>
        <w:ind w:firstLine="482" w:firstLineChars="200"/>
        <w:rPr>
          <w:rFonts w:ascii="宋体" w:hAnsi="宋体" w:eastAsia="宋体" w:cs="宋体"/>
          <w:color w:val="000000"/>
          <w:kern w:val="0"/>
          <w:sz w:val="24"/>
        </w:rPr>
      </w:pPr>
      <w:r>
        <w:rPr>
          <w:rFonts w:hint="eastAsia" w:ascii="宋体" w:hAnsi="宋体" w:eastAsia="宋体" w:cs="宋体"/>
          <w:b/>
          <w:bCs/>
          <w:color w:val="000000"/>
          <w:kern w:val="0"/>
          <w:sz w:val="24"/>
          <w:shd w:val="clear" w:color="auto" w:fill="FFFFFF"/>
        </w:rPr>
        <w:t>第五十四条</w:t>
      </w:r>
      <w:r>
        <w:rPr>
          <w:rFonts w:hint="eastAsia" w:ascii="宋体" w:hAnsi="宋体" w:eastAsia="宋体" w:cs="宋体"/>
          <w:color w:val="000000"/>
          <w:kern w:val="0"/>
          <w:sz w:val="24"/>
          <w:shd w:val="clear" w:color="auto" w:fill="FFFFFF"/>
        </w:rPr>
        <w:t>　有关行政管理部门、评估行业协会工作人员违反本法规定，滥用职权、玩忽职守或者徇私舞弊的，依法给予处分；构成犯罪的，依法追究刑事责任。</w:t>
      </w:r>
    </w:p>
    <w:p w14:paraId="2D519576">
      <w:pPr>
        <w:shd w:val="clear" w:color="auto" w:fill="FFFFFF"/>
        <w:spacing w:line="440" w:lineRule="atLeast"/>
        <w:jc w:val="center"/>
        <w:rPr>
          <w:rFonts w:ascii="黑体" w:hAnsi="黑体" w:eastAsia="黑体" w:cs="黑体"/>
          <w:color w:val="000000"/>
          <w:kern w:val="0"/>
          <w:sz w:val="28"/>
          <w:szCs w:val="28"/>
          <w:shd w:val="clear" w:color="auto" w:fill="FFFFFF"/>
        </w:rPr>
      </w:pPr>
      <w:r>
        <w:rPr>
          <w:rFonts w:hint="eastAsia" w:ascii="黑体" w:hAnsi="黑体" w:eastAsia="黑体" w:cs="黑体"/>
          <w:color w:val="000000"/>
          <w:kern w:val="0"/>
          <w:sz w:val="28"/>
          <w:szCs w:val="28"/>
          <w:shd w:val="clear" w:color="auto" w:fill="FFFFFF"/>
        </w:rPr>
        <w:t>第八章　附则</w:t>
      </w:r>
    </w:p>
    <w:p w14:paraId="368ED27F">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bCs/>
          <w:color w:val="000000"/>
          <w:kern w:val="0"/>
          <w:sz w:val="24"/>
          <w:shd w:val="clear" w:color="auto" w:fill="FFFFFF"/>
        </w:rPr>
        <w:t>第五十五条</w:t>
      </w:r>
      <w:r>
        <w:rPr>
          <w:rFonts w:hint="eastAsia" w:ascii="宋体" w:hAnsi="宋体" w:eastAsia="宋体" w:cs="宋体"/>
          <w:color w:val="000000"/>
          <w:kern w:val="0"/>
          <w:sz w:val="24"/>
          <w:shd w:val="clear" w:color="auto" w:fill="FFFFFF"/>
        </w:rPr>
        <w:t>　本法自2016年12月1日起施行。</w:t>
      </w:r>
    </w:p>
    <w:p w14:paraId="3B55AB0B">
      <w:pPr>
        <w:spacing w:line="440" w:lineRule="atLeast"/>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br w:type="page"/>
      </w:r>
    </w:p>
    <w:p w14:paraId="341B645A">
      <w:pPr>
        <w:pStyle w:val="4"/>
        <w:spacing w:line="440" w:lineRule="atLeast"/>
        <w:jc w:val="center"/>
        <w:rPr>
          <w:rFonts w:ascii="黑体" w:hAnsi="黑体" w:cs="黑体"/>
          <w:shd w:val="clear" w:color="FFFFFF" w:fill="D9D9D9"/>
        </w:rPr>
      </w:pPr>
      <w:bookmarkStart w:id="3" w:name="_Toc24164"/>
      <w:r>
        <w:rPr>
          <w:rFonts w:hint="eastAsia" w:ascii="黑体" w:hAnsi="黑体" w:cs="黑体"/>
          <w:shd w:val="clear" w:color="FFFFFF" w:fill="D9D9D9"/>
        </w:rPr>
        <w:t>资产评估行政法规</w:t>
      </w:r>
      <w:bookmarkEnd w:id="3"/>
    </w:p>
    <w:p w14:paraId="5C3719F1">
      <w:pPr>
        <w:pStyle w:val="5"/>
        <w:spacing w:line="440" w:lineRule="atLeast"/>
        <w:jc w:val="center"/>
        <w:rPr>
          <w:rFonts w:ascii="宋体" w:hAnsi="宋体" w:eastAsia="宋体" w:cs="宋体"/>
        </w:rPr>
      </w:pPr>
      <w:bookmarkStart w:id="4" w:name="_Toc31400"/>
      <w:r>
        <w:rPr>
          <w:rFonts w:hint="eastAsia" w:ascii="宋体" w:hAnsi="宋体" w:eastAsia="宋体" w:cs="宋体"/>
        </w:rPr>
        <w:t>国有资产评估管理办法</w:t>
      </w:r>
      <w:bookmarkEnd w:id="4"/>
    </w:p>
    <w:p w14:paraId="354862F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1991年11月16日中华人民共和国国务院令第91号公布　根据2020年11月29日《国务院关于修改和废止部分行政法规的决定》修订</w:t>
      </w:r>
    </w:p>
    <w:p w14:paraId="345A5507">
      <w:pPr>
        <w:shd w:val="clear" w:color="auto" w:fill="FFFFFF"/>
        <w:spacing w:line="440" w:lineRule="atLeast"/>
        <w:jc w:val="center"/>
        <w:rPr>
          <w:rFonts w:ascii="黑体" w:hAnsi="黑体" w:eastAsia="黑体" w:cs="黑体"/>
          <w:color w:val="000000"/>
          <w:kern w:val="0"/>
          <w:sz w:val="28"/>
          <w:szCs w:val="28"/>
          <w:shd w:val="clear" w:color="auto" w:fill="FFFFFF"/>
        </w:rPr>
      </w:pPr>
      <w:r>
        <w:rPr>
          <w:rFonts w:hint="eastAsia" w:ascii="黑体" w:hAnsi="黑体" w:eastAsia="黑体" w:cs="黑体"/>
          <w:color w:val="000000"/>
          <w:kern w:val="0"/>
          <w:sz w:val="28"/>
          <w:szCs w:val="28"/>
          <w:shd w:val="clear" w:color="auto" w:fill="FFFFFF"/>
        </w:rPr>
        <w:t>第一章　总则</w:t>
      </w:r>
    </w:p>
    <w:p w14:paraId="0ACD236B">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bCs/>
          <w:color w:val="000000"/>
          <w:kern w:val="0"/>
          <w:sz w:val="24"/>
          <w:shd w:val="clear" w:color="auto" w:fill="FFFFFF"/>
        </w:rPr>
        <w:t>第一条　</w:t>
      </w:r>
      <w:r>
        <w:rPr>
          <w:rFonts w:hint="eastAsia" w:ascii="宋体" w:hAnsi="宋体" w:eastAsia="宋体" w:cs="宋体"/>
          <w:color w:val="000000"/>
          <w:kern w:val="0"/>
          <w:sz w:val="24"/>
          <w:shd w:val="clear" w:color="auto" w:fill="FFFFFF"/>
        </w:rPr>
        <w:t>为了正确体现国有资产的价值量，保护国有资产所有者和经营者、使用者的合法权益，制定本办法。</w:t>
      </w:r>
    </w:p>
    <w:p w14:paraId="479987C8">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Arial" w:hAnsi="Arial" w:eastAsia="宋体" w:cs="Arial"/>
          <w:b/>
          <w:bCs/>
          <w:kern w:val="0"/>
          <w:sz w:val="24"/>
        </w:rPr>
        <w:t>第二条</w:t>
      </w:r>
      <w:r>
        <w:rPr>
          <w:rFonts w:hint="eastAsia" w:ascii="宋体" w:hAnsi="宋体" w:eastAsia="宋体" w:cs="宋体"/>
          <w:color w:val="000000"/>
          <w:kern w:val="0"/>
          <w:sz w:val="24"/>
          <w:shd w:val="clear" w:color="auto" w:fill="FFFFFF"/>
        </w:rPr>
        <w:t>　</w:t>
      </w:r>
      <w:r>
        <w:fldChar w:fldCharType="begin"/>
      </w:r>
      <w:r>
        <w:instrText xml:space="preserve"> HYPERLINK "https://baike.baidu.com/item/%E5%9B%BD%E6%9C%89%E8%B5%84%E4%BA%A7%E8%AF%84%E4%BC%B0" \t "_blank" </w:instrText>
      </w:r>
      <w:r>
        <w:fldChar w:fldCharType="separate"/>
      </w:r>
      <w:r>
        <w:rPr>
          <w:rFonts w:hint="eastAsia" w:ascii="宋体" w:hAnsi="宋体" w:eastAsia="宋体" w:cs="宋体"/>
          <w:color w:val="000000"/>
          <w:kern w:val="0"/>
          <w:sz w:val="24"/>
          <w:shd w:val="clear" w:color="auto" w:fill="FFFFFF"/>
        </w:rPr>
        <w:t>国有资产评估</w:t>
      </w:r>
      <w:r>
        <w:rPr>
          <w:rFonts w:hint="eastAsia" w:ascii="宋体" w:hAnsi="宋体" w:eastAsia="宋体" w:cs="宋体"/>
          <w:color w:val="000000"/>
          <w:kern w:val="0"/>
          <w:sz w:val="24"/>
          <w:shd w:val="clear" w:color="auto" w:fill="FFFFFF"/>
        </w:rPr>
        <w:fldChar w:fldCharType="end"/>
      </w:r>
      <w:r>
        <w:rPr>
          <w:rFonts w:hint="eastAsia" w:ascii="宋体" w:hAnsi="宋体" w:eastAsia="宋体" w:cs="宋体"/>
          <w:color w:val="000000"/>
          <w:kern w:val="0"/>
          <w:sz w:val="24"/>
          <w:shd w:val="clear" w:color="auto" w:fill="FFFFFF"/>
        </w:rPr>
        <w:t>，除法律、法规另有规定外，适用本办法。</w:t>
      </w:r>
    </w:p>
    <w:p w14:paraId="61084284">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Arial" w:hAnsi="Arial" w:eastAsia="宋体" w:cs="Arial"/>
          <w:b/>
          <w:bCs/>
          <w:kern w:val="0"/>
          <w:sz w:val="24"/>
        </w:rPr>
        <w:t>第三条</w:t>
      </w:r>
      <w:r>
        <w:rPr>
          <w:rFonts w:hint="eastAsia" w:ascii="宋体" w:hAnsi="宋体" w:eastAsia="宋体" w:cs="宋体"/>
          <w:color w:val="000000"/>
          <w:kern w:val="0"/>
          <w:sz w:val="24"/>
          <w:shd w:val="clear" w:color="auto" w:fill="FFFFFF"/>
        </w:rPr>
        <w:t>　国有资产占有单位（以下简称占有单位）有下列情形之一的，应当进行资产评估：</w:t>
      </w:r>
    </w:p>
    <w:p w14:paraId="2DA4897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（一）资产拍卖、转让；</w:t>
      </w:r>
    </w:p>
    <w:p w14:paraId="0C7D242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（二）企业兼并、出售、联营、股份经营；</w:t>
      </w:r>
    </w:p>
    <w:p w14:paraId="1FABD3E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（三）与外国公司、企业和</w:t>
      </w:r>
      <w:r>
        <w:fldChar w:fldCharType="begin"/>
      </w:r>
      <w:r>
        <w:instrText xml:space="preserve"> HYPERLINK "https://baike.baidu.com/item/%E5%85%B6%E4%BB%96%E7%BB%8F%E6%B5%8E%E7%BB%84%E7%BB%87" \t "_blank" </w:instrText>
      </w:r>
      <w:r>
        <w:fldChar w:fldCharType="separate"/>
      </w:r>
      <w:r>
        <w:rPr>
          <w:rFonts w:hint="eastAsia" w:ascii="宋体" w:hAnsi="宋体" w:eastAsia="宋体" w:cs="宋体"/>
          <w:color w:val="000000"/>
          <w:kern w:val="0"/>
          <w:sz w:val="24"/>
          <w:shd w:val="clear" w:color="auto" w:fill="FFFFFF"/>
        </w:rPr>
        <w:t>其他经济组织</w:t>
      </w:r>
      <w:r>
        <w:rPr>
          <w:rFonts w:hint="eastAsia" w:ascii="宋体" w:hAnsi="宋体" w:eastAsia="宋体" w:cs="宋体"/>
          <w:color w:val="000000"/>
          <w:kern w:val="0"/>
          <w:sz w:val="24"/>
          <w:shd w:val="clear" w:color="auto" w:fill="FFFFFF"/>
        </w:rPr>
        <w:fldChar w:fldCharType="end"/>
      </w:r>
      <w:r>
        <w:rPr>
          <w:rFonts w:hint="eastAsia" w:ascii="宋体" w:hAnsi="宋体" w:eastAsia="宋体" w:cs="宋体"/>
          <w:color w:val="000000"/>
          <w:kern w:val="0"/>
          <w:sz w:val="24"/>
          <w:shd w:val="clear" w:color="auto" w:fill="FFFFFF"/>
        </w:rPr>
        <w:t>或者个人开办外商投资企业；</w:t>
      </w:r>
    </w:p>
    <w:p w14:paraId="4C3EF87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（四）企业清算；</w:t>
      </w:r>
    </w:p>
    <w:p w14:paraId="03E9325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（五）依照国家有关规定需要进行资产评估的其他情形。</w:t>
      </w:r>
    </w:p>
    <w:p w14:paraId="7F8BA700">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Arial" w:hAnsi="Arial" w:eastAsia="宋体" w:cs="Arial"/>
          <w:b/>
          <w:bCs/>
          <w:kern w:val="0"/>
          <w:sz w:val="24"/>
        </w:rPr>
        <w:t>第四条</w:t>
      </w:r>
      <w:r>
        <w:rPr>
          <w:rFonts w:hint="eastAsia" w:ascii="Arial" w:hAnsi="Arial" w:eastAsia="宋体" w:cs="Arial"/>
          <w:kern w:val="0"/>
          <w:sz w:val="24"/>
        </w:rPr>
        <w:t>　</w:t>
      </w:r>
      <w:r>
        <w:rPr>
          <w:rFonts w:hint="eastAsia" w:ascii="宋体" w:hAnsi="宋体" w:eastAsia="宋体" w:cs="宋体"/>
          <w:color w:val="000000"/>
          <w:kern w:val="0"/>
          <w:sz w:val="24"/>
          <w:shd w:val="clear" w:color="auto" w:fill="FFFFFF"/>
        </w:rPr>
        <w:t>占有单位有下列情形之一，当事人认为需要的，可以进行资产评估：</w:t>
      </w:r>
    </w:p>
    <w:p w14:paraId="17548F4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（一）资产抵押及其他担保；</w:t>
      </w:r>
    </w:p>
    <w:p w14:paraId="258D434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（二）企业租赁；</w:t>
      </w:r>
    </w:p>
    <w:p w14:paraId="7FBB85A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（三）需要进行资产评估的其他情形。</w:t>
      </w:r>
    </w:p>
    <w:p w14:paraId="42F52A93">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Arial" w:hAnsi="Arial" w:eastAsia="宋体" w:cs="Arial"/>
          <w:b/>
          <w:bCs/>
          <w:kern w:val="0"/>
          <w:sz w:val="24"/>
        </w:rPr>
        <w:t>第五条</w:t>
      </w:r>
      <w:r>
        <w:rPr>
          <w:rFonts w:hint="eastAsia" w:ascii="Arial" w:hAnsi="Arial" w:eastAsia="宋体" w:cs="Arial"/>
          <w:kern w:val="0"/>
          <w:sz w:val="24"/>
        </w:rPr>
        <w:t>　</w:t>
      </w:r>
      <w:r>
        <w:rPr>
          <w:rFonts w:hint="eastAsia" w:ascii="宋体" w:hAnsi="宋体" w:eastAsia="宋体" w:cs="宋体"/>
          <w:color w:val="000000"/>
          <w:kern w:val="0"/>
          <w:sz w:val="24"/>
          <w:shd w:val="clear" w:color="auto" w:fill="FFFFFF"/>
        </w:rPr>
        <w:t>全国或者特定行业的国有资产评估，由国务院决定。</w:t>
      </w:r>
    </w:p>
    <w:p w14:paraId="3BAA8465">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Arial" w:hAnsi="Arial" w:eastAsia="宋体" w:cs="Arial"/>
          <w:b/>
          <w:bCs/>
          <w:kern w:val="0"/>
          <w:sz w:val="24"/>
        </w:rPr>
        <w:t>第六条</w:t>
      </w:r>
      <w:r>
        <w:rPr>
          <w:rFonts w:hint="eastAsia" w:ascii="宋体" w:hAnsi="宋体" w:eastAsia="宋体" w:cs="宋体"/>
          <w:color w:val="000000"/>
          <w:kern w:val="0"/>
          <w:sz w:val="24"/>
          <w:shd w:val="clear" w:color="auto" w:fill="FFFFFF"/>
        </w:rPr>
        <w:t>　国有资产评估范围包括：固定资产、流动资产、无形资产和其他资产。</w:t>
      </w:r>
    </w:p>
    <w:p w14:paraId="4F3B19EC">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Arial" w:hAnsi="Arial" w:eastAsia="宋体" w:cs="Arial"/>
          <w:b/>
          <w:bCs/>
          <w:kern w:val="0"/>
          <w:sz w:val="24"/>
        </w:rPr>
        <w:t>第七条</w:t>
      </w:r>
      <w:r>
        <w:rPr>
          <w:rFonts w:hint="eastAsia" w:ascii="宋体" w:hAnsi="宋体" w:eastAsia="宋体" w:cs="宋体"/>
          <w:color w:val="000000"/>
          <w:kern w:val="0"/>
          <w:sz w:val="24"/>
          <w:shd w:val="clear" w:color="auto" w:fill="FFFFFF"/>
        </w:rPr>
        <w:t>　国有资产评估应当遵循真实性、科学性、可行性原则，依照国家规定的标准、程序和方法进行评定和估算。</w:t>
      </w:r>
    </w:p>
    <w:p w14:paraId="662DE2BB">
      <w:pPr>
        <w:shd w:val="clear" w:color="auto" w:fill="FFFFFF"/>
        <w:spacing w:line="440" w:lineRule="atLeast"/>
        <w:jc w:val="center"/>
        <w:rPr>
          <w:rFonts w:ascii="黑体" w:hAnsi="黑体" w:eastAsia="黑体" w:cs="黑体"/>
          <w:color w:val="000000"/>
          <w:kern w:val="0"/>
          <w:sz w:val="28"/>
          <w:szCs w:val="28"/>
          <w:shd w:val="clear" w:color="auto" w:fill="FFFFFF"/>
        </w:rPr>
      </w:pPr>
      <w:r>
        <w:rPr>
          <w:rFonts w:hint="eastAsia" w:ascii="黑体" w:hAnsi="黑体" w:eastAsia="黑体" w:cs="黑体"/>
          <w:color w:val="000000"/>
          <w:kern w:val="0"/>
          <w:sz w:val="28"/>
          <w:szCs w:val="28"/>
          <w:shd w:val="clear" w:color="auto" w:fill="FFFFFF"/>
        </w:rPr>
        <w:t>第二章　组织管理</w:t>
      </w:r>
    </w:p>
    <w:p w14:paraId="38D7EBC4">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bCs/>
          <w:color w:val="000000"/>
          <w:kern w:val="0"/>
          <w:sz w:val="24"/>
          <w:shd w:val="clear" w:color="auto" w:fill="FFFFFF"/>
        </w:rPr>
        <w:t>第八条　</w:t>
      </w:r>
      <w:r>
        <w:rPr>
          <w:rFonts w:hint="eastAsia" w:ascii="宋体" w:hAnsi="宋体" w:eastAsia="宋体" w:cs="宋体"/>
          <w:color w:val="000000"/>
          <w:kern w:val="0"/>
          <w:sz w:val="24"/>
          <w:shd w:val="clear" w:color="auto" w:fill="FFFFFF"/>
        </w:rPr>
        <w:t>国有资产评估工作，按照</w:t>
      </w:r>
      <w:r>
        <w:fldChar w:fldCharType="begin"/>
      </w:r>
      <w:r>
        <w:instrText xml:space="preserve"> HYPERLINK "https://baike.baidu.com/item/%E5%9B%BD%E6%9C%89%E8%B5%84%E4%BA%A7%E7%AE%A1%E7%90%86" \t "_blank" </w:instrText>
      </w:r>
      <w:r>
        <w:fldChar w:fldCharType="separate"/>
      </w:r>
      <w:r>
        <w:rPr>
          <w:rFonts w:hint="eastAsia" w:ascii="宋体" w:hAnsi="宋体" w:eastAsia="宋体" w:cs="宋体"/>
          <w:color w:val="000000"/>
          <w:kern w:val="0"/>
          <w:sz w:val="24"/>
          <w:shd w:val="clear" w:color="auto" w:fill="FFFFFF"/>
        </w:rPr>
        <w:t>国有资产管理</w:t>
      </w:r>
      <w:r>
        <w:rPr>
          <w:rFonts w:hint="eastAsia" w:ascii="宋体" w:hAnsi="宋体" w:eastAsia="宋体" w:cs="宋体"/>
          <w:color w:val="000000"/>
          <w:kern w:val="0"/>
          <w:sz w:val="24"/>
          <w:shd w:val="clear" w:color="auto" w:fill="FFFFFF"/>
        </w:rPr>
        <w:fldChar w:fldCharType="end"/>
      </w:r>
      <w:r>
        <w:rPr>
          <w:rFonts w:hint="eastAsia" w:ascii="宋体" w:hAnsi="宋体" w:eastAsia="宋体" w:cs="宋体"/>
          <w:color w:val="000000"/>
          <w:kern w:val="0"/>
          <w:sz w:val="24"/>
          <w:shd w:val="clear" w:color="auto" w:fill="FFFFFF"/>
        </w:rPr>
        <w:t>权限，由国有资产管理行政主管部门负责管理和监督。</w:t>
      </w:r>
    </w:p>
    <w:p w14:paraId="3BC13C8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国有资产评估组织工作，按照占有单位的隶属关系，由行业主管部门负责。</w:t>
      </w:r>
    </w:p>
    <w:p w14:paraId="6AC96F8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国有资产管理行政主管部门和行业主管部门不直接从事国有资产评估业务。</w:t>
      </w:r>
    </w:p>
    <w:p w14:paraId="5DAE6864">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Arial" w:hAnsi="Arial" w:eastAsia="宋体" w:cs="Arial"/>
          <w:b/>
          <w:bCs/>
          <w:kern w:val="0"/>
          <w:sz w:val="24"/>
        </w:rPr>
        <w:t>第九条</w:t>
      </w:r>
      <w:r>
        <w:rPr>
          <w:rFonts w:hint="eastAsia" w:ascii="宋体" w:hAnsi="宋体" w:eastAsia="宋体" w:cs="宋体"/>
          <w:color w:val="000000"/>
          <w:kern w:val="0"/>
          <w:sz w:val="24"/>
          <w:shd w:val="clear" w:color="auto" w:fill="FFFFFF"/>
        </w:rPr>
        <w:t>　持有国务院或者省、自治区、直辖市人民政府国有资产管理行政主管部门颁发的国有资产评估资格证书的资产评估公司、</w:t>
      </w:r>
      <w:r>
        <w:fldChar w:fldCharType="begin"/>
      </w:r>
      <w:r>
        <w:instrText xml:space="preserve"> HYPERLINK "https://baike.baidu.com/item/%E4%BC%9A%E8%AE%A1%E5%B8%88%E4%BA%8B%E5%8A%A1%E6%89%80/2431317" \t "_blank" </w:instrText>
      </w:r>
      <w:r>
        <w:fldChar w:fldCharType="separate"/>
      </w:r>
      <w:r>
        <w:rPr>
          <w:rFonts w:hint="eastAsia" w:ascii="宋体" w:hAnsi="宋体" w:eastAsia="宋体" w:cs="宋体"/>
          <w:color w:val="000000"/>
          <w:kern w:val="0"/>
          <w:sz w:val="24"/>
          <w:shd w:val="clear" w:color="auto" w:fill="FFFFFF"/>
        </w:rPr>
        <w:t>会计师事务所</w:t>
      </w:r>
      <w:r>
        <w:rPr>
          <w:rFonts w:hint="eastAsia" w:ascii="宋体" w:hAnsi="宋体" w:eastAsia="宋体" w:cs="宋体"/>
          <w:color w:val="000000"/>
          <w:kern w:val="0"/>
          <w:sz w:val="24"/>
          <w:shd w:val="clear" w:color="auto" w:fill="FFFFFF"/>
        </w:rPr>
        <w:fldChar w:fldCharType="end"/>
      </w:r>
      <w:r>
        <w:rPr>
          <w:rFonts w:hint="eastAsia" w:ascii="宋体" w:hAnsi="宋体" w:eastAsia="宋体" w:cs="宋体"/>
          <w:color w:val="000000"/>
          <w:kern w:val="0"/>
          <w:sz w:val="24"/>
          <w:shd w:val="clear" w:color="auto" w:fill="FFFFFF"/>
        </w:rPr>
        <w:t>、审计事务所、</w:t>
      </w:r>
      <w:r>
        <w:fldChar w:fldCharType="begin"/>
      </w:r>
      <w:r>
        <w:instrText xml:space="preserve"> HYPERLINK "https://baike.baidu.com/item/%E8%B4%A2%E5%8A%A1%E5%92%A8%E8%AF%A2%E5%85%AC%E5%8F%B8" \t "_blank" </w:instrText>
      </w:r>
      <w:r>
        <w:fldChar w:fldCharType="separate"/>
      </w:r>
      <w:r>
        <w:rPr>
          <w:rFonts w:hint="eastAsia" w:ascii="宋体" w:hAnsi="宋体" w:eastAsia="宋体" w:cs="宋体"/>
          <w:color w:val="000000"/>
          <w:kern w:val="0"/>
          <w:sz w:val="24"/>
          <w:shd w:val="clear" w:color="auto" w:fill="FFFFFF"/>
        </w:rPr>
        <w:t>财务咨询公司</w:t>
      </w:r>
      <w:r>
        <w:rPr>
          <w:rFonts w:hint="eastAsia" w:ascii="宋体" w:hAnsi="宋体" w:eastAsia="宋体" w:cs="宋体"/>
          <w:color w:val="000000"/>
          <w:kern w:val="0"/>
          <w:sz w:val="24"/>
          <w:shd w:val="clear" w:color="auto" w:fill="FFFFFF"/>
        </w:rPr>
        <w:fldChar w:fldCharType="end"/>
      </w:r>
      <w:r>
        <w:rPr>
          <w:rFonts w:hint="eastAsia" w:ascii="宋体" w:hAnsi="宋体" w:eastAsia="宋体" w:cs="宋体"/>
          <w:color w:val="000000"/>
          <w:kern w:val="0"/>
          <w:sz w:val="24"/>
          <w:shd w:val="clear" w:color="auto" w:fill="FFFFFF"/>
        </w:rPr>
        <w:t>，经国务院或者省、自治区、直辖市人民政府国有资产管理行政主管部门认可的临时评估机构（以下统称</w:t>
      </w:r>
      <w:r>
        <w:fldChar w:fldCharType="begin"/>
      </w:r>
      <w:r>
        <w:instrText xml:space="preserve"> HYPERLINK "https://baike.baidu.com/item/%E8%B5%84%E4%BA%A7%E8%AF%84%E4%BC%B0%E6%9C%BA%E6%9E%84" \t "_blank" </w:instrText>
      </w:r>
      <w:r>
        <w:fldChar w:fldCharType="separate"/>
      </w:r>
      <w:r>
        <w:rPr>
          <w:rFonts w:hint="eastAsia" w:ascii="宋体" w:hAnsi="宋体" w:eastAsia="宋体" w:cs="宋体"/>
          <w:color w:val="000000"/>
          <w:kern w:val="0"/>
          <w:sz w:val="24"/>
          <w:shd w:val="clear" w:color="auto" w:fill="FFFFFF"/>
        </w:rPr>
        <w:t>资产评估机构</w:t>
      </w:r>
      <w:r>
        <w:rPr>
          <w:rFonts w:hint="eastAsia" w:ascii="宋体" w:hAnsi="宋体" w:eastAsia="宋体" w:cs="宋体"/>
          <w:color w:val="000000"/>
          <w:kern w:val="0"/>
          <w:sz w:val="24"/>
          <w:shd w:val="clear" w:color="auto" w:fill="FFFFFF"/>
        </w:rPr>
        <w:fldChar w:fldCharType="end"/>
      </w:r>
      <w:r>
        <w:rPr>
          <w:rFonts w:hint="eastAsia" w:ascii="宋体" w:hAnsi="宋体" w:eastAsia="宋体" w:cs="宋体"/>
          <w:color w:val="000000"/>
          <w:kern w:val="0"/>
          <w:sz w:val="24"/>
          <w:shd w:val="clear" w:color="auto" w:fill="FFFFFF"/>
        </w:rPr>
        <w:t>），可以接受占有单位的委托，从事国有资产评估业务。</w:t>
      </w:r>
    </w:p>
    <w:p w14:paraId="78CDF46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前款所列资产评估机构的管理办法，由国务院国有资产管理行政主管部门制定。</w:t>
      </w:r>
    </w:p>
    <w:p w14:paraId="7714FE1D">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Arial" w:hAnsi="Arial" w:eastAsia="宋体" w:cs="Arial"/>
          <w:b/>
          <w:bCs/>
          <w:kern w:val="0"/>
          <w:sz w:val="24"/>
        </w:rPr>
        <w:t>第十条</w:t>
      </w:r>
      <w:r>
        <w:rPr>
          <w:rFonts w:hint="eastAsia" w:ascii="宋体" w:hAnsi="宋体" w:eastAsia="宋体" w:cs="宋体"/>
          <w:color w:val="000000"/>
          <w:kern w:val="0"/>
          <w:sz w:val="24"/>
          <w:shd w:val="clear" w:color="auto" w:fill="FFFFFF"/>
        </w:rPr>
        <w:t>　占有单位委托资产评估机构进行资产评估时，应当如实提供有关情况和资料。资产评估机构应当对占有单位提供的有关情况和资料保守秘密。</w:t>
      </w:r>
    </w:p>
    <w:p w14:paraId="2531742D">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Arial" w:hAnsi="Arial" w:eastAsia="宋体" w:cs="Arial"/>
          <w:b/>
          <w:bCs/>
          <w:kern w:val="0"/>
          <w:sz w:val="24"/>
        </w:rPr>
        <w:t>第十一条</w:t>
      </w:r>
      <w:r>
        <w:rPr>
          <w:rFonts w:hint="eastAsia" w:ascii="宋体" w:hAnsi="宋体" w:eastAsia="宋体" w:cs="宋体"/>
          <w:color w:val="000000"/>
          <w:kern w:val="0"/>
          <w:sz w:val="24"/>
          <w:shd w:val="clear" w:color="auto" w:fill="FFFFFF"/>
        </w:rPr>
        <w:t>　资产评估机构进行资产评估，实行有偿服务。资产评估收费办法，由国务院国有资产管理行政主管部门会同财政部门、物价主管部门制定。</w:t>
      </w:r>
    </w:p>
    <w:p w14:paraId="7D9A2D59">
      <w:pPr>
        <w:shd w:val="clear" w:color="auto" w:fill="FFFFFF"/>
        <w:spacing w:line="440" w:lineRule="atLeast"/>
        <w:jc w:val="center"/>
        <w:rPr>
          <w:rFonts w:ascii="黑体" w:hAnsi="黑体" w:eastAsia="黑体" w:cs="黑体"/>
          <w:color w:val="000000"/>
          <w:kern w:val="0"/>
          <w:sz w:val="28"/>
          <w:szCs w:val="28"/>
          <w:shd w:val="clear" w:color="auto" w:fill="FFFFFF"/>
        </w:rPr>
      </w:pPr>
      <w:r>
        <w:rPr>
          <w:rFonts w:hint="eastAsia" w:ascii="黑体" w:hAnsi="黑体" w:eastAsia="黑体" w:cs="黑体"/>
          <w:color w:val="000000"/>
          <w:kern w:val="0"/>
          <w:sz w:val="28"/>
          <w:szCs w:val="28"/>
          <w:shd w:val="clear" w:color="auto" w:fill="FFFFFF"/>
        </w:rPr>
        <w:t>第三章　评估程序</w:t>
      </w:r>
    </w:p>
    <w:p w14:paraId="6ECE45B7">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bCs/>
          <w:color w:val="000000"/>
          <w:kern w:val="0"/>
          <w:sz w:val="24"/>
          <w:shd w:val="clear" w:color="auto" w:fill="FFFFFF"/>
        </w:rPr>
        <w:t>第十二条　</w:t>
      </w:r>
      <w:r>
        <w:rPr>
          <w:rFonts w:hint="eastAsia" w:ascii="宋体" w:hAnsi="宋体" w:eastAsia="宋体" w:cs="宋体"/>
          <w:color w:val="000000"/>
          <w:kern w:val="0"/>
          <w:sz w:val="24"/>
          <w:shd w:val="clear" w:color="auto" w:fill="FFFFFF"/>
        </w:rPr>
        <w:t>国有资产评估按照下列程序进行：</w:t>
      </w:r>
    </w:p>
    <w:p w14:paraId="0B42275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（一）申请立项；</w:t>
      </w:r>
    </w:p>
    <w:p w14:paraId="0B3E607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（二）资产清查；</w:t>
      </w:r>
    </w:p>
    <w:p w14:paraId="44A3181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（三）评定估算；</w:t>
      </w:r>
    </w:p>
    <w:p w14:paraId="032411B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（四）验证确认。</w:t>
      </w:r>
    </w:p>
    <w:p w14:paraId="71A2E917">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Arial" w:hAnsi="Arial" w:eastAsia="宋体" w:cs="Arial"/>
          <w:b/>
          <w:bCs/>
          <w:kern w:val="0"/>
          <w:sz w:val="24"/>
        </w:rPr>
        <w:t>第十三条</w:t>
      </w:r>
      <w:r>
        <w:rPr>
          <w:rFonts w:hint="eastAsia" w:ascii="宋体" w:hAnsi="宋体" w:eastAsia="宋体" w:cs="宋体"/>
          <w:color w:val="000000"/>
          <w:kern w:val="0"/>
          <w:sz w:val="24"/>
          <w:shd w:val="clear" w:color="auto" w:fill="FFFFFF"/>
        </w:rPr>
        <w:t>　依照本办法第三条、第四条规定进行资产评估的占有单位，经其主管部门审查同意后，应当向同级国有资产管理行政主管部门提交资产评估立项申请书，并附财产目录和有关会计报表等资料。</w:t>
      </w:r>
    </w:p>
    <w:p w14:paraId="56C708E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经国有资产管理行政主管部门授权或者委托，占有单位的主管部门可以审批资产评估立项申请。</w:t>
      </w:r>
    </w:p>
    <w:p w14:paraId="5CBAAD11">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Arial" w:hAnsi="Arial" w:eastAsia="宋体" w:cs="Arial"/>
          <w:b/>
          <w:bCs/>
          <w:kern w:val="0"/>
          <w:sz w:val="24"/>
        </w:rPr>
        <w:t>第十四条</w:t>
      </w:r>
      <w:r>
        <w:rPr>
          <w:rFonts w:hint="eastAsia" w:ascii="宋体" w:hAnsi="宋体" w:eastAsia="宋体" w:cs="宋体"/>
          <w:color w:val="000000"/>
          <w:kern w:val="0"/>
          <w:sz w:val="24"/>
          <w:shd w:val="clear" w:color="auto" w:fill="FFFFFF"/>
        </w:rPr>
        <w:t>　国有资产管理行政主管部门应当自收到资产评估立项申请书之日起十日内进行审核，并作出是否准予资产评估立项的决定，通知申请单位及其主管部门。</w:t>
      </w:r>
    </w:p>
    <w:p w14:paraId="2EE1D489">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Arial" w:hAnsi="Arial" w:eastAsia="宋体" w:cs="Arial"/>
          <w:b/>
          <w:bCs/>
          <w:kern w:val="0"/>
          <w:sz w:val="24"/>
        </w:rPr>
        <w:t>第十五条</w:t>
      </w:r>
      <w:r>
        <w:rPr>
          <w:rFonts w:hint="eastAsia" w:ascii="宋体" w:hAnsi="宋体" w:eastAsia="宋体" w:cs="宋体"/>
          <w:color w:val="000000"/>
          <w:kern w:val="0"/>
          <w:sz w:val="24"/>
          <w:shd w:val="clear" w:color="auto" w:fill="FFFFFF"/>
        </w:rPr>
        <w:t>　国务院决定对全国或者特定行业进行国有资产评估的，视为已经准予资产评估立项。</w:t>
      </w:r>
    </w:p>
    <w:p w14:paraId="0B861178">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Arial" w:hAnsi="Arial" w:eastAsia="宋体" w:cs="Arial"/>
          <w:b/>
          <w:bCs/>
          <w:kern w:val="0"/>
          <w:sz w:val="24"/>
        </w:rPr>
        <w:t>第十六条</w:t>
      </w:r>
      <w:r>
        <w:rPr>
          <w:rFonts w:hint="eastAsia" w:ascii="宋体" w:hAnsi="宋体" w:eastAsia="宋体" w:cs="宋体"/>
          <w:color w:val="000000"/>
          <w:kern w:val="0"/>
          <w:sz w:val="24"/>
          <w:shd w:val="clear" w:color="auto" w:fill="FFFFFF"/>
        </w:rPr>
        <w:t>　申请单位收到准予资产评估立项通知书后，可以委托资产评佑机构评估资产。</w:t>
      </w:r>
    </w:p>
    <w:p w14:paraId="51775A50">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Arial" w:hAnsi="Arial" w:eastAsia="宋体" w:cs="Arial"/>
          <w:b/>
          <w:bCs/>
          <w:kern w:val="0"/>
          <w:sz w:val="24"/>
        </w:rPr>
        <w:t>第十七条</w:t>
      </w:r>
      <w:r>
        <w:rPr>
          <w:rFonts w:hint="eastAsia" w:ascii="宋体" w:hAnsi="宋体" w:eastAsia="宋体" w:cs="宋体"/>
          <w:color w:val="000000"/>
          <w:kern w:val="0"/>
          <w:sz w:val="24"/>
          <w:shd w:val="clear" w:color="auto" w:fill="FFFFFF"/>
        </w:rPr>
        <w:t>　受占有单位委托的资产评估机构应当在对委托单位的资产、债权、债务进行全面清查的基础上，核实资产帐面与实际是否相符，经营成果是否真实，据以作出鉴定。</w:t>
      </w:r>
    </w:p>
    <w:p w14:paraId="7D3170BA">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Arial" w:hAnsi="Arial" w:eastAsia="宋体" w:cs="Arial"/>
          <w:b/>
          <w:bCs/>
          <w:kern w:val="0"/>
          <w:sz w:val="24"/>
        </w:rPr>
        <w:t>第十八条</w:t>
      </w:r>
      <w:r>
        <w:rPr>
          <w:rFonts w:hint="eastAsia" w:ascii="宋体" w:hAnsi="宋体" w:eastAsia="宋体" w:cs="宋体"/>
          <w:color w:val="000000"/>
          <w:kern w:val="0"/>
          <w:sz w:val="24"/>
          <w:shd w:val="clear" w:color="auto" w:fill="FFFFFF"/>
        </w:rPr>
        <w:t>　受占有单位委托的资产评估机构应当根据本办法的规定，对委托单位被评估资产的价值进行评定和估算，并向委托单位提出资产评估结果报告书。</w:t>
      </w:r>
    </w:p>
    <w:p w14:paraId="6A6ADC6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委托单位收到资产评估机构的资产评估结果报告书后应当报其主管部门审查；主管部门审查同意后，报同级国有资产管理行政主管部门确认资产评估结果。</w:t>
      </w:r>
    </w:p>
    <w:p w14:paraId="617EF1F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经国有资产管理行政主管部门授权或者委托，占有单位的主管部门可以确认资产评估结果。</w:t>
      </w:r>
    </w:p>
    <w:p w14:paraId="7E1B62B1">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Arial" w:hAnsi="Arial" w:eastAsia="宋体" w:cs="Arial"/>
          <w:b/>
          <w:bCs/>
          <w:kern w:val="0"/>
          <w:sz w:val="24"/>
        </w:rPr>
        <w:t>第十九条</w:t>
      </w:r>
      <w:r>
        <w:rPr>
          <w:rFonts w:hint="eastAsia" w:ascii="宋体" w:hAnsi="宋体" w:eastAsia="宋体" w:cs="宋体"/>
          <w:color w:val="000000"/>
          <w:kern w:val="0"/>
          <w:sz w:val="24"/>
          <w:shd w:val="clear" w:color="auto" w:fill="FFFFFF"/>
        </w:rPr>
        <w:t>　国有资产管理行政主管部门应当自收到占有单位报送的资产评估结果报告书之日起四十五日内组织审核、验证、协商，确认资产评估结果，并下达确认通知书。</w:t>
      </w:r>
    </w:p>
    <w:p w14:paraId="4DBD2178">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Arial" w:hAnsi="Arial" w:eastAsia="宋体" w:cs="Arial"/>
          <w:b/>
          <w:bCs/>
          <w:kern w:val="0"/>
          <w:sz w:val="24"/>
        </w:rPr>
        <w:t>第二十条</w:t>
      </w:r>
      <w:r>
        <w:rPr>
          <w:rFonts w:hint="eastAsia" w:ascii="宋体" w:hAnsi="宋体" w:eastAsia="宋体" w:cs="宋体"/>
          <w:color w:val="000000"/>
          <w:kern w:val="0"/>
          <w:sz w:val="24"/>
          <w:shd w:val="clear" w:color="auto" w:fill="FFFFFF"/>
        </w:rPr>
        <w:t>　占有单位对确认通知书有异议的，可以自收到通知书之日起十五日内向上一级国有资产管理行政主管部门申请复核。上一级国有资产管理行政主管部门应当自收到复核申请之日起三十日内作出裁定，并下达裁定通知书。</w:t>
      </w:r>
    </w:p>
    <w:p w14:paraId="41FA3552">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Arial" w:hAnsi="Arial" w:eastAsia="宋体" w:cs="Arial"/>
          <w:b/>
          <w:bCs/>
          <w:kern w:val="0"/>
          <w:sz w:val="24"/>
        </w:rPr>
        <w:t>第二十一条</w:t>
      </w:r>
      <w:r>
        <w:rPr>
          <w:rFonts w:hint="eastAsia" w:ascii="宋体" w:hAnsi="宋体" w:eastAsia="宋体" w:cs="宋体"/>
          <w:color w:val="000000"/>
          <w:kern w:val="0"/>
          <w:sz w:val="24"/>
          <w:shd w:val="clear" w:color="auto" w:fill="FFFFFF"/>
        </w:rPr>
        <w:t>　占有单位收到确认通知书或者裁定通知书后，应当根据国家有关财务、会计制度进行帐务处理。</w:t>
      </w:r>
    </w:p>
    <w:p w14:paraId="0ADD5886">
      <w:pPr>
        <w:shd w:val="clear" w:color="auto" w:fill="FFFFFF"/>
        <w:spacing w:line="440" w:lineRule="atLeast"/>
        <w:jc w:val="center"/>
        <w:rPr>
          <w:rFonts w:ascii="黑体" w:hAnsi="黑体" w:eastAsia="黑体" w:cs="黑体"/>
          <w:color w:val="000000"/>
          <w:kern w:val="0"/>
          <w:sz w:val="28"/>
          <w:szCs w:val="28"/>
          <w:shd w:val="clear" w:color="auto" w:fill="FFFFFF"/>
        </w:rPr>
      </w:pPr>
      <w:r>
        <w:rPr>
          <w:rFonts w:hint="eastAsia" w:ascii="黑体" w:hAnsi="黑体" w:eastAsia="黑体" w:cs="黑体"/>
          <w:color w:val="000000"/>
          <w:kern w:val="0"/>
          <w:sz w:val="28"/>
          <w:szCs w:val="28"/>
          <w:shd w:val="clear" w:color="auto" w:fill="FFFFFF"/>
        </w:rPr>
        <w:t>第四章　评估方法</w:t>
      </w:r>
    </w:p>
    <w:p w14:paraId="1D868086">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Arial" w:hAnsi="Arial" w:eastAsia="宋体" w:cs="Arial"/>
          <w:b/>
          <w:bCs/>
          <w:kern w:val="0"/>
          <w:sz w:val="24"/>
        </w:rPr>
        <w:t>第二十二条　</w:t>
      </w:r>
      <w:r>
        <w:rPr>
          <w:rFonts w:hint="eastAsia" w:ascii="宋体" w:hAnsi="宋体" w:eastAsia="宋体" w:cs="宋体"/>
          <w:color w:val="000000"/>
          <w:kern w:val="0"/>
          <w:sz w:val="24"/>
          <w:shd w:val="clear" w:color="auto" w:fill="FFFFFF"/>
        </w:rPr>
        <w:t>国有资产重估价值，根据资产原值、净值、新旧程度、重置成本、获利能力等因素和本办法规定的</w:t>
      </w:r>
      <w:r>
        <w:fldChar w:fldCharType="begin"/>
      </w:r>
      <w:r>
        <w:instrText xml:space="preserve"> HYPERLINK "https://baike.baidu.com/item/%E8%B5%84%E4%BA%A7%E8%AF%84%E4%BC%B0%E6%96%B9%E6%B3%95" \t "_blank" </w:instrText>
      </w:r>
      <w:r>
        <w:fldChar w:fldCharType="separate"/>
      </w:r>
      <w:r>
        <w:rPr>
          <w:rFonts w:hint="eastAsia" w:ascii="宋体" w:hAnsi="宋体" w:eastAsia="宋体" w:cs="宋体"/>
          <w:color w:val="000000"/>
          <w:kern w:val="0"/>
          <w:sz w:val="24"/>
          <w:shd w:val="clear" w:color="auto" w:fill="FFFFFF"/>
        </w:rPr>
        <w:t>资产评估方法</w:t>
      </w:r>
      <w:r>
        <w:rPr>
          <w:rFonts w:hint="eastAsia" w:ascii="宋体" w:hAnsi="宋体" w:eastAsia="宋体" w:cs="宋体"/>
          <w:color w:val="000000"/>
          <w:kern w:val="0"/>
          <w:sz w:val="24"/>
          <w:shd w:val="clear" w:color="auto" w:fill="FFFFFF"/>
        </w:rPr>
        <w:fldChar w:fldCharType="end"/>
      </w:r>
      <w:r>
        <w:rPr>
          <w:rFonts w:hint="eastAsia" w:ascii="宋体" w:hAnsi="宋体" w:eastAsia="宋体" w:cs="宋体"/>
          <w:color w:val="000000"/>
          <w:kern w:val="0"/>
          <w:sz w:val="24"/>
          <w:shd w:val="clear" w:color="auto" w:fill="FFFFFF"/>
        </w:rPr>
        <w:t>评定。</w:t>
      </w:r>
    </w:p>
    <w:p w14:paraId="20A07888">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Arial" w:hAnsi="Arial" w:eastAsia="宋体" w:cs="Arial"/>
          <w:b/>
          <w:bCs/>
          <w:kern w:val="0"/>
          <w:sz w:val="24"/>
        </w:rPr>
        <w:t>第二十三条</w:t>
      </w:r>
      <w:r>
        <w:rPr>
          <w:rFonts w:hint="eastAsia" w:ascii="宋体" w:hAnsi="宋体" w:eastAsia="宋体" w:cs="宋体"/>
          <w:color w:val="000000"/>
          <w:kern w:val="0"/>
          <w:sz w:val="24"/>
          <w:shd w:val="clear" w:color="auto" w:fill="FFFFFF"/>
        </w:rPr>
        <w:t>　</w:t>
      </w:r>
      <w:r>
        <w:fldChar w:fldCharType="begin"/>
      </w:r>
      <w:r>
        <w:instrText xml:space="preserve"> HYPERLINK "https://baike.baidu.com/item/%E5%9B%BD%E6%9C%89%E8%B5%84%E4%BA%A7%E8%AF%84%E4%BC%B0%E6%96%B9%E6%B3%95/9639955" \t "_blank" </w:instrText>
      </w:r>
      <w:r>
        <w:fldChar w:fldCharType="separate"/>
      </w:r>
      <w:r>
        <w:rPr>
          <w:rFonts w:hint="eastAsia" w:ascii="宋体" w:hAnsi="宋体" w:eastAsia="宋体" w:cs="宋体"/>
          <w:color w:val="000000"/>
          <w:kern w:val="0"/>
          <w:sz w:val="24"/>
          <w:shd w:val="clear" w:color="auto" w:fill="FFFFFF"/>
        </w:rPr>
        <w:t>国有资产评估方法</w:t>
      </w:r>
      <w:r>
        <w:rPr>
          <w:rFonts w:hint="eastAsia" w:ascii="宋体" w:hAnsi="宋体" w:eastAsia="宋体" w:cs="宋体"/>
          <w:color w:val="000000"/>
          <w:kern w:val="0"/>
          <w:sz w:val="24"/>
          <w:shd w:val="clear" w:color="auto" w:fill="FFFFFF"/>
        </w:rPr>
        <w:fldChar w:fldCharType="end"/>
      </w:r>
      <w:r>
        <w:rPr>
          <w:rFonts w:hint="eastAsia" w:ascii="宋体" w:hAnsi="宋体" w:eastAsia="宋体" w:cs="宋体"/>
          <w:color w:val="000000"/>
          <w:kern w:val="0"/>
          <w:sz w:val="24"/>
          <w:shd w:val="clear" w:color="auto" w:fill="FFFFFF"/>
        </w:rPr>
        <w:t>包括：</w:t>
      </w:r>
    </w:p>
    <w:p w14:paraId="0074B92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w:t>
      </w:r>
      <w:r>
        <w:fldChar w:fldCharType="begin"/>
      </w:r>
      <w:r>
        <w:instrText xml:space="preserve"> HYPERLINK "https://baike.baidu.com/item/%E6%94%B6%E7%9B%8A%E7%8E%B0%E5%80%BC%E6%B3%95/633322" \t "_blank" </w:instrText>
      </w:r>
      <w:r>
        <w:fldChar w:fldCharType="separate"/>
      </w:r>
      <w:r>
        <w:rPr>
          <w:rFonts w:hint="eastAsia" w:ascii="宋体" w:hAnsi="宋体" w:eastAsia="宋体" w:cs="宋体"/>
          <w:color w:val="000000"/>
          <w:kern w:val="0"/>
          <w:sz w:val="24"/>
          <w:shd w:val="clear" w:color="auto" w:fill="FFFFFF"/>
        </w:rPr>
        <w:t>收益现值法</w:t>
      </w:r>
      <w:r>
        <w:rPr>
          <w:rFonts w:hint="eastAsia" w:ascii="宋体" w:hAnsi="宋体" w:eastAsia="宋体" w:cs="宋体"/>
          <w:color w:val="000000"/>
          <w:kern w:val="0"/>
          <w:sz w:val="24"/>
          <w:shd w:val="clear" w:color="auto" w:fill="FFFFFF"/>
        </w:rPr>
        <w:fldChar w:fldCharType="end"/>
      </w:r>
      <w:r>
        <w:rPr>
          <w:rFonts w:hint="eastAsia" w:ascii="宋体" w:hAnsi="宋体" w:eastAsia="宋体" w:cs="宋体"/>
          <w:color w:val="000000"/>
          <w:kern w:val="0"/>
          <w:sz w:val="24"/>
          <w:shd w:val="clear" w:color="auto" w:fill="FFFFFF"/>
        </w:rPr>
        <w:t>；</w:t>
      </w:r>
    </w:p>
    <w:p w14:paraId="1857076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w:t>
      </w:r>
      <w:r>
        <w:fldChar w:fldCharType="begin"/>
      </w:r>
      <w:r>
        <w:instrText xml:space="preserve"> HYPERLINK "https://baike.baidu.com/item/%E9%87%8D%E7%BD%AE%E6%88%90%E6%9C%AC%E6%B3%95/633277" \t "_blank" </w:instrText>
      </w:r>
      <w:r>
        <w:fldChar w:fldCharType="separate"/>
      </w:r>
      <w:r>
        <w:rPr>
          <w:rFonts w:hint="eastAsia" w:ascii="宋体" w:hAnsi="宋体" w:eastAsia="宋体" w:cs="宋体"/>
          <w:color w:val="000000"/>
          <w:kern w:val="0"/>
          <w:sz w:val="24"/>
          <w:shd w:val="clear" w:color="auto" w:fill="FFFFFF"/>
        </w:rPr>
        <w:t>重置成本法</w:t>
      </w:r>
      <w:r>
        <w:rPr>
          <w:rFonts w:hint="eastAsia" w:ascii="宋体" w:hAnsi="宋体" w:eastAsia="宋体" w:cs="宋体"/>
          <w:color w:val="000000"/>
          <w:kern w:val="0"/>
          <w:sz w:val="24"/>
          <w:shd w:val="clear" w:color="auto" w:fill="FFFFFF"/>
        </w:rPr>
        <w:fldChar w:fldCharType="end"/>
      </w:r>
      <w:r>
        <w:rPr>
          <w:rFonts w:hint="eastAsia" w:ascii="宋体" w:hAnsi="宋体" w:eastAsia="宋体" w:cs="宋体"/>
          <w:color w:val="000000"/>
          <w:kern w:val="0"/>
          <w:sz w:val="24"/>
          <w:shd w:val="clear" w:color="auto" w:fill="FFFFFF"/>
        </w:rPr>
        <w:t>；</w:t>
      </w:r>
    </w:p>
    <w:p w14:paraId="30AA7F2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w:t>
      </w:r>
      <w:r>
        <w:fldChar w:fldCharType="begin"/>
      </w:r>
      <w:r>
        <w:instrText xml:space="preserve"> HYPERLINK "https://baike.baidu.com/item/%E7%8E%B0%E8%A1%8C%E5%B8%82%E4%BB%B7%E6%B3%95/6177304" \t "_blank" </w:instrText>
      </w:r>
      <w:r>
        <w:fldChar w:fldCharType="separate"/>
      </w:r>
      <w:r>
        <w:rPr>
          <w:rFonts w:hint="eastAsia" w:ascii="宋体" w:hAnsi="宋体" w:eastAsia="宋体" w:cs="宋体"/>
          <w:color w:val="000000"/>
          <w:kern w:val="0"/>
          <w:sz w:val="24"/>
          <w:shd w:val="clear" w:color="auto" w:fill="FFFFFF"/>
        </w:rPr>
        <w:t>现行市价法</w:t>
      </w:r>
      <w:r>
        <w:rPr>
          <w:rFonts w:hint="eastAsia" w:ascii="宋体" w:hAnsi="宋体" w:eastAsia="宋体" w:cs="宋体"/>
          <w:color w:val="000000"/>
          <w:kern w:val="0"/>
          <w:sz w:val="24"/>
          <w:shd w:val="clear" w:color="auto" w:fill="FFFFFF"/>
        </w:rPr>
        <w:fldChar w:fldCharType="end"/>
      </w:r>
      <w:r>
        <w:rPr>
          <w:rFonts w:hint="eastAsia" w:ascii="宋体" w:hAnsi="宋体" w:eastAsia="宋体" w:cs="宋体"/>
          <w:color w:val="000000"/>
          <w:kern w:val="0"/>
          <w:sz w:val="24"/>
          <w:shd w:val="clear" w:color="auto" w:fill="FFFFFF"/>
        </w:rPr>
        <w:t>；</w:t>
      </w:r>
    </w:p>
    <w:p w14:paraId="3C9BF27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w:t>
      </w:r>
      <w:r>
        <w:fldChar w:fldCharType="begin"/>
      </w:r>
      <w:r>
        <w:instrText xml:space="preserve"> HYPERLINK "https://baike.baidu.com/item/%E6%B8%85%E7%AE%97%E4%BB%B7%E6%A0%BC%E6%B3%95/633444" \t "_blank" </w:instrText>
      </w:r>
      <w:r>
        <w:fldChar w:fldCharType="separate"/>
      </w:r>
      <w:r>
        <w:rPr>
          <w:rFonts w:hint="eastAsia" w:ascii="宋体" w:hAnsi="宋体" w:eastAsia="宋体" w:cs="宋体"/>
          <w:color w:val="000000"/>
          <w:kern w:val="0"/>
          <w:sz w:val="24"/>
          <w:shd w:val="clear" w:color="auto" w:fill="FFFFFF"/>
        </w:rPr>
        <w:t>清算价格法</w:t>
      </w:r>
      <w:r>
        <w:rPr>
          <w:rFonts w:hint="eastAsia" w:ascii="宋体" w:hAnsi="宋体" w:eastAsia="宋体" w:cs="宋体"/>
          <w:color w:val="000000"/>
          <w:kern w:val="0"/>
          <w:sz w:val="24"/>
          <w:shd w:val="clear" w:color="auto" w:fill="FFFFFF"/>
        </w:rPr>
        <w:fldChar w:fldCharType="end"/>
      </w:r>
      <w:r>
        <w:rPr>
          <w:rFonts w:hint="eastAsia" w:ascii="宋体" w:hAnsi="宋体" w:eastAsia="宋体" w:cs="宋体"/>
          <w:color w:val="000000"/>
          <w:kern w:val="0"/>
          <w:sz w:val="24"/>
          <w:shd w:val="clear" w:color="auto" w:fill="FFFFFF"/>
        </w:rPr>
        <w:t>；</w:t>
      </w:r>
    </w:p>
    <w:p w14:paraId="4A2F22F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（五）国务院国有资产管理行政主管部门规定的其他评估方法。</w:t>
      </w:r>
    </w:p>
    <w:p w14:paraId="6B56A1F5">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Arial" w:hAnsi="Arial" w:eastAsia="宋体" w:cs="Arial"/>
          <w:b/>
          <w:bCs/>
          <w:kern w:val="0"/>
          <w:sz w:val="24"/>
        </w:rPr>
        <w:t>第二十四条</w:t>
      </w:r>
      <w:r>
        <w:rPr>
          <w:rFonts w:hint="eastAsia" w:ascii="宋体" w:hAnsi="宋体" w:eastAsia="宋体" w:cs="宋体"/>
          <w:color w:val="000000"/>
          <w:kern w:val="0"/>
          <w:sz w:val="24"/>
          <w:shd w:val="clear" w:color="auto" w:fill="FFFFFF"/>
        </w:rPr>
        <w:t>　用收益现值法进行资产评估的，应当根据被评估资产合理的预期获利能力和适当的折现率，计算出资产的现值，并以此评定重估价值。</w:t>
      </w:r>
    </w:p>
    <w:p w14:paraId="7B6DFDE8">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Arial" w:hAnsi="Arial" w:eastAsia="宋体" w:cs="Arial"/>
          <w:b/>
          <w:bCs/>
          <w:kern w:val="0"/>
          <w:sz w:val="24"/>
        </w:rPr>
        <w:t>第二十五条</w:t>
      </w:r>
      <w:r>
        <w:rPr>
          <w:rFonts w:hint="eastAsia" w:ascii="宋体" w:hAnsi="宋体" w:eastAsia="宋体" w:cs="宋体"/>
          <w:color w:val="000000"/>
          <w:kern w:val="0"/>
          <w:sz w:val="24"/>
          <w:shd w:val="clear" w:color="auto" w:fill="FFFFFF"/>
        </w:rPr>
        <w:t>　用重置成本法进行资产评估的，应当根据该项资产在全新情况下的重置成本，减去按重置成本计算的已使用年限的累积折旧额，考虑资产功能变化、</w:t>
      </w:r>
      <w:r>
        <w:fldChar w:fldCharType="begin"/>
      </w:r>
      <w:r>
        <w:instrText xml:space="preserve"> HYPERLINK "https://baike.baidu.com/item/%E6%88%90%E6%96%B0%E7%8E%87" \t "_blank" </w:instrText>
      </w:r>
      <w:r>
        <w:fldChar w:fldCharType="separate"/>
      </w:r>
      <w:r>
        <w:rPr>
          <w:rFonts w:hint="eastAsia" w:ascii="宋体" w:hAnsi="宋体" w:eastAsia="宋体" w:cs="宋体"/>
          <w:color w:val="000000"/>
          <w:kern w:val="0"/>
          <w:sz w:val="24"/>
          <w:shd w:val="clear" w:color="auto" w:fill="FFFFFF"/>
        </w:rPr>
        <w:t>成新率</w:t>
      </w:r>
      <w:r>
        <w:rPr>
          <w:rFonts w:hint="eastAsia" w:ascii="宋体" w:hAnsi="宋体" w:eastAsia="宋体" w:cs="宋体"/>
          <w:color w:val="000000"/>
          <w:kern w:val="0"/>
          <w:sz w:val="24"/>
          <w:shd w:val="clear" w:color="auto" w:fill="FFFFFF"/>
        </w:rPr>
        <w:fldChar w:fldCharType="end"/>
      </w:r>
      <w:r>
        <w:rPr>
          <w:rFonts w:hint="eastAsia" w:ascii="宋体" w:hAnsi="宋体" w:eastAsia="宋体" w:cs="宋体"/>
          <w:color w:val="000000"/>
          <w:kern w:val="0"/>
          <w:sz w:val="24"/>
          <w:shd w:val="clear" w:color="auto" w:fill="FFFFFF"/>
        </w:rPr>
        <w:t>等因素，评定重估价值；或者根据资产的使用期限，考虑资产功能变化等因素重新确定成新率，评定重估价值。</w:t>
      </w:r>
    </w:p>
    <w:p w14:paraId="6ACBCDDF">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Arial" w:hAnsi="Arial" w:eastAsia="宋体" w:cs="Arial"/>
          <w:b/>
          <w:bCs/>
          <w:kern w:val="0"/>
          <w:sz w:val="24"/>
        </w:rPr>
        <w:t>第二十六条</w:t>
      </w:r>
      <w:r>
        <w:rPr>
          <w:rFonts w:hint="eastAsia" w:ascii="宋体" w:hAnsi="宋体" w:eastAsia="宋体" w:cs="宋体"/>
          <w:color w:val="000000"/>
          <w:kern w:val="0"/>
          <w:sz w:val="24"/>
          <w:shd w:val="clear" w:color="auto" w:fill="FFFFFF"/>
        </w:rPr>
        <w:t>　用现行市价法进行资产评估的，应当参照相同或者类似资产的市场价格，评定重估价值。</w:t>
      </w:r>
    </w:p>
    <w:p w14:paraId="7034929E">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Arial" w:hAnsi="Arial" w:eastAsia="宋体" w:cs="Arial"/>
          <w:b/>
          <w:bCs/>
          <w:kern w:val="0"/>
          <w:sz w:val="24"/>
        </w:rPr>
        <w:t>第二十七条</w:t>
      </w:r>
      <w:r>
        <w:rPr>
          <w:rFonts w:hint="eastAsia" w:ascii="宋体" w:hAnsi="宋体" w:eastAsia="宋体" w:cs="宋体"/>
          <w:color w:val="000000"/>
          <w:kern w:val="0"/>
          <w:sz w:val="24"/>
          <w:shd w:val="clear" w:color="auto" w:fill="FFFFFF"/>
        </w:rPr>
        <w:t>　用清算价格法进行资产评估的，应当根据企业清算时其资产可变现的价值，评定重估价值。</w:t>
      </w:r>
    </w:p>
    <w:p w14:paraId="53A03E7F">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Arial" w:hAnsi="Arial" w:eastAsia="宋体" w:cs="Arial"/>
          <w:b/>
          <w:bCs/>
          <w:kern w:val="0"/>
          <w:sz w:val="24"/>
        </w:rPr>
        <w:t>第二十八条</w:t>
      </w:r>
      <w:r>
        <w:rPr>
          <w:rFonts w:hint="eastAsia" w:ascii="宋体" w:hAnsi="宋体" w:eastAsia="宋体" w:cs="宋体"/>
          <w:color w:val="000000"/>
          <w:kern w:val="0"/>
          <w:sz w:val="24"/>
          <w:shd w:val="clear" w:color="auto" w:fill="FFFFFF"/>
        </w:rPr>
        <w:t>　对流动资产中的原材料、在制品、协作件、库存商品、</w:t>
      </w:r>
      <w:r>
        <w:fldChar w:fldCharType="begin"/>
      </w:r>
      <w:r>
        <w:instrText xml:space="preserve"> HYPERLINK "https://baike.baidu.com/item/%E4%BD%8E%E5%80%BC%E6%98%93%E8%80%97%E5%93%81/8986762" \t "_blank" </w:instrText>
      </w:r>
      <w:r>
        <w:fldChar w:fldCharType="separate"/>
      </w:r>
      <w:r>
        <w:rPr>
          <w:rFonts w:hint="eastAsia" w:ascii="宋体" w:hAnsi="宋体" w:eastAsia="宋体" w:cs="宋体"/>
          <w:color w:val="000000"/>
          <w:kern w:val="0"/>
          <w:sz w:val="24"/>
          <w:shd w:val="clear" w:color="auto" w:fill="FFFFFF"/>
        </w:rPr>
        <w:t>低值易耗品</w:t>
      </w:r>
      <w:r>
        <w:rPr>
          <w:rFonts w:hint="eastAsia" w:ascii="宋体" w:hAnsi="宋体" w:eastAsia="宋体" w:cs="宋体"/>
          <w:color w:val="000000"/>
          <w:kern w:val="0"/>
          <w:sz w:val="24"/>
          <w:shd w:val="clear" w:color="auto" w:fill="FFFFFF"/>
        </w:rPr>
        <w:fldChar w:fldCharType="end"/>
      </w:r>
      <w:r>
        <w:rPr>
          <w:rFonts w:hint="eastAsia" w:ascii="宋体" w:hAnsi="宋体" w:eastAsia="宋体" w:cs="宋体"/>
          <w:color w:val="000000"/>
          <w:kern w:val="0"/>
          <w:sz w:val="24"/>
          <w:shd w:val="clear" w:color="auto" w:fill="FFFFFF"/>
        </w:rPr>
        <w:t>等进行评估时，应当根据该项资产的现行市场价格、计划价格，考虑购置费用、产品完工程度、损耗等因素，评定重估价值。</w:t>
      </w:r>
    </w:p>
    <w:p w14:paraId="7EF85695">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Arial" w:hAnsi="Arial" w:eastAsia="宋体" w:cs="Arial"/>
          <w:b/>
          <w:bCs/>
          <w:kern w:val="0"/>
          <w:sz w:val="24"/>
        </w:rPr>
        <w:t>第二十九条</w:t>
      </w:r>
      <w:r>
        <w:rPr>
          <w:rFonts w:hint="eastAsia" w:ascii="宋体" w:hAnsi="宋体" w:eastAsia="宋体" w:cs="宋体"/>
          <w:color w:val="000000"/>
          <w:kern w:val="0"/>
          <w:sz w:val="24"/>
          <w:shd w:val="clear" w:color="auto" w:fill="FFFFFF"/>
        </w:rPr>
        <w:t>　对有价证券的评估，参照市场价格评定重估价值；没有市场价格的，考虑票面价值、预期收益等因素，评定重估价值。</w:t>
      </w:r>
    </w:p>
    <w:p w14:paraId="2700A74A">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Arial" w:hAnsi="Arial" w:eastAsia="宋体" w:cs="Arial"/>
          <w:b/>
          <w:bCs/>
          <w:kern w:val="0"/>
          <w:sz w:val="24"/>
        </w:rPr>
        <w:t>第三十条</w:t>
      </w:r>
      <w:r>
        <w:rPr>
          <w:rFonts w:hint="eastAsia" w:ascii="宋体" w:hAnsi="宋体" w:eastAsia="宋体" w:cs="宋体"/>
          <w:color w:val="000000"/>
          <w:kern w:val="0"/>
          <w:sz w:val="24"/>
          <w:shd w:val="clear" w:color="auto" w:fill="FFFFFF"/>
        </w:rPr>
        <w:t>　对占有单位的无形资产，区别下列情况评定重估价值。</w:t>
      </w:r>
    </w:p>
    <w:p w14:paraId="17D9E49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（一）外购的无形资产，根据购入成本及该项资产具有的获利能力；</w:t>
      </w:r>
    </w:p>
    <w:p w14:paraId="547C679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（二）自创或者自身拥有的无形资产，根据其形成时所需实际成本及该项资产具有的获利能力；</w:t>
      </w:r>
    </w:p>
    <w:p w14:paraId="7D9E52D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（三）自创或者自身拥有的未单独计算成本的无形资产，根据该项资产具有的获利能力。</w:t>
      </w:r>
    </w:p>
    <w:p w14:paraId="7B2D0B9D">
      <w:pPr>
        <w:shd w:val="clear" w:color="auto" w:fill="FFFFFF"/>
        <w:spacing w:line="440" w:lineRule="atLeast"/>
        <w:jc w:val="center"/>
        <w:rPr>
          <w:rFonts w:ascii="黑体" w:hAnsi="黑体" w:eastAsia="黑体" w:cs="黑体"/>
          <w:color w:val="000000"/>
          <w:kern w:val="0"/>
          <w:sz w:val="28"/>
          <w:szCs w:val="28"/>
          <w:shd w:val="clear" w:color="auto" w:fill="FFFFFF"/>
        </w:rPr>
      </w:pPr>
      <w:r>
        <w:rPr>
          <w:rFonts w:hint="eastAsia" w:ascii="黑体" w:hAnsi="黑体" w:eastAsia="黑体" w:cs="黑体"/>
          <w:color w:val="000000"/>
          <w:kern w:val="0"/>
          <w:sz w:val="28"/>
          <w:szCs w:val="28"/>
          <w:shd w:val="clear" w:color="auto" w:fill="FFFFFF"/>
        </w:rPr>
        <w:t>第五章　法律责任</w:t>
      </w:r>
    </w:p>
    <w:p w14:paraId="48AE91EC">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Arial" w:hAnsi="Arial" w:eastAsia="宋体" w:cs="Arial"/>
          <w:b/>
          <w:bCs/>
          <w:kern w:val="0"/>
          <w:sz w:val="24"/>
        </w:rPr>
        <w:t>第三十一条　</w:t>
      </w:r>
      <w:r>
        <w:rPr>
          <w:rFonts w:hint="eastAsia" w:ascii="宋体" w:hAnsi="宋体" w:eastAsia="宋体" w:cs="宋体"/>
          <w:color w:val="000000"/>
          <w:kern w:val="0"/>
          <w:sz w:val="24"/>
          <w:shd w:val="clear" w:color="auto" w:fill="FFFFFF"/>
        </w:rPr>
        <w:t>占有单位违反本办法的规定，提供虚假情况和资料，或者与资产评估机构串通作弊，致使资产评估结果失实的，国有资产管理行政主管部门可以宣布资产评估结果无效，并可以根据情节轻重，单处或者并处下列处罚：</w:t>
      </w:r>
    </w:p>
    <w:p w14:paraId="7CE071C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（一）通报批评；</w:t>
      </w:r>
    </w:p>
    <w:p w14:paraId="6FAE9F0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（二）限期改正，并可以处以相当于评估费用以下的罚款；</w:t>
      </w:r>
    </w:p>
    <w:p w14:paraId="624F203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（三）提请有关部门对单位主管人员和直接责任人员给予行政处分，并可以处以相当于本人三个月基本工资以下的罚款。</w:t>
      </w:r>
    </w:p>
    <w:p w14:paraId="76EE74E8">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Arial" w:hAnsi="Arial" w:eastAsia="宋体" w:cs="Arial"/>
          <w:b/>
          <w:bCs/>
          <w:kern w:val="0"/>
          <w:sz w:val="24"/>
        </w:rPr>
        <w:t>第三十二条</w:t>
      </w:r>
      <w:r>
        <w:rPr>
          <w:rFonts w:hint="eastAsia" w:ascii="宋体" w:hAnsi="宋体" w:eastAsia="宋体" w:cs="宋体"/>
          <w:color w:val="000000"/>
          <w:kern w:val="0"/>
          <w:sz w:val="24"/>
          <w:shd w:val="clear" w:color="auto" w:fill="FFFFFF"/>
        </w:rPr>
        <w:t>　资产评估机构作弊或者玩忽职守，致使资产评估结果失实的，国有资产管理行政主管部门可以宣布资产评估结果无效，并可以根据情节轻重，对该资产评估机构给予下列处罚：</w:t>
      </w:r>
    </w:p>
    <w:p w14:paraId="7676680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（一）警告；</w:t>
      </w:r>
    </w:p>
    <w:p w14:paraId="40A5323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（二）停业整顿；</w:t>
      </w:r>
    </w:p>
    <w:p w14:paraId="1EA3414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（三）吊销国有资产评估资格证书。</w:t>
      </w:r>
    </w:p>
    <w:p w14:paraId="586D3CEF">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Arial" w:hAnsi="Arial" w:eastAsia="宋体" w:cs="Arial"/>
          <w:b/>
          <w:bCs/>
          <w:kern w:val="0"/>
          <w:sz w:val="24"/>
        </w:rPr>
        <w:t>第三十三条</w:t>
      </w:r>
      <w:r>
        <w:rPr>
          <w:rFonts w:hint="eastAsia" w:ascii="宋体" w:hAnsi="宋体" w:eastAsia="宋体" w:cs="宋体"/>
          <w:color w:val="000000"/>
          <w:kern w:val="0"/>
          <w:sz w:val="24"/>
          <w:shd w:val="clear" w:color="auto" w:fill="FFFFFF"/>
        </w:rPr>
        <w:t>　被处罚的单位和个人对依照本办法</w:t>
      </w:r>
      <w:r>
        <w:rPr>
          <w:rFonts w:hint="eastAsia" w:ascii="宋体" w:hAnsi="宋体" w:eastAsia="宋体" w:cs="宋体"/>
          <w:b/>
          <w:color w:val="000000"/>
          <w:kern w:val="0"/>
          <w:sz w:val="24"/>
          <w:shd w:val="clear" w:color="auto" w:fill="FFFFFF"/>
        </w:rPr>
        <w:t>第三十一条</w:t>
      </w:r>
      <w:r>
        <w:rPr>
          <w:rFonts w:hint="eastAsia" w:ascii="宋体" w:hAnsi="宋体" w:eastAsia="宋体" w:cs="宋体"/>
          <w:color w:val="000000"/>
          <w:kern w:val="0"/>
          <w:sz w:val="24"/>
          <w:shd w:val="clear" w:color="auto" w:fill="FFFFFF"/>
        </w:rPr>
        <w:t>、</w:t>
      </w:r>
      <w:r>
        <w:rPr>
          <w:rFonts w:hint="eastAsia" w:ascii="宋体" w:hAnsi="宋体" w:eastAsia="宋体" w:cs="宋体"/>
          <w:b/>
          <w:color w:val="000000"/>
          <w:kern w:val="0"/>
          <w:sz w:val="24"/>
          <w:shd w:val="clear" w:color="auto" w:fill="FFFFFF"/>
        </w:rPr>
        <w:t>第三十二条</w:t>
      </w:r>
      <w:r>
        <w:rPr>
          <w:rFonts w:hint="eastAsia" w:ascii="宋体" w:hAnsi="宋体" w:eastAsia="宋体" w:cs="宋体"/>
          <w:color w:val="000000"/>
          <w:kern w:val="0"/>
          <w:sz w:val="24"/>
          <w:shd w:val="clear" w:color="auto" w:fill="FFFFFF"/>
        </w:rPr>
        <w:t>规定作出的处罚决定不服的，可以在收到处罚通知之日起十五日内，向上一级国有资产管理行政主管部门申请复议。上一级国有资产管理行政主管部门应当自收到复议申请之日起六十日内作出复议决定。申请人对复议决定不服的，可以自收到复议通知之日起十五日内向人民法院提起诉讼。</w:t>
      </w:r>
    </w:p>
    <w:p w14:paraId="06E031D2">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Arial" w:hAnsi="Arial" w:eastAsia="宋体" w:cs="Arial"/>
          <w:b/>
          <w:bCs/>
          <w:kern w:val="0"/>
          <w:sz w:val="24"/>
        </w:rPr>
        <w:t>第三十四条</w:t>
      </w:r>
      <w:r>
        <w:rPr>
          <w:rFonts w:hint="eastAsia" w:ascii="宋体" w:hAnsi="宋体" w:eastAsia="宋体" w:cs="宋体"/>
          <w:color w:val="000000"/>
          <w:kern w:val="0"/>
          <w:sz w:val="24"/>
          <w:shd w:val="clear" w:color="auto" w:fill="FFFFFF"/>
        </w:rPr>
        <w:t>　国有资产管理行政主管部门或者行业主管部门工作人员违反本办法，利用职权谋取私利，或者玩忽职守，造成国有资产损失的，国有资产管理行政主管部门或者行业主管部门可以按照干部管理权限，给予行政处分，并可以处以相当于本人三个月基本工资以下的罚款。</w:t>
      </w:r>
    </w:p>
    <w:p w14:paraId="0F3C653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违反本办法，利用职权谋取私利的，由有查处权的部门依法追缴其非法所得。</w:t>
      </w:r>
    </w:p>
    <w:p w14:paraId="40A4D841">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Arial" w:hAnsi="Arial" w:eastAsia="宋体" w:cs="Arial"/>
          <w:b/>
          <w:bCs/>
          <w:kern w:val="0"/>
          <w:sz w:val="24"/>
        </w:rPr>
        <w:t>第三十五条</w:t>
      </w:r>
      <w:r>
        <w:rPr>
          <w:rFonts w:hint="eastAsia" w:ascii="宋体" w:hAnsi="宋体" w:eastAsia="宋体" w:cs="宋体"/>
          <w:color w:val="000000"/>
          <w:kern w:val="0"/>
          <w:sz w:val="24"/>
          <w:shd w:val="clear" w:color="auto" w:fill="FFFFFF"/>
        </w:rPr>
        <w:t>　违反本办法，情节严重，构成犯罪的，由司法机关依法追究刑事责任。</w:t>
      </w:r>
    </w:p>
    <w:p w14:paraId="05B7C2AA">
      <w:pPr>
        <w:shd w:val="clear" w:color="auto" w:fill="FFFFFF"/>
        <w:spacing w:line="440" w:lineRule="atLeast"/>
        <w:jc w:val="center"/>
        <w:rPr>
          <w:rFonts w:ascii="黑体" w:hAnsi="黑体" w:eastAsia="黑体" w:cs="黑体"/>
          <w:color w:val="000000"/>
          <w:kern w:val="0"/>
          <w:sz w:val="28"/>
          <w:szCs w:val="28"/>
          <w:shd w:val="clear" w:color="auto" w:fill="FFFFFF"/>
        </w:rPr>
      </w:pPr>
      <w:r>
        <w:rPr>
          <w:rFonts w:hint="eastAsia" w:ascii="黑体" w:hAnsi="黑体" w:eastAsia="黑体" w:cs="黑体"/>
          <w:color w:val="000000"/>
          <w:kern w:val="0"/>
          <w:sz w:val="28"/>
          <w:szCs w:val="28"/>
          <w:shd w:val="clear" w:color="auto" w:fill="FFFFFF"/>
        </w:rPr>
        <w:t>第六章　附则</w:t>
      </w:r>
    </w:p>
    <w:p w14:paraId="2CFF2E95">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Arial" w:hAnsi="Arial" w:eastAsia="宋体" w:cs="Arial"/>
          <w:b/>
          <w:bCs/>
          <w:kern w:val="0"/>
          <w:sz w:val="24"/>
        </w:rPr>
        <w:t>第三十六条　</w:t>
      </w:r>
      <w:r>
        <w:rPr>
          <w:rFonts w:hint="eastAsia" w:ascii="宋体" w:hAnsi="宋体" w:eastAsia="宋体" w:cs="宋体"/>
          <w:color w:val="000000"/>
          <w:kern w:val="0"/>
          <w:sz w:val="24"/>
          <w:shd w:val="clear" w:color="auto" w:fill="FFFFFF"/>
        </w:rPr>
        <w:t>境外国有资产的评估，不适用本办法。</w:t>
      </w:r>
    </w:p>
    <w:p w14:paraId="3B5D75A7">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Arial" w:hAnsi="Arial" w:eastAsia="宋体" w:cs="Arial"/>
          <w:b/>
          <w:bCs/>
          <w:kern w:val="0"/>
          <w:sz w:val="24"/>
        </w:rPr>
        <w:t>第三十七条</w:t>
      </w:r>
      <w:r>
        <w:rPr>
          <w:rFonts w:hint="eastAsia" w:ascii="宋体" w:hAnsi="宋体" w:eastAsia="宋体" w:cs="宋体"/>
          <w:color w:val="000000"/>
          <w:kern w:val="0"/>
          <w:sz w:val="24"/>
          <w:shd w:val="clear" w:color="auto" w:fill="FFFFFF"/>
        </w:rPr>
        <w:t>　有关国有自然资源有偿使用、开采的评估办法，由国务院另行规定。</w:t>
      </w:r>
    </w:p>
    <w:p w14:paraId="39A22E75">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Arial" w:hAnsi="Arial" w:eastAsia="宋体" w:cs="Arial"/>
          <w:b/>
          <w:bCs/>
          <w:kern w:val="0"/>
          <w:sz w:val="24"/>
        </w:rPr>
        <w:t>第三十八条</w:t>
      </w:r>
      <w:r>
        <w:rPr>
          <w:rFonts w:hint="eastAsia" w:ascii="宋体" w:hAnsi="宋体" w:eastAsia="宋体" w:cs="宋体"/>
          <w:color w:val="000000"/>
          <w:kern w:val="0"/>
          <w:sz w:val="24"/>
          <w:shd w:val="clear" w:color="auto" w:fill="FFFFFF"/>
        </w:rPr>
        <w:t>　本办法由国务院国有资产管理行政主管部门负责解释。本办法的施行细则由国务院国有资产管理行政主管部门制定。</w:t>
      </w:r>
    </w:p>
    <w:p w14:paraId="59C706AD">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Arial" w:hAnsi="Arial" w:eastAsia="宋体" w:cs="Arial"/>
          <w:b/>
          <w:bCs/>
          <w:kern w:val="0"/>
          <w:sz w:val="24"/>
        </w:rPr>
        <w:t>第三十九条</w:t>
      </w:r>
      <w:r>
        <w:rPr>
          <w:rFonts w:hint="eastAsia" w:ascii="宋体" w:hAnsi="宋体" w:eastAsia="宋体" w:cs="宋体"/>
          <w:color w:val="000000"/>
          <w:kern w:val="0"/>
          <w:sz w:val="24"/>
          <w:shd w:val="clear" w:color="auto" w:fill="FFFFFF"/>
        </w:rPr>
        <w:t>　本办法自发布之日起施行。</w:t>
      </w:r>
    </w:p>
    <w:p w14:paraId="50D55A10">
      <w:pPr>
        <w:pStyle w:val="2"/>
        <w:spacing w:line="440" w:lineRule="exact"/>
        <w:ind w:left="420" w:leftChars="200" w:firstLine="480" w:firstLineChars="200"/>
        <w:rPr>
          <w:rFonts w:asciiTheme="minorEastAsia" w:hAnsiTheme="minorEastAsia" w:eastAsiaTheme="minorEastAsia"/>
        </w:rPr>
      </w:pPr>
    </w:p>
    <w:p w14:paraId="4B6B0FAE">
      <w:pPr>
        <w:pStyle w:val="2"/>
        <w:spacing w:line="440" w:lineRule="exact"/>
        <w:rPr>
          <w:rFonts w:asciiTheme="minorEastAsia" w:hAnsiTheme="minorEastAsia" w:eastAsiaTheme="minorEastAsia"/>
        </w:rPr>
      </w:pPr>
    </w:p>
    <w:p w14:paraId="62ADB79E">
      <w:pPr>
        <w:pStyle w:val="2"/>
        <w:spacing w:line="440" w:lineRule="atLeast"/>
        <w:rPr>
          <w:rFonts w:asciiTheme="minorEastAsia" w:hAnsiTheme="minorEastAsia" w:eastAsiaTheme="minorEastAsia"/>
        </w:rPr>
      </w:pPr>
    </w:p>
    <w:p w14:paraId="70145DD9">
      <w:pPr>
        <w:pStyle w:val="2"/>
        <w:spacing w:line="440" w:lineRule="atLeast"/>
        <w:rPr>
          <w:rFonts w:asciiTheme="minorEastAsia" w:hAnsiTheme="minorEastAsia" w:eastAsiaTheme="minorEastAsia"/>
        </w:rPr>
      </w:pPr>
    </w:p>
    <w:p w14:paraId="7EB8D02A">
      <w:pPr>
        <w:pStyle w:val="2"/>
        <w:spacing w:line="440" w:lineRule="atLeast"/>
        <w:rPr>
          <w:rFonts w:asciiTheme="minorEastAsia" w:hAnsiTheme="minorEastAsia" w:eastAsiaTheme="minorEastAsia"/>
        </w:rPr>
      </w:pPr>
    </w:p>
    <w:p w14:paraId="75ECF033">
      <w:pPr>
        <w:pStyle w:val="2"/>
        <w:spacing w:line="440" w:lineRule="atLeast"/>
        <w:rPr>
          <w:rFonts w:asciiTheme="minorEastAsia" w:hAnsiTheme="minorEastAsia" w:eastAsiaTheme="minorEastAsia"/>
        </w:rPr>
      </w:pPr>
    </w:p>
    <w:p w14:paraId="0C08CCED">
      <w:pPr>
        <w:pStyle w:val="2"/>
        <w:spacing w:line="440" w:lineRule="atLeast"/>
        <w:rPr>
          <w:rFonts w:asciiTheme="minorEastAsia" w:hAnsiTheme="minorEastAsia" w:eastAsiaTheme="minorEastAsia"/>
        </w:rPr>
      </w:pPr>
    </w:p>
    <w:p w14:paraId="378192A9">
      <w:pPr>
        <w:pStyle w:val="2"/>
        <w:spacing w:line="440" w:lineRule="atLeast"/>
        <w:rPr>
          <w:rFonts w:asciiTheme="minorEastAsia" w:hAnsiTheme="minorEastAsia" w:eastAsiaTheme="minorEastAsia"/>
        </w:rPr>
      </w:pPr>
    </w:p>
    <w:p w14:paraId="3D671E18">
      <w:pPr>
        <w:pStyle w:val="2"/>
        <w:spacing w:line="440" w:lineRule="atLeast"/>
        <w:rPr>
          <w:rFonts w:asciiTheme="minorEastAsia" w:hAnsiTheme="minorEastAsia" w:eastAsiaTheme="minorEastAsia"/>
        </w:rPr>
      </w:pPr>
    </w:p>
    <w:p w14:paraId="2ECF35A2">
      <w:pPr>
        <w:pStyle w:val="2"/>
        <w:spacing w:line="440" w:lineRule="atLeast"/>
        <w:rPr>
          <w:rFonts w:asciiTheme="minorEastAsia" w:hAnsiTheme="minorEastAsia" w:eastAsiaTheme="minorEastAsia"/>
        </w:rPr>
      </w:pPr>
    </w:p>
    <w:p w14:paraId="25CB2012">
      <w:pPr>
        <w:pStyle w:val="2"/>
        <w:spacing w:line="440" w:lineRule="atLeast"/>
        <w:rPr>
          <w:rFonts w:asciiTheme="minorEastAsia" w:hAnsiTheme="minorEastAsia" w:eastAsiaTheme="minorEastAsia"/>
        </w:rPr>
      </w:pPr>
    </w:p>
    <w:p w14:paraId="482BF06A">
      <w:pPr>
        <w:pStyle w:val="2"/>
        <w:spacing w:line="440" w:lineRule="atLeast"/>
        <w:rPr>
          <w:rFonts w:asciiTheme="minorEastAsia" w:hAnsiTheme="minorEastAsia" w:eastAsiaTheme="minorEastAsia"/>
        </w:rPr>
      </w:pPr>
    </w:p>
    <w:p w14:paraId="53B490D7">
      <w:pPr>
        <w:pStyle w:val="2"/>
        <w:spacing w:line="440" w:lineRule="atLeast"/>
        <w:rPr>
          <w:rFonts w:asciiTheme="minorEastAsia" w:hAnsiTheme="minorEastAsia" w:eastAsiaTheme="minorEastAsia"/>
        </w:rPr>
      </w:pPr>
    </w:p>
    <w:p w14:paraId="51F80A4F">
      <w:pPr>
        <w:widowControl/>
        <w:jc w:val="left"/>
        <w:rPr>
          <w:rFonts w:cs="仿宋" w:asciiTheme="minorEastAsia" w:hAnsiTheme="minorEastAsia"/>
          <w:color w:val="000000"/>
          <w:kern w:val="0"/>
          <w:sz w:val="24"/>
          <w:u w:color="000000"/>
        </w:rPr>
      </w:pPr>
      <w:r>
        <w:rPr>
          <w:rFonts w:asciiTheme="minorEastAsia" w:hAnsiTheme="minorEastAsia"/>
        </w:rPr>
        <w:br w:type="page"/>
      </w:r>
    </w:p>
    <w:p w14:paraId="2984D785">
      <w:pPr>
        <w:pStyle w:val="2"/>
        <w:spacing w:line="440" w:lineRule="atLeast"/>
        <w:rPr>
          <w:rFonts w:asciiTheme="minorEastAsia" w:hAnsiTheme="minorEastAsia" w:eastAsiaTheme="minorEastAsia"/>
        </w:rPr>
      </w:pPr>
    </w:p>
    <w:p w14:paraId="641B02C6">
      <w:pPr>
        <w:pStyle w:val="5"/>
        <w:spacing w:line="440" w:lineRule="atLeast"/>
        <w:jc w:val="center"/>
      </w:pPr>
      <w:bookmarkStart w:id="5" w:name="_Toc8993"/>
      <w:r>
        <w:rPr>
          <w:rFonts w:hint="eastAsia"/>
        </w:rPr>
        <w:t>关于印发《国有资产评估管理办法施行细则》的通知</w:t>
      </w:r>
      <w:bookmarkEnd w:id="5"/>
    </w:p>
    <w:p w14:paraId="288BF50E">
      <w:pPr>
        <w:shd w:val="clear" w:color="auto" w:fill="FFFFFF"/>
        <w:spacing w:line="440" w:lineRule="atLeast"/>
        <w:jc w:val="center"/>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1992-07-18国家国有资产管理局国资办发〔1992〕36号公布　1992-07-18实施</w:t>
      </w:r>
    </w:p>
    <w:p w14:paraId="6B3A9414">
      <w:pPr>
        <w:shd w:val="clear" w:color="auto" w:fill="FFFFFF"/>
        <w:spacing w:line="440" w:lineRule="atLeast"/>
        <w:ind w:firstLine="480" w:firstLineChars="200"/>
        <w:rPr>
          <w:rFonts w:ascii="宋体" w:hAnsi="宋体" w:eastAsia="宋体" w:cs="宋体"/>
          <w:color w:val="000000"/>
          <w:kern w:val="0"/>
          <w:sz w:val="24"/>
          <w:shd w:val="clear" w:color="auto" w:fill="FFFFFF"/>
        </w:rPr>
      </w:pPr>
    </w:p>
    <w:p w14:paraId="316EC30D">
      <w:pPr>
        <w:shd w:val="clear" w:color="auto" w:fill="FFFFFF"/>
        <w:spacing w:line="440" w:lineRule="atLeast"/>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各省、自治区、直辖市人民政府，国务院各部委、各直属机构：</w:t>
      </w:r>
    </w:p>
    <w:p w14:paraId="5D2CF26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根据国务院1991年　91号令发布的《国有资产评估管理办法》，（以下简称《办法》）。现将制定的《国有资产评估管理办法施行细则》发给你们，请依照执行，执行中有什么问题请及时转告我局。</w:t>
      </w:r>
    </w:p>
    <w:p w14:paraId="5E084B8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根据《办法》第九条规定，对从事资产评估业务的单位，由国务院或省、自治区、直辖市国有资产管理行政主管部门审批并颁发资产评估资格证书。但我局1990年国资工字30号文件《资产评估机构管理暂行办法》规定，计划单列市也有审批资产评估资格和颁发证书的权限，并已将统一印制并编号的资产评估资格证书发给各计划单列市。1991年　91号令并考虑过去的实际情况，经研究决定，在国务院1991年91号令发布之前各计划单列市已发的资产评估资格证书仍然有效；国务院1991年　91号令发布以后，由省国有资产管理行政主管部门授权计划单列市国有资产管理行政主管部门审查本市所属机构的资产评估资格并颁发证书。各计划单列市将审查和颁发资产评估资格证书的有关文件报省国有资产管理行政主管部门备案。对此，我们已在本细则中做了规定。</w:t>
      </w:r>
    </w:p>
    <w:p w14:paraId="25728AA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我局（90）国资工字30号文件中有关条款与本细则有抵触的，按本细则规定执行。</w:t>
      </w:r>
    </w:p>
    <w:p w14:paraId="7864D288">
      <w:pPr>
        <w:shd w:val="clear" w:color="auto" w:fill="FFFFFF"/>
        <w:spacing w:line="440" w:lineRule="atLeast"/>
        <w:ind w:firstLine="480" w:firstLineChars="200"/>
        <w:rPr>
          <w:rFonts w:ascii="宋体" w:hAnsi="宋体" w:eastAsia="宋体" w:cs="宋体"/>
          <w:color w:val="000000"/>
          <w:kern w:val="0"/>
          <w:sz w:val="24"/>
          <w:shd w:val="clear" w:color="auto" w:fill="FFFFFF"/>
        </w:rPr>
      </w:pPr>
    </w:p>
    <w:p w14:paraId="251C266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附件：国有资产评估管理办法施行细则</w:t>
      </w:r>
    </w:p>
    <w:p w14:paraId="38A22CC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br w:type="page"/>
      </w:r>
    </w:p>
    <w:p w14:paraId="693AD69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附件：</w:t>
      </w:r>
    </w:p>
    <w:p w14:paraId="6BF4B033">
      <w:pPr>
        <w:shd w:val="clear" w:color="auto" w:fill="FFFFFF"/>
        <w:spacing w:line="440" w:lineRule="atLeast"/>
        <w:ind w:firstLine="480" w:firstLineChars="200"/>
        <w:rPr>
          <w:rFonts w:ascii="宋体" w:hAnsi="宋体" w:eastAsia="宋体" w:cs="宋体"/>
          <w:color w:val="000000"/>
          <w:kern w:val="0"/>
          <w:sz w:val="24"/>
          <w:shd w:val="clear" w:color="auto" w:fill="FFFFFF"/>
        </w:rPr>
      </w:pPr>
    </w:p>
    <w:p w14:paraId="69C60F10">
      <w:pPr>
        <w:shd w:val="clear" w:color="auto" w:fill="FFFFFF"/>
        <w:spacing w:line="440" w:lineRule="atLeast"/>
        <w:ind w:firstLine="643" w:firstLineChars="200"/>
        <w:jc w:val="center"/>
        <w:rPr>
          <w:b/>
          <w:sz w:val="32"/>
        </w:rPr>
      </w:pPr>
      <w:r>
        <w:rPr>
          <w:rFonts w:hint="eastAsia"/>
          <w:b/>
          <w:sz w:val="32"/>
        </w:rPr>
        <w:t>国有资产评估管理办法施行细则</w:t>
      </w:r>
    </w:p>
    <w:p w14:paraId="2483EBC4">
      <w:pPr>
        <w:shd w:val="clear" w:color="auto" w:fill="FFFFFF"/>
        <w:spacing w:line="440" w:lineRule="atLeast"/>
        <w:ind w:firstLine="480" w:firstLineChars="200"/>
        <w:rPr>
          <w:rFonts w:ascii="宋体" w:hAnsi="宋体" w:eastAsia="宋体" w:cs="宋体"/>
          <w:color w:val="000000"/>
          <w:kern w:val="0"/>
          <w:sz w:val="24"/>
          <w:shd w:val="clear" w:color="auto" w:fill="FFFFFF"/>
        </w:rPr>
      </w:pPr>
    </w:p>
    <w:p w14:paraId="28F14430">
      <w:pPr>
        <w:shd w:val="clear" w:color="auto" w:fill="FFFFFF"/>
        <w:spacing w:line="440" w:lineRule="atLeast"/>
        <w:jc w:val="center"/>
        <w:rPr>
          <w:rFonts w:ascii="黑体" w:hAnsi="黑体" w:eastAsia="黑体" w:cs="黑体"/>
          <w:color w:val="000000"/>
          <w:kern w:val="0"/>
          <w:sz w:val="28"/>
          <w:szCs w:val="28"/>
          <w:shd w:val="clear" w:color="auto" w:fill="FFFFFF"/>
        </w:rPr>
      </w:pPr>
      <w:r>
        <w:rPr>
          <w:rFonts w:hint="eastAsia" w:ascii="黑体" w:hAnsi="黑体" w:eastAsia="黑体" w:cs="黑体"/>
          <w:color w:val="000000"/>
          <w:kern w:val="0"/>
          <w:sz w:val="28"/>
          <w:szCs w:val="28"/>
          <w:shd w:val="clear" w:color="auto" w:fill="FFFFFF"/>
        </w:rPr>
        <w:t>第一章　总则</w:t>
      </w:r>
    </w:p>
    <w:p w14:paraId="65CF1EBA">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Arial" w:hAnsi="Arial" w:eastAsia="宋体" w:cs="Arial"/>
          <w:b/>
          <w:bCs/>
          <w:kern w:val="0"/>
          <w:sz w:val="24"/>
        </w:rPr>
        <w:t>第一条</w:t>
      </w:r>
      <w:r>
        <w:rPr>
          <w:rFonts w:hint="eastAsia" w:ascii="宋体" w:hAnsi="宋体" w:eastAsia="宋体" w:cs="宋体"/>
          <w:color w:val="000000"/>
          <w:kern w:val="0"/>
          <w:sz w:val="24"/>
          <w:shd w:val="clear" w:color="auto" w:fill="FFFFFF"/>
        </w:rPr>
        <w:t>　根据国务院发布的《国有资产评估管理办法》（以下简称《办法》），第三十八条的规定，制定本施行细则。</w:t>
      </w:r>
    </w:p>
    <w:p w14:paraId="146DA5D0">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Arial" w:hAnsi="Arial" w:eastAsia="宋体" w:cs="Arial"/>
          <w:b/>
          <w:bCs/>
          <w:kern w:val="0"/>
          <w:sz w:val="24"/>
        </w:rPr>
        <w:t>第二条</w:t>
      </w:r>
      <w:r>
        <w:rPr>
          <w:rFonts w:hint="eastAsia" w:ascii="宋体" w:hAnsi="宋体" w:eastAsia="宋体" w:cs="宋体"/>
          <w:color w:val="000000"/>
          <w:kern w:val="0"/>
          <w:sz w:val="24"/>
          <w:shd w:val="clear" w:color="auto" w:fill="FFFFFF"/>
        </w:rPr>
        <w:t>　《办法》第二条所说的法律、法规另有规定，是指全国人民代表大会及其常务委员会发布的有关资产评估的法律和国务院发布的有关资产评估的行政法规。</w:t>
      </w:r>
    </w:p>
    <w:p w14:paraId="222DB116">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Arial" w:hAnsi="Arial" w:eastAsia="宋体" w:cs="Arial"/>
          <w:b/>
          <w:bCs/>
          <w:kern w:val="0"/>
          <w:sz w:val="24"/>
        </w:rPr>
        <w:t>第三条</w:t>
      </w:r>
      <w:r>
        <w:rPr>
          <w:rFonts w:hint="eastAsia" w:ascii="宋体" w:hAnsi="宋体" w:eastAsia="宋体" w:cs="宋体"/>
          <w:color w:val="000000"/>
          <w:kern w:val="0"/>
          <w:sz w:val="24"/>
          <w:shd w:val="clear" w:color="auto" w:fill="FFFFFF"/>
        </w:rPr>
        <w:t>　《办法》所说的国有资产是指国家依据法律取得的，国家以各种形式的投资和投资收益形成的或接受捐赠而取得的固定资产、流动资产、无形资产和其他形态的资产。</w:t>
      </w:r>
    </w:p>
    <w:p w14:paraId="1445B3AE">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Arial" w:hAnsi="Arial" w:eastAsia="宋体" w:cs="Arial"/>
          <w:b/>
          <w:bCs/>
          <w:kern w:val="0"/>
          <w:sz w:val="24"/>
        </w:rPr>
        <w:t>第四条</w:t>
      </w:r>
      <w:r>
        <w:rPr>
          <w:rFonts w:hint="eastAsia" w:ascii="宋体" w:hAnsi="宋体" w:eastAsia="宋体" w:cs="宋体"/>
          <w:color w:val="000000"/>
          <w:kern w:val="0"/>
          <w:sz w:val="24"/>
          <w:shd w:val="clear" w:color="auto" w:fill="FFFFFF"/>
        </w:rPr>
        <w:t>　《办法》第三条所说的国有资产占有单位包括：</w:t>
      </w:r>
    </w:p>
    <w:p w14:paraId="4416D83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（一）国家机关、军队、社会团体及其他占有国有资产的社会组织；</w:t>
      </w:r>
    </w:p>
    <w:p w14:paraId="0A97A0B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（二）国营企业、事业单位；</w:t>
      </w:r>
    </w:p>
    <w:p w14:paraId="62B90D2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（三）各种形式的国内联营和股份经营单位；</w:t>
      </w:r>
    </w:p>
    <w:p w14:paraId="1AECBF1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（四）中外合资、合作经营企业；</w:t>
      </w:r>
    </w:p>
    <w:p w14:paraId="2542DB2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（五）占有国有资产的集体所有制单位；</w:t>
      </w:r>
    </w:p>
    <w:p w14:paraId="2937F51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（六）其他占有国有资产的单位。</w:t>
      </w:r>
    </w:p>
    <w:p w14:paraId="519534E8">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Arial" w:hAnsi="Arial" w:eastAsia="宋体" w:cs="Arial"/>
          <w:b/>
          <w:bCs/>
          <w:kern w:val="0"/>
          <w:sz w:val="24"/>
        </w:rPr>
        <w:t>第五条</w:t>
      </w:r>
      <w:r>
        <w:rPr>
          <w:rFonts w:hint="eastAsia" w:ascii="宋体" w:hAnsi="宋体" w:eastAsia="宋体" w:cs="宋体"/>
          <w:color w:val="000000"/>
          <w:kern w:val="0"/>
          <w:sz w:val="24"/>
          <w:shd w:val="clear" w:color="auto" w:fill="FFFFFF"/>
        </w:rPr>
        <w:t>　《办法》第三条规定的应当进行资产评估，是指发生该条款所说的经济情形时，除经国有资产管理行政主管部门批准可以不予评估外，都必须进行资产评估。</w:t>
      </w:r>
    </w:p>
    <w:p w14:paraId="24D31669">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Arial" w:hAnsi="Arial" w:eastAsia="宋体" w:cs="Arial"/>
          <w:b/>
          <w:bCs/>
          <w:kern w:val="0"/>
          <w:sz w:val="24"/>
        </w:rPr>
        <w:t>第六条</w:t>
      </w:r>
      <w:r>
        <w:rPr>
          <w:rFonts w:hint="eastAsia" w:ascii="宋体" w:hAnsi="宋体" w:eastAsia="宋体" w:cs="宋体"/>
          <w:color w:val="000000"/>
          <w:kern w:val="0"/>
          <w:sz w:val="24"/>
          <w:shd w:val="clear" w:color="auto" w:fill="FFFFFF"/>
        </w:rPr>
        <w:t>　《办法》第三条所说的情形中：</w:t>
      </w:r>
    </w:p>
    <w:p w14:paraId="3D031A1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（一）资产转让是指国有资产占有单位有偿转让超过百万元或占全部固定资产原值20％以上的非整体性资产的经济行为。</w:t>
      </w:r>
    </w:p>
    <w:p w14:paraId="63067D6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（二）企业兼并是指一个企业以承担债务、购买、股份化和控股等形式有偿接收其他企业的产权，使被兼并方丧失法人资格或改变法人实体。</w:t>
      </w:r>
    </w:p>
    <w:p w14:paraId="45C2AA9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（三）企业出售是指独立核算的企业或企业内部的分厂、车间及其他整体性资产的出售。</w:t>
      </w:r>
    </w:p>
    <w:p w14:paraId="1D79A57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（四）企业联营是指国内企业，单位之间以固定资产、流动资产、无形资产和其他资产投入组成的各种形式的联合经营。</w:t>
      </w:r>
    </w:p>
    <w:p w14:paraId="2502634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（五）股份经营是指企业实行股份制，包括法人持股企业、内部职工持股企业，向社会公开发行股票（不上市）企业和股票上市交易的企业。</w:t>
      </w:r>
    </w:p>
    <w:p w14:paraId="306AE6C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联营、股份经营的企业进行资产评估时，应对联营及合股各方投入的资产进行全面评估。</w:t>
      </w:r>
    </w:p>
    <w:p w14:paraId="18DF6C4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六）企业清算是指依据中华人民共和国企业破产法的规定，宣告企业破产，并进行清算；或依照国家有关规定对改组、合并、撤销法人资格的企业资产进行的清算；或企业按照合同、契约、协议规定终止经济活动的结业清算。</w:t>
      </w:r>
    </w:p>
    <w:p w14:paraId="34918C31">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Arial" w:hAnsi="Arial" w:eastAsia="宋体" w:cs="Arial"/>
          <w:b/>
          <w:bCs/>
          <w:kern w:val="0"/>
          <w:sz w:val="24"/>
        </w:rPr>
        <w:t>第七条</w:t>
      </w:r>
      <w:r>
        <w:rPr>
          <w:rFonts w:hint="eastAsia" w:ascii="宋体" w:hAnsi="宋体" w:eastAsia="宋体" w:cs="宋体"/>
          <w:color w:val="000000"/>
          <w:kern w:val="0"/>
          <w:sz w:val="24"/>
          <w:shd w:val="clear" w:color="auto" w:fill="FFFFFF"/>
        </w:rPr>
        <w:t>　《办法》第四条中所说的情形中：</w:t>
      </w:r>
    </w:p>
    <w:p w14:paraId="6822F43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（一）抵押是指国有资产占有单位以本单位的资产作为物质保证进行抵押而获得贷款的经济行为。</w:t>
      </w:r>
    </w:p>
    <w:p w14:paraId="14DAF22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（二）担保是指国有资产占有单位以本单位的资产为其他单位的经济行为担保，并承担连带责任的行为。</w:t>
      </w:r>
    </w:p>
    <w:p w14:paraId="2EE0A2B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（三）企业租赁是指资产占有单位或上级主管单位在一定期限内，以收取租金的形式，将企业全部或部分资产的经营使用权转让给其他经营使用者的行为。</w:t>
      </w:r>
    </w:p>
    <w:p w14:paraId="6F5B3D8C">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Arial" w:hAnsi="Arial" w:eastAsia="宋体" w:cs="Arial"/>
          <w:b/>
          <w:bCs/>
          <w:kern w:val="0"/>
          <w:sz w:val="24"/>
        </w:rPr>
        <w:t>第八条</w:t>
      </w:r>
      <w:r>
        <w:rPr>
          <w:rFonts w:hint="eastAsia" w:ascii="宋体" w:hAnsi="宋体" w:eastAsia="宋体" w:cs="宋体"/>
          <w:color w:val="000000"/>
          <w:kern w:val="0"/>
          <w:sz w:val="24"/>
          <w:shd w:val="clear" w:color="auto" w:fill="FFFFFF"/>
        </w:rPr>
        <w:t>　《办法》第四条规定可以进行资产评估，是指发生该条款所说的情形时，根据实际情况可以对资产进行评估或者不评估。但属于以下行为必须进行资产评估。</w:t>
      </w:r>
    </w:p>
    <w:p w14:paraId="6CF15E4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（一）企业整体资产的租赁；</w:t>
      </w:r>
    </w:p>
    <w:p w14:paraId="63D4215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（二）国有资产租赁给外商或非国营单位；</w:t>
      </w:r>
    </w:p>
    <w:p w14:paraId="6FF42A7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（三）国家行政事业单位占有的非经营性资产转为经营性资产；</w:t>
      </w:r>
    </w:p>
    <w:p w14:paraId="2DBD6F3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（四）国有资产管理行政主管部门认为应当评估的其他情形。</w:t>
      </w:r>
    </w:p>
    <w:p w14:paraId="688C3184">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Arial" w:hAnsi="Arial" w:eastAsia="宋体" w:cs="Arial"/>
          <w:b/>
          <w:bCs/>
          <w:kern w:val="0"/>
          <w:sz w:val="24"/>
        </w:rPr>
        <w:t>第九条</w:t>
      </w:r>
      <w:r>
        <w:rPr>
          <w:rFonts w:hint="eastAsia" w:ascii="宋体" w:hAnsi="宋体" w:eastAsia="宋体" w:cs="宋体"/>
          <w:color w:val="000000"/>
          <w:kern w:val="0"/>
          <w:sz w:val="24"/>
          <w:shd w:val="clear" w:color="auto" w:fill="FFFFFF"/>
        </w:rPr>
        <w:t>　《办法》第四条所说的当事人是指与上述经济情形有关的国有资产占有单位、行业主管部门、国有资产管理行政主管部门以及其他单位。</w:t>
      </w:r>
    </w:p>
    <w:p w14:paraId="19EA5BDC">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Arial" w:hAnsi="Arial" w:eastAsia="宋体" w:cs="Arial"/>
          <w:b/>
          <w:bCs/>
          <w:kern w:val="0"/>
          <w:sz w:val="24"/>
        </w:rPr>
        <w:t>第十条</w:t>
      </w:r>
      <w:r>
        <w:rPr>
          <w:rFonts w:hint="eastAsia" w:ascii="宋体" w:hAnsi="宋体" w:eastAsia="宋体" w:cs="宋体"/>
          <w:color w:val="000000"/>
          <w:kern w:val="0"/>
          <w:sz w:val="24"/>
          <w:shd w:val="clear" w:color="auto" w:fill="FFFFFF"/>
        </w:rPr>
        <w:t>　对于应当进行资产评估的情形没有进行评估，或者没有按照《办法》及本细则的规定立项、确认，该经济行为无效。</w:t>
      </w:r>
    </w:p>
    <w:p w14:paraId="7504B748">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Arial" w:hAnsi="Arial" w:eastAsia="宋体" w:cs="Arial"/>
          <w:b/>
          <w:bCs/>
          <w:kern w:val="0"/>
          <w:sz w:val="24"/>
        </w:rPr>
        <w:t>第十一条</w:t>
      </w:r>
      <w:r>
        <w:rPr>
          <w:rFonts w:hint="eastAsia" w:ascii="宋体" w:hAnsi="宋体" w:eastAsia="宋体" w:cs="宋体"/>
          <w:color w:val="000000"/>
          <w:kern w:val="0"/>
          <w:sz w:val="24"/>
          <w:shd w:val="clear" w:color="auto" w:fill="FFFFFF"/>
        </w:rPr>
        <w:t>　依照《办法》第五条规定对全国或者特定行业的国有资产进行评估，其评估办法由国务院另行规定。</w:t>
      </w:r>
    </w:p>
    <w:p w14:paraId="39B81475">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Arial" w:hAnsi="Arial" w:eastAsia="宋体" w:cs="Arial"/>
          <w:b/>
          <w:bCs/>
          <w:kern w:val="0"/>
          <w:sz w:val="24"/>
        </w:rPr>
        <w:t>第十二条</w:t>
      </w:r>
      <w:r>
        <w:rPr>
          <w:rFonts w:hint="eastAsia" w:ascii="宋体" w:hAnsi="宋体" w:eastAsia="宋体" w:cs="宋体"/>
          <w:color w:val="000000"/>
          <w:kern w:val="0"/>
          <w:sz w:val="24"/>
          <w:shd w:val="clear" w:color="auto" w:fill="FFFFFF"/>
        </w:rPr>
        <w:t>　《办法》第七条所说的国家规定的标准是指国家和地方人民政府以及中央各部门颁布的有关技术、经济标准。</w:t>
      </w:r>
    </w:p>
    <w:p w14:paraId="10256D52">
      <w:pPr>
        <w:shd w:val="clear" w:color="auto" w:fill="FFFFFF"/>
        <w:spacing w:line="440" w:lineRule="atLeast"/>
        <w:jc w:val="center"/>
        <w:rPr>
          <w:rFonts w:ascii="黑体" w:hAnsi="黑体" w:eastAsia="黑体" w:cs="黑体"/>
          <w:color w:val="000000"/>
          <w:kern w:val="0"/>
          <w:sz w:val="28"/>
          <w:szCs w:val="28"/>
          <w:shd w:val="clear" w:color="auto" w:fill="FFFFFF"/>
        </w:rPr>
      </w:pPr>
      <w:r>
        <w:rPr>
          <w:rFonts w:hint="eastAsia" w:ascii="黑体" w:hAnsi="黑体" w:eastAsia="黑体" w:cs="黑体"/>
          <w:color w:val="000000"/>
          <w:kern w:val="0"/>
          <w:sz w:val="28"/>
          <w:szCs w:val="28"/>
          <w:shd w:val="clear" w:color="auto" w:fill="FFFFFF"/>
        </w:rPr>
        <w:t>第二章　组织管理</w:t>
      </w:r>
    </w:p>
    <w:p w14:paraId="351E539B">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Arial" w:hAnsi="Arial" w:eastAsia="宋体" w:cs="Arial"/>
          <w:b/>
          <w:bCs/>
          <w:kern w:val="0"/>
          <w:sz w:val="24"/>
        </w:rPr>
        <w:t>第十三条　</w:t>
      </w:r>
      <w:r>
        <w:rPr>
          <w:rFonts w:hint="eastAsia" w:ascii="宋体" w:hAnsi="宋体" w:eastAsia="宋体" w:cs="宋体"/>
          <w:color w:val="000000"/>
          <w:kern w:val="0"/>
          <w:sz w:val="24"/>
          <w:shd w:val="clear" w:color="auto" w:fill="FFFFFF"/>
        </w:rPr>
        <w:t>《办法》第八条所说的国有资产管理行政主管部门是指各级政府专门负责国有资产管理的职能部门。中央是指国家国有资产管理局，地方是指各级国有资产管理局或国有资产管理专门机构。</w:t>
      </w:r>
    </w:p>
    <w:p w14:paraId="395FE143">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Arial" w:hAnsi="Arial" w:eastAsia="宋体" w:cs="Arial"/>
          <w:b/>
          <w:bCs/>
          <w:kern w:val="0"/>
          <w:sz w:val="24"/>
        </w:rPr>
        <w:t>第十四条</w:t>
      </w:r>
      <w:r>
        <w:rPr>
          <w:rFonts w:hint="eastAsia" w:ascii="宋体" w:hAnsi="宋体" w:eastAsia="宋体" w:cs="宋体"/>
          <w:color w:val="000000"/>
          <w:kern w:val="0"/>
          <w:sz w:val="24"/>
          <w:shd w:val="clear" w:color="auto" w:fill="FFFFFF"/>
        </w:rPr>
        <w:t>　国家对资产评估工作实行统一领导、分级管理的原则。国家国有资产管理局负责组织、管理、指导和监督全国的资产评估工作。</w:t>
      </w:r>
    </w:p>
    <w:p w14:paraId="56E0211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地方各级国有资产管理行政主管部门按照国家政策法规和上级国有资产管理行政主管部门的规定，负责管理本级的资产评估工作。</w:t>
      </w:r>
    </w:p>
    <w:p w14:paraId="4F0738C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上级国有资产管理行政主管部门对下级国有资产管理行政主管部门在资产评估管理工作中不符合《办法》和本细则规定的做法，有权进行纠正。</w:t>
      </w:r>
    </w:p>
    <w:p w14:paraId="5E76331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《办法》第八条第二款所说的国有资产评估组织工作由行业主管部门负责，是指各级政府的行业主管部门对所属单位的资产评估立项和评估结果进行初审、签署意见，并对本行业的资产评估工作负责督促和指导。</w:t>
      </w:r>
    </w:p>
    <w:p w14:paraId="2299E3C0">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第十五条</w:t>
      </w:r>
      <w:r>
        <w:rPr>
          <w:rFonts w:hint="eastAsia" w:ascii="宋体" w:hAnsi="宋体" w:eastAsia="宋体" w:cs="宋体"/>
          <w:color w:val="000000"/>
          <w:kern w:val="0"/>
          <w:sz w:val="24"/>
          <w:shd w:val="clear" w:color="auto" w:fill="FFFFFF"/>
        </w:rPr>
        <w:t>　《办法》第九条所说的资产评估公司、会计师事务所、审计事务所、财务咨询公司等资产评估机构，必须是经工商行政管理部门注册登记、具有法人资格、并持有国务院或省、自治区、直辖市（含计划单列市）国有资产管理行政主管部门颁发的资产评估资格证书的单位。只有同时具备上述条件的单位才能从事国有资产评估业务。</w:t>
      </w:r>
    </w:p>
    <w:p w14:paraId="1E74054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在发生《办法》第三条、第四条和本细则规定的应进行资产评估情形时，必须委托上述具有资产评估资格的评估机构进行评估。当事人自行评估占有的国有资产或者评估对方占有资产的行为，不具有法律效力。</w:t>
      </w:r>
    </w:p>
    <w:p w14:paraId="52186CC7">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Arial" w:hAnsi="Arial" w:eastAsia="宋体" w:cs="Arial"/>
          <w:b/>
          <w:bCs/>
          <w:kern w:val="0"/>
          <w:sz w:val="24"/>
        </w:rPr>
        <w:t>第十六条</w:t>
      </w:r>
      <w:r>
        <w:rPr>
          <w:rFonts w:hint="eastAsia" w:ascii="宋体" w:hAnsi="宋体" w:eastAsia="宋体" w:cs="宋体"/>
          <w:color w:val="000000"/>
          <w:kern w:val="0"/>
          <w:sz w:val="24"/>
          <w:shd w:val="clear" w:color="auto" w:fill="FFFFFF"/>
        </w:rPr>
        <w:t>　凡需从事资产评估业务的单位，必须按隶属关系向国务院或省、自治区、直辖市国有资产管理行政主管部门申请资产评估资格，经审查批准，取得资产评估资格或临时评估资格后方能从事国有资产评估业务，也可以从事非国有资产的评估业务。</w:t>
      </w:r>
    </w:p>
    <w:p w14:paraId="79F89F7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计划单列市从事资产评估业务的单位，由省国有资产管理行政主管部门委托计划单列市国有资产管理行政主管部门审核其资产评估资格并颁发资格证书。</w:t>
      </w:r>
    </w:p>
    <w:p w14:paraId="1832E09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（一）资产评估资格证书由国家国有资产管理局统一印制、盖章、编号。</w:t>
      </w:r>
    </w:p>
    <w:p w14:paraId="4702CD1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（二）中央管理的资产评估机构（包括在各地的资产评估机构）的评估资格证书由国家国有资产管理局审核颁发。</w:t>
      </w:r>
    </w:p>
    <w:p w14:paraId="5111913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地方管理的资产评估机构（包括驻外地的资产评估机构）的评估资格证书，由省、自治区、直辖市国有资产管理行政主管部门审核颁发，并报国家国有资产管理局备案。由计划单列市国有资产管理行政主管部门颁发的资产评估资格证书，除报国家国有资产管理局备案外，还要报省国有资产管理行政主管部门备案。</w:t>
      </w:r>
    </w:p>
    <w:p w14:paraId="680BDB6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（四）国务院和省、自治区、直辖市以及计划单列市国有资产管理行政主管部门负责对已取得资产评估资格的评估机构每年进行一次年检（具体办法另定）。</w:t>
      </w:r>
    </w:p>
    <w:p w14:paraId="5EA57C6D">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Arial" w:hAnsi="Arial" w:eastAsia="宋体" w:cs="Arial"/>
          <w:b/>
          <w:bCs/>
          <w:kern w:val="0"/>
          <w:sz w:val="24"/>
        </w:rPr>
        <w:t>第十七条</w:t>
      </w:r>
      <w:r>
        <w:rPr>
          <w:rFonts w:hint="eastAsia" w:ascii="宋体" w:hAnsi="宋体" w:eastAsia="宋体" w:cs="宋体"/>
          <w:color w:val="000000"/>
          <w:kern w:val="0"/>
          <w:sz w:val="24"/>
          <w:shd w:val="clear" w:color="auto" w:fill="FFFFFF"/>
        </w:rPr>
        <w:t>　委托评估机构进行资产评估的委托方，一般是国有资产占有单位，也可以是经占有单位同意，与被评估资产有关的其他当事人，原则上由申请立项的一方委托。特殊情况由国有资产管理行政主管部门委托。</w:t>
      </w:r>
    </w:p>
    <w:p w14:paraId="548D2F7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委托方被委托方应签订资产评估协议书，协议书的主要内容包括：被评估项目名称、评估内容、评估期限、收费办法和金额、违约责任等。</w:t>
      </w:r>
    </w:p>
    <w:p w14:paraId="74DE2DF1">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Arial" w:hAnsi="Arial" w:eastAsia="宋体" w:cs="Arial"/>
          <w:b/>
          <w:bCs/>
          <w:kern w:val="0"/>
          <w:sz w:val="24"/>
        </w:rPr>
        <w:t>第十八条</w:t>
      </w:r>
      <w:r>
        <w:rPr>
          <w:rFonts w:hint="eastAsia" w:ascii="宋体" w:hAnsi="宋体" w:eastAsia="宋体" w:cs="宋体"/>
          <w:color w:val="000000"/>
          <w:kern w:val="0"/>
          <w:sz w:val="24"/>
          <w:shd w:val="clear" w:color="auto" w:fill="FFFFFF"/>
        </w:rPr>
        <w:t>　经济行为有关各方对委托资产评估机构有争议时，由国有资产管理行政主管部门指定双方可以接受的资产评估机构进行评估。</w:t>
      </w:r>
    </w:p>
    <w:p w14:paraId="186C345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凡属重大的亿元以上资产评估项目和经国家计委批准立项的中外合资、合作项目的资产评估（含地方），必要时，国家国有资产管理局可以直接组织资产评估机构进有评估。</w:t>
      </w:r>
    </w:p>
    <w:p w14:paraId="47086948">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Arial" w:hAnsi="Arial" w:eastAsia="宋体" w:cs="Arial"/>
          <w:b/>
          <w:bCs/>
          <w:kern w:val="0"/>
          <w:sz w:val="24"/>
        </w:rPr>
        <w:t>第十九条　</w:t>
      </w:r>
      <w:r>
        <w:rPr>
          <w:rFonts w:hint="eastAsia" w:ascii="宋体" w:hAnsi="宋体" w:eastAsia="宋体" w:cs="宋体"/>
          <w:color w:val="000000"/>
          <w:kern w:val="0"/>
          <w:sz w:val="24"/>
          <w:shd w:val="clear" w:color="auto" w:fill="FFFFFF"/>
        </w:rPr>
        <w:t>取得资产评估资格证书的资产评估机构，承担评估业务不受地区和行业限制，既可以承接本地和本行业的资产评估业务，也可以承接外地、境外和其他行业的资产评估业务。资产评估机构与被评估单位有直接经济利益关系的，不得委托该评估机构进行评估。</w:t>
      </w:r>
    </w:p>
    <w:p w14:paraId="0434AE33">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Arial" w:hAnsi="Arial" w:eastAsia="宋体" w:cs="Arial"/>
          <w:b/>
          <w:bCs/>
          <w:kern w:val="0"/>
          <w:sz w:val="24"/>
        </w:rPr>
        <w:t>第二十条</w:t>
      </w:r>
      <w:r>
        <w:rPr>
          <w:rFonts w:hint="eastAsia" w:ascii="宋体" w:hAnsi="宋体" w:eastAsia="宋体" w:cs="宋体"/>
          <w:color w:val="000000"/>
          <w:kern w:val="0"/>
          <w:sz w:val="24"/>
          <w:shd w:val="clear" w:color="auto" w:fill="FFFFFF"/>
        </w:rPr>
        <w:t>　凡经批准进行资产评估，资产占有单位必须如实提供评估所需的各种资料。资产评估机构应对所提供的资料保守秘密，不得向外泄露。</w:t>
      </w:r>
    </w:p>
    <w:p w14:paraId="18F50FC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对资产评估中涉及的国家机密，有关各方均应严格按照国家保密法规的各项规定执行，必要时由国家国有资产管理局直接组织资产评估机构进行评估。</w:t>
      </w:r>
    </w:p>
    <w:p w14:paraId="5426D351">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Arial" w:hAnsi="Arial" w:eastAsia="宋体" w:cs="Arial"/>
          <w:b/>
          <w:bCs/>
          <w:kern w:val="0"/>
          <w:sz w:val="24"/>
        </w:rPr>
        <w:t>第二十一条</w:t>
      </w:r>
      <w:r>
        <w:rPr>
          <w:rFonts w:hint="eastAsia" w:ascii="宋体" w:hAnsi="宋体" w:eastAsia="宋体" w:cs="宋体"/>
          <w:color w:val="000000"/>
          <w:kern w:val="0"/>
          <w:sz w:val="24"/>
          <w:shd w:val="clear" w:color="auto" w:fill="FFFFFF"/>
        </w:rPr>
        <w:t>　国有土地使用权价值的评估和国有房产价值的评估，都应纳入《国有资产评估管理办法》的管理范围。</w:t>
      </w:r>
    </w:p>
    <w:p w14:paraId="5F53F20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从事国有土地使用权和国有房产价值评估的专业性资产评估机构，要依照《办法》和本细则的规定，向国家国有资产管理局或省、自治区、直辖市国有资产管理行政主管部门申请并取得资产评估资格证书后，才能从事资产评估业务。</w:t>
      </w:r>
    </w:p>
    <w:p w14:paraId="2732C581">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Arial" w:hAnsi="Arial" w:eastAsia="宋体" w:cs="Arial"/>
          <w:b/>
          <w:bCs/>
          <w:kern w:val="0"/>
          <w:sz w:val="24"/>
        </w:rPr>
        <w:t>第二十二条</w:t>
      </w:r>
      <w:r>
        <w:rPr>
          <w:rFonts w:hint="eastAsia" w:ascii="宋体" w:hAnsi="宋体" w:eastAsia="宋体" w:cs="宋体"/>
          <w:color w:val="000000"/>
          <w:kern w:val="0"/>
          <w:sz w:val="24"/>
          <w:shd w:val="clear" w:color="auto" w:fill="FFFFFF"/>
        </w:rPr>
        <w:t>　按照《办法》第十一条规定，资产评估实行有偿服务。资产评估机构接受委托进行评估时，应依照国家规定的收费办法向委托单位收费，并与委托单位在评估合同中明确具体收费方法。</w:t>
      </w:r>
    </w:p>
    <w:p w14:paraId="5B9D8D4F">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Arial" w:hAnsi="Arial" w:eastAsia="宋体" w:cs="Arial"/>
          <w:b/>
          <w:bCs/>
          <w:kern w:val="0"/>
          <w:sz w:val="24"/>
        </w:rPr>
        <w:t>第二十三条</w:t>
      </w:r>
      <w:r>
        <w:rPr>
          <w:rFonts w:hint="eastAsia" w:ascii="宋体" w:hAnsi="宋体" w:eastAsia="宋体" w:cs="宋体"/>
          <w:color w:val="000000"/>
          <w:kern w:val="0"/>
          <w:sz w:val="24"/>
          <w:shd w:val="clear" w:color="auto" w:fill="FFFFFF"/>
        </w:rPr>
        <w:t>　资产评估机构的评估收费办法，由国家国有资产管理局会同国家物价局另行制定。</w:t>
      </w:r>
    </w:p>
    <w:p w14:paraId="13F12539">
      <w:pPr>
        <w:shd w:val="clear" w:color="auto" w:fill="FFFFFF"/>
        <w:spacing w:line="440" w:lineRule="atLeast"/>
        <w:jc w:val="center"/>
        <w:rPr>
          <w:rFonts w:ascii="黑体" w:hAnsi="黑体" w:eastAsia="黑体" w:cs="黑体"/>
          <w:color w:val="000000"/>
          <w:kern w:val="0"/>
          <w:sz w:val="28"/>
          <w:szCs w:val="28"/>
          <w:shd w:val="clear" w:color="auto" w:fill="FFFFFF"/>
        </w:rPr>
      </w:pPr>
      <w:r>
        <w:rPr>
          <w:rFonts w:hint="eastAsia" w:ascii="黑体" w:hAnsi="黑体" w:eastAsia="黑体" w:cs="黑体"/>
          <w:color w:val="000000"/>
          <w:kern w:val="0"/>
          <w:sz w:val="28"/>
          <w:szCs w:val="28"/>
          <w:shd w:val="clear" w:color="auto" w:fill="FFFFFF"/>
        </w:rPr>
        <w:t>第三章　评估程序</w:t>
      </w:r>
    </w:p>
    <w:p w14:paraId="324DB27A">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Arial" w:hAnsi="Arial" w:eastAsia="宋体" w:cs="Arial"/>
          <w:b/>
          <w:bCs/>
          <w:kern w:val="0"/>
          <w:sz w:val="24"/>
        </w:rPr>
        <w:t>第二十四条　</w:t>
      </w:r>
      <w:r>
        <w:rPr>
          <w:rFonts w:hint="eastAsia" w:ascii="宋体" w:hAnsi="宋体" w:eastAsia="宋体" w:cs="宋体"/>
          <w:color w:val="000000"/>
          <w:kern w:val="0"/>
          <w:sz w:val="24"/>
          <w:shd w:val="clear" w:color="auto" w:fill="FFFFFF"/>
        </w:rPr>
        <w:t>国有资产占有单位发生《办法》第三条、第四条所说的经济情形时，应于该经济行为发生之前，按隶属关系申请评估立项。按照统一领导，分级管理的原则，中央管辖的国有资产的评估立项审批，由国家国有资产管理局负责办理；地方各级管辖的国有资产的评估立项审批，原则上由同级国有资产管理行政主管部门负责办理，尚不具备立项审批条件的地、县，可由上级国有资产管理行政主管部门根据《办法》和本细则作出具体规定。</w:t>
      </w:r>
    </w:p>
    <w:p w14:paraId="59F8464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重大的亿元以上资产评估项目和经国家计委批准立项的中外合资、合作项目的评估（含中央、地方国营企业和集体企业占有的国有资产），除报同级国有资产管理行政主管部门立项审批外，还须报国家国有资产管理局备案，必要时由国家国有资产管理局直接审批。</w:t>
      </w:r>
    </w:p>
    <w:p w14:paraId="3A94F6D2">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Arial" w:hAnsi="Arial" w:eastAsia="宋体" w:cs="Arial"/>
          <w:b/>
          <w:bCs/>
          <w:kern w:val="0"/>
          <w:sz w:val="24"/>
        </w:rPr>
        <w:t>第二十五条</w:t>
      </w:r>
      <w:r>
        <w:rPr>
          <w:rFonts w:hint="eastAsia" w:ascii="宋体" w:hAnsi="宋体" w:eastAsia="宋体" w:cs="宋体"/>
          <w:color w:val="000000"/>
          <w:kern w:val="0"/>
          <w:sz w:val="24"/>
          <w:shd w:val="clear" w:color="auto" w:fill="FFFFFF"/>
        </w:rPr>
        <w:t>　资产评估立项原则上应由被评估国有资产占有单位申报。</w:t>
      </w:r>
    </w:p>
    <w:p w14:paraId="0924D0DB">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Arial" w:hAnsi="Arial" w:eastAsia="宋体" w:cs="Arial"/>
          <w:b/>
          <w:bCs/>
          <w:kern w:val="0"/>
          <w:sz w:val="24"/>
        </w:rPr>
        <w:t>第二十六条</w:t>
      </w:r>
      <w:r>
        <w:rPr>
          <w:rFonts w:hint="eastAsia" w:ascii="宋体" w:hAnsi="宋体" w:eastAsia="宋体" w:cs="宋体"/>
          <w:color w:val="000000"/>
          <w:kern w:val="0"/>
          <w:sz w:val="24"/>
          <w:shd w:val="clear" w:color="auto" w:fill="FFFFFF"/>
        </w:rPr>
        <w:t>　国有资产占有单位资产评估立功申请书，应经其主管部门签署意见后，报国有资产管理行政主管部门。在国家和地方计划单列的单位以及没有上级主管部门的单位，资产评估立项申请书直接报同级国有资产管理行政主管部门。</w:t>
      </w:r>
    </w:p>
    <w:p w14:paraId="6C48A9F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评估立项申请书包括以下内容：</w:t>
      </w:r>
    </w:p>
    <w:p w14:paraId="29F9E6C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（一）资产占有单位名称、隶属关系、所在地址；</w:t>
      </w:r>
    </w:p>
    <w:p w14:paraId="7DD1397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（二）评估目的；</w:t>
      </w:r>
    </w:p>
    <w:p w14:paraId="6A964BE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（三）评估资产的范围；</w:t>
      </w:r>
    </w:p>
    <w:p w14:paraId="48E0DD6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（四）申报日期，</w:t>
      </w:r>
    </w:p>
    <w:p w14:paraId="0EA4355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（五）其他内容。</w:t>
      </w:r>
    </w:p>
    <w:p w14:paraId="117873E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资产评估立项申请书，应由申报单位和上级主管部门盖章，并附该项经济行为审批机关的批准文件和国有资产管理行政主管部门颁发的产权证明文件。</w:t>
      </w:r>
    </w:p>
    <w:p w14:paraId="64CE6FF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国有资产管理行政主管部门收到立项申请书后，应在十日内下达是否准予评估立项的通知书，超过十日不批复自动生效，并由国有资产管理行政主管部门补办批准手续。</w:t>
      </w:r>
    </w:p>
    <w:p w14:paraId="5F7C3716">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Arial" w:hAnsi="Arial" w:eastAsia="宋体" w:cs="Arial"/>
          <w:b/>
          <w:bCs/>
          <w:kern w:val="0"/>
          <w:sz w:val="24"/>
        </w:rPr>
        <w:t>第二十七条</w:t>
      </w:r>
      <w:r>
        <w:rPr>
          <w:rFonts w:hint="eastAsia" w:ascii="宋体" w:hAnsi="宋体" w:eastAsia="宋体" w:cs="宋体"/>
          <w:color w:val="000000"/>
          <w:kern w:val="0"/>
          <w:sz w:val="24"/>
          <w:shd w:val="clear" w:color="auto" w:fill="FFFFFF"/>
        </w:rPr>
        <w:t>　资产评估机构依据批准的评估立项通知书，接受评估委托，按其规定的范围进行评估。对占有单位整体资产评估时，应在资产占有单位全面进行资产和债权、债务清查的基础上，对其资产、财务和经营状况进行核实。</w:t>
      </w:r>
    </w:p>
    <w:p w14:paraId="2414FA4E">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Arial" w:hAnsi="Arial" w:eastAsia="宋体" w:cs="Arial"/>
          <w:b/>
          <w:bCs/>
          <w:kern w:val="0"/>
          <w:sz w:val="24"/>
        </w:rPr>
        <w:t>第二十八条</w:t>
      </w:r>
      <w:r>
        <w:rPr>
          <w:rFonts w:hint="eastAsia" w:ascii="宋体" w:hAnsi="宋体" w:eastAsia="宋体" w:cs="宋体"/>
          <w:color w:val="000000"/>
          <w:kern w:val="0"/>
          <w:sz w:val="24"/>
          <w:shd w:val="clear" w:color="auto" w:fill="FFFFFF"/>
        </w:rPr>
        <w:t>　资产评估机构对委托评估的资产，在核实的基础上，根据不同的评估目的和对象，依照国家的法律、法规和政策规定，考虑影响资产价值的各种因素，运用科学的评估方法，选择适当的评估参数，独立、公正、合理地评估出资产的价值。</w:t>
      </w:r>
    </w:p>
    <w:p w14:paraId="420D2FAD">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Arial" w:hAnsi="Arial" w:eastAsia="宋体" w:cs="Arial"/>
          <w:b/>
          <w:bCs/>
          <w:kern w:val="0"/>
          <w:sz w:val="24"/>
        </w:rPr>
        <w:t>第二十九条</w:t>
      </w:r>
      <w:r>
        <w:rPr>
          <w:rFonts w:hint="eastAsia" w:ascii="宋体" w:hAnsi="宋体" w:eastAsia="宋体" w:cs="宋体"/>
          <w:color w:val="000000"/>
          <w:kern w:val="0"/>
          <w:sz w:val="24"/>
          <w:shd w:val="clear" w:color="auto" w:fill="FFFFFF"/>
        </w:rPr>
        <w:t>　资产评估机构在评估后应向委托单位提交资产评估结果报告书，其内容包括：正文和附件两部分。</w:t>
      </w:r>
    </w:p>
    <w:p w14:paraId="7D003D0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正文的主要内容：</w:t>
      </w:r>
    </w:p>
    <w:p w14:paraId="6811952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（一）评估机构名称，</w:t>
      </w:r>
    </w:p>
    <w:p w14:paraId="1271C31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（二）委托单位名称；</w:t>
      </w:r>
    </w:p>
    <w:p w14:paraId="706A5E7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（三）评估资产的范围、名称和简单说明；</w:t>
      </w:r>
    </w:p>
    <w:p w14:paraId="3B86709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（四）评估基准日期；</w:t>
      </w:r>
    </w:p>
    <w:p w14:paraId="2AF1452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（五）评估原则；</w:t>
      </w:r>
    </w:p>
    <w:p w14:paraId="43342F7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（六）评估所依据的法律，法规和政策；</w:t>
      </w:r>
    </w:p>
    <w:p w14:paraId="0D414F7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（七）评估方法和计价标准；</w:t>
      </w:r>
    </w:p>
    <w:p w14:paraId="16F2B81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（八）对具体资产评估的说明；</w:t>
      </w:r>
    </w:p>
    <w:p w14:paraId="5CF1EB0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（九）评估结论：包括评估价值和有关文字说明；</w:t>
      </w:r>
    </w:p>
    <w:p w14:paraId="35CC9FB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（十）附件名称；</w:t>
      </w:r>
    </w:p>
    <w:p w14:paraId="3532365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（十一）评估起止日期和评估报告提出日期；</w:t>
      </w:r>
    </w:p>
    <w:p w14:paraId="2A73FFB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（十二）评估机构负责人、评估项目负责人签名，并加盖评估机构公章；</w:t>
      </w:r>
    </w:p>
    <w:p w14:paraId="3EB6E64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（十三）其他。</w:t>
      </w:r>
    </w:p>
    <w:p w14:paraId="4A5151C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附件：</w:t>
      </w:r>
    </w:p>
    <w:p w14:paraId="21E9A9B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（一）资产评估汇总表、明细表；</w:t>
      </w:r>
    </w:p>
    <w:p w14:paraId="26250CF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（二）评估方法说明和计算过程；</w:t>
      </w:r>
    </w:p>
    <w:p w14:paraId="366B94B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（三）与评估基准日有关的会计报表；</w:t>
      </w:r>
    </w:p>
    <w:p w14:paraId="664E2BA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（四）资产评估机构评估资格证明文件复印件；</w:t>
      </w:r>
    </w:p>
    <w:p w14:paraId="22EE11D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（五）被评估单位占有资产的证明文件复印件；</w:t>
      </w:r>
    </w:p>
    <w:p w14:paraId="0B3C94F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（六）其他与评估有关的文件资料。</w:t>
      </w:r>
    </w:p>
    <w:p w14:paraId="1E5A20F9">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Arial" w:hAnsi="Arial" w:eastAsia="宋体" w:cs="Arial"/>
          <w:b/>
          <w:bCs/>
          <w:kern w:val="0"/>
          <w:sz w:val="24"/>
        </w:rPr>
        <w:t>第三十条</w:t>
      </w:r>
      <w:r>
        <w:rPr>
          <w:rFonts w:hint="eastAsia" w:ascii="宋体" w:hAnsi="宋体" w:eastAsia="宋体" w:cs="宋体"/>
          <w:color w:val="000000"/>
          <w:kern w:val="0"/>
          <w:sz w:val="24"/>
          <w:shd w:val="clear" w:color="auto" w:fill="FFFFFF"/>
        </w:rPr>
        <w:t>　国有资产占有单位收到资产评估报告书后提出资产评估结果确认申请报告，连同评估报告书及有关资料经上级主管部门签署意见后，报批准立项的国有资产管理行政主管部门确认。</w:t>
      </w:r>
    </w:p>
    <w:p w14:paraId="42B4C67B">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Arial" w:hAnsi="Arial" w:eastAsia="宋体" w:cs="Arial"/>
          <w:b/>
          <w:bCs/>
          <w:kern w:val="0"/>
          <w:sz w:val="24"/>
        </w:rPr>
        <w:t>第三十一条</w:t>
      </w:r>
      <w:r>
        <w:rPr>
          <w:rFonts w:hint="eastAsia" w:ascii="宋体" w:hAnsi="宋体" w:eastAsia="宋体" w:cs="宋体"/>
          <w:color w:val="000000"/>
          <w:kern w:val="0"/>
          <w:sz w:val="24"/>
          <w:shd w:val="clear" w:color="auto" w:fill="FFFFFF"/>
        </w:rPr>
        <w:t>　国有资产管理行政主管部门对评估结果的确认工作，分为审核验证和确认两个步骤，先对资产评估是否独立公正、科学合理进行审核验证，然后提出审核意见，并下达资产评估结果确认通知书。</w:t>
      </w:r>
    </w:p>
    <w:p w14:paraId="18D91B65">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Arial" w:hAnsi="Arial" w:eastAsia="宋体" w:cs="Arial"/>
          <w:b/>
          <w:bCs/>
          <w:kern w:val="0"/>
          <w:sz w:val="24"/>
        </w:rPr>
        <w:t>第三十二条</w:t>
      </w:r>
      <w:r>
        <w:rPr>
          <w:rFonts w:hint="eastAsia" w:ascii="宋体" w:hAnsi="宋体" w:eastAsia="宋体" w:cs="宋体"/>
          <w:color w:val="000000"/>
          <w:kern w:val="0"/>
          <w:sz w:val="24"/>
          <w:shd w:val="clear" w:color="auto" w:fill="FFFFFF"/>
        </w:rPr>
        <w:t>　国有资产管理行政主管部门从以下方面审核验证资产评估报告：</w:t>
      </w:r>
    </w:p>
    <w:p w14:paraId="01518E8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（一）资产评估工作过程是否符合政策规定；</w:t>
      </w:r>
    </w:p>
    <w:p w14:paraId="08618F4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（二）资产评估机构是否有评估资格；</w:t>
      </w:r>
    </w:p>
    <w:p w14:paraId="03C84F7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（三）实际评估范围与规定评估范围是否一致，被评估资产有无漏评和重评；</w:t>
      </w:r>
    </w:p>
    <w:p w14:paraId="38127DD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（四）影响资产价值的因素是否考虑周全；</w:t>
      </w:r>
    </w:p>
    <w:p w14:paraId="4E24758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（五）引用的法律、法规和国家政策是否适当；</w:t>
      </w:r>
    </w:p>
    <w:p w14:paraId="51D78D4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（六）引用的资料、数据是否真实、合理、可靠；</w:t>
      </w:r>
    </w:p>
    <w:p w14:paraId="67845F0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（七）运用的评估方法是否科学；</w:t>
      </w:r>
    </w:p>
    <w:p w14:paraId="2B7EB70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（八）评估价值是否合理；</w:t>
      </w:r>
    </w:p>
    <w:p w14:paraId="6CCCC79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（九）其他。</w:t>
      </w:r>
    </w:p>
    <w:p w14:paraId="73CE4B59">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Arial" w:hAnsi="Arial" w:eastAsia="宋体" w:cs="Arial"/>
          <w:b/>
          <w:bCs/>
          <w:kern w:val="0"/>
          <w:sz w:val="24"/>
        </w:rPr>
        <w:t>第三十三条</w:t>
      </w:r>
      <w:r>
        <w:rPr>
          <w:rFonts w:hint="eastAsia" w:ascii="宋体" w:hAnsi="宋体" w:eastAsia="宋体" w:cs="宋体"/>
          <w:color w:val="000000"/>
          <w:kern w:val="0"/>
          <w:sz w:val="24"/>
          <w:shd w:val="clear" w:color="auto" w:fill="FFFFFF"/>
        </w:rPr>
        <w:t>　资产评估报告凡符合本细则第二十九、第三十和第三十二条要求的，应予以确认，由负责审批的国有资产管理行政主管部门下达确认通知书；不符合要求的，分别情况做出修改、重评或不予确认的决定。</w:t>
      </w:r>
    </w:p>
    <w:p w14:paraId="2B19E13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经国有资产管理行政主管部门确认的资产评估价值，作为资产经营和产权变动的底价或作价的依据。</w:t>
      </w:r>
    </w:p>
    <w:p w14:paraId="7EB20762">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Arial" w:hAnsi="Arial" w:eastAsia="宋体" w:cs="Arial"/>
          <w:b/>
          <w:bCs/>
          <w:kern w:val="0"/>
          <w:sz w:val="24"/>
        </w:rPr>
        <w:t>第三十四条</w:t>
      </w:r>
      <w:r>
        <w:rPr>
          <w:rFonts w:hint="eastAsia" w:ascii="宋体" w:hAnsi="宋体" w:eastAsia="宋体" w:cs="宋体"/>
          <w:color w:val="000000"/>
          <w:kern w:val="0"/>
          <w:sz w:val="24"/>
          <w:shd w:val="clear" w:color="auto" w:fill="FFFFFF"/>
        </w:rPr>
        <w:t>　资产占有单位对确认通知书有异议，或与经济情形有关的当事人以及资产评估有关各方因评估问题发生纠纷，经同级国有资产管理行政主管部门协调无效，可以向上级国有资产管理行政主管部门申请复议或仲裁。</w:t>
      </w:r>
    </w:p>
    <w:p w14:paraId="7C483891">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Arial" w:hAnsi="Arial" w:eastAsia="宋体" w:cs="Arial"/>
          <w:b/>
          <w:bCs/>
          <w:kern w:val="0"/>
          <w:sz w:val="24"/>
        </w:rPr>
        <w:t>第三十五条</w:t>
      </w:r>
      <w:r>
        <w:rPr>
          <w:rFonts w:hint="eastAsia" w:ascii="宋体" w:hAnsi="宋体" w:eastAsia="宋体" w:cs="宋体"/>
          <w:color w:val="000000"/>
          <w:kern w:val="0"/>
          <w:sz w:val="24"/>
          <w:shd w:val="clear" w:color="auto" w:fill="FFFFFF"/>
        </w:rPr>
        <w:t>　资产评估的立项审批和评估结果确认一般应按本细则第二十六条、第三十三条规定办理。国有资产管理行政主管部门认为有必要时，也可以委托国有资产占有单位的主管部门或下级国有资产管理行政中管部门进行。被委托的部门应依照《办法》和本细则的规定，办理资产评估的立项审批和结果确认工作，并将办理结果报委托的国有资产管理行政主管部门备案。</w:t>
      </w:r>
    </w:p>
    <w:p w14:paraId="042B6274">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Arial" w:hAnsi="Arial" w:eastAsia="宋体" w:cs="Arial"/>
          <w:b/>
          <w:bCs/>
          <w:kern w:val="0"/>
          <w:sz w:val="24"/>
        </w:rPr>
        <w:t>第三十六条</w:t>
      </w:r>
      <w:r>
        <w:rPr>
          <w:rFonts w:hint="eastAsia" w:ascii="宋体" w:hAnsi="宋体" w:eastAsia="宋体" w:cs="宋体"/>
          <w:color w:val="000000"/>
          <w:kern w:val="0"/>
          <w:sz w:val="24"/>
          <w:shd w:val="clear" w:color="auto" w:fill="FFFFFF"/>
        </w:rPr>
        <w:t>　经国有资产管理行政主管部门确认的资产评估结果，除国家经济政策发生重大变动或经济行为当事人另有协议规定之外，自评估基准日起一年内有效。在有效期内，资产数量发生变化时，根据不同情况可由原评估机构或资产占有单位，按原评估方法做相应调整。</w:t>
      </w:r>
    </w:p>
    <w:p w14:paraId="2B24FD09">
      <w:pPr>
        <w:shd w:val="clear" w:color="auto" w:fill="FFFFFF"/>
        <w:spacing w:line="440" w:lineRule="atLeast"/>
        <w:jc w:val="center"/>
        <w:rPr>
          <w:rFonts w:ascii="黑体" w:hAnsi="黑体" w:eastAsia="黑体" w:cs="黑体"/>
          <w:color w:val="000000"/>
          <w:kern w:val="0"/>
          <w:sz w:val="28"/>
          <w:szCs w:val="28"/>
          <w:shd w:val="clear" w:color="auto" w:fill="FFFFFF"/>
        </w:rPr>
      </w:pPr>
      <w:r>
        <w:rPr>
          <w:rFonts w:hint="eastAsia" w:ascii="黑体" w:hAnsi="黑体" w:eastAsia="黑体" w:cs="黑体"/>
          <w:color w:val="000000"/>
          <w:kern w:val="0"/>
          <w:sz w:val="28"/>
          <w:szCs w:val="28"/>
          <w:shd w:val="clear" w:color="auto" w:fill="FFFFFF"/>
        </w:rPr>
        <w:t>第四章　评估方式</w:t>
      </w:r>
    </w:p>
    <w:p w14:paraId="0903C8C2">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Arial" w:hAnsi="Arial" w:eastAsia="宋体" w:cs="Arial"/>
          <w:b/>
          <w:bCs/>
          <w:kern w:val="0"/>
          <w:sz w:val="24"/>
        </w:rPr>
        <w:t>第三十七条　</w:t>
      </w:r>
      <w:r>
        <w:rPr>
          <w:rFonts w:hint="eastAsia" w:ascii="宋体" w:hAnsi="宋体" w:eastAsia="宋体" w:cs="宋体"/>
          <w:color w:val="000000"/>
          <w:kern w:val="0"/>
          <w:sz w:val="24"/>
          <w:shd w:val="clear" w:color="auto" w:fill="FFFFFF"/>
        </w:rPr>
        <w:t>资产评估机构进行资产评估时，应根据不同的评估目的和对象，选用《办法》第二十三条所规定的一种或几种方法进行评定估算。选用几种方法评估，应对各种方法评出的结果进行比较和调整，得出合理的资产重估价值。</w:t>
      </w:r>
    </w:p>
    <w:p w14:paraId="601D330E">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Arial" w:hAnsi="Arial" w:eastAsia="宋体" w:cs="Arial"/>
          <w:b/>
          <w:bCs/>
          <w:kern w:val="0"/>
          <w:sz w:val="24"/>
        </w:rPr>
        <w:t>第三十八条</w:t>
      </w:r>
      <w:r>
        <w:rPr>
          <w:rFonts w:hint="eastAsia" w:ascii="宋体" w:hAnsi="宋体" w:eastAsia="宋体" w:cs="宋体"/>
          <w:color w:val="000000"/>
          <w:kern w:val="0"/>
          <w:sz w:val="24"/>
          <w:shd w:val="clear" w:color="auto" w:fill="FFFFFF"/>
        </w:rPr>
        <w:t>　收益现值法是将评估对象剩余寿命期间每年（或每月）的预期收益，用适当的折现率折现，累加得出评估基准日的现值，以此估算资产价值的方法。</w:t>
      </w:r>
    </w:p>
    <w:p w14:paraId="3C611254">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Arial" w:hAnsi="Arial" w:eastAsia="宋体" w:cs="Arial"/>
          <w:b/>
          <w:bCs/>
          <w:kern w:val="0"/>
          <w:sz w:val="24"/>
        </w:rPr>
        <w:t>第三十九条</w:t>
      </w:r>
      <w:r>
        <w:rPr>
          <w:rFonts w:hint="eastAsia" w:ascii="宋体" w:hAnsi="宋体" w:eastAsia="宋体" w:cs="宋体"/>
          <w:color w:val="000000"/>
          <w:kern w:val="0"/>
          <w:sz w:val="24"/>
          <w:shd w:val="clear" w:color="auto" w:fill="FFFFFF"/>
        </w:rPr>
        <w:t>　重置成本法是现时条件下被评估资产全新状态的重置成本减去该项资产的实体性贬值、功能性贬值和经济性贬值，估算资产价值的方法。</w:t>
      </w:r>
    </w:p>
    <w:p w14:paraId="7CE4D86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实体性贬值是由于使用磨损和自然损耗造成的贬值。功能性贬值是由于技术相对落后造成的贬值。经济性贬值是由于外部经济环境变化引起的贬值。</w:t>
      </w:r>
    </w:p>
    <w:p w14:paraId="3FBF68DC">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Arial" w:hAnsi="Arial" w:eastAsia="宋体" w:cs="Arial"/>
          <w:b/>
          <w:bCs/>
          <w:kern w:val="0"/>
          <w:sz w:val="24"/>
        </w:rPr>
        <w:t>第四十条</w:t>
      </w:r>
      <w:r>
        <w:rPr>
          <w:rFonts w:hint="eastAsia" w:ascii="宋体" w:hAnsi="宋体" w:eastAsia="宋体" w:cs="宋体"/>
          <w:color w:val="000000"/>
          <w:kern w:val="0"/>
          <w:sz w:val="24"/>
          <w:shd w:val="clear" w:color="auto" w:fill="FFFFFF"/>
        </w:rPr>
        <w:t>　现行市价法是通过市场调查，选择一个或几个与评估对象相同或类似的资产作为比较对象，分析比较对象的成交价格和交易条件，进行对比调整，估算出资产价值的方法。</w:t>
      </w:r>
    </w:p>
    <w:p w14:paraId="6E0D10F6">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Arial" w:hAnsi="Arial" w:eastAsia="宋体" w:cs="Arial"/>
          <w:b/>
          <w:bCs/>
          <w:kern w:val="0"/>
          <w:sz w:val="24"/>
        </w:rPr>
        <w:t>第四十一条</w:t>
      </w:r>
      <w:r>
        <w:rPr>
          <w:rFonts w:hint="eastAsia" w:ascii="宋体" w:hAnsi="宋体" w:eastAsia="宋体" w:cs="宋体"/>
          <w:color w:val="000000"/>
          <w:kern w:val="0"/>
          <w:sz w:val="24"/>
          <w:shd w:val="clear" w:color="auto" w:fill="FFFFFF"/>
        </w:rPr>
        <w:t>　清算价格法适用于依照中华人民共和国企业破产法规定，经人民法院宣告破产的企业的资产评估。评估时应当根据企业清算时其资产可变现的价值，评定重估价值。</w:t>
      </w:r>
    </w:p>
    <w:p w14:paraId="6CF24671">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Arial" w:hAnsi="Arial" w:eastAsia="宋体" w:cs="Arial"/>
          <w:b/>
          <w:bCs/>
          <w:kern w:val="0"/>
          <w:sz w:val="24"/>
        </w:rPr>
        <w:t>第四十二条</w:t>
      </w:r>
      <w:r>
        <w:rPr>
          <w:rFonts w:hint="eastAsia" w:ascii="宋体" w:hAnsi="宋体" w:eastAsia="宋体" w:cs="宋体"/>
          <w:color w:val="000000"/>
          <w:kern w:val="0"/>
          <w:sz w:val="24"/>
          <w:shd w:val="clear" w:color="auto" w:fill="FFFFFF"/>
        </w:rPr>
        <w:t>　资产评估机构接受委托进行资产评估时，选用的价格标准应遵守国家法律法规，并维护经济行为各方的正当权益。</w:t>
      </w:r>
    </w:p>
    <w:p w14:paraId="1679222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在资产评估时，应根据不同的评估目的、对象，选用不同的价格标准。可以采用国家计划价，也可以采用国家指导价、国内市场价和国际市场价。</w:t>
      </w:r>
    </w:p>
    <w:p w14:paraId="1CABC90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汇率、利率应执行国家规定的牌价。自由外汇或以自由外汇购入的资产也可以用外汇调剂价格。</w:t>
      </w:r>
    </w:p>
    <w:p w14:paraId="6D2FBF3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国内各种形式联营（包括集团公司）、股份经营的资产评估，对联营各方投入的同类资产应该采用同一价格标准评估。</w:t>
      </w:r>
    </w:p>
    <w:p w14:paraId="1F36B1F0">
      <w:pPr>
        <w:shd w:val="clear" w:color="auto" w:fill="FFFFFF"/>
        <w:spacing w:line="440" w:lineRule="atLeast"/>
        <w:jc w:val="center"/>
        <w:rPr>
          <w:rFonts w:ascii="黑体" w:hAnsi="黑体" w:eastAsia="黑体" w:cs="黑体"/>
          <w:color w:val="000000"/>
          <w:kern w:val="0"/>
          <w:sz w:val="28"/>
          <w:szCs w:val="28"/>
          <w:shd w:val="clear" w:color="auto" w:fill="FFFFFF"/>
        </w:rPr>
      </w:pPr>
      <w:r>
        <w:rPr>
          <w:rFonts w:hint="eastAsia" w:ascii="黑体" w:hAnsi="黑体" w:eastAsia="黑体" w:cs="黑体"/>
          <w:color w:val="000000"/>
          <w:kern w:val="0"/>
          <w:sz w:val="28"/>
          <w:szCs w:val="28"/>
          <w:shd w:val="clear" w:color="auto" w:fill="FFFFFF"/>
        </w:rPr>
        <w:t>第五章　中外合资、合作资产评估</w:t>
      </w:r>
    </w:p>
    <w:p w14:paraId="10313989">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Arial" w:hAnsi="Arial" w:eastAsia="宋体" w:cs="Arial"/>
          <w:b/>
          <w:bCs/>
          <w:kern w:val="0"/>
          <w:sz w:val="24"/>
        </w:rPr>
        <w:t>第四十三条　</w:t>
      </w:r>
      <w:r>
        <w:rPr>
          <w:rFonts w:hint="eastAsia" w:ascii="宋体" w:hAnsi="宋体" w:eastAsia="宋体" w:cs="宋体"/>
          <w:color w:val="000000"/>
          <w:kern w:val="0"/>
          <w:sz w:val="24"/>
          <w:shd w:val="clear" w:color="auto" w:fill="FFFFFF"/>
        </w:rPr>
        <w:t>凡在中华人民共和国境内与外国公司、企业和其他经济组织或个人，开办中外合资、合作经营的企业，对中方投入的资产必须按规定进行评估，以确认的评估价值作为投资作价的基础。对外方投入的资产，必要时经外方同意也可进行评估。</w:t>
      </w:r>
    </w:p>
    <w:p w14:paraId="7CCD5EC0">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Arial" w:hAnsi="Arial" w:eastAsia="宋体" w:cs="Arial"/>
          <w:b/>
          <w:bCs/>
          <w:kern w:val="0"/>
          <w:sz w:val="24"/>
        </w:rPr>
        <w:t>第四十四条</w:t>
      </w:r>
      <w:r>
        <w:rPr>
          <w:rFonts w:hint="eastAsia" w:ascii="宋体" w:hAnsi="宋体" w:eastAsia="宋体" w:cs="宋体"/>
          <w:color w:val="000000"/>
          <w:kern w:val="0"/>
          <w:sz w:val="24"/>
          <w:shd w:val="clear" w:color="auto" w:fill="FFFFFF"/>
        </w:rPr>
        <w:t>　中外合资、合作的评估原则上应在项目建议书批准后可行性研究报告批准前进行，特殊情况下也可以在项目建议书审批以前或正式签订合同、协议前进行。</w:t>
      </w:r>
    </w:p>
    <w:p w14:paraId="0A928D2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经国有资产管理行政主管部门确认的资产评估报告，作为计划部门批准可行性研究报告、经贸部门审批合同的必备文件，经国有资产管理行政主管部门确认的资产评估报告和出具的产权登记表（包括变更登记或开办登记）作为工商行政管理部门办理登记注册的必备文件。</w:t>
      </w:r>
    </w:p>
    <w:p w14:paraId="7E461B0B">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Arial" w:hAnsi="Arial" w:eastAsia="宋体" w:cs="Arial"/>
          <w:b/>
          <w:bCs/>
          <w:kern w:val="0"/>
          <w:sz w:val="24"/>
        </w:rPr>
        <w:t>第四十五条</w:t>
      </w:r>
      <w:r>
        <w:rPr>
          <w:rFonts w:hint="eastAsia" w:ascii="宋体" w:hAnsi="宋体" w:eastAsia="宋体" w:cs="宋体"/>
          <w:color w:val="000000"/>
          <w:kern w:val="0"/>
          <w:sz w:val="24"/>
          <w:shd w:val="clear" w:color="auto" w:fill="FFFFFF"/>
        </w:rPr>
        <w:t>　已开办的中外合资、合作企业中方投资比例占　50％以上（含50％），发生《办法》第三条、第四条和本细则第八条的情形时，必须按规定要求进行资产评估。</w:t>
      </w:r>
    </w:p>
    <w:p w14:paraId="43E748DA">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Arial" w:hAnsi="Arial" w:eastAsia="宋体" w:cs="Arial"/>
          <w:b/>
          <w:bCs/>
          <w:kern w:val="0"/>
          <w:sz w:val="24"/>
        </w:rPr>
        <w:t>第四十六条</w:t>
      </w:r>
      <w:r>
        <w:rPr>
          <w:rFonts w:hint="eastAsia" w:ascii="宋体" w:hAnsi="宋体" w:eastAsia="宋体" w:cs="宋体"/>
          <w:color w:val="000000"/>
          <w:kern w:val="0"/>
          <w:sz w:val="24"/>
          <w:shd w:val="clear" w:color="auto" w:fill="FFFFFF"/>
        </w:rPr>
        <w:t>　开办前的中外合资、合作项目，中方资产的评估，原则上应委托中国有评估资格的资产评估机构评估。特殊情况下，经国有资产管理行政主管部门同意，也可以委托国外评估机构评估或中国评估机构和国外评估机构联合评估，其评估报告，须报同级国有资产管理行政主管部门确认。</w:t>
      </w:r>
    </w:p>
    <w:p w14:paraId="00E7B67F">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Arial" w:hAnsi="Arial" w:eastAsia="宋体" w:cs="Arial"/>
          <w:b/>
          <w:bCs/>
          <w:kern w:val="0"/>
          <w:sz w:val="24"/>
        </w:rPr>
        <w:t>第四十七条</w:t>
      </w:r>
      <w:r>
        <w:rPr>
          <w:rFonts w:hint="eastAsia" w:ascii="宋体" w:hAnsi="宋体" w:eastAsia="宋体" w:cs="宋体"/>
          <w:color w:val="000000"/>
          <w:kern w:val="0"/>
          <w:sz w:val="24"/>
          <w:shd w:val="clear" w:color="auto" w:fill="FFFFFF"/>
        </w:rPr>
        <w:t>　国有资产占有单位与香港、澳门、台湾地区进行合资、合作经营，基资产评估比照本细则本章有关规定办理。</w:t>
      </w:r>
    </w:p>
    <w:p w14:paraId="2090E40E">
      <w:pPr>
        <w:shd w:val="clear" w:color="auto" w:fill="FFFFFF"/>
        <w:spacing w:line="440" w:lineRule="atLeast"/>
        <w:jc w:val="center"/>
        <w:rPr>
          <w:rFonts w:ascii="黑体" w:hAnsi="黑体" w:eastAsia="黑体" w:cs="黑体"/>
          <w:color w:val="000000"/>
          <w:kern w:val="0"/>
          <w:sz w:val="28"/>
          <w:szCs w:val="28"/>
          <w:shd w:val="clear" w:color="auto" w:fill="FFFFFF"/>
        </w:rPr>
      </w:pPr>
      <w:r>
        <w:rPr>
          <w:rFonts w:hint="eastAsia" w:ascii="黑体" w:hAnsi="黑体" w:eastAsia="黑体" w:cs="黑体"/>
          <w:color w:val="000000"/>
          <w:kern w:val="0"/>
          <w:sz w:val="28"/>
          <w:szCs w:val="28"/>
          <w:shd w:val="clear" w:color="auto" w:fill="FFFFFF"/>
        </w:rPr>
        <w:t>第六章　股份制企业资产评估</w:t>
      </w:r>
    </w:p>
    <w:p w14:paraId="2D85670B">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Arial" w:hAnsi="Arial" w:eastAsia="宋体" w:cs="Arial"/>
          <w:b/>
          <w:bCs/>
          <w:kern w:val="0"/>
          <w:sz w:val="24"/>
        </w:rPr>
        <w:t>第四十八条　</w:t>
      </w:r>
      <w:r>
        <w:rPr>
          <w:rFonts w:hint="eastAsia" w:ascii="宋体" w:hAnsi="宋体" w:eastAsia="宋体" w:cs="宋体"/>
          <w:color w:val="000000"/>
          <w:kern w:val="0"/>
          <w:sz w:val="24"/>
          <w:shd w:val="clear" w:color="auto" w:fill="FFFFFF"/>
        </w:rPr>
        <w:t>国有资产占有单位改组为股份制企业（包括法人持股、内部职工持股，向社会发行股票不上市交易和向社会发行股票并上市交易）前，应按《办法》和本细则规定，委托具有资产评估资格的机构进行资产评估。</w:t>
      </w:r>
    </w:p>
    <w:p w14:paraId="025FDE10">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Arial" w:hAnsi="Arial" w:eastAsia="宋体" w:cs="Arial"/>
          <w:b/>
          <w:bCs/>
          <w:kern w:val="0"/>
          <w:sz w:val="24"/>
        </w:rPr>
        <w:t>第四十九条</w:t>
      </w:r>
      <w:r>
        <w:rPr>
          <w:rFonts w:hint="eastAsia" w:ascii="宋体" w:hAnsi="宋体" w:eastAsia="宋体" w:cs="宋体"/>
          <w:color w:val="000000"/>
          <w:kern w:val="0"/>
          <w:sz w:val="24"/>
          <w:shd w:val="clear" w:color="auto" w:fill="FFFFFF"/>
        </w:rPr>
        <w:t>　国有资产占有单位改组为股份制企业的资产评估结果，须按规定报国有资产管理行政主管部门审核确认。未经资产评估或资产评估结果未经确认的单位，政府授权部门不办理股份制企业设立审批手续。</w:t>
      </w:r>
    </w:p>
    <w:p w14:paraId="3F447615">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Arial" w:hAnsi="Arial" w:eastAsia="宋体" w:cs="Arial"/>
          <w:b/>
          <w:bCs/>
          <w:kern w:val="0"/>
          <w:sz w:val="24"/>
        </w:rPr>
        <w:t>第五十条</w:t>
      </w:r>
      <w:r>
        <w:rPr>
          <w:rFonts w:hint="eastAsia" w:ascii="宋体" w:hAnsi="宋体" w:eastAsia="宋体" w:cs="宋体"/>
          <w:color w:val="000000"/>
          <w:kern w:val="0"/>
          <w:sz w:val="24"/>
          <w:shd w:val="clear" w:color="auto" w:fill="FFFFFF"/>
        </w:rPr>
        <w:t>　国有资产管理行政主管部门确认的净资产价值应作为国有资产折股和确定各方股权比例的依据。</w:t>
      </w:r>
    </w:p>
    <w:p w14:paraId="273B67D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注册会计师对准备实行股份制企业的财务和财产状况进行验证后，其验证结果与国有资产管理行政主管部门确认的资产评估结果不一致需要调整时，必须经原资产评估结果确认机关同意。</w:t>
      </w:r>
    </w:p>
    <w:p w14:paraId="5838D14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国有资产占有单位改组的股份公司发行B种股票，若由外方注册会计师查验帐目，其查验结果与国有资产管理行政主管部门确认的资产评估结果不一致需要调整时，也要由原资产评估结果确认机关审核同意。</w:t>
      </w:r>
    </w:p>
    <w:p w14:paraId="5CB49A25">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Arial" w:hAnsi="Arial" w:eastAsia="宋体" w:cs="Arial"/>
          <w:b/>
          <w:bCs/>
          <w:kern w:val="0"/>
          <w:sz w:val="24"/>
        </w:rPr>
        <w:t>第五十一条</w:t>
      </w:r>
      <w:r>
        <w:rPr>
          <w:rFonts w:hint="eastAsia" w:ascii="宋体" w:hAnsi="宋体" w:eastAsia="宋体" w:cs="宋体"/>
          <w:color w:val="000000"/>
          <w:kern w:val="0"/>
          <w:sz w:val="24"/>
          <w:shd w:val="clear" w:color="auto" w:fill="FFFFFF"/>
        </w:rPr>
        <w:t>　含有国家股权的股份制企业在经营过程中，发生《办法》第三条、第四条和本细则第八条的情形时，应按规定要求进行资产评估。</w:t>
      </w:r>
    </w:p>
    <w:p w14:paraId="26BE01E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国家控股的股份制企业的资产评估，应按规定向国有资产管理行政主管部门办理资产评估立项和评估结果确认手续；非国家控股的股份制企业的资产评估，由董事会批准资产评估申报和对评估结果的确认。</w:t>
      </w:r>
    </w:p>
    <w:p w14:paraId="2CFEA9A7">
      <w:pPr>
        <w:shd w:val="clear" w:color="auto" w:fill="FFFFFF"/>
        <w:spacing w:line="440" w:lineRule="atLeast"/>
        <w:jc w:val="center"/>
        <w:rPr>
          <w:rFonts w:ascii="黑体" w:hAnsi="黑体" w:eastAsia="黑体" w:cs="黑体"/>
          <w:color w:val="000000"/>
          <w:kern w:val="0"/>
          <w:sz w:val="28"/>
          <w:szCs w:val="28"/>
          <w:shd w:val="clear" w:color="auto" w:fill="FFFFFF"/>
        </w:rPr>
      </w:pPr>
      <w:r>
        <w:rPr>
          <w:rFonts w:hint="eastAsia" w:ascii="黑体" w:hAnsi="黑体" w:eastAsia="黑体" w:cs="黑体"/>
          <w:color w:val="000000"/>
          <w:kern w:val="0"/>
          <w:sz w:val="28"/>
          <w:szCs w:val="28"/>
          <w:shd w:val="clear" w:color="auto" w:fill="FFFFFF"/>
        </w:rPr>
        <w:t>第七章　法律责任</w:t>
      </w:r>
    </w:p>
    <w:p w14:paraId="24D8E609">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Arial" w:hAnsi="Arial" w:eastAsia="宋体" w:cs="Arial"/>
          <w:b/>
          <w:bCs/>
          <w:kern w:val="0"/>
          <w:sz w:val="24"/>
        </w:rPr>
        <w:t>第五十二条</w:t>
      </w:r>
      <w:r>
        <w:rPr>
          <w:rFonts w:hint="eastAsia" w:ascii="宋体" w:hAnsi="宋体" w:eastAsia="宋体" w:cs="宋体"/>
          <w:color w:val="000000"/>
          <w:kern w:val="0"/>
          <w:sz w:val="24"/>
          <w:shd w:val="clear" w:color="auto" w:fill="FFFFFF"/>
        </w:rPr>
        <w:t>　违反《办法》第三条和本细则的规定，对应当进行资产评估的情形而未进行评估的，应按《办法》三十一条规定对有关当事人给与处罚，造成国有资产重大损失的，应追究有关当事人的法律责任。</w:t>
      </w:r>
    </w:p>
    <w:p w14:paraId="4FDAEE49">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Arial" w:hAnsi="Arial" w:eastAsia="宋体" w:cs="Arial"/>
          <w:b/>
          <w:bCs/>
          <w:kern w:val="0"/>
          <w:sz w:val="24"/>
        </w:rPr>
        <w:t>第五十三条</w:t>
      </w:r>
      <w:r>
        <w:rPr>
          <w:rFonts w:hint="eastAsia" w:ascii="宋体" w:hAnsi="宋体" w:eastAsia="宋体" w:cs="宋体"/>
          <w:color w:val="000000"/>
          <w:kern w:val="0"/>
          <w:sz w:val="24"/>
          <w:shd w:val="clear" w:color="auto" w:fill="FFFFFF"/>
        </w:rPr>
        <w:t>　国有资产占有单位，资产评估机构违反《办法》和本细则规定，弄虚作假，造成评估结果失实的，国有资产管理行政主管部门有权宣布资产评估结果无效，并根据失实的程度，责令限期改正或重新进行评估。重新评估的费用由违法单位支付。</w:t>
      </w:r>
    </w:p>
    <w:p w14:paraId="2D534DCE">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Arial" w:hAnsi="Arial" w:eastAsia="宋体" w:cs="Arial"/>
          <w:b/>
          <w:bCs/>
          <w:kern w:val="0"/>
          <w:sz w:val="24"/>
        </w:rPr>
        <w:t>第五十四条</w:t>
      </w:r>
      <w:r>
        <w:rPr>
          <w:rFonts w:hint="eastAsia" w:ascii="宋体" w:hAnsi="宋体" w:eastAsia="宋体" w:cs="宋体"/>
          <w:color w:val="000000"/>
          <w:kern w:val="0"/>
          <w:sz w:val="24"/>
          <w:shd w:val="clear" w:color="auto" w:fill="FFFFFF"/>
        </w:rPr>
        <w:t>　资产评估机构应对其评估结果的客观、公正、真实性承担法律责任。</w:t>
      </w:r>
    </w:p>
    <w:p w14:paraId="5275886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资产评估机构违反《办法》及详细规定，除按《办法》三十二条规定处罚外，还应没收违法收入，并视违法行为的情节轻重，对单位处以评估费用两倍以内、对个人处以三个月基本工资以内的罚款。也可给予通报批评或建议有关单位给予相应的行政处分。以上处罚可以并处。</w:t>
      </w:r>
    </w:p>
    <w:p w14:paraId="4DAA5B7E">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Arial" w:hAnsi="Arial" w:eastAsia="宋体" w:cs="Arial"/>
          <w:b/>
          <w:bCs/>
          <w:kern w:val="0"/>
          <w:sz w:val="24"/>
        </w:rPr>
        <w:t>第五十五条</w:t>
      </w:r>
      <w:r>
        <w:rPr>
          <w:rFonts w:hint="eastAsia" w:ascii="宋体" w:hAnsi="宋体" w:eastAsia="宋体" w:cs="宋体"/>
          <w:color w:val="000000"/>
          <w:kern w:val="0"/>
          <w:sz w:val="24"/>
          <w:shd w:val="clear" w:color="auto" w:fill="FFFFFF"/>
        </w:rPr>
        <w:t>　被处以停业整顿的资产评估机构，在停业整顿期间不得承接资产评估业务。停业整顿期限不得少于三个月。停业整顿的资产评估机构经原颁发资产评估资格证书的国有资产管理行政主管部门审查合格后方可重新开展资产评估业务。</w:t>
      </w:r>
    </w:p>
    <w:p w14:paraId="461C5E9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被吊销资产评估资格证书的资产评估机构，两年内不得重新发给资产评估资格证书。两年期满后，需按审批程序重新申请。</w:t>
      </w:r>
    </w:p>
    <w:p w14:paraId="50E7D5BC">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Arial" w:hAnsi="Arial" w:eastAsia="宋体" w:cs="Arial"/>
          <w:b/>
          <w:bCs/>
          <w:kern w:val="0"/>
          <w:sz w:val="24"/>
        </w:rPr>
        <w:t>第五十六条</w:t>
      </w:r>
      <w:r>
        <w:rPr>
          <w:rFonts w:hint="eastAsia" w:ascii="宋体" w:hAnsi="宋体" w:eastAsia="宋体" w:cs="宋体"/>
          <w:color w:val="000000"/>
          <w:kern w:val="0"/>
          <w:sz w:val="24"/>
          <w:shd w:val="clear" w:color="auto" w:fill="FFFFFF"/>
        </w:rPr>
        <w:t>　对国有资产占有单位及其责任人的罚款，由同级国有资产管理行政主管部门执行。对责任人的行政处分由同级国有资产管理行政主管部门提出建议，提请有关单位或其上级主管部门处理。</w:t>
      </w:r>
    </w:p>
    <w:p w14:paraId="6846466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对资产评估机构的警告、停业整顿，吊销资产评估资格证书以及罚款，由颁发资产评估资格证书的国有资产管理行政主管部门执行。对直接责任人的处分，由发证机关提出建议，提请有关部门处理。</w:t>
      </w:r>
    </w:p>
    <w:p w14:paraId="797D4258">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Arial" w:hAnsi="Arial" w:eastAsia="宋体" w:cs="Arial"/>
          <w:b/>
          <w:bCs/>
          <w:kern w:val="0"/>
          <w:sz w:val="24"/>
        </w:rPr>
        <w:t>第五十七条</w:t>
      </w:r>
      <w:r>
        <w:rPr>
          <w:rFonts w:hint="eastAsia" w:ascii="宋体" w:hAnsi="宋体" w:eastAsia="宋体" w:cs="宋体"/>
          <w:color w:val="000000"/>
          <w:kern w:val="0"/>
          <w:sz w:val="24"/>
          <w:shd w:val="clear" w:color="auto" w:fill="FFFFFF"/>
        </w:rPr>
        <w:t>　国有资产管理行政主管部门及受委托的部门对所办理的资产评估立项审批和结果确认负有行政责任。对违反《办法》及本细则规定的工作人员，按《办法》第三十四条规定处理。</w:t>
      </w:r>
    </w:p>
    <w:p w14:paraId="7AB68B20">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Arial" w:hAnsi="Arial" w:eastAsia="宋体" w:cs="Arial"/>
          <w:b/>
          <w:bCs/>
          <w:kern w:val="0"/>
          <w:sz w:val="24"/>
        </w:rPr>
        <w:t>第五十八条</w:t>
      </w:r>
      <w:r>
        <w:rPr>
          <w:rFonts w:hint="eastAsia" w:ascii="宋体" w:hAnsi="宋体" w:eastAsia="宋体" w:cs="宋体"/>
          <w:color w:val="000000"/>
          <w:kern w:val="0"/>
          <w:sz w:val="24"/>
          <w:shd w:val="clear" w:color="auto" w:fill="FFFFFF"/>
        </w:rPr>
        <w:t>　国有资产管理行政主管部门收缴的罚款收入按国家有关规定上交国库。单位支付的罚款在企业留利、预算包干结余和预算外资金中列支，个人支付的罚款由本人负担。</w:t>
      </w:r>
    </w:p>
    <w:p w14:paraId="69F75160">
      <w:pPr>
        <w:shd w:val="clear" w:color="auto" w:fill="FFFFFF"/>
        <w:spacing w:line="440" w:lineRule="atLeast"/>
        <w:jc w:val="center"/>
        <w:rPr>
          <w:rFonts w:ascii="黑体" w:hAnsi="黑体" w:eastAsia="黑体" w:cs="黑体"/>
          <w:color w:val="000000"/>
          <w:kern w:val="0"/>
          <w:sz w:val="28"/>
          <w:szCs w:val="28"/>
          <w:shd w:val="clear" w:color="auto" w:fill="FFFFFF"/>
        </w:rPr>
      </w:pPr>
      <w:r>
        <w:rPr>
          <w:rFonts w:hint="eastAsia" w:ascii="黑体" w:hAnsi="黑体" w:eastAsia="黑体" w:cs="黑体"/>
          <w:color w:val="000000"/>
          <w:kern w:val="0"/>
          <w:sz w:val="28"/>
          <w:szCs w:val="28"/>
          <w:shd w:val="clear" w:color="auto" w:fill="FFFFFF"/>
        </w:rPr>
        <w:t>第八章　附则</w:t>
      </w:r>
    </w:p>
    <w:p w14:paraId="7277A4C0">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Arial" w:hAnsi="Arial" w:eastAsia="宋体" w:cs="Arial"/>
          <w:b/>
          <w:bCs/>
          <w:kern w:val="0"/>
          <w:sz w:val="24"/>
        </w:rPr>
        <w:t>第五十九条　</w:t>
      </w:r>
      <w:r>
        <w:rPr>
          <w:rFonts w:hint="eastAsia" w:ascii="宋体" w:hAnsi="宋体" w:eastAsia="宋体" w:cs="宋体"/>
          <w:color w:val="000000"/>
          <w:kern w:val="0"/>
          <w:sz w:val="24"/>
          <w:shd w:val="clear" w:color="auto" w:fill="FFFFFF"/>
        </w:rPr>
        <w:t>国有自然资源资产价值评估，应在国有资产管理行政主管部门管理下进行。其评估办法及实施细则由国家国有资产管理局会同有关部门共同制定，报国务院批准执行。</w:t>
      </w:r>
    </w:p>
    <w:p w14:paraId="3AD5BD44">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Arial" w:hAnsi="Arial" w:eastAsia="宋体" w:cs="Arial"/>
          <w:b/>
          <w:bCs/>
          <w:kern w:val="0"/>
          <w:sz w:val="24"/>
        </w:rPr>
        <w:t>第六十条</w:t>
      </w:r>
      <w:r>
        <w:rPr>
          <w:rFonts w:hint="eastAsia" w:ascii="宋体" w:hAnsi="宋体" w:eastAsia="宋体" w:cs="宋体"/>
          <w:color w:val="000000"/>
          <w:kern w:val="0"/>
          <w:sz w:val="24"/>
          <w:shd w:val="clear" w:color="auto" w:fill="FFFFFF"/>
        </w:rPr>
        <w:t>　资产评估涉及到企业、单位资金增减变动帐务处理和评估费用的开支渠道，按财政部有关规定执行。</w:t>
      </w:r>
    </w:p>
    <w:p w14:paraId="51E49DC6">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Arial" w:hAnsi="Arial" w:eastAsia="宋体" w:cs="Arial"/>
          <w:b/>
          <w:bCs/>
          <w:kern w:val="0"/>
          <w:sz w:val="24"/>
        </w:rPr>
        <w:t>第六十一条</w:t>
      </w:r>
      <w:r>
        <w:rPr>
          <w:rFonts w:hint="eastAsia" w:ascii="宋体" w:hAnsi="宋体" w:eastAsia="宋体" w:cs="宋体"/>
          <w:color w:val="000000"/>
          <w:kern w:val="0"/>
          <w:sz w:val="24"/>
          <w:shd w:val="clear" w:color="auto" w:fill="FFFFFF"/>
        </w:rPr>
        <w:t>　各地可根据《办法》和本细则制定具体实施办法，过去发布的有关资产评估的规定与《办法》和本细则相抵触的，均以《办法》和本细则的规定为准。</w:t>
      </w:r>
    </w:p>
    <w:p w14:paraId="2282BD76">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Arial" w:hAnsi="Arial" w:eastAsia="宋体" w:cs="Arial"/>
          <w:b/>
          <w:bCs/>
          <w:kern w:val="0"/>
          <w:sz w:val="24"/>
        </w:rPr>
        <w:t>第六十二条</w:t>
      </w:r>
      <w:r>
        <w:rPr>
          <w:rFonts w:hint="eastAsia" w:ascii="宋体" w:hAnsi="宋体" w:eastAsia="宋体" w:cs="宋体"/>
          <w:color w:val="000000"/>
          <w:kern w:val="0"/>
          <w:sz w:val="24"/>
          <w:shd w:val="clear" w:color="auto" w:fill="FFFFFF"/>
        </w:rPr>
        <w:t>　集体企业资产评估可参照《办法》和本细则规定办理。</w:t>
      </w:r>
    </w:p>
    <w:p w14:paraId="46E4CAFE">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Arial" w:hAnsi="Arial" w:eastAsia="宋体" w:cs="Arial"/>
          <w:b/>
          <w:bCs/>
          <w:kern w:val="0"/>
          <w:sz w:val="24"/>
        </w:rPr>
        <w:t>第六十三条</w:t>
      </w:r>
      <w:r>
        <w:rPr>
          <w:rFonts w:hint="eastAsia" w:ascii="宋体" w:hAnsi="宋体" w:eastAsia="宋体" w:cs="宋体"/>
          <w:color w:val="000000"/>
          <w:kern w:val="0"/>
          <w:sz w:val="24"/>
          <w:shd w:val="clear" w:color="auto" w:fill="FFFFFF"/>
        </w:rPr>
        <w:t>　本细则由国家国有资产管理局负责解释。</w:t>
      </w:r>
    </w:p>
    <w:p w14:paraId="3E082F3F">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Arial" w:hAnsi="Arial" w:eastAsia="宋体" w:cs="Arial"/>
          <w:b/>
          <w:bCs/>
          <w:kern w:val="0"/>
          <w:sz w:val="24"/>
        </w:rPr>
        <w:t>第六十四条</w:t>
      </w:r>
      <w:r>
        <w:rPr>
          <w:rFonts w:hint="eastAsia" w:ascii="宋体" w:hAnsi="宋体" w:eastAsia="宋体" w:cs="宋体"/>
          <w:color w:val="000000"/>
          <w:kern w:val="0"/>
          <w:sz w:val="24"/>
          <w:shd w:val="clear" w:color="auto" w:fill="FFFFFF"/>
        </w:rPr>
        <w:t>　本细则自发布之日起执行。</w:t>
      </w:r>
    </w:p>
    <w:p w14:paraId="1BF9DA0E">
      <w:pPr>
        <w:shd w:val="clear" w:color="auto" w:fill="FFFFFF"/>
        <w:spacing w:line="440" w:lineRule="atLeast"/>
        <w:ind w:firstLine="480" w:firstLineChars="200"/>
        <w:rPr>
          <w:rFonts w:ascii="宋体" w:hAnsi="宋体" w:eastAsia="宋体" w:cs="宋体"/>
          <w:color w:val="000000"/>
          <w:kern w:val="0"/>
          <w:sz w:val="24"/>
          <w:shd w:val="clear" w:color="auto" w:fill="FFFFFF"/>
        </w:rPr>
      </w:pPr>
    </w:p>
    <w:p w14:paraId="0D3E0CB6">
      <w:pPr>
        <w:shd w:val="clear" w:color="auto" w:fill="FFFFFF"/>
        <w:spacing w:line="440" w:lineRule="atLeast"/>
        <w:ind w:firstLine="480" w:firstLineChars="200"/>
        <w:rPr>
          <w:rFonts w:ascii="宋体" w:hAnsi="宋体" w:eastAsia="宋体" w:cs="宋体"/>
          <w:color w:val="000000"/>
          <w:kern w:val="0"/>
          <w:sz w:val="24"/>
          <w:shd w:val="clear" w:color="auto" w:fill="FFFFFF"/>
        </w:rPr>
      </w:pPr>
    </w:p>
    <w:p w14:paraId="1A4ACB16">
      <w:pPr>
        <w:shd w:val="clear" w:color="auto" w:fill="FFFFFF"/>
        <w:spacing w:line="440" w:lineRule="atLeast"/>
        <w:ind w:firstLine="480" w:firstLineChars="200"/>
        <w:rPr>
          <w:rFonts w:ascii="宋体" w:hAnsi="宋体" w:eastAsia="宋体" w:cs="宋体"/>
          <w:color w:val="000000"/>
          <w:kern w:val="0"/>
          <w:sz w:val="24"/>
          <w:shd w:val="clear" w:color="auto" w:fill="FFFFFF"/>
        </w:rPr>
      </w:pPr>
    </w:p>
    <w:p w14:paraId="18E1BEF2">
      <w:pPr>
        <w:shd w:val="clear" w:color="auto" w:fill="FFFFFF"/>
        <w:spacing w:line="440" w:lineRule="atLeast"/>
        <w:ind w:firstLine="480" w:firstLineChars="200"/>
        <w:rPr>
          <w:rFonts w:ascii="宋体" w:hAnsi="宋体" w:eastAsia="宋体" w:cs="宋体"/>
          <w:color w:val="000000"/>
          <w:kern w:val="0"/>
          <w:sz w:val="24"/>
          <w:shd w:val="clear" w:color="auto" w:fill="FFFFFF"/>
        </w:rPr>
      </w:pPr>
    </w:p>
    <w:p w14:paraId="39124A9A">
      <w:pPr>
        <w:shd w:val="clear" w:color="auto" w:fill="FFFFFF"/>
        <w:spacing w:line="440" w:lineRule="atLeast"/>
        <w:ind w:firstLine="480" w:firstLineChars="200"/>
        <w:rPr>
          <w:rFonts w:ascii="宋体" w:hAnsi="宋体" w:eastAsia="宋体" w:cs="宋体"/>
          <w:color w:val="000000"/>
          <w:kern w:val="0"/>
          <w:sz w:val="24"/>
          <w:shd w:val="clear" w:color="auto" w:fill="FFFFFF"/>
        </w:rPr>
      </w:pPr>
    </w:p>
    <w:p w14:paraId="26E4B124">
      <w:pPr>
        <w:shd w:val="clear" w:color="auto" w:fill="FFFFFF"/>
        <w:spacing w:line="440" w:lineRule="atLeast"/>
        <w:ind w:firstLine="480" w:firstLineChars="200"/>
        <w:rPr>
          <w:rFonts w:ascii="宋体" w:hAnsi="宋体" w:eastAsia="宋体" w:cs="宋体"/>
          <w:color w:val="000000"/>
          <w:kern w:val="0"/>
          <w:sz w:val="24"/>
          <w:shd w:val="clear" w:color="auto" w:fill="FFFFFF"/>
        </w:rPr>
      </w:pPr>
    </w:p>
    <w:p w14:paraId="13D94CF4">
      <w:pPr>
        <w:shd w:val="clear" w:color="auto" w:fill="FFFFFF"/>
        <w:spacing w:line="440" w:lineRule="atLeast"/>
        <w:ind w:firstLine="480" w:firstLineChars="200"/>
        <w:rPr>
          <w:rFonts w:ascii="宋体" w:hAnsi="宋体" w:eastAsia="宋体" w:cs="宋体"/>
          <w:color w:val="000000"/>
          <w:kern w:val="0"/>
          <w:sz w:val="24"/>
          <w:shd w:val="clear" w:color="auto" w:fill="FFFFFF"/>
        </w:rPr>
      </w:pPr>
    </w:p>
    <w:p w14:paraId="60749C46">
      <w:pPr>
        <w:shd w:val="clear" w:color="auto" w:fill="FFFFFF"/>
        <w:spacing w:line="440" w:lineRule="atLeast"/>
        <w:ind w:firstLine="480" w:firstLineChars="200"/>
        <w:rPr>
          <w:rFonts w:ascii="宋体" w:hAnsi="宋体" w:eastAsia="宋体" w:cs="宋体"/>
          <w:color w:val="000000"/>
          <w:kern w:val="0"/>
          <w:sz w:val="24"/>
          <w:shd w:val="clear" w:color="auto" w:fill="FFFFFF"/>
        </w:rPr>
      </w:pPr>
    </w:p>
    <w:p w14:paraId="347210E3">
      <w:pPr>
        <w:shd w:val="clear" w:color="auto" w:fill="FFFFFF"/>
        <w:spacing w:line="440" w:lineRule="atLeast"/>
        <w:ind w:firstLine="480" w:firstLineChars="200"/>
        <w:rPr>
          <w:rFonts w:ascii="宋体" w:hAnsi="宋体" w:eastAsia="宋体" w:cs="宋体"/>
          <w:color w:val="000000"/>
          <w:kern w:val="0"/>
          <w:sz w:val="24"/>
          <w:shd w:val="clear" w:color="auto" w:fill="FFFFFF"/>
        </w:rPr>
      </w:pPr>
    </w:p>
    <w:p w14:paraId="3E90A3FF">
      <w:pPr>
        <w:shd w:val="clear" w:color="auto" w:fill="FFFFFF"/>
        <w:spacing w:line="440" w:lineRule="atLeast"/>
        <w:ind w:firstLine="480" w:firstLineChars="200"/>
        <w:rPr>
          <w:rFonts w:ascii="宋体" w:hAnsi="宋体" w:eastAsia="宋体" w:cs="宋体"/>
          <w:color w:val="000000"/>
          <w:kern w:val="0"/>
          <w:sz w:val="24"/>
          <w:shd w:val="clear" w:color="auto" w:fill="FFFFFF"/>
        </w:rPr>
      </w:pPr>
    </w:p>
    <w:p w14:paraId="4900DC40">
      <w:pPr>
        <w:shd w:val="clear" w:color="auto" w:fill="FFFFFF"/>
        <w:spacing w:line="440" w:lineRule="atLeast"/>
        <w:ind w:firstLine="480" w:firstLineChars="200"/>
        <w:rPr>
          <w:rFonts w:ascii="宋体" w:hAnsi="宋体" w:eastAsia="宋体" w:cs="宋体"/>
          <w:color w:val="000000"/>
          <w:kern w:val="0"/>
          <w:sz w:val="24"/>
          <w:shd w:val="clear" w:color="auto" w:fill="FFFFFF"/>
        </w:rPr>
      </w:pPr>
    </w:p>
    <w:p w14:paraId="213E6001">
      <w:pPr>
        <w:shd w:val="clear" w:color="auto" w:fill="FFFFFF"/>
        <w:spacing w:line="440" w:lineRule="atLeast"/>
        <w:ind w:firstLine="480" w:firstLineChars="200"/>
        <w:rPr>
          <w:rFonts w:ascii="宋体" w:hAnsi="宋体" w:eastAsia="宋体" w:cs="宋体"/>
          <w:color w:val="000000"/>
          <w:kern w:val="0"/>
          <w:sz w:val="24"/>
          <w:shd w:val="clear" w:color="auto" w:fill="FFFFFF"/>
        </w:rPr>
      </w:pPr>
    </w:p>
    <w:p w14:paraId="383574C3">
      <w:pPr>
        <w:shd w:val="clear" w:color="auto" w:fill="FFFFFF"/>
        <w:spacing w:line="440" w:lineRule="atLeast"/>
        <w:ind w:firstLine="480" w:firstLineChars="200"/>
        <w:rPr>
          <w:rFonts w:ascii="宋体" w:hAnsi="宋体" w:eastAsia="宋体" w:cs="宋体"/>
          <w:color w:val="000000"/>
          <w:kern w:val="0"/>
          <w:sz w:val="24"/>
          <w:shd w:val="clear" w:color="auto" w:fill="FFFFFF"/>
        </w:rPr>
      </w:pPr>
    </w:p>
    <w:p w14:paraId="116135C9">
      <w:pPr>
        <w:shd w:val="clear" w:color="auto" w:fill="FFFFFF"/>
        <w:spacing w:line="440" w:lineRule="atLeast"/>
        <w:ind w:firstLine="480" w:firstLineChars="200"/>
        <w:rPr>
          <w:rFonts w:ascii="宋体" w:hAnsi="宋体" w:eastAsia="宋体" w:cs="宋体"/>
          <w:color w:val="000000"/>
          <w:kern w:val="0"/>
          <w:sz w:val="24"/>
          <w:shd w:val="clear" w:color="auto" w:fill="FFFFFF"/>
        </w:rPr>
      </w:pPr>
    </w:p>
    <w:p w14:paraId="091AD36B">
      <w:pPr>
        <w:shd w:val="clear" w:color="auto" w:fill="FFFFFF"/>
        <w:spacing w:line="440" w:lineRule="atLeast"/>
        <w:ind w:firstLine="480" w:firstLineChars="200"/>
        <w:rPr>
          <w:rFonts w:ascii="宋体" w:hAnsi="宋体" w:eastAsia="宋体" w:cs="宋体"/>
          <w:color w:val="000000"/>
          <w:kern w:val="0"/>
          <w:sz w:val="24"/>
          <w:shd w:val="clear" w:color="auto" w:fill="FFFFFF"/>
        </w:rPr>
      </w:pPr>
    </w:p>
    <w:p w14:paraId="4CAC3A32">
      <w:pPr>
        <w:shd w:val="clear" w:color="auto" w:fill="FFFFFF"/>
        <w:spacing w:line="440" w:lineRule="atLeast"/>
        <w:ind w:firstLine="480" w:firstLineChars="200"/>
        <w:rPr>
          <w:rFonts w:ascii="宋体" w:hAnsi="宋体" w:eastAsia="宋体" w:cs="宋体"/>
          <w:color w:val="000000"/>
          <w:kern w:val="0"/>
          <w:sz w:val="24"/>
          <w:shd w:val="clear" w:color="auto" w:fill="FFFFFF"/>
        </w:rPr>
      </w:pPr>
    </w:p>
    <w:p w14:paraId="183047E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br w:type="page"/>
      </w:r>
    </w:p>
    <w:p w14:paraId="3A2ED735">
      <w:pPr>
        <w:pStyle w:val="5"/>
        <w:spacing w:line="440" w:lineRule="atLeast"/>
        <w:jc w:val="center"/>
        <w:rPr>
          <w:rFonts w:ascii="宋体" w:hAnsi="宋体" w:eastAsia="宋体" w:cs="宋体"/>
        </w:rPr>
      </w:pPr>
      <w:bookmarkStart w:id="6" w:name="_Toc1497"/>
      <w:r>
        <w:rPr>
          <w:rFonts w:hint="eastAsia" w:ascii="宋体" w:hAnsi="宋体" w:eastAsia="宋体" w:cs="宋体"/>
        </w:rPr>
        <w:t>国务院办公厅转发财政部关于加强和</w:t>
      </w:r>
      <w:bookmarkEnd w:id="6"/>
    </w:p>
    <w:p w14:paraId="6D7E328B">
      <w:pPr>
        <w:pStyle w:val="5"/>
        <w:spacing w:line="440" w:lineRule="atLeast"/>
        <w:jc w:val="center"/>
        <w:rPr>
          <w:rFonts w:ascii="宋体" w:hAnsi="宋体" w:eastAsia="宋体" w:cs="宋体"/>
        </w:rPr>
      </w:pPr>
      <w:bookmarkStart w:id="7" w:name="_Toc3448"/>
      <w:r>
        <w:rPr>
          <w:rFonts w:hint="eastAsia" w:ascii="宋体" w:hAnsi="宋体" w:eastAsia="宋体" w:cs="宋体"/>
        </w:rPr>
        <w:t>规范评估行业管理意见的通知</w:t>
      </w:r>
      <w:bookmarkEnd w:id="7"/>
    </w:p>
    <w:p w14:paraId="7A463AC0">
      <w:pPr>
        <w:shd w:val="clear" w:color="auto" w:fill="FFFFFF"/>
        <w:spacing w:line="440" w:lineRule="atLeast"/>
        <w:ind w:firstLine="480" w:firstLineChars="200"/>
        <w:jc w:val="center"/>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国办发〔2003〕101号</w:t>
      </w:r>
    </w:p>
    <w:p w14:paraId="2122E45C">
      <w:pPr>
        <w:shd w:val="clear" w:color="auto" w:fill="FFFFFF"/>
        <w:spacing w:line="440" w:lineRule="atLeast"/>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各省、自治区、直辖市人民政府，国务院各部委、各直属机构：</w:t>
      </w:r>
    </w:p>
    <w:p w14:paraId="7D32DAC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财政部《关于加强和规范评估行业管理的意见》已经国务院同意，现转发给你们，请认真贯彻执行。</w:t>
      </w:r>
    </w:p>
    <w:p w14:paraId="345E373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　　　　　　　　　　　　　　　　　　　　　　　　　国务院办公厅</w:t>
      </w:r>
    </w:p>
    <w:p w14:paraId="488065A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　　　　　　　　　　　　　　　　　　　　　二○○三年十二月十九日</w:t>
      </w:r>
    </w:p>
    <w:p w14:paraId="2B79456A">
      <w:pPr>
        <w:shd w:val="clear" w:color="auto" w:fill="FFFFFF"/>
        <w:spacing w:line="440" w:lineRule="atLeast"/>
        <w:ind w:firstLine="480" w:firstLineChars="200"/>
        <w:rPr>
          <w:rFonts w:ascii="宋体" w:hAnsi="宋体" w:eastAsia="宋体" w:cs="宋体"/>
          <w:color w:val="000000"/>
          <w:kern w:val="0"/>
          <w:sz w:val="24"/>
          <w:shd w:val="clear" w:color="auto" w:fill="FFFFFF"/>
        </w:rPr>
      </w:pPr>
    </w:p>
    <w:p w14:paraId="184FAD02">
      <w:pPr>
        <w:shd w:val="clear" w:color="auto" w:fill="FFFFFF"/>
        <w:spacing w:line="440" w:lineRule="atLeast"/>
        <w:jc w:val="center"/>
        <w:rPr>
          <w:b/>
          <w:sz w:val="32"/>
        </w:rPr>
      </w:pPr>
      <w:r>
        <w:rPr>
          <w:rFonts w:hint="eastAsia"/>
          <w:b/>
          <w:sz w:val="32"/>
        </w:rPr>
        <w:t>关于加强和规范评估行业管理的意见</w:t>
      </w:r>
    </w:p>
    <w:p w14:paraId="3F822898">
      <w:pPr>
        <w:shd w:val="clear" w:color="auto" w:fill="FFFFFF"/>
        <w:spacing w:line="440" w:lineRule="atLeast"/>
        <w:ind w:firstLine="480" w:firstLineChars="200"/>
        <w:jc w:val="center"/>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（财政部　二○○三年十二月十日）</w:t>
      </w:r>
    </w:p>
    <w:p w14:paraId="3AE58DD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根据《国务院办公厅关于清理整顿经济鉴证类社会中介机构的通知》（国办发〔1999〕92号）精神，经深入调查研究和广泛征求意见，现就加强和规范评估行业管理问题，提出如下意见。</w:t>
      </w:r>
    </w:p>
    <w:p w14:paraId="0A40986E">
      <w:pPr>
        <w:shd w:val="clear" w:color="auto" w:fill="FFFFFF"/>
        <w:spacing w:line="440" w:lineRule="atLeast"/>
        <w:ind w:firstLine="482" w:firstLineChars="200"/>
        <w:rPr>
          <w:rFonts w:ascii="宋体" w:hAnsi="宋体" w:eastAsia="宋体" w:cs="宋体"/>
          <w:b/>
          <w:bCs/>
          <w:color w:val="000000"/>
          <w:kern w:val="0"/>
          <w:sz w:val="24"/>
          <w:shd w:val="clear" w:color="auto" w:fill="FFFFFF"/>
        </w:rPr>
      </w:pPr>
      <w:r>
        <w:rPr>
          <w:rFonts w:hint="eastAsia" w:ascii="宋体" w:hAnsi="宋体" w:eastAsia="宋体" w:cs="宋体"/>
          <w:b/>
          <w:bCs/>
          <w:color w:val="000000"/>
          <w:kern w:val="0"/>
          <w:sz w:val="24"/>
          <w:shd w:val="clear" w:color="auto" w:fill="FFFFFF"/>
        </w:rPr>
        <w:t>一、评估行业的发展情况及存在的主要问题</w:t>
      </w:r>
    </w:p>
    <w:p w14:paraId="3233A0E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随着社会主义市场经济的发展，近年来我国评估行业得到了快速发展。执业队伍不断扩大，各类评估执业准则和管理制度不断完善，服务领域和对象不断拓宽，国际间评估业务的交流与合作进一步加强。截止到2002年底，全国共拥有具备各类评估执业资格的人员近8万人。评估中介服务已成为企业改制、资产重组、中外合资与合作、产权交易，以及出租、抵押、保险等重大经济活动的基础，为促进社会主义市场经济的发展，发挥了积极作用。</w:t>
      </w:r>
    </w:p>
    <w:p w14:paraId="6E4684C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由于社会主义市场经济尚处于不断发育和完善的过程，评估中介服务作为特殊的新兴服务行业，目前还存在许多问题。</w:t>
      </w:r>
    </w:p>
    <w:p w14:paraId="2BACA00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是相关法律法规不健全，对各类专业评估管理缺乏统一的法律基础。由于我国目前尚未制定出有关评估行业管理的法律法规，对各类专业评估进行规范管理无法可依，对相关政府部门、评估行业协会、评估中介机构以及评估师的职责，缺乏必要和统一的法律约束。实际工作中，有关主管部门只能通过制定一般规范性文件，对各自归口管理的专业评估事务进行管理。</w:t>
      </w:r>
    </w:p>
    <w:p w14:paraId="5EAEF27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二是政府行政性管理和行业自律性管理不到位。有的部门没有认真履行行政管理的职责，有的评估专业尚未建立行业自律性组织。对评估机构及执业人员的执业资质、执业行为和执业质量，缺乏有效的监管。</w:t>
      </w:r>
    </w:p>
    <w:p w14:paraId="7419605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三是执业技术规范和职业道德标准建设滞后。目前我国评估专业的执业技术标准和职业道德规范建设严重滞后，不能满足评估业务发展的客观需要，一定程度上影响了评估行业的健康发展。</w:t>
      </w:r>
    </w:p>
    <w:p w14:paraId="1363282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是不同评估专业之间缺乏沟通、协调与合作。各类评估专业之间有着密切的业务联系，需要相互沟通、协调与合作。但在实际工作中，各评估专业之间缺乏必要联系，影响各类评估专业执业资质、执业资格和执业技术规范等制度建设的协调发展。</w:t>
      </w:r>
    </w:p>
    <w:p w14:paraId="2FB91FCD">
      <w:pPr>
        <w:shd w:val="clear" w:color="auto" w:fill="FFFFFF"/>
        <w:spacing w:line="440" w:lineRule="atLeast"/>
        <w:ind w:firstLine="482" w:firstLineChars="200"/>
        <w:rPr>
          <w:rFonts w:ascii="宋体" w:hAnsi="宋体" w:eastAsia="宋体" w:cs="宋体"/>
          <w:b/>
          <w:bCs/>
          <w:color w:val="000000"/>
          <w:kern w:val="0"/>
          <w:sz w:val="24"/>
          <w:shd w:val="clear" w:color="auto" w:fill="FFFFFF"/>
        </w:rPr>
      </w:pPr>
      <w:r>
        <w:rPr>
          <w:rFonts w:hint="eastAsia" w:ascii="宋体" w:hAnsi="宋体" w:eastAsia="宋体" w:cs="宋体"/>
          <w:b/>
          <w:bCs/>
          <w:color w:val="000000"/>
          <w:kern w:val="0"/>
          <w:sz w:val="24"/>
          <w:shd w:val="clear" w:color="auto" w:fill="FFFFFF"/>
        </w:rPr>
        <w:t>二、规范评估行业管理的基本原则</w:t>
      </w:r>
    </w:p>
    <w:p w14:paraId="3227C2D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根据党的十六届三中全会提出的积极发展独立公正、规范运作的专业化市场中介服务机构，按市场化原则规范和发展各类行业协会等自律性组织的要求，以及深化行政审批制度改革的有关精神，规范评估行业管理应当坚持以下原则：</w:t>
      </w:r>
    </w:p>
    <w:p w14:paraId="1329EFF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（一）科学设置评估专业资格种类，以适应不同评估业务特点和执业资质的要求，满足市场的客观需求。</w:t>
      </w:r>
    </w:p>
    <w:p w14:paraId="250D10E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（二）明确政府职能部门和行业协会的职责，建立规范的评估行业管理机制，强化评估行业行政管理和行业自律管理。</w:t>
      </w:r>
    </w:p>
    <w:p w14:paraId="16E0C8D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（三）建立不同评估专业协会之间沟通、协调与合作机制，推动整个评估行业的健康、协调发展。</w:t>
      </w:r>
    </w:p>
    <w:p w14:paraId="670C13FA">
      <w:pPr>
        <w:shd w:val="clear" w:color="auto" w:fill="FFFFFF"/>
        <w:spacing w:line="440" w:lineRule="atLeast"/>
        <w:ind w:firstLine="482" w:firstLineChars="200"/>
        <w:rPr>
          <w:rFonts w:ascii="宋体" w:hAnsi="宋体" w:eastAsia="宋体" w:cs="宋体"/>
          <w:b/>
          <w:bCs/>
          <w:color w:val="000000"/>
          <w:kern w:val="0"/>
          <w:sz w:val="24"/>
          <w:shd w:val="clear" w:color="auto" w:fill="FFFFFF"/>
        </w:rPr>
      </w:pPr>
      <w:r>
        <w:rPr>
          <w:rFonts w:hint="eastAsia" w:ascii="宋体" w:hAnsi="宋体" w:eastAsia="宋体" w:cs="宋体"/>
          <w:b/>
          <w:bCs/>
          <w:color w:val="000000"/>
          <w:kern w:val="0"/>
          <w:sz w:val="24"/>
          <w:shd w:val="clear" w:color="auto" w:fill="FFFFFF"/>
        </w:rPr>
        <w:t>三、加强和规范评估行业管理的具体措施</w:t>
      </w:r>
    </w:p>
    <w:p w14:paraId="300AF8D9">
      <w:pPr>
        <w:shd w:val="clear" w:color="auto" w:fill="FFFFFF"/>
        <w:spacing w:line="440" w:lineRule="atLeast"/>
        <w:ind w:firstLine="480" w:firstLineChars="200"/>
        <w:rPr>
          <w:rFonts w:ascii="楷体" w:hAnsi="楷体" w:eastAsia="楷体" w:cs="楷体"/>
          <w:color w:val="000000"/>
          <w:kern w:val="0"/>
          <w:sz w:val="24"/>
          <w:shd w:val="clear" w:color="auto" w:fill="FFFFFF"/>
        </w:rPr>
      </w:pPr>
      <w:r>
        <w:rPr>
          <w:rFonts w:hint="eastAsia" w:ascii="楷体" w:hAnsi="楷体" w:eastAsia="楷体" w:cs="楷体"/>
          <w:color w:val="000000"/>
          <w:kern w:val="0"/>
          <w:sz w:val="24"/>
          <w:shd w:val="clear" w:color="auto" w:fill="FFFFFF"/>
        </w:rPr>
        <w:t>（一）严格评估专业资格设置管理。</w:t>
      </w:r>
    </w:p>
    <w:p w14:paraId="03921B2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根据目前我国社会主义市场经济发展的客观需要，设置注册资产评估师、注册房地产估价师、土地估价师、矿业权评估师、保险公估从业人员和旧机动车鉴定估价师等六类资产评估专业资格。</w:t>
      </w:r>
    </w:p>
    <w:p w14:paraId="322A945C">
      <w:pPr>
        <w:shd w:val="clear" w:color="auto" w:fill="FFFFFF"/>
        <w:spacing w:line="440" w:lineRule="atLeast"/>
        <w:ind w:firstLine="480" w:firstLineChars="200"/>
        <w:rPr>
          <w:rFonts w:ascii="楷体" w:hAnsi="楷体" w:eastAsia="楷体" w:cs="楷体"/>
          <w:color w:val="000000"/>
          <w:kern w:val="0"/>
          <w:sz w:val="24"/>
          <w:shd w:val="clear" w:color="auto" w:fill="FFFFFF"/>
        </w:rPr>
      </w:pPr>
      <w:r>
        <w:rPr>
          <w:rFonts w:hint="eastAsia" w:ascii="楷体" w:hAnsi="楷体" w:eastAsia="楷体" w:cs="楷体"/>
          <w:color w:val="000000"/>
          <w:kern w:val="0"/>
          <w:sz w:val="24"/>
          <w:shd w:val="clear" w:color="auto" w:fill="FFFFFF"/>
        </w:rPr>
        <w:t>（二）切实改进和加强评估行业行政和自律性管理。</w:t>
      </w:r>
    </w:p>
    <w:p w14:paraId="5F46ACF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评估行业行政主管部门，要依据国务院批准的“三定”规定规定的职能，以及国家有关加强评估中介服务管理的要求，认真履行职责，切实改进和加强评估中介服务的行政管理。认真做好制定评估行业管理的规章制度，监督评估机构和从业人员的执业情况，指导和监督评估行业协会等工作。</w:t>
      </w:r>
    </w:p>
    <w:p w14:paraId="79B5286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评估行业协会要切实改进对评估机构及执业人员自律性管理，拟定并组织实施评估执业准则和职业道德准则，加强各项自律性管理制度的建设，组织开展对评估机构和执业人员执业质量的监督检查，大力推动评估行业诚信建设，建立完善有效的行业自律性管理约束机制，对违反评估执业准则和职业道德准则的机构和人员进行处罚。尚未成立评估师协会的评估专业，有关主管部门要依据有关程序抓紧组建。</w:t>
      </w:r>
    </w:p>
    <w:p w14:paraId="6FFA227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各类评估机构及评估执业人员，要认真执行国家有关法律法规和各项规章制度，依法从事评估业务。严格遵守评估执业准则和各项行业自律性管理制度，诚信执业，客观、公正地提供评估中介服务。</w:t>
      </w:r>
    </w:p>
    <w:p w14:paraId="12966AE1">
      <w:pPr>
        <w:shd w:val="clear" w:color="auto" w:fill="FFFFFF"/>
        <w:spacing w:line="440" w:lineRule="atLeast"/>
        <w:ind w:firstLine="480" w:firstLineChars="200"/>
        <w:rPr>
          <w:rFonts w:ascii="楷体" w:hAnsi="楷体" w:eastAsia="楷体" w:cs="楷体"/>
          <w:color w:val="000000"/>
          <w:kern w:val="0"/>
          <w:sz w:val="24"/>
          <w:shd w:val="clear" w:color="auto" w:fill="FFFFFF"/>
        </w:rPr>
      </w:pPr>
      <w:r>
        <w:rPr>
          <w:rFonts w:hint="eastAsia" w:ascii="楷体" w:hAnsi="楷体" w:eastAsia="楷体" w:cs="楷体"/>
          <w:color w:val="000000"/>
          <w:kern w:val="0"/>
          <w:sz w:val="24"/>
          <w:shd w:val="clear" w:color="auto" w:fill="FFFFFF"/>
        </w:rPr>
        <w:t>（三）建立评估行业协会联席会议制度，改进和加强各评估协会之间的沟通、协调与合作。</w:t>
      </w:r>
    </w:p>
    <w:p w14:paraId="477BC38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为了有利于各评估专业的沟通、协调与合作，促进我国评估行业的协调发展，本着自愿的原则，由行业协会自主协商，建立评估行业协会联席会议制度。联席会议主要负责研究提出我国评估行业改革和发展的意见和建议，研究提出规范评估执业人员执业行为的道德准则，协调各专业的评估执业准则和执业规则，研究提出加强评估行业自律性管理的意见和建议，参与评估行业法律法规的研究草拟工作等。</w:t>
      </w:r>
    </w:p>
    <w:p w14:paraId="6682623D">
      <w:pPr>
        <w:shd w:val="clear" w:color="auto" w:fill="FFFFFF"/>
        <w:spacing w:line="440" w:lineRule="atLeast"/>
        <w:ind w:firstLine="480" w:firstLineChars="200"/>
        <w:rPr>
          <w:rFonts w:ascii="楷体" w:hAnsi="楷体" w:eastAsia="楷体" w:cs="楷体"/>
          <w:color w:val="000000"/>
          <w:kern w:val="0"/>
          <w:sz w:val="24"/>
          <w:shd w:val="clear" w:color="auto" w:fill="FFFFFF"/>
        </w:rPr>
      </w:pPr>
      <w:r>
        <w:rPr>
          <w:rFonts w:hint="eastAsia" w:ascii="楷体" w:hAnsi="楷体" w:eastAsia="楷体" w:cs="楷体"/>
          <w:color w:val="000000"/>
          <w:kern w:val="0"/>
          <w:sz w:val="24"/>
          <w:shd w:val="clear" w:color="auto" w:fill="FFFFFF"/>
        </w:rPr>
        <w:t>（四）抓紧研究制定《评估行业管理条例》。</w:t>
      </w:r>
    </w:p>
    <w:p w14:paraId="7924E49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为依法规范评估行业的管理，促进我国评估行业的健康发展，要在总结国内外评估行业发展经验的基础上，抓紧研究制定《评估行业管理条例》。《评估行业管理条例》应明确评估师的权利、义务和承担的法律责任，明确评估中介机构的资质要求和管理方式，明确行政主管部门对评估行业的管理职责，以及评估行业协会的行业自律管理要求。</w:t>
      </w:r>
    </w:p>
    <w:p w14:paraId="45C5E022">
      <w:pPr>
        <w:shd w:val="clear" w:color="auto" w:fill="FFFFFF"/>
        <w:spacing w:line="440" w:lineRule="atLeast"/>
        <w:ind w:firstLine="480" w:firstLineChars="200"/>
        <w:rPr>
          <w:rFonts w:ascii="楷体" w:hAnsi="楷体" w:eastAsia="楷体" w:cs="楷体"/>
          <w:color w:val="000000"/>
          <w:kern w:val="0"/>
          <w:sz w:val="24"/>
          <w:shd w:val="clear" w:color="auto" w:fill="FFFFFF"/>
        </w:rPr>
      </w:pPr>
      <w:r>
        <w:rPr>
          <w:rFonts w:hint="eastAsia" w:ascii="楷体" w:hAnsi="楷体" w:eastAsia="楷体" w:cs="楷体"/>
          <w:color w:val="000000"/>
          <w:kern w:val="0"/>
          <w:sz w:val="24"/>
          <w:shd w:val="clear" w:color="auto" w:fill="FFFFFF"/>
        </w:rPr>
        <w:t>（五）组织开展一次评估中介机构及相关执业人员执业质量的全面检查。</w:t>
      </w:r>
    </w:p>
    <w:p w14:paraId="34CDABF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2004年6月底以前，各有关主管部门要会同相关评估行业协会，对评估行业开展一次全面检查。检查的重点是评估机构及评估执业人员的执业资质和执业质量，评估机构是否彻底脱钩改制。对不具备执业资质条件，或有严重违反有关执业准则和职业道德规范行为的，要依法取消其执业资格。</w:t>
      </w:r>
    </w:p>
    <w:p w14:paraId="0B8F7C0C">
      <w:pPr>
        <w:shd w:val="clear" w:color="auto" w:fill="FFFFFF"/>
        <w:spacing w:line="440" w:lineRule="atLeast"/>
        <w:ind w:firstLine="480" w:firstLineChars="200"/>
        <w:rPr>
          <w:rFonts w:ascii="黑体" w:hAnsi="黑体" w:eastAsia="黑体" w:cs="黑体"/>
          <w:color w:val="000000"/>
          <w:kern w:val="0"/>
          <w:sz w:val="24"/>
          <w:shd w:val="clear" w:color="auto" w:fill="FFFFFF"/>
        </w:rPr>
      </w:pPr>
      <w:r>
        <w:rPr>
          <w:rFonts w:hint="eastAsia" w:ascii="黑体" w:hAnsi="黑体" w:eastAsia="黑体" w:cs="黑体"/>
          <w:color w:val="000000"/>
          <w:kern w:val="0"/>
          <w:sz w:val="24"/>
          <w:shd w:val="clear" w:color="auto" w:fill="FFFFFF"/>
        </w:rPr>
        <w:t>四、组织实施</w:t>
      </w:r>
    </w:p>
    <w:p w14:paraId="46C8923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各有关主管部门要根据党的十六届三中全会精神，按照上述意见要求，认真组织做好相关工作。2004年8月底之前，财政部要将有关整顿、规范和检查情况汇总后报国务院。</w:t>
      </w:r>
    </w:p>
    <w:p w14:paraId="43BCFD95">
      <w:pPr>
        <w:shd w:val="clear" w:color="auto" w:fill="FFFFFF"/>
        <w:spacing w:line="440" w:lineRule="atLeast"/>
        <w:ind w:firstLine="480" w:firstLineChars="200"/>
        <w:rPr>
          <w:rFonts w:ascii="宋体" w:hAnsi="宋体" w:eastAsia="宋体" w:cs="宋体"/>
          <w:color w:val="000000"/>
          <w:kern w:val="0"/>
          <w:sz w:val="24"/>
          <w:shd w:val="clear" w:color="auto" w:fill="FFFFFF"/>
        </w:rPr>
      </w:pPr>
    </w:p>
    <w:p w14:paraId="202951DB">
      <w:pPr>
        <w:shd w:val="clear" w:color="auto" w:fill="FFFFFF"/>
        <w:spacing w:line="440" w:lineRule="atLeast"/>
        <w:ind w:firstLine="480" w:firstLineChars="200"/>
        <w:rPr>
          <w:rFonts w:ascii="宋体" w:hAnsi="宋体" w:eastAsia="宋体" w:cs="宋体"/>
          <w:color w:val="000000"/>
          <w:kern w:val="0"/>
          <w:sz w:val="24"/>
          <w:shd w:val="clear" w:color="auto" w:fill="FFFFFF"/>
        </w:rPr>
      </w:pPr>
    </w:p>
    <w:p w14:paraId="6D16DD0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br w:type="page"/>
      </w:r>
    </w:p>
    <w:p w14:paraId="45967030">
      <w:pPr>
        <w:pStyle w:val="4"/>
        <w:spacing w:line="440" w:lineRule="atLeast"/>
        <w:jc w:val="center"/>
        <w:rPr>
          <w:rFonts w:ascii="黑体" w:hAnsi="黑体" w:cs="黑体"/>
          <w:shd w:val="clear" w:color="FFFFFF" w:fill="D9D9D9"/>
        </w:rPr>
      </w:pPr>
      <w:bookmarkStart w:id="8" w:name="_Toc23224"/>
      <w:r>
        <w:rPr>
          <w:rFonts w:hint="eastAsia" w:ascii="黑体" w:hAnsi="黑体" w:cs="黑体"/>
          <w:shd w:val="clear" w:color="FFFFFF" w:fill="D9D9D9"/>
        </w:rPr>
        <w:t>资产评估部门规章制度</w:t>
      </w:r>
      <w:bookmarkEnd w:id="8"/>
    </w:p>
    <w:p w14:paraId="7E79911E">
      <w:pPr>
        <w:pStyle w:val="5"/>
        <w:spacing w:line="440" w:lineRule="atLeast"/>
        <w:jc w:val="center"/>
        <w:rPr>
          <w:rFonts w:ascii="宋体" w:hAnsi="宋体" w:eastAsia="宋体" w:cs="宋体"/>
        </w:rPr>
      </w:pPr>
      <w:bookmarkStart w:id="9" w:name="_Toc11343"/>
      <w:r>
        <w:rPr>
          <w:rFonts w:hint="eastAsia" w:ascii="宋体" w:hAnsi="宋体" w:eastAsia="宋体" w:cs="宋体"/>
        </w:rPr>
        <w:t>国有资产评估管理若干问题的规定</w:t>
      </w:r>
      <w:bookmarkEnd w:id="9"/>
    </w:p>
    <w:p w14:paraId="0B55BDB1">
      <w:pPr>
        <w:shd w:val="clear" w:color="auto" w:fill="FFFFFF"/>
        <w:spacing w:line="440" w:lineRule="atLeast"/>
        <w:ind w:firstLine="480" w:firstLineChars="200"/>
        <w:jc w:val="center"/>
        <w:rPr>
          <w:rFonts w:ascii="宋体" w:hAnsi="宋体" w:eastAsia="宋体" w:cs="宋体"/>
          <w:b/>
          <w:color w:val="000000"/>
          <w:kern w:val="0"/>
          <w:sz w:val="24"/>
          <w:shd w:val="clear" w:color="auto" w:fill="FFFFFF"/>
        </w:rPr>
      </w:pPr>
      <w:r>
        <w:rPr>
          <w:rFonts w:hint="eastAsia" w:ascii="宋体" w:hAnsi="宋体" w:eastAsia="宋体" w:cs="宋体"/>
          <w:color w:val="000000"/>
          <w:kern w:val="0"/>
          <w:sz w:val="24"/>
          <w:shd w:val="clear" w:color="auto" w:fill="FFFFFF"/>
        </w:rPr>
        <w:t>2001年12月31日财政部发布　财政部令</w:t>
      </w:r>
      <w:r>
        <w:rPr>
          <w:rFonts w:hint="eastAsia" w:ascii="宋体" w:hAnsi="宋体" w:eastAsia="宋体" w:cs="宋体"/>
          <w:bCs/>
          <w:color w:val="000000"/>
          <w:kern w:val="0"/>
          <w:sz w:val="24"/>
          <w:shd w:val="clear" w:color="auto" w:fill="FFFFFF"/>
        </w:rPr>
        <w:t>第14号</w:t>
      </w:r>
    </w:p>
    <w:p w14:paraId="21947181">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第一条</w:t>
      </w:r>
      <w:r>
        <w:rPr>
          <w:rFonts w:hint="eastAsia" w:ascii="宋体" w:hAnsi="宋体" w:eastAsia="宋体" w:cs="宋体"/>
          <w:color w:val="000000"/>
          <w:kern w:val="0"/>
          <w:sz w:val="24"/>
          <w:shd w:val="clear" w:color="auto" w:fill="FFFFFF"/>
        </w:rPr>
        <w:t>　为了适应建立和完善现代企业制度的需要，规范经济结构调整中的国有资本运营行为，维护国有资产合法权益，根据《国有资产评估管理办法》（国务院令第91号）和《国务院办公厅转发财政部〈关于改革国有资产评估行政管理方式加强资产评估监督管理工作意见〉的通知》（国办发[2001]102号），制定本规定。</w:t>
      </w:r>
    </w:p>
    <w:p w14:paraId="0CA499B5">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第二条</w:t>
      </w:r>
      <w:r>
        <w:rPr>
          <w:rFonts w:hint="eastAsia" w:ascii="宋体" w:hAnsi="宋体" w:eastAsia="宋体" w:cs="宋体"/>
          <w:color w:val="000000"/>
          <w:kern w:val="0"/>
          <w:sz w:val="24"/>
          <w:shd w:val="clear" w:color="auto" w:fill="FFFFFF"/>
        </w:rPr>
        <w:t>　本规定适用于各类占有国有资产的企业和事业单位（以下简称占有单位）。</w:t>
      </w:r>
    </w:p>
    <w:p w14:paraId="32743E9A">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Arial" w:hAnsi="Arial" w:eastAsia="宋体" w:cs="Arial"/>
          <w:b/>
          <w:bCs/>
          <w:kern w:val="0"/>
          <w:sz w:val="24"/>
        </w:rPr>
        <w:t>第三条</w:t>
      </w:r>
      <w:r>
        <w:rPr>
          <w:rFonts w:hint="eastAsia" w:ascii="宋体" w:hAnsi="宋体" w:eastAsia="宋体" w:cs="宋体"/>
          <w:color w:val="000000"/>
          <w:kern w:val="0"/>
          <w:sz w:val="24"/>
          <w:shd w:val="clear" w:color="auto" w:fill="FFFFFF"/>
        </w:rPr>
        <w:t>　占有单位有下列行为之一的，应当对相关国有资产进行评估：</w:t>
      </w:r>
    </w:p>
    <w:p w14:paraId="64C0192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（一）整体或部分改建为有限责任公司或者股份有限公司；</w:t>
      </w:r>
    </w:p>
    <w:p w14:paraId="4CF1FE1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（二）以非货币资产对外投资；</w:t>
      </w:r>
    </w:p>
    <w:p w14:paraId="1C5DF9C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（三）合并、分立、清算；</w:t>
      </w:r>
    </w:p>
    <w:p w14:paraId="3F6939C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（四）除上市公司以外的原股东股权比例变动；</w:t>
      </w:r>
    </w:p>
    <w:p w14:paraId="19942D4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（五）除上市公司以外的整体或者部分产权（股权）转让；</w:t>
      </w:r>
    </w:p>
    <w:p w14:paraId="34049BF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（六）资产转让、置换、拍卖；</w:t>
      </w:r>
    </w:p>
    <w:p w14:paraId="74D0FAD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（七）整体资产或者部分资产租赁给非国有单位；</w:t>
      </w:r>
    </w:p>
    <w:p w14:paraId="1927535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（八）确定涉讼资产价值；</w:t>
      </w:r>
    </w:p>
    <w:p w14:paraId="178DF30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（九）法律、行政法规规定的其他需要进行评估的事项。</w:t>
      </w:r>
    </w:p>
    <w:p w14:paraId="51D9B70E">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Arial" w:hAnsi="Arial" w:eastAsia="宋体" w:cs="Arial"/>
          <w:b/>
          <w:bCs/>
          <w:kern w:val="0"/>
          <w:sz w:val="24"/>
        </w:rPr>
        <w:t>第四条</w:t>
      </w:r>
      <w:r>
        <w:rPr>
          <w:rFonts w:hint="eastAsia" w:ascii="宋体" w:hAnsi="宋体" w:eastAsia="宋体" w:cs="宋体"/>
          <w:color w:val="000000"/>
          <w:kern w:val="0"/>
          <w:sz w:val="24"/>
          <w:shd w:val="clear" w:color="auto" w:fill="FFFFFF"/>
        </w:rPr>
        <w:t>　占有单位有下列行为之一的，可以不进行资产评估：</w:t>
      </w:r>
    </w:p>
    <w:p w14:paraId="2041D54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（一）经各级人民政府及其授权部门批准，对整体企业或者部分资产实施无偿划转；</w:t>
      </w:r>
    </w:p>
    <w:p w14:paraId="203D174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（二）国有独资企业、行政事业单位下属的独资企业（事业单位）之间的合并、资产（产权）划转、置换和转让。</w:t>
      </w:r>
    </w:p>
    <w:p w14:paraId="6C8939E3">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Arial" w:hAnsi="Arial" w:eastAsia="宋体" w:cs="Arial"/>
          <w:b/>
          <w:bCs/>
          <w:kern w:val="0"/>
          <w:sz w:val="24"/>
        </w:rPr>
        <w:t>第五条</w:t>
      </w:r>
      <w:r>
        <w:rPr>
          <w:rFonts w:hint="eastAsia" w:ascii="宋体" w:hAnsi="宋体" w:eastAsia="宋体" w:cs="宋体"/>
          <w:color w:val="000000"/>
          <w:kern w:val="0"/>
          <w:sz w:val="24"/>
          <w:shd w:val="clear" w:color="auto" w:fill="FFFFFF"/>
        </w:rPr>
        <w:t>　占有单位有其他经济行为，当事人认为需要的，可以进行国有资产评估。</w:t>
      </w:r>
    </w:p>
    <w:p w14:paraId="621E3F3C">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Arial" w:hAnsi="Arial" w:eastAsia="宋体" w:cs="Arial"/>
          <w:b/>
          <w:bCs/>
          <w:kern w:val="0"/>
          <w:sz w:val="24"/>
        </w:rPr>
        <w:t>第六条</w:t>
      </w:r>
      <w:r>
        <w:rPr>
          <w:rFonts w:hint="eastAsia" w:ascii="宋体" w:hAnsi="宋体" w:eastAsia="宋体" w:cs="宋体"/>
          <w:color w:val="000000"/>
          <w:kern w:val="0"/>
          <w:sz w:val="24"/>
          <w:shd w:val="clear" w:color="auto" w:fill="FFFFFF"/>
        </w:rPr>
        <w:t>　占有单位有下列行为之一的，应当对相关非国有资产进行评估：</w:t>
      </w:r>
    </w:p>
    <w:p w14:paraId="4FA3EC2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（一）收购非国有资产；</w:t>
      </w:r>
    </w:p>
    <w:p w14:paraId="0C31791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（二）与非国有单位置换资产；</w:t>
      </w:r>
    </w:p>
    <w:p w14:paraId="6FF3480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（三）接受非国有单位以实物资产偿还债务。</w:t>
      </w:r>
    </w:p>
    <w:p w14:paraId="43B8A34F">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Arial" w:hAnsi="Arial" w:eastAsia="宋体" w:cs="Arial"/>
          <w:b/>
          <w:bCs/>
          <w:kern w:val="0"/>
          <w:sz w:val="24"/>
        </w:rPr>
        <w:t>第七条</w:t>
      </w:r>
      <w:r>
        <w:rPr>
          <w:rFonts w:hint="eastAsia" w:ascii="宋体" w:hAnsi="宋体" w:eastAsia="宋体" w:cs="宋体"/>
          <w:color w:val="000000"/>
          <w:kern w:val="0"/>
          <w:sz w:val="24"/>
          <w:shd w:val="clear" w:color="auto" w:fill="FFFFFF"/>
        </w:rPr>
        <w:t>　占有单位有本规定所列评估事项时，应当委托具有相应资质的评估机构进行评估。</w:t>
      </w:r>
    </w:p>
    <w:p w14:paraId="5124FEE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占有单位应当如实提供有关情况和资料，并对所提供的情况和资料的客观性、真实性和合法性负责，不得以任何形式干预评估机构独立执业。</w:t>
      </w:r>
    </w:p>
    <w:p w14:paraId="633F3D85">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Arial" w:hAnsi="Arial" w:eastAsia="宋体" w:cs="Arial"/>
          <w:b/>
          <w:bCs/>
          <w:kern w:val="0"/>
          <w:sz w:val="24"/>
        </w:rPr>
        <w:t>第八条</w:t>
      </w:r>
      <w:r>
        <w:rPr>
          <w:rFonts w:hint="eastAsia" w:ascii="宋体" w:hAnsi="宋体" w:eastAsia="宋体" w:cs="宋体"/>
          <w:color w:val="000000"/>
          <w:kern w:val="0"/>
          <w:sz w:val="24"/>
          <w:shd w:val="clear" w:color="auto" w:fill="FFFFFF"/>
        </w:rPr>
        <w:t>　国有资产评估项目实行核准制和备案制。</w:t>
      </w:r>
    </w:p>
    <w:p w14:paraId="0338DB05">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Arial" w:hAnsi="Arial" w:eastAsia="宋体" w:cs="Arial"/>
          <w:b/>
          <w:bCs/>
          <w:kern w:val="0"/>
          <w:sz w:val="24"/>
        </w:rPr>
        <w:t>第九条</w:t>
      </w:r>
      <w:r>
        <w:rPr>
          <w:rFonts w:hint="eastAsia" w:ascii="宋体" w:hAnsi="宋体" w:eastAsia="宋体" w:cs="宋体"/>
          <w:color w:val="000000"/>
          <w:kern w:val="0"/>
          <w:sz w:val="24"/>
          <w:shd w:val="clear" w:color="auto" w:fill="FFFFFF"/>
        </w:rPr>
        <w:t>　经国务院批准实施的重大经济事项涉及的资产评估项目，由财政部负责核准。</w:t>
      </w:r>
    </w:p>
    <w:p w14:paraId="0B6EFC1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经省级（含计划单列市，下同）人民政府批准实施的重大经济事项涉及的资产评估项目，由省级财政部门（或国有资产管理部门，下同）负责核准。</w:t>
      </w:r>
    </w:p>
    <w:p w14:paraId="0BCACCFF">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Arial" w:hAnsi="Arial" w:eastAsia="宋体" w:cs="Arial"/>
          <w:b/>
          <w:bCs/>
          <w:kern w:val="0"/>
          <w:sz w:val="24"/>
        </w:rPr>
        <w:t>第十条</w:t>
      </w:r>
      <w:r>
        <w:rPr>
          <w:rFonts w:hint="eastAsia" w:ascii="宋体" w:hAnsi="宋体" w:eastAsia="宋体" w:cs="宋体"/>
          <w:color w:val="000000"/>
          <w:kern w:val="0"/>
          <w:sz w:val="24"/>
          <w:shd w:val="clear" w:color="auto" w:fill="FFFFFF"/>
        </w:rPr>
        <w:t>　除本规定</w:t>
      </w:r>
      <w:r>
        <w:rPr>
          <w:rFonts w:hint="eastAsia" w:ascii="宋体" w:hAnsi="宋体" w:eastAsia="宋体" w:cs="宋体"/>
          <w:bCs/>
          <w:color w:val="000000"/>
          <w:kern w:val="0"/>
          <w:sz w:val="24"/>
          <w:shd w:val="clear" w:color="auto" w:fill="FFFFFF"/>
        </w:rPr>
        <w:t>第九条</w:t>
      </w:r>
      <w:r>
        <w:rPr>
          <w:rFonts w:hint="eastAsia" w:ascii="宋体" w:hAnsi="宋体" w:eastAsia="宋体" w:cs="宋体"/>
          <w:color w:val="000000"/>
          <w:kern w:val="0"/>
          <w:sz w:val="24"/>
          <w:shd w:val="clear" w:color="auto" w:fill="FFFFFF"/>
        </w:rPr>
        <w:t>规定以外，对资产评估项目实行备案制。</w:t>
      </w:r>
    </w:p>
    <w:p w14:paraId="7A44BEB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中央管理的企业集团公司及其子公司，国务院有关部门直属企事业单位的资产评估项目备案工作由财政部负责；子公司或直属企事业单位以下企业的资产评估项目备案工作由集团公司或有关部门负责。</w:t>
      </w:r>
    </w:p>
    <w:p w14:paraId="3F18B35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地方管理的占有单位的资产评估项目备案工作比照前款规定的原则执行。</w:t>
      </w:r>
    </w:p>
    <w:p w14:paraId="01877A90">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Arial" w:hAnsi="Arial" w:eastAsia="宋体" w:cs="Arial"/>
          <w:b/>
          <w:bCs/>
          <w:kern w:val="0"/>
          <w:sz w:val="24"/>
        </w:rPr>
        <w:t>第十一条</w:t>
      </w:r>
      <w:r>
        <w:rPr>
          <w:rFonts w:hint="eastAsia" w:ascii="宋体" w:hAnsi="宋体" w:eastAsia="宋体" w:cs="宋体"/>
          <w:color w:val="000000"/>
          <w:kern w:val="0"/>
          <w:sz w:val="24"/>
          <w:shd w:val="clear" w:color="auto" w:fill="FFFFFF"/>
        </w:rPr>
        <w:t>　财政部门下达的资产评估项目核准文件和经财政部门或集团公司、有关部门备案的资产评估项目备案表是占有单位办理产权登记、股权设置等相关手续的必备文件。</w:t>
      </w:r>
    </w:p>
    <w:p w14:paraId="035401B3">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Arial" w:hAnsi="Arial" w:eastAsia="宋体" w:cs="Arial"/>
          <w:b/>
          <w:bCs/>
          <w:kern w:val="0"/>
          <w:sz w:val="24"/>
        </w:rPr>
        <w:t>第十二条</w:t>
      </w:r>
      <w:r>
        <w:rPr>
          <w:rFonts w:hint="eastAsia" w:ascii="宋体" w:hAnsi="宋体" w:eastAsia="宋体" w:cs="宋体"/>
          <w:color w:val="000000"/>
          <w:kern w:val="0"/>
          <w:sz w:val="24"/>
          <w:shd w:val="clear" w:color="auto" w:fill="FFFFFF"/>
        </w:rPr>
        <w:t>　占有单位发生依法应进行资产评估的经济行为时，应当以资产评估结果作为作价参考依据；实际交易价格与评估结果相差10%以上的，占有单位应就其差异原因向同级财政部门（集团公司或有关部门）做出书面说明。</w:t>
      </w:r>
    </w:p>
    <w:p w14:paraId="0B0ACC69">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Arial" w:hAnsi="Arial" w:eastAsia="宋体" w:cs="Arial"/>
          <w:b/>
          <w:bCs/>
          <w:kern w:val="0"/>
          <w:sz w:val="24"/>
        </w:rPr>
        <w:t>第十三条</w:t>
      </w:r>
      <w:r>
        <w:rPr>
          <w:rFonts w:hint="eastAsia" w:ascii="宋体" w:hAnsi="宋体" w:eastAsia="宋体" w:cs="宋体"/>
          <w:color w:val="000000"/>
          <w:kern w:val="0"/>
          <w:sz w:val="24"/>
          <w:shd w:val="clear" w:color="auto" w:fill="FFFFFF"/>
        </w:rPr>
        <w:t>　财政部门、集团公司或有关部门应当建立资产评估项目统计报告制度，按要求将核准和备案的资产评估项目逐项登记并逐级汇总，定期上报财政部。</w:t>
      </w:r>
    </w:p>
    <w:p w14:paraId="31CC5255">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Arial" w:hAnsi="Arial" w:eastAsia="宋体" w:cs="Arial"/>
          <w:b/>
          <w:bCs/>
          <w:kern w:val="0"/>
          <w:sz w:val="24"/>
        </w:rPr>
        <w:t>第十四条</w:t>
      </w:r>
      <w:r>
        <w:rPr>
          <w:rFonts w:hint="eastAsia" w:ascii="宋体" w:hAnsi="宋体" w:eastAsia="宋体" w:cs="宋体"/>
          <w:color w:val="000000"/>
          <w:kern w:val="0"/>
          <w:sz w:val="24"/>
          <w:shd w:val="clear" w:color="auto" w:fill="FFFFFF"/>
        </w:rPr>
        <w:t>　财政部门应当加强对资产评估项目的监督管理，定期或不定期地对资产评估项目进行抽查。</w:t>
      </w:r>
    </w:p>
    <w:p w14:paraId="3421F256">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Arial" w:hAnsi="Arial" w:eastAsia="宋体" w:cs="Arial"/>
          <w:b/>
          <w:bCs/>
          <w:kern w:val="0"/>
          <w:sz w:val="24"/>
        </w:rPr>
        <w:t>第十五条</w:t>
      </w:r>
      <w:r>
        <w:rPr>
          <w:rFonts w:hint="eastAsia" w:ascii="宋体" w:hAnsi="宋体" w:eastAsia="宋体" w:cs="宋体"/>
          <w:color w:val="000000"/>
          <w:kern w:val="0"/>
          <w:sz w:val="24"/>
          <w:shd w:val="clear" w:color="auto" w:fill="FFFFFF"/>
        </w:rPr>
        <w:t>　占有单位违反本规定，向评估机构提供虚假情况和资料，或者与评估机构串通作弊并导致评估结果失实的，由财政部门根据《国有资产评估管理办法》第三十一条的规定予以处罚。</w:t>
      </w:r>
    </w:p>
    <w:p w14:paraId="7560CC29">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Arial" w:hAnsi="Arial" w:eastAsia="宋体" w:cs="Arial"/>
          <w:b/>
          <w:bCs/>
          <w:kern w:val="0"/>
          <w:sz w:val="24"/>
        </w:rPr>
        <w:t>第十六条</w:t>
      </w:r>
      <w:r>
        <w:rPr>
          <w:rFonts w:hint="eastAsia" w:ascii="宋体" w:hAnsi="宋体" w:eastAsia="宋体" w:cs="宋体"/>
          <w:color w:val="000000"/>
          <w:kern w:val="0"/>
          <w:sz w:val="24"/>
          <w:shd w:val="clear" w:color="auto" w:fill="FFFFFF"/>
        </w:rPr>
        <w:t>　占有单位违反本规定，有下列情形之一的，由财政部门责令改正并通报批评：</w:t>
      </w:r>
    </w:p>
    <w:p w14:paraId="1802B2F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（一）应当进行资产评估而未进行评估；</w:t>
      </w:r>
    </w:p>
    <w:p w14:paraId="2DA148B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（二）应当办理核准、备案手续而未办理；</w:t>
      </w:r>
    </w:p>
    <w:p w14:paraId="3022EA0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（三）聘请不符合资质条件的评估机构从事国有资产评估活动。</w:t>
      </w:r>
    </w:p>
    <w:p w14:paraId="38F6EBE7">
      <w:pPr>
        <w:shd w:val="clear" w:color="auto" w:fill="FFFFFF"/>
        <w:spacing w:line="440" w:lineRule="atLeast"/>
        <w:ind w:firstLine="480" w:firstLineChars="200"/>
        <w:rPr>
          <w:rFonts w:ascii="宋体" w:hAnsi="宋体" w:eastAsia="宋体" w:cs="宋体"/>
          <w:bCs/>
          <w:color w:val="000000"/>
          <w:kern w:val="0"/>
          <w:sz w:val="24"/>
          <w:shd w:val="clear" w:color="auto" w:fill="FFFFFF"/>
        </w:rPr>
      </w:pPr>
      <w:r>
        <w:rPr>
          <w:rFonts w:hint="eastAsia" w:ascii="宋体" w:hAnsi="宋体" w:eastAsia="宋体" w:cs="宋体"/>
          <w:color w:val="000000"/>
          <w:kern w:val="0"/>
          <w:sz w:val="24"/>
          <w:shd w:val="clear" w:color="auto" w:fill="FFFFFF"/>
        </w:rPr>
        <w:t>占有单位有前款第</w:t>
      </w:r>
      <w:r>
        <w:rPr>
          <w:rFonts w:hint="eastAsia" w:ascii="宋体" w:hAnsi="宋体" w:eastAsia="宋体" w:cs="宋体"/>
          <w:bCs/>
          <w:color w:val="000000"/>
          <w:kern w:val="0"/>
          <w:sz w:val="24"/>
          <w:shd w:val="clear" w:color="auto" w:fill="FFFFFF"/>
        </w:rPr>
        <w:t>（三）项情形的，财政部门可以宣布原评估结果无效。</w:t>
      </w:r>
    </w:p>
    <w:p w14:paraId="0EC27BB3">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第十七条</w:t>
      </w:r>
      <w:r>
        <w:rPr>
          <w:rFonts w:hint="eastAsia" w:ascii="宋体" w:hAnsi="宋体" w:eastAsia="宋体" w:cs="宋体"/>
          <w:color w:val="000000"/>
          <w:kern w:val="0"/>
          <w:sz w:val="24"/>
          <w:shd w:val="clear" w:color="auto" w:fill="FFFFFF"/>
        </w:rPr>
        <w:t>　财政部门对占有单位在国有资产评估中的违法违规行为进行处罚时，对直接负责的主管人员和其他直接责任人员，可以建议其上级单位或所在单位给予行政处分。</w:t>
      </w:r>
    </w:p>
    <w:p w14:paraId="3D4A99D1">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Arial" w:hAnsi="Arial" w:eastAsia="宋体" w:cs="Arial"/>
          <w:b/>
          <w:bCs/>
          <w:kern w:val="0"/>
          <w:sz w:val="24"/>
        </w:rPr>
        <w:t>第十八条</w:t>
      </w:r>
      <w:r>
        <w:rPr>
          <w:rFonts w:hint="eastAsia" w:ascii="宋体" w:hAnsi="宋体" w:eastAsia="宋体" w:cs="宋体"/>
          <w:color w:val="000000"/>
          <w:kern w:val="0"/>
          <w:sz w:val="24"/>
          <w:shd w:val="clear" w:color="auto" w:fill="FFFFFF"/>
        </w:rPr>
        <w:t>　资产评估机构、注册资产评估师在资产评估过程中有违法违规行为的，依法处理。</w:t>
      </w:r>
    </w:p>
    <w:p w14:paraId="200C1284">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Arial" w:hAnsi="Arial" w:eastAsia="宋体" w:cs="Arial"/>
          <w:b/>
          <w:bCs/>
          <w:kern w:val="0"/>
          <w:sz w:val="24"/>
        </w:rPr>
        <w:t>第十九条</w:t>
      </w:r>
      <w:r>
        <w:rPr>
          <w:rFonts w:hint="eastAsia" w:ascii="宋体" w:hAnsi="宋体" w:eastAsia="宋体" w:cs="宋体"/>
          <w:color w:val="000000"/>
          <w:kern w:val="0"/>
          <w:sz w:val="24"/>
          <w:shd w:val="clear" w:color="auto" w:fill="FFFFFF"/>
        </w:rPr>
        <w:t>　财政部门、集团公司、有关部门及其工作人员违反国有资产评估管理的有关规定，造成国有资产损失的，由同级人民政府或所在单位对有关责任人给予行政处分。</w:t>
      </w:r>
    </w:p>
    <w:p w14:paraId="15A7ABF3">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Arial" w:hAnsi="Arial" w:eastAsia="宋体" w:cs="Arial"/>
          <w:b/>
          <w:bCs/>
          <w:kern w:val="0"/>
          <w:sz w:val="24"/>
        </w:rPr>
        <w:t>第二十条</w:t>
      </w:r>
      <w:r>
        <w:rPr>
          <w:rFonts w:hint="eastAsia" w:ascii="宋体" w:hAnsi="宋体" w:eastAsia="宋体" w:cs="宋体"/>
          <w:color w:val="000000"/>
          <w:kern w:val="0"/>
          <w:sz w:val="24"/>
          <w:shd w:val="clear" w:color="auto" w:fill="FFFFFF"/>
        </w:rPr>
        <w:t>　境外国有资产的评估，另行规定。</w:t>
      </w:r>
    </w:p>
    <w:p w14:paraId="5C64628D">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Arial" w:hAnsi="Arial" w:eastAsia="宋体" w:cs="Arial"/>
          <w:b/>
          <w:bCs/>
          <w:kern w:val="0"/>
          <w:sz w:val="24"/>
        </w:rPr>
        <w:t>第二十一条</w:t>
      </w:r>
      <w:r>
        <w:rPr>
          <w:rFonts w:hint="eastAsia" w:ascii="宋体" w:hAnsi="宋体" w:eastAsia="宋体" w:cs="宋体"/>
          <w:color w:val="000000"/>
          <w:kern w:val="0"/>
          <w:sz w:val="24"/>
          <w:shd w:val="clear" w:color="auto" w:fill="FFFFFF"/>
        </w:rPr>
        <w:t>　省级财政部门可以根据本规定，结合本地区实际情况制定实施细则并报财政部备案。</w:t>
      </w:r>
    </w:p>
    <w:p w14:paraId="0A3BC225">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Arial" w:hAnsi="Arial" w:eastAsia="宋体" w:cs="Arial"/>
          <w:b/>
          <w:bCs/>
          <w:kern w:val="0"/>
          <w:sz w:val="24"/>
        </w:rPr>
        <w:t>第二十二条</w:t>
      </w:r>
      <w:r>
        <w:rPr>
          <w:rFonts w:hint="eastAsia" w:ascii="宋体" w:hAnsi="宋体" w:eastAsia="宋体" w:cs="宋体"/>
          <w:color w:val="000000"/>
          <w:kern w:val="0"/>
          <w:sz w:val="24"/>
          <w:shd w:val="clear" w:color="auto" w:fill="FFFFFF"/>
        </w:rPr>
        <w:t>　本规定自2002年1月1日起施行。</w:t>
      </w:r>
    </w:p>
    <w:p w14:paraId="3D3AFDF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br w:type="page"/>
      </w:r>
    </w:p>
    <w:p w14:paraId="323FE74B">
      <w:pPr>
        <w:pStyle w:val="5"/>
        <w:spacing w:line="440" w:lineRule="atLeast"/>
        <w:jc w:val="center"/>
        <w:rPr>
          <w:rFonts w:ascii="宋体" w:hAnsi="宋体" w:eastAsia="宋体" w:cs="宋体"/>
        </w:rPr>
      </w:pPr>
      <w:bookmarkStart w:id="10" w:name="_Toc6774"/>
      <w:r>
        <w:rPr>
          <w:rFonts w:hint="eastAsia" w:ascii="宋体" w:hAnsi="宋体" w:eastAsia="宋体" w:cs="宋体"/>
        </w:rPr>
        <w:t>国有资产评估违法行为处罚办法</w:t>
      </w:r>
      <w:bookmarkEnd w:id="10"/>
    </w:p>
    <w:p w14:paraId="0E0D9293">
      <w:pPr>
        <w:shd w:val="clear" w:color="auto" w:fill="FFFFFF"/>
        <w:spacing w:line="440" w:lineRule="atLeast"/>
        <w:ind w:firstLine="480" w:firstLineChars="200"/>
        <w:jc w:val="center"/>
        <w:rPr>
          <w:rFonts w:ascii="宋体" w:hAnsi="宋体" w:eastAsia="宋体" w:cs="宋体"/>
          <w:b/>
          <w:color w:val="000000"/>
          <w:kern w:val="0"/>
          <w:sz w:val="24"/>
          <w:shd w:val="clear" w:color="auto" w:fill="FFFFFF"/>
        </w:rPr>
      </w:pPr>
      <w:r>
        <w:rPr>
          <w:rFonts w:hint="eastAsia" w:ascii="宋体" w:hAnsi="宋体" w:eastAsia="宋体" w:cs="宋体"/>
          <w:color w:val="000000"/>
          <w:kern w:val="0"/>
          <w:sz w:val="24"/>
          <w:shd w:val="clear" w:color="auto" w:fill="FFFFFF"/>
        </w:rPr>
        <w:t>2001年12月31日财政部发布　财政部令第15号</w:t>
      </w:r>
    </w:p>
    <w:p w14:paraId="18CB4950">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第一条</w:t>
      </w:r>
      <w:r>
        <w:rPr>
          <w:rFonts w:hint="eastAsia" w:ascii="Arial" w:hAnsi="Arial" w:eastAsia="宋体" w:cs="Arial"/>
          <w:b/>
          <w:bCs/>
          <w:kern w:val="0"/>
          <w:sz w:val="24"/>
        </w:rPr>
        <w:t>　</w:t>
      </w:r>
      <w:r>
        <w:rPr>
          <w:rFonts w:hint="eastAsia" w:ascii="宋体" w:hAnsi="宋体" w:eastAsia="宋体" w:cs="宋体"/>
          <w:color w:val="000000"/>
          <w:kern w:val="0"/>
          <w:sz w:val="24"/>
          <w:shd w:val="clear" w:color="auto" w:fill="FFFFFF"/>
        </w:rPr>
        <w:t>为规范国有资产评估行为，加强国有资产评估管理，保障国有资产权益，维护社会公共利益，根据《国有资产评估管理办法》、《国务院办公厅转发财政部&lt;关于改革国有资产评估行政管理方式加强资产评估监督管理工作意见&gt;的通知》（国办发[2001）102号）及其他有关法律、行政法规的规定，制定本办法。</w:t>
      </w:r>
    </w:p>
    <w:p w14:paraId="29E12E42">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Arial" w:hAnsi="Arial" w:eastAsia="宋体" w:cs="Arial"/>
          <w:b/>
          <w:bCs/>
          <w:kern w:val="0"/>
          <w:sz w:val="24"/>
        </w:rPr>
        <w:t>第二条　</w:t>
      </w:r>
      <w:r>
        <w:rPr>
          <w:rFonts w:hint="eastAsia" w:ascii="宋体" w:hAnsi="宋体" w:eastAsia="宋体" w:cs="宋体"/>
          <w:color w:val="000000"/>
          <w:kern w:val="0"/>
          <w:sz w:val="24"/>
          <w:shd w:val="clear" w:color="auto" w:fill="FFFFFF"/>
        </w:rPr>
        <w:t>资产评估机构在国有资产评估活动中违反有关管律、法规和规章，应予行政处罚的，适用本办法。</w:t>
      </w:r>
    </w:p>
    <w:p w14:paraId="4440B664">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Arial" w:hAnsi="Arial" w:eastAsia="宋体" w:cs="Arial"/>
          <w:b/>
          <w:bCs/>
          <w:kern w:val="0"/>
          <w:sz w:val="24"/>
        </w:rPr>
        <w:t>第三条　</w:t>
      </w:r>
      <w:r>
        <w:rPr>
          <w:rFonts w:hint="eastAsia" w:ascii="宋体" w:hAnsi="宋体" w:eastAsia="宋体" w:cs="宋体"/>
          <w:color w:val="000000"/>
          <w:kern w:val="0"/>
          <w:sz w:val="24"/>
          <w:shd w:val="clear" w:color="auto" w:fill="FFFFFF"/>
        </w:rPr>
        <w:t>省级人民政府财政部门（国有资产管理部门，下同）负责对本地区资产评估机构（包括设在本地区的资产评估分支机构）的违法行为实施处罚。对严重评估违法行为，国务院财政部门可以直接进行处罚。</w:t>
      </w:r>
    </w:p>
    <w:p w14:paraId="3060897E">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Arial" w:hAnsi="Arial" w:eastAsia="宋体" w:cs="Arial"/>
          <w:b/>
          <w:bCs/>
          <w:kern w:val="0"/>
          <w:sz w:val="24"/>
        </w:rPr>
        <w:t>第四条</w:t>
      </w:r>
      <w:r>
        <w:rPr>
          <w:rFonts w:hint="eastAsia" w:ascii="宋体" w:hAnsi="宋体" w:eastAsia="宋体" w:cs="宋体"/>
          <w:color w:val="000000"/>
          <w:kern w:val="0"/>
          <w:sz w:val="24"/>
          <w:shd w:val="clear" w:color="auto" w:fill="FFFFFF"/>
        </w:rPr>
        <w:t>　资产评估机构违法行为的处罚种类：　　</w:t>
      </w:r>
    </w:p>
    <w:p w14:paraId="57C905B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（一）警告；　　</w:t>
      </w:r>
    </w:p>
    <w:p w14:paraId="09758B2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（二）罚款；　　</w:t>
      </w:r>
    </w:p>
    <w:p w14:paraId="67AD860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（三）没收违法所得；</w:t>
      </w:r>
    </w:p>
    <w:p w14:paraId="02F2D3E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（四）暂停执行部分或者全部业务，暂停执业的期限为三至十二个月；</w:t>
      </w:r>
    </w:p>
    <w:p w14:paraId="5DBD0B0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（五）吊销资产评估资格证书。</w:t>
      </w:r>
    </w:p>
    <w:p w14:paraId="73DCEB4E">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Arial" w:hAnsi="Arial" w:eastAsia="宋体" w:cs="Arial"/>
          <w:b/>
          <w:bCs/>
          <w:kern w:val="0"/>
          <w:sz w:val="24"/>
        </w:rPr>
        <w:t>第五条</w:t>
      </w:r>
      <w:r>
        <w:rPr>
          <w:rFonts w:hint="eastAsia" w:ascii="宋体" w:hAnsi="宋体" w:eastAsia="宋体" w:cs="宋体"/>
          <w:color w:val="000000"/>
          <w:kern w:val="0"/>
          <w:sz w:val="24"/>
          <w:shd w:val="clear" w:color="auto" w:fill="FFFFFF"/>
        </w:rPr>
        <w:t>　资产评估机构与委托人或被评估单位串通作弊，故意出具虚假报告的，没收违法所得，处以违法所得一倍以上五倍以下的罚款，并予以暂停执业；给利害关系人造成重大经济损失或者产生恶劣社会影响的，吊销资产评估资格证书。</w:t>
      </w:r>
    </w:p>
    <w:p w14:paraId="4D506CE8">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Arial" w:hAnsi="Arial" w:eastAsia="宋体" w:cs="Arial"/>
          <w:b/>
          <w:bCs/>
          <w:kern w:val="0"/>
          <w:sz w:val="24"/>
        </w:rPr>
        <w:t>笫六条</w:t>
      </w:r>
      <w:r>
        <w:rPr>
          <w:rFonts w:hint="eastAsia" w:ascii="宋体" w:hAnsi="宋体" w:eastAsia="宋体" w:cs="宋体"/>
          <w:color w:val="000000"/>
          <w:kern w:val="0"/>
          <w:sz w:val="24"/>
          <w:shd w:val="clear" w:color="auto" w:fill="FFFFFF"/>
        </w:rPr>
        <w:t>　资产评估机构因过失出具有重大遗漏的报告的，责令改正，情节较重的，处以所得收入一倍以上三倍以下的罚款，并予以暂停执业；</w:t>
      </w:r>
    </w:p>
    <w:p w14:paraId="2414E7F5">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Arial" w:hAnsi="Arial" w:eastAsia="宋体" w:cs="Arial"/>
          <w:b/>
          <w:bCs/>
          <w:kern w:val="0"/>
          <w:sz w:val="24"/>
        </w:rPr>
        <w:t>第七条</w:t>
      </w:r>
      <w:r>
        <w:rPr>
          <w:rFonts w:hint="eastAsia" w:ascii="宋体" w:hAnsi="宋体" w:eastAsia="宋体" w:cs="宋体"/>
          <w:color w:val="000000"/>
          <w:kern w:val="0"/>
          <w:sz w:val="24"/>
          <w:shd w:val="clear" w:color="auto" w:fill="FFFFFF"/>
        </w:rPr>
        <w:t>　资产评估机构冒用其他机构名义或者允许其他机构以本机构名义执行评估业务的，责令改正，予以警告。</w:t>
      </w:r>
    </w:p>
    <w:p w14:paraId="0A6545BF">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Arial" w:hAnsi="Arial" w:eastAsia="宋体" w:cs="Arial"/>
          <w:b/>
          <w:bCs/>
          <w:kern w:val="0"/>
          <w:sz w:val="24"/>
        </w:rPr>
        <w:t>第八条</w:t>
      </w:r>
      <w:r>
        <w:rPr>
          <w:rFonts w:hint="eastAsia" w:ascii="宋体" w:hAnsi="宋体" w:eastAsia="宋体" w:cs="宋体"/>
          <w:color w:val="000000"/>
          <w:kern w:val="0"/>
          <w:sz w:val="24"/>
          <w:shd w:val="clear" w:color="auto" w:fill="FFFFFF"/>
        </w:rPr>
        <w:t>　资产评估机构向委托人或者被评估单位索取、收受业务约定书约定以外的酬金或者其他财物，或者利用业务之便，谋取其他不正当利益的，责令改正，予以警告。</w:t>
      </w:r>
    </w:p>
    <w:p w14:paraId="3254FE98">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Arial" w:hAnsi="Arial" w:eastAsia="宋体" w:cs="Arial"/>
          <w:b/>
          <w:bCs/>
          <w:kern w:val="0"/>
          <w:sz w:val="24"/>
        </w:rPr>
        <w:t>第九条</w:t>
      </w:r>
      <w:r>
        <w:rPr>
          <w:rFonts w:hint="eastAsia" w:ascii="宋体" w:hAnsi="宋体" w:eastAsia="宋体" w:cs="宋体"/>
          <w:color w:val="000000"/>
          <w:kern w:val="0"/>
          <w:sz w:val="24"/>
          <w:shd w:val="clear" w:color="auto" w:fill="FFFFFF"/>
        </w:rPr>
        <w:t>　资产评估机构有下列情形之一的；责令改正，并予以警告：</w:t>
      </w:r>
    </w:p>
    <w:p w14:paraId="6F5707B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（一）对其能力进行虚假广告宣传的；</w:t>
      </w:r>
    </w:p>
    <w:p w14:paraId="6249C12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（二）向有关单位和个人支付回扣或者介绍费的；</w:t>
      </w:r>
    </w:p>
    <w:p w14:paraId="332DA35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（三）对委托人、被评估单位或者其他单位和个人进行胁迫、欺诈、利诱的；</w:t>
      </w:r>
    </w:p>
    <w:p w14:paraId="5D60E7A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（四）恶意降低收费的。</w:t>
      </w:r>
    </w:p>
    <w:p w14:paraId="62AAD16F">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Arial" w:hAnsi="Arial" w:eastAsia="宋体" w:cs="Arial"/>
          <w:b/>
          <w:bCs/>
          <w:kern w:val="0"/>
          <w:sz w:val="24"/>
        </w:rPr>
        <w:t>第十条</w:t>
      </w:r>
      <w:r>
        <w:rPr>
          <w:rFonts w:hint="eastAsia" w:ascii="宋体" w:hAnsi="宋体" w:eastAsia="宋体" w:cs="宋体"/>
          <w:color w:val="000000"/>
          <w:kern w:val="0"/>
          <w:sz w:val="24"/>
          <w:shd w:val="clear" w:color="auto" w:fill="FFFFFF"/>
        </w:rPr>
        <w:t>　资产评估机构与委托人或者被评估单位存在利害关系应当回避没有回避的，责令改正，并予以警告。</w:t>
      </w:r>
    </w:p>
    <w:p w14:paraId="304E1FF3">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Arial" w:hAnsi="Arial" w:eastAsia="宋体" w:cs="Arial"/>
          <w:b/>
          <w:bCs/>
          <w:kern w:val="0"/>
          <w:sz w:val="24"/>
        </w:rPr>
        <w:t>第十一条</w:t>
      </w:r>
      <w:r>
        <w:rPr>
          <w:rFonts w:hint="eastAsia" w:ascii="宋体" w:hAnsi="宋体" w:eastAsia="宋体" w:cs="宋体"/>
          <w:color w:val="000000"/>
          <w:kern w:val="0"/>
          <w:sz w:val="24"/>
          <w:shd w:val="clear" w:color="auto" w:fill="FFFFFF"/>
        </w:rPr>
        <w:t>　资产评估机构泄露委托人或者被评估单位商业秘密的，予以警告。</w:t>
      </w:r>
    </w:p>
    <w:p w14:paraId="0BECEB40">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Arial" w:hAnsi="Arial" w:eastAsia="宋体" w:cs="Arial"/>
          <w:b/>
          <w:bCs/>
          <w:kern w:val="0"/>
          <w:sz w:val="24"/>
        </w:rPr>
        <w:t>第十二条</w:t>
      </w:r>
      <w:r>
        <w:rPr>
          <w:rFonts w:hint="eastAsia" w:ascii="宋体" w:hAnsi="宋体" w:eastAsia="宋体" w:cs="宋体"/>
          <w:color w:val="000000"/>
          <w:kern w:val="0"/>
          <w:sz w:val="24"/>
          <w:shd w:val="clear" w:color="auto" w:fill="FFFFFF"/>
        </w:rPr>
        <w:t>　本办法</w:t>
      </w:r>
      <w:r>
        <w:rPr>
          <w:rFonts w:hint="eastAsia" w:ascii="宋体" w:hAnsi="宋体" w:eastAsia="宋体" w:cs="宋体"/>
          <w:bCs/>
          <w:color w:val="000000"/>
          <w:kern w:val="0"/>
          <w:sz w:val="24"/>
          <w:shd w:val="clear" w:color="auto" w:fill="FFFFFF"/>
        </w:rPr>
        <w:t>第七条</w:t>
      </w:r>
      <w:r>
        <w:rPr>
          <w:rFonts w:hint="eastAsia" w:ascii="宋体" w:hAnsi="宋体" w:eastAsia="宋体" w:cs="宋体"/>
          <w:color w:val="000000"/>
          <w:kern w:val="0"/>
          <w:sz w:val="24"/>
          <w:shd w:val="clear" w:color="auto" w:fill="FFFFFF"/>
        </w:rPr>
        <w:t>至十一条所列情形，有违法所得的，处以违法所得三倍以下的罚款，但最高不得超过三万元；没有违法所得的，处以一万元以下的罚款。</w:t>
      </w:r>
    </w:p>
    <w:p w14:paraId="09417E6E">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Arial" w:hAnsi="Arial" w:eastAsia="宋体" w:cs="Arial"/>
          <w:b/>
          <w:bCs/>
          <w:kern w:val="0"/>
          <w:sz w:val="24"/>
        </w:rPr>
        <w:t>笫十三条</w:t>
      </w:r>
      <w:r>
        <w:rPr>
          <w:rFonts w:hint="eastAsia" w:ascii="宋体" w:hAnsi="宋体" w:eastAsia="宋体" w:cs="宋体"/>
          <w:color w:val="000000"/>
          <w:kern w:val="0"/>
          <w:sz w:val="24"/>
          <w:shd w:val="clear" w:color="auto" w:fill="FFFFFF"/>
        </w:rPr>
        <w:t>　资产评估机构不按照执业准则、职业道德准则的要求执业的；予以警告。</w:t>
      </w:r>
    </w:p>
    <w:p w14:paraId="226789C4">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Arial" w:hAnsi="Arial" w:eastAsia="宋体" w:cs="Arial"/>
          <w:b/>
          <w:bCs/>
          <w:kern w:val="0"/>
          <w:sz w:val="24"/>
        </w:rPr>
        <w:t>第十四条　</w:t>
      </w:r>
      <w:r>
        <w:rPr>
          <w:rFonts w:hint="eastAsia" w:ascii="宋体" w:hAnsi="宋体" w:eastAsia="宋体" w:cs="宋体"/>
          <w:color w:val="000000"/>
          <w:kern w:val="0"/>
          <w:sz w:val="24"/>
          <w:shd w:val="clear" w:color="auto" w:fill="FFFFFF"/>
        </w:rPr>
        <w:t>资产评估机构拒绝、阻挠财政部门依法实施检查的，予以警告；</w:t>
      </w:r>
    </w:p>
    <w:p w14:paraId="4E5C1E81">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Arial" w:hAnsi="Arial" w:eastAsia="宋体" w:cs="Arial"/>
          <w:b/>
          <w:bCs/>
          <w:kern w:val="0"/>
          <w:sz w:val="24"/>
        </w:rPr>
        <w:t>第十五条</w:t>
      </w:r>
      <w:r>
        <w:rPr>
          <w:rFonts w:hint="eastAsia" w:ascii="宋体" w:hAnsi="宋体" w:eastAsia="宋体" w:cs="宋体"/>
          <w:color w:val="000000"/>
          <w:kern w:val="0"/>
          <w:sz w:val="24"/>
          <w:shd w:val="clear" w:color="auto" w:fill="FFFFFF"/>
        </w:rPr>
        <w:t>　资产评估机构有下列情形之一的；，应当从轻、减轻处罚：　　</w:t>
      </w:r>
    </w:p>
    <w:p w14:paraId="16D5BAD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（一）主动改正违法行为或主动消除、减轻违法行为危害后果的；　　</w:t>
      </w:r>
    </w:p>
    <w:p w14:paraId="2624B80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（二）主动向有关部门报告其违法行为的；　　</w:t>
      </w:r>
    </w:p>
    <w:p w14:paraId="4D412D8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（三）主动配合查处违法行为的；　　</w:t>
      </w:r>
    </w:p>
    <w:p w14:paraId="006EB03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（四）受他人胁迫有违法行为的；　　</w:t>
      </w:r>
    </w:p>
    <w:p w14:paraId="10B7178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（五）其他应予从轻、减轻处罚的情形。</w:t>
      </w:r>
    </w:p>
    <w:p w14:paraId="07CAD19C">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Arial" w:hAnsi="Arial" w:eastAsia="宋体" w:cs="Arial"/>
          <w:b/>
          <w:bCs/>
          <w:kern w:val="0"/>
          <w:sz w:val="24"/>
        </w:rPr>
        <w:t>第十六条　</w:t>
      </w:r>
      <w:r>
        <w:rPr>
          <w:rFonts w:hint="eastAsia" w:ascii="宋体" w:hAnsi="宋体" w:eastAsia="宋体" w:cs="宋体"/>
          <w:color w:val="000000"/>
          <w:kern w:val="0"/>
          <w:sz w:val="24"/>
          <w:shd w:val="clear" w:color="auto" w:fill="FFFFFF"/>
        </w:rPr>
        <w:t>资产评估机构有下列情形之一的，应当从重处罚：　　</w:t>
      </w:r>
    </w:p>
    <w:p w14:paraId="6500944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（一）同时具有两种或两种以上应予处罚的行为的；　　</w:t>
      </w:r>
    </w:p>
    <w:p w14:paraId="2CCE36F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（二）在两年内发生两次或两次以上同一性质的应予处罚的行为的；　　</w:t>
      </w:r>
    </w:p>
    <w:p w14:paraId="7FEBD8A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（三）对投诉人、举报人、证人等进行威胁、报复的；　　</w:t>
      </w:r>
    </w:p>
    <w:p w14:paraId="4B1DEF8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（四）违法行为发生后隐匿、销毁证据材料的；　　</w:t>
      </w:r>
    </w:p>
    <w:p w14:paraId="5033AFB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（五）其他应予从重处罚的情形。</w:t>
      </w:r>
    </w:p>
    <w:p w14:paraId="180E9C70">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Arial" w:hAnsi="Arial" w:eastAsia="宋体" w:cs="Arial"/>
          <w:b/>
          <w:bCs/>
          <w:kern w:val="0"/>
          <w:sz w:val="24"/>
        </w:rPr>
        <w:t>第十七条</w:t>
      </w:r>
      <w:r>
        <w:rPr>
          <w:rFonts w:hint="eastAsia" w:ascii="宋体" w:hAnsi="宋体" w:eastAsia="宋体" w:cs="宋体"/>
          <w:color w:val="000000"/>
          <w:kern w:val="0"/>
          <w:sz w:val="24"/>
          <w:shd w:val="clear" w:color="auto" w:fill="FFFFFF"/>
        </w:rPr>
        <w:t>　省级人民政府财政部门作出本办法第四条第（二）至第（五）项处罚决定的，应当在作出处罚决定之日起15日内报送国务院财政部门备案。</w:t>
      </w:r>
    </w:p>
    <w:p w14:paraId="28E10FBF">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第十八条</w:t>
      </w:r>
      <w:r>
        <w:rPr>
          <w:rFonts w:hint="eastAsia" w:ascii="Arial" w:hAnsi="Arial" w:eastAsia="宋体" w:cs="Arial"/>
          <w:b/>
          <w:bCs/>
          <w:kern w:val="0"/>
          <w:sz w:val="24"/>
        </w:rPr>
        <w:t>　</w:t>
      </w:r>
      <w:r>
        <w:rPr>
          <w:rFonts w:hint="eastAsia" w:ascii="宋体" w:hAnsi="宋体" w:eastAsia="宋体" w:cs="宋体"/>
          <w:color w:val="000000"/>
          <w:kern w:val="0"/>
          <w:sz w:val="24"/>
          <w:shd w:val="clear" w:color="auto" w:fill="FFFFFF"/>
        </w:rPr>
        <w:t>省级以上人民政府财政部门作出行政处罚决定之前，应当告知资产评估机构作出行政处罚决定的事实、理由及依据，并告知当事人依法享有的权利；作出较大数额罚款、暂停执业和吊销资产评估资格证书的处罚决定之前，应当告知资产评估机构有要求举行听证的权利。</w:t>
      </w:r>
    </w:p>
    <w:p w14:paraId="515E4397">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Arial" w:hAnsi="Arial" w:eastAsia="宋体" w:cs="Arial"/>
          <w:b/>
          <w:bCs/>
          <w:kern w:val="0"/>
          <w:sz w:val="24"/>
        </w:rPr>
        <w:t>第十九条　</w:t>
      </w:r>
      <w:r>
        <w:rPr>
          <w:rFonts w:hint="eastAsia" w:ascii="宋体" w:hAnsi="宋体" w:eastAsia="宋体" w:cs="宋体"/>
          <w:color w:val="000000"/>
          <w:kern w:val="0"/>
          <w:sz w:val="24"/>
          <w:shd w:val="clear" w:color="auto" w:fill="FFFFFF"/>
        </w:rPr>
        <w:t>资产评估机构要求听证的，拟作出行政处罚的省级以上人民政府财政部门应当按照《财政部门行政处罚听证程序实施办法》的有关规定组织听证。</w:t>
      </w:r>
    </w:p>
    <w:p w14:paraId="134B44A3">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Arial" w:hAnsi="Arial" w:eastAsia="宋体" w:cs="Arial"/>
          <w:b/>
          <w:bCs/>
          <w:kern w:val="0"/>
          <w:sz w:val="24"/>
        </w:rPr>
        <w:t>第二十条　</w:t>
      </w:r>
      <w:r>
        <w:rPr>
          <w:rFonts w:hint="eastAsia" w:ascii="宋体" w:hAnsi="宋体" w:eastAsia="宋体" w:cs="宋体"/>
          <w:color w:val="000000"/>
          <w:kern w:val="0"/>
          <w:sz w:val="24"/>
          <w:shd w:val="clear" w:color="auto" w:fill="FFFFFF"/>
        </w:rPr>
        <w:t>资产评估机构对处罚决定不服的，可以依法申请行政复议或提起行政诉讼。</w:t>
      </w:r>
    </w:p>
    <w:p w14:paraId="36E73304">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Arial" w:hAnsi="Arial" w:eastAsia="宋体" w:cs="Arial"/>
          <w:b/>
          <w:bCs/>
          <w:kern w:val="0"/>
          <w:sz w:val="24"/>
        </w:rPr>
        <w:t>第二十一条　</w:t>
      </w:r>
      <w:r>
        <w:rPr>
          <w:rFonts w:hint="eastAsia" w:ascii="宋体" w:hAnsi="宋体" w:eastAsia="宋体" w:cs="宋体"/>
          <w:color w:val="000000"/>
          <w:kern w:val="0"/>
          <w:sz w:val="24"/>
          <w:shd w:val="clear" w:color="auto" w:fill="FFFFFF"/>
        </w:rPr>
        <w:t>注册资产评估师在国有资产评估中有违法行为的，按照有关规定处理。</w:t>
      </w:r>
    </w:p>
    <w:p w14:paraId="6F4F7B16">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Arial" w:hAnsi="Arial" w:eastAsia="宋体" w:cs="Arial"/>
          <w:b/>
          <w:bCs/>
          <w:kern w:val="0"/>
          <w:sz w:val="24"/>
        </w:rPr>
        <w:t>第二十二条</w:t>
      </w:r>
      <w:r>
        <w:rPr>
          <w:rFonts w:hint="eastAsia" w:ascii="宋体" w:hAnsi="宋体" w:eastAsia="宋体" w:cs="宋体"/>
          <w:color w:val="000000"/>
          <w:kern w:val="0"/>
          <w:sz w:val="24"/>
          <w:shd w:val="clear" w:color="auto" w:fill="FFFFFF"/>
        </w:rPr>
        <w:t>　本办法自2002年1月1日起施行。</w:t>
      </w:r>
    </w:p>
    <w:p w14:paraId="5244005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br w:type="page"/>
      </w:r>
    </w:p>
    <w:p w14:paraId="22239208">
      <w:pPr>
        <w:pStyle w:val="5"/>
        <w:spacing w:line="440" w:lineRule="atLeast"/>
        <w:jc w:val="center"/>
        <w:rPr>
          <w:rFonts w:ascii="宋体" w:hAnsi="宋体" w:eastAsia="宋体" w:cs="宋体"/>
        </w:rPr>
      </w:pPr>
      <w:bookmarkStart w:id="11" w:name="_Toc14960"/>
      <w:r>
        <w:rPr>
          <w:rFonts w:hint="eastAsia" w:ascii="宋体" w:hAnsi="宋体" w:eastAsia="宋体" w:cs="宋体"/>
        </w:rPr>
        <w:t>企业国有资产评估管理暂行办法</w:t>
      </w:r>
      <w:bookmarkEnd w:id="11"/>
    </w:p>
    <w:p w14:paraId="5B71C08E">
      <w:pPr>
        <w:shd w:val="clear" w:color="auto" w:fill="FFFFFF"/>
        <w:spacing w:line="440" w:lineRule="atLeast"/>
        <w:ind w:firstLine="480" w:firstLineChars="200"/>
        <w:jc w:val="center"/>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2005年8月25日国务院国有资产监督管理委员会发布</w:t>
      </w:r>
    </w:p>
    <w:p w14:paraId="08B96FF2">
      <w:pPr>
        <w:shd w:val="clear" w:color="auto" w:fill="FFFFFF"/>
        <w:spacing w:line="440" w:lineRule="atLeast"/>
        <w:ind w:firstLine="480" w:firstLineChars="200"/>
        <w:jc w:val="center"/>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国务院国有资产监督管理委员会令第12号</w:t>
      </w:r>
    </w:p>
    <w:p w14:paraId="1C284D02">
      <w:pPr>
        <w:shd w:val="clear" w:color="auto" w:fill="FFFFFF"/>
        <w:spacing w:line="440" w:lineRule="atLeast"/>
        <w:jc w:val="center"/>
        <w:rPr>
          <w:rFonts w:ascii="黑体" w:hAnsi="黑体" w:eastAsia="黑体" w:cs="黑体"/>
          <w:color w:val="000000"/>
          <w:kern w:val="0"/>
          <w:sz w:val="28"/>
          <w:szCs w:val="28"/>
          <w:shd w:val="clear" w:color="auto" w:fill="FFFFFF"/>
        </w:rPr>
      </w:pPr>
      <w:r>
        <w:rPr>
          <w:rFonts w:hint="eastAsia" w:ascii="黑体" w:hAnsi="黑体" w:eastAsia="黑体" w:cs="黑体"/>
          <w:color w:val="000000"/>
          <w:kern w:val="0"/>
          <w:sz w:val="28"/>
          <w:szCs w:val="28"/>
          <w:shd w:val="clear" w:color="auto" w:fill="FFFFFF"/>
        </w:rPr>
        <w:t>第一章　总则</w:t>
      </w:r>
    </w:p>
    <w:p w14:paraId="4095BFC0">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第一条</w:t>
      </w:r>
      <w:r>
        <w:rPr>
          <w:rFonts w:hint="eastAsia" w:ascii="Arial" w:hAnsi="Arial" w:eastAsia="宋体" w:cs="Arial"/>
          <w:b/>
          <w:bCs/>
          <w:kern w:val="0"/>
          <w:sz w:val="24"/>
        </w:rPr>
        <w:t>　</w:t>
      </w:r>
      <w:r>
        <w:rPr>
          <w:rFonts w:hint="eastAsia" w:ascii="宋体" w:hAnsi="宋体" w:eastAsia="宋体" w:cs="宋体"/>
          <w:color w:val="000000"/>
          <w:kern w:val="0"/>
          <w:sz w:val="24"/>
          <w:shd w:val="clear" w:color="auto" w:fill="FFFFFF"/>
        </w:rPr>
        <w:t>为规范企业国有资产评估行为，维护国有资产出资人合法权益，促进企业国有产权有序流转，防止国有资产流失，根据《中华人民共和国公司法》、《企业国有资产监督管理暂行条例》（国务院令第378号）和《国有资产评估管理办法》（国务院令第91号）等有关法律法规，制定本办法。</w:t>
      </w:r>
    </w:p>
    <w:p w14:paraId="501D9E04">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第二条</w:t>
      </w:r>
      <w:r>
        <w:rPr>
          <w:rFonts w:hint="eastAsia" w:ascii="Arial" w:hAnsi="Arial" w:eastAsia="宋体" w:cs="Arial"/>
          <w:b/>
          <w:bCs/>
          <w:kern w:val="0"/>
          <w:sz w:val="24"/>
        </w:rPr>
        <w:t>　</w:t>
      </w:r>
      <w:r>
        <w:rPr>
          <w:rFonts w:hint="eastAsia" w:ascii="宋体" w:hAnsi="宋体" w:eastAsia="宋体" w:cs="宋体"/>
          <w:color w:val="000000"/>
          <w:kern w:val="0"/>
          <w:sz w:val="24"/>
          <w:shd w:val="clear" w:color="auto" w:fill="FFFFFF"/>
        </w:rPr>
        <w:t>各级国有资产监督管理机构履行出资人职责的企业（以下统称所出资企业）及其各级子企业（以下统称企业）涉及的资产评估，适用本办法。</w:t>
      </w:r>
    </w:p>
    <w:p w14:paraId="7BABC6CB">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第三条</w:t>
      </w:r>
      <w:r>
        <w:rPr>
          <w:rFonts w:hint="eastAsia" w:ascii="宋体" w:hAnsi="宋体" w:eastAsia="宋体" w:cs="宋体"/>
          <w:color w:val="000000"/>
          <w:kern w:val="0"/>
          <w:sz w:val="24"/>
          <w:shd w:val="clear" w:color="auto" w:fill="FFFFFF"/>
        </w:rPr>
        <w:t>　各级国有资产监督管理机构负责其所出资企业的国有资产评估监管工作。</w:t>
      </w:r>
    </w:p>
    <w:p w14:paraId="67BAD90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国务院国有资产监督管理机构负责对全国企业国有资产评估监管工作进行指导和监督。</w:t>
      </w:r>
    </w:p>
    <w:p w14:paraId="60C377E1">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第四条</w:t>
      </w:r>
      <w:r>
        <w:rPr>
          <w:rFonts w:hint="eastAsia" w:ascii="宋体" w:hAnsi="宋体" w:eastAsia="宋体" w:cs="宋体"/>
          <w:color w:val="000000"/>
          <w:kern w:val="0"/>
          <w:sz w:val="24"/>
          <w:shd w:val="clear" w:color="auto" w:fill="FFFFFF"/>
        </w:rPr>
        <w:t>　企业国有资产评估项目实行核准制和备案制。</w:t>
      </w:r>
    </w:p>
    <w:p w14:paraId="7D646D9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经各级人民政府批准经济行为的事项涉及的资产评估项目，分别由其国有资产监督管理机构负责核准。</w:t>
      </w:r>
    </w:p>
    <w:p w14:paraId="30D4817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经国务院国有资产监督管理机构批准经济行为的事项涉及的资产评估项目，由国务院国有资产监督管理机构负责备案；经国务院国有资产监督管理机构所出资企业（以下简称中央企业）及其各级子企业批准经济行为的事项涉及的资产评估项目，由中央企业负责备案。</w:t>
      </w:r>
    </w:p>
    <w:p w14:paraId="25E2EA0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地方国有资产监督管理机构及其所出资企业的资产评估项目备案管理工作的职责分工，由地方国有资产监督管理机构根据各地实际情况自行规定。</w:t>
      </w:r>
    </w:p>
    <w:p w14:paraId="6F13A995">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第五条</w:t>
      </w:r>
      <w:r>
        <w:rPr>
          <w:rFonts w:hint="eastAsia" w:ascii="宋体" w:hAnsi="宋体" w:eastAsia="宋体" w:cs="宋体"/>
          <w:color w:val="000000"/>
          <w:kern w:val="0"/>
          <w:sz w:val="24"/>
          <w:shd w:val="clear" w:color="auto" w:fill="FFFFFF"/>
        </w:rPr>
        <w:t>　各级国有资产监督管理机构及其所出资企业，应当建立企业国有资产评估管理工作制度，完善资产评估项目的档案管理，做好项目统计分析报告工作。</w:t>
      </w:r>
    </w:p>
    <w:p w14:paraId="7382D6F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省级国有资产监督管理机构和中央企业应当于每年度终了30个工作日内将其资产评估项目情况的统计分析资料报送国务院国有资产监督管理机构。</w:t>
      </w:r>
    </w:p>
    <w:p w14:paraId="44DFE964">
      <w:pPr>
        <w:shd w:val="clear" w:color="auto" w:fill="FFFFFF"/>
        <w:spacing w:line="440" w:lineRule="atLeast"/>
        <w:jc w:val="center"/>
        <w:rPr>
          <w:rFonts w:ascii="黑体" w:hAnsi="黑体" w:eastAsia="黑体" w:cs="黑体"/>
          <w:color w:val="000000"/>
          <w:kern w:val="0"/>
          <w:sz w:val="28"/>
          <w:szCs w:val="28"/>
          <w:shd w:val="clear" w:color="auto" w:fill="FFFFFF"/>
        </w:rPr>
      </w:pPr>
      <w:r>
        <w:rPr>
          <w:rFonts w:hint="eastAsia" w:ascii="黑体" w:hAnsi="黑体" w:eastAsia="黑体" w:cs="黑体"/>
          <w:color w:val="000000"/>
          <w:kern w:val="0"/>
          <w:sz w:val="28"/>
          <w:szCs w:val="28"/>
          <w:shd w:val="clear" w:color="auto" w:fill="FFFFFF"/>
        </w:rPr>
        <w:t>第二章　资产评估</w:t>
      </w:r>
    </w:p>
    <w:p w14:paraId="2BB5FE9F">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第六条</w:t>
      </w:r>
      <w:r>
        <w:rPr>
          <w:rFonts w:hint="eastAsia" w:ascii="宋体" w:hAnsi="宋体" w:eastAsia="宋体" w:cs="宋体"/>
          <w:color w:val="000000"/>
          <w:kern w:val="0"/>
          <w:sz w:val="24"/>
          <w:shd w:val="clear" w:color="auto" w:fill="FFFFFF"/>
        </w:rPr>
        <w:t>　企业有下列行为之一的，应当对相关资产进行评估：</w:t>
      </w:r>
    </w:p>
    <w:p w14:paraId="640F4B7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（一）整体或者部分改建为有限责任公司或者股份有限公司；</w:t>
      </w:r>
    </w:p>
    <w:p w14:paraId="5341A80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（二）以非货币资产对外投资；</w:t>
      </w:r>
    </w:p>
    <w:p w14:paraId="63D6150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（三）合并、分立、破产、解散；</w:t>
      </w:r>
    </w:p>
    <w:p w14:paraId="6BFFBD2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（四）非上市公司国有股东股权比例变动；</w:t>
      </w:r>
    </w:p>
    <w:p w14:paraId="5776BA2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（五）产权转让；</w:t>
      </w:r>
    </w:p>
    <w:p w14:paraId="4481CCE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（六）资产转让、置换；</w:t>
      </w:r>
    </w:p>
    <w:p w14:paraId="7849652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（七）整体资产或者部分资产租赁给非国有单位；</w:t>
      </w:r>
    </w:p>
    <w:p w14:paraId="1F10D40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（八）以非货币资产偿还债务；</w:t>
      </w:r>
    </w:p>
    <w:p w14:paraId="35AD65E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（九）资产涉讼；</w:t>
      </w:r>
    </w:p>
    <w:p w14:paraId="0B06D3F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（十）收购非国有单位的资产；</w:t>
      </w:r>
    </w:p>
    <w:p w14:paraId="7A35A36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（十一）接受非国有单位以非货币资产出资；</w:t>
      </w:r>
    </w:p>
    <w:p w14:paraId="4902A9C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（十二）接受非国有单位以非货币资产抵债；</w:t>
      </w:r>
    </w:p>
    <w:p w14:paraId="3D62A59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（十三）法律、行政法规规定的其他需要进行资产评估的事项。</w:t>
      </w:r>
    </w:p>
    <w:p w14:paraId="03ECE5E7">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第七条</w:t>
      </w:r>
      <w:r>
        <w:rPr>
          <w:rFonts w:hint="eastAsia" w:ascii="宋体" w:hAnsi="宋体" w:eastAsia="宋体" w:cs="宋体"/>
          <w:color w:val="000000"/>
          <w:kern w:val="0"/>
          <w:sz w:val="24"/>
          <w:shd w:val="clear" w:color="auto" w:fill="FFFFFF"/>
        </w:rPr>
        <w:t>　企业有下列行为之一的，可以不对相关国有资产进行评估：</w:t>
      </w:r>
    </w:p>
    <w:p w14:paraId="02EB728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（一）经各级人民政府或其国有资产监督管理机构批准，对企业整体或者部分资产实施无偿划转；</w:t>
      </w:r>
    </w:p>
    <w:p w14:paraId="22F7B5A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（二）国有独资企业与其下属独资企业（事业单位）之间或其下属独资企业（事业单位）之间的合并、资产（产权）置换和无偿划转。</w:t>
      </w:r>
    </w:p>
    <w:p w14:paraId="783397D7">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第八条</w:t>
      </w:r>
      <w:r>
        <w:rPr>
          <w:rFonts w:hint="eastAsia" w:ascii="宋体" w:hAnsi="宋体" w:eastAsia="宋体" w:cs="宋体"/>
          <w:color w:val="000000"/>
          <w:kern w:val="0"/>
          <w:sz w:val="24"/>
          <w:shd w:val="clear" w:color="auto" w:fill="FFFFFF"/>
        </w:rPr>
        <w:t>　企业发生第六条所列行为的，应当由其产权持有单位委托具有相应资质的资产评估机构进行评估。</w:t>
      </w:r>
    </w:p>
    <w:p w14:paraId="0131C9F1">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第九条</w:t>
      </w:r>
      <w:r>
        <w:rPr>
          <w:rFonts w:hint="eastAsia" w:ascii="宋体" w:hAnsi="宋体" w:eastAsia="宋体" w:cs="宋体"/>
          <w:color w:val="000000"/>
          <w:kern w:val="0"/>
          <w:sz w:val="24"/>
          <w:shd w:val="clear" w:color="auto" w:fill="FFFFFF"/>
        </w:rPr>
        <w:t>　企业产权持有单位委托的资产评估机构应当具备下列基本条件：</w:t>
      </w:r>
    </w:p>
    <w:p w14:paraId="10AF542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（一）遵守国家有关法律、法规、规章以及企业国有资产评估的政策规定，严格履行法定职责，近3年内没有违法、违规记录；</w:t>
      </w:r>
    </w:p>
    <w:p w14:paraId="031D1CF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（二）具有与评估对象相适应的资质条件；</w:t>
      </w:r>
    </w:p>
    <w:p w14:paraId="4837066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（三）具有与评估对象相适应的专业人员和专业特长；</w:t>
      </w:r>
    </w:p>
    <w:p w14:paraId="490E7B5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（四）与企业负责人无经济利益关系；</w:t>
      </w:r>
    </w:p>
    <w:p w14:paraId="63F3F91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（五）未向同一经济行为提供审计业务服务。</w:t>
      </w:r>
    </w:p>
    <w:p w14:paraId="35A00C90">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第十条</w:t>
      </w:r>
      <w:r>
        <w:rPr>
          <w:rFonts w:hint="eastAsia" w:ascii="宋体" w:hAnsi="宋体" w:eastAsia="宋体" w:cs="宋体"/>
          <w:color w:val="000000"/>
          <w:kern w:val="0"/>
          <w:sz w:val="24"/>
          <w:shd w:val="clear" w:color="auto" w:fill="FFFFFF"/>
        </w:rPr>
        <w:t>　企业应当向资产评估机构如实提供有关情况和资料，并对所提供情况和资料的真实性、合法性和完整性负责，不得隐匿或虚报资产。</w:t>
      </w:r>
    </w:p>
    <w:p w14:paraId="447659BD">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第十一条</w:t>
      </w:r>
      <w:r>
        <w:rPr>
          <w:rFonts w:hint="eastAsia" w:ascii="宋体" w:hAnsi="宋体" w:eastAsia="宋体" w:cs="宋体"/>
          <w:color w:val="000000"/>
          <w:kern w:val="0"/>
          <w:sz w:val="24"/>
          <w:shd w:val="clear" w:color="auto" w:fill="FFFFFF"/>
        </w:rPr>
        <w:t>　企业应当积极配合资产评估机构开展工作，不得以任何形式干预其正常执业行为。</w:t>
      </w:r>
    </w:p>
    <w:p w14:paraId="2AC944E8">
      <w:pPr>
        <w:shd w:val="clear" w:color="auto" w:fill="FFFFFF"/>
        <w:spacing w:line="440" w:lineRule="atLeast"/>
        <w:jc w:val="center"/>
        <w:rPr>
          <w:rFonts w:ascii="黑体" w:hAnsi="黑体" w:eastAsia="黑体" w:cs="黑体"/>
          <w:color w:val="000000"/>
          <w:kern w:val="0"/>
          <w:sz w:val="28"/>
          <w:szCs w:val="28"/>
          <w:shd w:val="clear" w:color="auto" w:fill="FFFFFF"/>
        </w:rPr>
      </w:pPr>
      <w:r>
        <w:rPr>
          <w:rFonts w:hint="eastAsia" w:ascii="黑体" w:hAnsi="黑体" w:eastAsia="黑体" w:cs="黑体"/>
          <w:color w:val="000000"/>
          <w:kern w:val="0"/>
          <w:sz w:val="28"/>
          <w:szCs w:val="28"/>
          <w:shd w:val="clear" w:color="auto" w:fill="FFFFFF"/>
        </w:rPr>
        <w:t>第三章　核准与备案</w:t>
      </w:r>
    </w:p>
    <w:p w14:paraId="663A1C35">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第十二条　</w:t>
      </w:r>
      <w:r>
        <w:rPr>
          <w:rFonts w:hint="eastAsia" w:ascii="宋体" w:hAnsi="宋体" w:eastAsia="宋体" w:cs="宋体"/>
          <w:color w:val="000000"/>
          <w:kern w:val="0"/>
          <w:sz w:val="24"/>
          <w:shd w:val="clear" w:color="auto" w:fill="FFFFFF"/>
        </w:rPr>
        <w:t>凡需经核准的资产评估项目，企业在资产评估前应当向国有资产监督管理机构报告下列有关事项：</w:t>
      </w:r>
    </w:p>
    <w:p w14:paraId="22030AF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（一）相关经济行为批准情况；</w:t>
      </w:r>
    </w:p>
    <w:p w14:paraId="4922931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（二）评估基准日的选择情况；</w:t>
      </w:r>
    </w:p>
    <w:p w14:paraId="1B1F331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（三）资产评估范围的确定情况；</w:t>
      </w:r>
    </w:p>
    <w:p w14:paraId="419FDA2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（四）选择资产评估机构的条件、范围、程序及拟选定机构的资质、专业特长情况；</w:t>
      </w:r>
    </w:p>
    <w:p w14:paraId="3B0F532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（五）资产评估的时间进度安排情况。</w:t>
      </w:r>
    </w:p>
    <w:p w14:paraId="39D77894">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第十三条</w:t>
      </w:r>
      <w:r>
        <w:rPr>
          <w:rFonts w:hint="eastAsia" w:ascii="宋体" w:hAnsi="宋体" w:eastAsia="宋体" w:cs="宋体"/>
          <w:color w:val="000000"/>
          <w:kern w:val="0"/>
          <w:sz w:val="24"/>
          <w:shd w:val="clear" w:color="auto" w:fill="FFFFFF"/>
        </w:rPr>
        <w:t>　企业应当及时向国有资产监督管理机构报告资产评估项目的工作进展情况。国有资产监督管理机构认为必要时，可以对该项目进行跟踪指导和现场检查。</w:t>
      </w:r>
    </w:p>
    <w:p w14:paraId="41EF71D9">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第十四条</w:t>
      </w:r>
      <w:r>
        <w:rPr>
          <w:rFonts w:hint="eastAsia" w:ascii="宋体" w:hAnsi="宋体" w:eastAsia="宋体" w:cs="宋体"/>
          <w:color w:val="000000"/>
          <w:kern w:val="0"/>
          <w:sz w:val="24"/>
          <w:shd w:val="clear" w:color="auto" w:fill="FFFFFF"/>
        </w:rPr>
        <w:t>　资产评估项目的核准按照下列程序进行：</w:t>
      </w:r>
    </w:p>
    <w:p w14:paraId="0416450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（一）企业收到资产评估机构出具的评估报告后应当逐级上报初审，经初审同意后，自评估基准日起8个月内向国有资产监督管理机构提出核准申请；</w:t>
      </w:r>
    </w:p>
    <w:p w14:paraId="66CD2E6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（二）国有资产监督管理机构收到核准申请后，对符合核准要求的，及时组织有关专家审核，在20个工作日内完成对评估报告的核准；对不符合核准要求的，予以退回。</w:t>
      </w:r>
    </w:p>
    <w:p w14:paraId="46CF0627">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第十五条</w:t>
      </w:r>
      <w:r>
        <w:rPr>
          <w:rFonts w:hint="eastAsia" w:ascii="宋体" w:hAnsi="宋体" w:eastAsia="宋体" w:cs="宋体"/>
          <w:color w:val="000000"/>
          <w:kern w:val="0"/>
          <w:sz w:val="24"/>
          <w:shd w:val="clear" w:color="auto" w:fill="FFFFFF"/>
        </w:rPr>
        <w:t>　企业提出资产评估项目核准申请时，应当向国有资产监督管理机构报送下列文件材料：</w:t>
      </w:r>
    </w:p>
    <w:p w14:paraId="1FDD292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（一）资产评估项目核准申请文件；</w:t>
      </w:r>
    </w:p>
    <w:p w14:paraId="47827C4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（二）资产评估项目核准申请表（附件1）；</w:t>
      </w:r>
    </w:p>
    <w:p w14:paraId="3835B3F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（三）与评估目的相对应的经济行为批准文件或有效材料；</w:t>
      </w:r>
    </w:p>
    <w:p w14:paraId="47E6EC4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（四）所涉及的资产重组方案或者改制方案、发起人协议等材料；</w:t>
      </w:r>
    </w:p>
    <w:p w14:paraId="49C95FC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（五）资产评估机构提交的资产评估报告（包括评估报告书、评估说明、评估明细表及其电子文档）；</w:t>
      </w:r>
    </w:p>
    <w:p w14:paraId="6AA0A10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（六）与经济行为相对应的审计报告；</w:t>
      </w:r>
    </w:p>
    <w:p w14:paraId="7B249E3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（七）资产评估各当事方的相关承诺函；</w:t>
      </w:r>
    </w:p>
    <w:p w14:paraId="772F1A3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（八）其他有关材料。</w:t>
      </w:r>
    </w:p>
    <w:p w14:paraId="4C860B24">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第十六条</w:t>
      </w:r>
      <w:r>
        <w:rPr>
          <w:rFonts w:hint="eastAsia" w:ascii="宋体" w:hAnsi="宋体" w:eastAsia="宋体" w:cs="宋体"/>
          <w:color w:val="000000"/>
          <w:kern w:val="0"/>
          <w:sz w:val="24"/>
          <w:shd w:val="clear" w:color="auto" w:fill="FFFFFF"/>
        </w:rPr>
        <w:t>　国有资产监督管理机构应当对下列事项进行审核：</w:t>
      </w:r>
    </w:p>
    <w:p w14:paraId="0EEBA7C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（一）资产评估项目所涉及的经济行为是否获得批准；</w:t>
      </w:r>
    </w:p>
    <w:p w14:paraId="059B7F5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（二）资产评估机构是否具备相应评估资质；</w:t>
      </w:r>
    </w:p>
    <w:p w14:paraId="51BC0DA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（三）评估人员是否具备相应执业资格；</w:t>
      </w:r>
    </w:p>
    <w:p w14:paraId="44A06CB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（四）评估基准日的选择是否适当，评估结果的使用有效期是否明示；</w:t>
      </w:r>
    </w:p>
    <w:p w14:paraId="18A7202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（五）资产评估范围与经济行为批准文件确定的资产范围是否一致；</w:t>
      </w:r>
    </w:p>
    <w:p w14:paraId="27ECDB6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（六）评估依据是否适当；</w:t>
      </w:r>
    </w:p>
    <w:p w14:paraId="100E026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（七）企业是否就所提供的资产权属证明文件、财务会计资料及生产经营管理资料的真实性、合法性和完整性作出承诺；</w:t>
      </w:r>
    </w:p>
    <w:p w14:paraId="274B96B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（八）评估过程是否符合相关评估准则的规定；</w:t>
      </w:r>
    </w:p>
    <w:p w14:paraId="652E4EB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（九）参与审核的专家是否达成一致意见。</w:t>
      </w:r>
    </w:p>
    <w:p w14:paraId="37CBE232">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第十七条</w:t>
      </w:r>
      <w:r>
        <w:rPr>
          <w:rFonts w:hint="eastAsia" w:ascii="宋体" w:hAnsi="宋体" w:eastAsia="宋体" w:cs="宋体"/>
          <w:color w:val="000000"/>
          <w:kern w:val="0"/>
          <w:sz w:val="24"/>
          <w:shd w:val="clear" w:color="auto" w:fill="FFFFFF"/>
        </w:rPr>
        <w:t>　资产评估项目的备案按照下列程序进行：</w:t>
      </w:r>
    </w:p>
    <w:p w14:paraId="20E692C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（一）企业收到资产评估机构出具的评估报告后，将备案材料逐级报送国有资产监督管理机构或其所出资企业，自评估基准日起9个月内提出备案申请；</w:t>
      </w:r>
    </w:p>
    <w:p w14:paraId="29C589A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（二）国有资产监督管理机构或者所出资企业收到备案材料后，对材料齐全的，在20个工作日内办理备案手续，必要时可组织有关专家参与备案评审。</w:t>
      </w:r>
    </w:p>
    <w:p w14:paraId="1E80D03E">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第十八条</w:t>
      </w:r>
      <w:r>
        <w:rPr>
          <w:rFonts w:hint="eastAsia" w:ascii="宋体" w:hAnsi="宋体" w:eastAsia="宋体" w:cs="宋体"/>
          <w:color w:val="000000"/>
          <w:kern w:val="0"/>
          <w:sz w:val="24"/>
          <w:shd w:val="clear" w:color="auto" w:fill="FFFFFF"/>
        </w:rPr>
        <w:t>　资产评估项目备案需报送下列文件材料：</w:t>
      </w:r>
    </w:p>
    <w:p w14:paraId="070FCB7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（一）国有资产评估项目备案表一式三份（附件2）；</w:t>
      </w:r>
    </w:p>
    <w:p w14:paraId="6A763E6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（二）资产评估报告（评估报告书、评估说明和评估明细表及其电子文档）；</w:t>
      </w:r>
    </w:p>
    <w:p w14:paraId="5336EB0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（三）与资产评估项目相对应的经济行为批准文件；</w:t>
      </w:r>
    </w:p>
    <w:p w14:paraId="2890B12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（四）其他有关材料。</w:t>
      </w:r>
    </w:p>
    <w:p w14:paraId="1CDCAD2F">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第十九条</w:t>
      </w:r>
      <w:r>
        <w:rPr>
          <w:rFonts w:hint="eastAsia" w:ascii="宋体" w:hAnsi="宋体" w:eastAsia="宋体" w:cs="宋体"/>
          <w:color w:val="000000"/>
          <w:kern w:val="0"/>
          <w:sz w:val="24"/>
          <w:shd w:val="clear" w:color="auto" w:fill="FFFFFF"/>
        </w:rPr>
        <w:t>　国有资产监督管理机构及所出资企业根据下列情况确定是否对资产评估项目予以备案：</w:t>
      </w:r>
    </w:p>
    <w:p w14:paraId="539981A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（一）资产评估所涉及的经济行为是否获得批准；</w:t>
      </w:r>
    </w:p>
    <w:p w14:paraId="620C270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（二）资产评估机构是否具备相应评估资质，评估人员是否具备相应执业资格；</w:t>
      </w:r>
    </w:p>
    <w:p w14:paraId="11B65AA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（三）评估基准日的选择是否适当，评估结果的使用有效期是否明示；</w:t>
      </w:r>
    </w:p>
    <w:p w14:paraId="50AA2B4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（四）资产评估范围与经济行为批准文件确定的资产范围是否一致；</w:t>
      </w:r>
    </w:p>
    <w:p w14:paraId="27E0366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（五）企业是否就所提供的资产权属证明文件、财务会计资料及生产经营管理资料的真实性、合法性和完整性作出承诺；</w:t>
      </w:r>
    </w:p>
    <w:p w14:paraId="6D53505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（六）评估程序是否符合相关评估准则的规定。</w:t>
      </w:r>
    </w:p>
    <w:p w14:paraId="0C5E2164">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第二十条</w:t>
      </w:r>
      <w:r>
        <w:rPr>
          <w:rFonts w:hint="eastAsia" w:ascii="宋体" w:hAnsi="宋体" w:eastAsia="宋体" w:cs="宋体"/>
          <w:color w:val="000000"/>
          <w:kern w:val="0"/>
          <w:sz w:val="24"/>
          <w:shd w:val="clear" w:color="auto" w:fill="FFFFFF"/>
        </w:rPr>
        <w:t>　国有资产监督管理机构下达的资产评估项目核准文件和经国有资产监督管理机构或所出资企业备案的资产评估项目备案表是企业办理产权登记、股权设置和产权转让等相关手续的必备文件。</w:t>
      </w:r>
    </w:p>
    <w:p w14:paraId="34D7C8AC">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第二十一条</w:t>
      </w:r>
      <w:r>
        <w:rPr>
          <w:rFonts w:hint="eastAsia" w:ascii="宋体" w:hAnsi="宋体" w:eastAsia="宋体" w:cs="宋体"/>
          <w:color w:val="000000"/>
          <w:kern w:val="0"/>
          <w:sz w:val="24"/>
          <w:shd w:val="clear" w:color="auto" w:fill="FFFFFF"/>
        </w:rPr>
        <w:t>　经核准或备案的资产评估结果使用有效期为自评估基准日起1年。</w:t>
      </w:r>
    </w:p>
    <w:p w14:paraId="4F283F57">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第二十二条</w:t>
      </w:r>
      <w:r>
        <w:rPr>
          <w:rFonts w:hint="eastAsia" w:ascii="宋体" w:hAnsi="宋体" w:eastAsia="宋体" w:cs="宋体"/>
          <w:color w:val="000000"/>
          <w:kern w:val="0"/>
          <w:sz w:val="24"/>
          <w:shd w:val="clear" w:color="auto" w:fill="FFFFFF"/>
        </w:rPr>
        <w:t>　企业进行与资产评估相应的经济行为时，应当以经核准或备案的资产评估结果为作价参考依据；当交易价格低于评估结果的90%时，应当暂停交易，在获得原经济行为批准机构同意后方可继续交易。</w:t>
      </w:r>
    </w:p>
    <w:p w14:paraId="254EF43A">
      <w:pPr>
        <w:shd w:val="clear" w:color="auto" w:fill="FFFFFF"/>
        <w:spacing w:line="440" w:lineRule="atLeast"/>
        <w:jc w:val="center"/>
        <w:rPr>
          <w:rFonts w:ascii="黑体" w:hAnsi="黑体" w:eastAsia="黑体" w:cs="黑体"/>
          <w:color w:val="000000"/>
          <w:kern w:val="0"/>
          <w:sz w:val="28"/>
          <w:szCs w:val="28"/>
          <w:shd w:val="clear" w:color="auto" w:fill="FFFFFF"/>
        </w:rPr>
      </w:pPr>
      <w:r>
        <w:rPr>
          <w:rFonts w:hint="eastAsia" w:ascii="黑体" w:hAnsi="黑体" w:eastAsia="黑体" w:cs="黑体"/>
          <w:color w:val="000000"/>
          <w:kern w:val="0"/>
          <w:sz w:val="28"/>
          <w:szCs w:val="28"/>
          <w:shd w:val="clear" w:color="auto" w:fill="FFFFFF"/>
        </w:rPr>
        <w:t>第四章　监督检查</w:t>
      </w:r>
    </w:p>
    <w:p w14:paraId="15EB011B">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第二十三条　</w:t>
      </w:r>
      <w:r>
        <w:rPr>
          <w:rFonts w:hint="eastAsia" w:ascii="宋体" w:hAnsi="宋体" w:eastAsia="宋体" w:cs="宋体"/>
          <w:color w:val="000000"/>
          <w:kern w:val="0"/>
          <w:sz w:val="24"/>
          <w:shd w:val="clear" w:color="auto" w:fill="FFFFFF"/>
        </w:rPr>
        <w:t>各级国有资产监督管理机构应当加强对企业国有资产评估工作的监督检查，重点检查企业内部国有资产评估管理制度的建立、执行情况和评估管理人员配备情况，定期或者不定期地对资产评估项目进行抽查。</w:t>
      </w:r>
    </w:p>
    <w:p w14:paraId="5A0311F3">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第二十四条</w:t>
      </w:r>
      <w:r>
        <w:rPr>
          <w:rFonts w:hint="eastAsia" w:ascii="宋体" w:hAnsi="宋体" w:eastAsia="宋体" w:cs="宋体"/>
          <w:color w:val="000000"/>
          <w:kern w:val="0"/>
          <w:sz w:val="24"/>
          <w:shd w:val="clear" w:color="auto" w:fill="FFFFFF"/>
        </w:rPr>
        <w:t>　各级国有资产监督管理机构对企业资产评估项目进行抽查的内容包括：</w:t>
      </w:r>
    </w:p>
    <w:p w14:paraId="5E867E7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（一）企业经济行为的合规性；</w:t>
      </w:r>
    </w:p>
    <w:p w14:paraId="45AEEF2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（二）评估的资产范围与有关经济行为所涉及的资产范围是否一致；</w:t>
      </w:r>
    </w:p>
    <w:p w14:paraId="6CB5501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（三）企业提供的资产权属证明文件、财务会计资料及生产经营管理资料的真实性、合法性和完整性；</w:t>
      </w:r>
    </w:p>
    <w:p w14:paraId="550634E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（四）资产评估机构的执业资质和评估人员的执业资格；</w:t>
      </w:r>
    </w:p>
    <w:p w14:paraId="0DE861F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（五）资产账面价值与评估结果的差异；</w:t>
      </w:r>
    </w:p>
    <w:p w14:paraId="2672164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（六）经济行为的实际成交价与评估结果的差异；</w:t>
      </w:r>
    </w:p>
    <w:p w14:paraId="44784BC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（七）评估工作底稿；</w:t>
      </w:r>
    </w:p>
    <w:p w14:paraId="1E51D8D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（八）评估依据的合理性；</w:t>
      </w:r>
    </w:p>
    <w:p w14:paraId="5B1358C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（九）评估报告对重大事项及其对评估结果影响的披露程度，以及该披露与实际情况的差异；</w:t>
      </w:r>
    </w:p>
    <w:p w14:paraId="4640D0A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（十）其他有关情况。</w:t>
      </w:r>
    </w:p>
    <w:p w14:paraId="25FED60F">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第二十五条</w:t>
      </w:r>
      <w:r>
        <w:rPr>
          <w:rFonts w:hint="eastAsia" w:ascii="宋体" w:hAnsi="宋体" w:eastAsia="宋体" w:cs="宋体"/>
          <w:color w:val="000000"/>
          <w:kern w:val="0"/>
          <w:sz w:val="24"/>
          <w:shd w:val="clear" w:color="auto" w:fill="FFFFFF"/>
        </w:rPr>
        <w:t>　省级国有资产监督管理机构应当于每年度终了30个工作日内将检查、抽查及处理情况报送国务院国有资产监督管理机构。</w:t>
      </w:r>
    </w:p>
    <w:p w14:paraId="482AFB70">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第二十六条</w:t>
      </w:r>
      <w:r>
        <w:rPr>
          <w:rFonts w:hint="eastAsia" w:ascii="宋体" w:hAnsi="宋体" w:eastAsia="宋体" w:cs="宋体"/>
          <w:color w:val="000000"/>
          <w:kern w:val="0"/>
          <w:sz w:val="24"/>
          <w:shd w:val="clear" w:color="auto" w:fill="FFFFFF"/>
        </w:rPr>
        <w:t>　国有资产监督管理机构应当将资产评估项目的抽查结果通报相关部门。</w:t>
      </w:r>
    </w:p>
    <w:p w14:paraId="6AC4B27D">
      <w:pPr>
        <w:shd w:val="clear" w:color="auto" w:fill="FFFFFF"/>
        <w:spacing w:line="440" w:lineRule="atLeast"/>
        <w:jc w:val="center"/>
        <w:rPr>
          <w:rFonts w:ascii="黑体" w:hAnsi="黑体" w:eastAsia="黑体" w:cs="黑体"/>
          <w:color w:val="000000"/>
          <w:kern w:val="0"/>
          <w:sz w:val="28"/>
          <w:szCs w:val="28"/>
          <w:shd w:val="clear" w:color="auto" w:fill="FFFFFF"/>
        </w:rPr>
      </w:pPr>
      <w:r>
        <w:rPr>
          <w:rFonts w:hint="eastAsia" w:ascii="黑体" w:hAnsi="黑体" w:eastAsia="黑体" w:cs="黑体"/>
          <w:color w:val="000000"/>
          <w:kern w:val="0"/>
          <w:sz w:val="28"/>
          <w:szCs w:val="28"/>
          <w:shd w:val="clear" w:color="auto" w:fill="FFFFFF"/>
        </w:rPr>
        <w:t>第五章　罚则</w:t>
      </w:r>
    </w:p>
    <w:p w14:paraId="6948E1B7">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第二十七条　</w:t>
      </w:r>
      <w:r>
        <w:rPr>
          <w:rFonts w:hint="eastAsia" w:ascii="宋体" w:hAnsi="宋体" w:eastAsia="宋体" w:cs="宋体"/>
          <w:color w:val="000000"/>
          <w:kern w:val="0"/>
          <w:sz w:val="24"/>
          <w:shd w:val="clear" w:color="auto" w:fill="FFFFFF"/>
        </w:rPr>
        <w:t>企业违反本办法，有下列情形之一的，由国有资产监督管理机构通报批评并责令改正，必要时可依法向人民法院提起诉讼，确认其相应的经济行为无效：</w:t>
      </w:r>
    </w:p>
    <w:p w14:paraId="1FAC5E8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（一）应当进行资产评估而未进行评估；</w:t>
      </w:r>
    </w:p>
    <w:p w14:paraId="66B0D57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（二）聘请不符合相应资质条件的资产评估机构从事国有资产评估活动；</w:t>
      </w:r>
    </w:p>
    <w:p w14:paraId="173E62B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（三）向资产评估机构提供虚假情况和资料，或者与资产评估机构串通作弊导致评估结果失实的；</w:t>
      </w:r>
    </w:p>
    <w:p w14:paraId="7C83F5E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（四）应当办理核准、备案而未办理。</w:t>
      </w:r>
    </w:p>
    <w:p w14:paraId="151BDB3F">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第二十八条</w:t>
      </w:r>
      <w:r>
        <w:rPr>
          <w:rFonts w:hint="eastAsia" w:ascii="宋体" w:hAnsi="宋体" w:eastAsia="宋体" w:cs="宋体"/>
          <w:color w:val="000000"/>
          <w:kern w:val="0"/>
          <w:sz w:val="24"/>
          <w:shd w:val="clear" w:color="auto" w:fill="FFFFFF"/>
        </w:rPr>
        <w:t>　企业在国有资产评估中发生违法违规行为或者不正当使用评估报告的，对负有直接责任的主管人员和其他直接责任人员，依法给予处分；涉嫌犯罪的，依法移送司法机关处理。</w:t>
      </w:r>
    </w:p>
    <w:p w14:paraId="67AB206F">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第二十九条</w:t>
      </w:r>
      <w:r>
        <w:rPr>
          <w:rFonts w:hint="eastAsia" w:ascii="宋体" w:hAnsi="宋体" w:eastAsia="宋体" w:cs="宋体"/>
          <w:color w:val="000000"/>
          <w:kern w:val="0"/>
          <w:sz w:val="24"/>
          <w:shd w:val="clear" w:color="auto" w:fill="FFFFFF"/>
        </w:rPr>
        <w:t>　受托资产评估机构在资产评估过程中违规执业的，由国有资产监督管理机构将有关情况通报其行业主管部门，建议给予相应处罚；情节严重的，可要求企业不得再委托该中介机构及其当事人进行国有资产评估业务；涉嫌犯罪的，依法移送司法机关处理。</w:t>
      </w:r>
    </w:p>
    <w:p w14:paraId="49AED3DB">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第三十条</w:t>
      </w:r>
      <w:r>
        <w:rPr>
          <w:rFonts w:hint="eastAsia" w:ascii="宋体" w:hAnsi="宋体" w:eastAsia="宋体" w:cs="宋体"/>
          <w:color w:val="000000"/>
          <w:kern w:val="0"/>
          <w:sz w:val="24"/>
          <w:shd w:val="clear" w:color="auto" w:fill="FFFFFF"/>
        </w:rPr>
        <w:t>　有关资产评估机构对资产评估项目抽查工作不予配合的，国有资产监督管理机构可以要求企业不得再委托该资产评估机构及其当事人进行国有资产评估业务。</w:t>
      </w:r>
    </w:p>
    <w:p w14:paraId="19FA4286">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第三十一条</w:t>
      </w:r>
      <w:r>
        <w:rPr>
          <w:rFonts w:hint="eastAsia" w:ascii="宋体" w:hAnsi="宋体" w:eastAsia="宋体" w:cs="宋体"/>
          <w:color w:val="000000"/>
          <w:kern w:val="0"/>
          <w:sz w:val="24"/>
          <w:shd w:val="clear" w:color="auto" w:fill="FFFFFF"/>
        </w:rPr>
        <w:t>　各级国有资产监督管理机构工作人员违反本规定，造成国有资产流失的，依法给予处分；涉嫌犯罪的，依法移送司法机关处理。</w:t>
      </w:r>
    </w:p>
    <w:p w14:paraId="2C76672F">
      <w:pPr>
        <w:shd w:val="clear" w:color="auto" w:fill="FFFFFF"/>
        <w:spacing w:line="440" w:lineRule="atLeast"/>
        <w:jc w:val="center"/>
        <w:rPr>
          <w:rFonts w:ascii="黑体" w:hAnsi="黑体" w:eastAsia="黑体" w:cs="黑体"/>
          <w:color w:val="000000"/>
          <w:kern w:val="0"/>
          <w:sz w:val="28"/>
          <w:szCs w:val="28"/>
          <w:shd w:val="clear" w:color="auto" w:fill="FFFFFF"/>
        </w:rPr>
      </w:pPr>
      <w:r>
        <w:rPr>
          <w:rFonts w:hint="eastAsia" w:ascii="黑体" w:hAnsi="黑体" w:eastAsia="黑体" w:cs="黑体"/>
          <w:color w:val="000000"/>
          <w:kern w:val="0"/>
          <w:sz w:val="28"/>
          <w:szCs w:val="28"/>
          <w:shd w:val="clear" w:color="auto" w:fill="FFFFFF"/>
        </w:rPr>
        <w:t>第六章　附则</w:t>
      </w:r>
    </w:p>
    <w:p w14:paraId="6D5FBB20">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第三十二条</w:t>
      </w:r>
      <w:r>
        <w:rPr>
          <w:rFonts w:hint="eastAsia" w:ascii="宋体" w:hAnsi="宋体" w:eastAsia="宋体" w:cs="宋体"/>
          <w:color w:val="000000"/>
          <w:kern w:val="0"/>
          <w:sz w:val="24"/>
          <w:shd w:val="clear" w:color="auto" w:fill="FFFFFF"/>
        </w:rPr>
        <w:t>　境外国有资产评估，遵照相关法规执行。</w:t>
      </w:r>
    </w:p>
    <w:p w14:paraId="3E68361B">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第三十三条</w:t>
      </w:r>
      <w:r>
        <w:rPr>
          <w:rFonts w:hint="eastAsia" w:ascii="宋体" w:hAnsi="宋体" w:eastAsia="宋体" w:cs="宋体"/>
          <w:color w:val="000000"/>
          <w:kern w:val="0"/>
          <w:sz w:val="24"/>
          <w:shd w:val="clear" w:color="auto" w:fill="FFFFFF"/>
        </w:rPr>
        <w:t>　政企尚未分开单位所属企事业单位的国有资产评估工作，参照本办法执行。</w:t>
      </w:r>
    </w:p>
    <w:p w14:paraId="242F5F0E">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第三十四条</w:t>
      </w:r>
      <w:r>
        <w:rPr>
          <w:rFonts w:hint="eastAsia" w:ascii="宋体" w:hAnsi="宋体" w:eastAsia="宋体" w:cs="宋体"/>
          <w:color w:val="000000"/>
          <w:kern w:val="0"/>
          <w:sz w:val="24"/>
          <w:shd w:val="clear" w:color="auto" w:fill="FFFFFF"/>
        </w:rPr>
        <w:t>　省级国有资产监督管理机构可以根据本办法，制定本地区相关工作规范，并报国务院国有资产监督管理机构备案。</w:t>
      </w:r>
    </w:p>
    <w:p w14:paraId="113821CA">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第三十五条</w:t>
      </w:r>
      <w:r>
        <w:rPr>
          <w:rFonts w:hint="eastAsia" w:ascii="宋体" w:hAnsi="宋体" w:eastAsia="宋体" w:cs="宋体"/>
          <w:color w:val="000000"/>
          <w:kern w:val="0"/>
          <w:sz w:val="24"/>
          <w:shd w:val="clear" w:color="auto" w:fill="FFFFFF"/>
        </w:rPr>
        <w:t>　本办法自2005年9月1日起施行。</w:t>
      </w:r>
    </w:p>
    <w:p w14:paraId="59667CF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br w:type="page"/>
      </w:r>
    </w:p>
    <w:p w14:paraId="014CC7D9">
      <w:pPr>
        <w:pStyle w:val="5"/>
        <w:spacing w:line="440" w:lineRule="atLeast"/>
        <w:jc w:val="center"/>
        <w:rPr>
          <w:rFonts w:ascii="宋体" w:hAnsi="宋体" w:eastAsia="宋体" w:cs="宋体"/>
        </w:rPr>
      </w:pPr>
      <w:bookmarkStart w:id="12" w:name="_Toc8612"/>
      <w:r>
        <w:rPr>
          <w:rFonts w:hint="eastAsia" w:ascii="宋体" w:hAnsi="宋体" w:eastAsia="宋体" w:cs="宋体"/>
        </w:rPr>
        <w:t>金融企业国有资产评估监督管理暂行办法</w:t>
      </w:r>
      <w:bookmarkEnd w:id="12"/>
    </w:p>
    <w:p w14:paraId="59E1A27A">
      <w:pPr>
        <w:shd w:val="clear" w:color="auto" w:fill="FFFFFF"/>
        <w:spacing w:line="440" w:lineRule="atLeast"/>
        <w:ind w:firstLine="480" w:firstLineChars="200"/>
        <w:jc w:val="center"/>
        <w:rPr>
          <w:rFonts w:ascii="宋体" w:hAnsi="宋体" w:eastAsia="宋体" w:cs="宋体"/>
          <w:b/>
          <w:color w:val="000000"/>
          <w:kern w:val="0"/>
          <w:sz w:val="24"/>
          <w:shd w:val="clear" w:color="auto" w:fill="FFFFFF"/>
        </w:rPr>
      </w:pPr>
      <w:r>
        <w:rPr>
          <w:rFonts w:hint="eastAsia" w:ascii="宋体" w:hAnsi="宋体" w:eastAsia="宋体" w:cs="宋体"/>
          <w:color w:val="000000"/>
          <w:kern w:val="0"/>
          <w:sz w:val="24"/>
          <w:shd w:val="clear" w:color="auto" w:fill="FFFFFF"/>
        </w:rPr>
        <w:t>2007年10月12日发布　财政部令第47号</w:t>
      </w:r>
    </w:p>
    <w:p w14:paraId="00FF76FE">
      <w:pPr>
        <w:shd w:val="clear" w:color="auto" w:fill="FFFFFF"/>
        <w:spacing w:line="440" w:lineRule="atLeast"/>
        <w:jc w:val="center"/>
        <w:rPr>
          <w:rFonts w:ascii="黑体" w:hAnsi="黑体" w:eastAsia="黑体" w:cs="黑体"/>
          <w:color w:val="000000"/>
          <w:kern w:val="0"/>
          <w:sz w:val="28"/>
          <w:szCs w:val="28"/>
          <w:shd w:val="clear" w:color="auto" w:fill="FFFFFF"/>
        </w:rPr>
      </w:pPr>
      <w:r>
        <w:rPr>
          <w:rFonts w:hint="eastAsia" w:ascii="黑体" w:hAnsi="黑体" w:eastAsia="黑体" w:cs="黑体"/>
          <w:color w:val="000000"/>
          <w:kern w:val="0"/>
          <w:sz w:val="28"/>
          <w:szCs w:val="28"/>
          <w:shd w:val="clear" w:color="auto" w:fill="FFFFFF"/>
        </w:rPr>
        <w:t>第一章　总则</w:t>
      </w:r>
    </w:p>
    <w:p w14:paraId="2FF8C145">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第一条</w:t>
      </w:r>
      <w:r>
        <w:rPr>
          <w:rFonts w:hint="eastAsia" w:ascii="宋体" w:hAnsi="宋体" w:eastAsia="宋体" w:cs="宋体"/>
          <w:color w:val="000000"/>
          <w:kern w:val="0"/>
          <w:sz w:val="24"/>
          <w:shd w:val="clear" w:color="auto" w:fill="FFFFFF"/>
        </w:rPr>
        <w:t>　为了加强对金融企业国有资产评估的监督管理，规范金融企业国有资产评估行为，维护国有资产所有者合法权益，根据有关法律、行政法规和国务院相关规定，制定本办法。</w:t>
      </w:r>
    </w:p>
    <w:p w14:paraId="1BAC38E7">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第二条</w:t>
      </w:r>
      <w:r>
        <w:rPr>
          <w:rFonts w:hint="eastAsia" w:ascii="宋体" w:hAnsi="宋体" w:eastAsia="宋体" w:cs="宋体"/>
          <w:color w:val="000000"/>
          <w:kern w:val="0"/>
          <w:sz w:val="24"/>
          <w:shd w:val="clear" w:color="auto" w:fill="FFFFFF"/>
        </w:rPr>
        <w:t>　在中华人民共和国境内依法设立，并占有国有资产的金融企业、金融控股公司、担保公司（以下简称金融企业）的资产评估，适用本办法。</w:t>
      </w:r>
    </w:p>
    <w:p w14:paraId="1BC0FC6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金融资产管理公司不良资产处置评估另有规定的从其规定。</w:t>
      </w:r>
    </w:p>
    <w:p w14:paraId="04F75AFE">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第三条</w:t>
      </w:r>
      <w:r>
        <w:rPr>
          <w:rFonts w:hint="eastAsia" w:ascii="宋体" w:hAnsi="宋体" w:eastAsia="宋体" w:cs="宋体"/>
          <w:color w:val="000000"/>
          <w:kern w:val="0"/>
          <w:sz w:val="24"/>
          <w:shd w:val="clear" w:color="auto" w:fill="FFFFFF"/>
        </w:rPr>
        <w:t>　县级以上人民政府财政部门（以下简称财政部门）按照统一政策、分级管理的原则，对本级金融企业资产评估工作进行监督管理。</w:t>
      </w:r>
    </w:p>
    <w:p w14:paraId="353053A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上级财政部门对下级财政部门监督管理金融企业资产评估工作进行指导和监督。</w:t>
      </w:r>
    </w:p>
    <w:p w14:paraId="0BB1571F">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第四条</w:t>
      </w:r>
      <w:r>
        <w:rPr>
          <w:rFonts w:hint="eastAsia" w:ascii="宋体" w:hAnsi="宋体" w:eastAsia="宋体" w:cs="宋体"/>
          <w:color w:val="000000"/>
          <w:kern w:val="0"/>
          <w:sz w:val="24"/>
          <w:shd w:val="clear" w:color="auto" w:fill="FFFFFF"/>
        </w:rPr>
        <w:t>　资产评估机构进行资产评估应当遵守有关法律、法规、部门规章，以及资产评估准则和执业规范，对评估报告的合法性、真实性和合理性负责，并承担责任。</w:t>
      </w:r>
    </w:p>
    <w:p w14:paraId="6D6577E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资产评估委托方和提供资料的相关当事方，应当对所提供资料的真实性、合法性和完整性负责。</w:t>
      </w:r>
    </w:p>
    <w:p w14:paraId="520D817B">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第五条</w:t>
      </w:r>
      <w:r>
        <w:rPr>
          <w:rFonts w:hint="eastAsia" w:ascii="宋体" w:hAnsi="宋体" w:eastAsia="宋体" w:cs="宋体"/>
          <w:color w:val="000000"/>
          <w:kern w:val="0"/>
          <w:sz w:val="24"/>
          <w:shd w:val="clear" w:color="auto" w:fill="FFFFFF"/>
        </w:rPr>
        <w:t>　金融企业不得委托同一中介机构对同一经济行为进行资产评估、审计、会计业务服务。金融企业有关负责人与中介机构存在可能影响公正执业的利害关系时，应当予以回避。</w:t>
      </w:r>
    </w:p>
    <w:p w14:paraId="5C08BA3F">
      <w:pPr>
        <w:shd w:val="clear" w:color="auto" w:fill="FFFFFF"/>
        <w:spacing w:line="440" w:lineRule="atLeast"/>
        <w:jc w:val="center"/>
        <w:rPr>
          <w:rFonts w:ascii="黑体" w:hAnsi="黑体" w:eastAsia="黑体" w:cs="黑体"/>
          <w:color w:val="000000"/>
          <w:kern w:val="0"/>
          <w:sz w:val="28"/>
          <w:szCs w:val="28"/>
          <w:shd w:val="clear" w:color="auto" w:fill="FFFFFF"/>
        </w:rPr>
      </w:pPr>
      <w:r>
        <w:rPr>
          <w:rFonts w:hint="eastAsia" w:ascii="黑体" w:hAnsi="黑体" w:eastAsia="黑体" w:cs="黑体"/>
          <w:color w:val="000000"/>
          <w:kern w:val="0"/>
          <w:sz w:val="28"/>
          <w:szCs w:val="28"/>
          <w:shd w:val="clear" w:color="auto" w:fill="FFFFFF"/>
        </w:rPr>
        <w:t>第二章　评估事项</w:t>
      </w:r>
    </w:p>
    <w:p w14:paraId="011A8B47">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第六条</w:t>
      </w:r>
      <w:r>
        <w:rPr>
          <w:rFonts w:hint="eastAsia" w:ascii="宋体" w:hAnsi="宋体" w:eastAsia="宋体" w:cs="宋体"/>
          <w:color w:val="000000"/>
          <w:kern w:val="0"/>
          <w:sz w:val="24"/>
          <w:shd w:val="clear" w:color="auto" w:fill="FFFFFF"/>
        </w:rPr>
        <w:t>　金融企业有下列情形之一的，应当委托资产评估机构进行资产评估：</w:t>
      </w:r>
    </w:p>
    <w:p w14:paraId="37246E0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（一）整体或者部分改制为有限责任公司或者股份有限公司的；</w:t>
      </w:r>
    </w:p>
    <w:p w14:paraId="69AEA37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（二）以非货币性资产对外投资的；</w:t>
      </w:r>
    </w:p>
    <w:p w14:paraId="5CCCA3E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（三）合并、分立、清算的；</w:t>
      </w:r>
    </w:p>
    <w:p w14:paraId="0DD7710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（四）非上市金融企业国有股东股权比例变动的；</w:t>
      </w:r>
    </w:p>
    <w:p w14:paraId="3AC5067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（五）产权转让的；</w:t>
      </w:r>
    </w:p>
    <w:p w14:paraId="2A6CFAE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（六）资产转让、置换、拍卖的；</w:t>
      </w:r>
    </w:p>
    <w:p w14:paraId="45D9CAC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（七）债权转股权的；</w:t>
      </w:r>
    </w:p>
    <w:p w14:paraId="351074D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（八）债务重组的；</w:t>
      </w:r>
    </w:p>
    <w:p w14:paraId="5604E86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（九）接受非货币性资产抵押或者质押的；</w:t>
      </w:r>
    </w:p>
    <w:p w14:paraId="167BD3F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（十）处置不良资产的；</w:t>
      </w:r>
    </w:p>
    <w:p w14:paraId="23BB005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（十一）以非货币性资产抵债或者接受抵债的；</w:t>
      </w:r>
    </w:p>
    <w:p w14:paraId="50FC8C6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（十二）收购非国有单位资产的；</w:t>
      </w:r>
    </w:p>
    <w:p w14:paraId="1F41EA0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（十三）接受非国有单位以非货币性资产出资的；</w:t>
      </w:r>
    </w:p>
    <w:p w14:paraId="653214E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（十四）确定涉讼资产价值的；</w:t>
      </w:r>
    </w:p>
    <w:p w14:paraId="7F40D1B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（十五）法律、行政法规规定的应当进行评估的其他情形。</w:t>
      </w:r>
    </w:p>
    <w:p w14:paraId="398A49B4">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第七条</w:t>
      </w:r>
      <w:r>
        <w:rPr>
          <w:rFonts w:hint="eastAsia" w:ascii="宋体" w:hAnsi="宋体" w:eastAsia="宋体" w:cs="宋体"/>
          <w:color w:val="000000"/>
          <w:kern w:val="0"/>
          <w:sz w:val="24"/>
          <w:shd w:val="clear" w:color="auto" w:fill="FFFFFF"/>
        </w:rPr>
        <w:t>　金融企业有下列情形之一的，对相关的资产可以不进行资产评估：</w:t>
      </w:r>
    </w:p>
    <w:p w14:paraId="66233F5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（一）县级以上人民政府或者其授权部门批准其所属企业或者企业的部分资产实施无偿划转的；</w:t>
      </w:r>
    </w:p>
    <w:p w14:paraId="6100336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（二）国有独资企业与其下属的独资企业之间，或者其下属独资企业之间的合并，以及资产或者产权置换、转让和无偿划转的；</w:t>
      </w:r>
    </w:p>
    <w:p w14:paraId="15A9332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（三）发生多次同类型的经济行为时，同一资产在评估报告使用有效期内，并且资产、市场状况未发生重大变化的；</w:t>
      </w:r>
    </w:p>
    <w:p w14:paraId="52ED5EA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（四）上市公司可流通的股权转让。</w:t>
      </w:r>
    </w:p>
    <w:p w14:paraId="60AE3DC5">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第八条</w:t>
      </w:r>
      <w:r>
        <w:rPr>
          <w:rFonts w:hint="eastAsia" w:ascii="宋体" w:hAnsi="宋体" w:eastAsia="宋体" w:cs="宋体"/>
          <w:color w:val="000000"/>
          <w:kern w:val="0"/>
          <w:sz w:val="24"/>
          <w:shd w:val="clear" w:color="auto" w:fill="FFFFFF"/>
        </w:rPr>
        <w:t>　需要资产评估时，应当按照下列情况进行委托：</w:t>
      </w:r>
    </w:p>
    <w:p w14:paraId="79FE5C7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（一）经济行为涉及的评估对象属于金融企业法人财产权的，或者金融企业接受非国有资产的，资产评估由金融企业委托；</w:t>
      </w:r>
    </w:p>
    <w:p w14:paraId="091BCF7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（二）经济行为涉及的评估对象属于金融企业出资人权利的，资产评估由金融企业出资人或者其上级单位委托。</w:t>
      </w:r>
    </w:p>
    <w:p w14:paraId="1175ECF0">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第九条</w:t>
      </w:r>
      <w:r>
        <w:rPr>
          <w:rFonts w:hint="eastAsia" w:ascii="宋体" w:hAnsi="宋体" w:eastAsia="宋体" w:cs="宋体"/>
          <w:color w:val="000000"/>
          <w:kern w:val="0"/>
          <w:sz w:val="24"/>
          <w:shd w:val="clear" w:color="auto" w:fill="FFFFFF"/>
        </w:rPr>
        <w:t>　金融企业有关经济行为的资产评估报告，自评估基准日起1年内有效。</w:t>
      </w:r>
    </w:p>
    <w:p w14:paraId="621D3DD3">
      <w:pPr>
        <w:shd w:val="clear" w:color="auto" w:fill="FFFFFF"/>
        <w:spacing w:line="440" w:lineRule="atLeast"/>
        <w:jc w:val="center"/>
        <w:rPr>
          <w:rFonts w:ascii="黑体" w:hAnsi="黑体" w:eastAsia="黑体" w:cs="黑体"/>
          <w:color w:val="000000"/>
          <w:kern w:val="0"/>
          <w:sz w:val="28"/>
          <w:szCs w:val="28"/>
          <w:shd w:val="clear" w:color="auto" w:fill="FFFFFF"/>
        </w:rPr>
      </w:pPr>
      <w:r>
        <w:rPr>
          <w:rFonts w:hint="eastAsia" w:ascii="黑体" w:hAnsi="黑体" w:eastAsia="黑体" w:cs="黑体"/>
          <w:color w:val="000000"/>
          <w:kern w:val="0"/>
          <w:sz w:val="28"/>
          <w:szCs w:val="28"/>
          <w:shd w:val="clear" w:color="auto" w:fill="FFFFFF"/>
        </w:rPr>
        <w:t>第三章　核准和备案</w:t>
      </w:r>
    </w:p>
    <w:p w14:paraId="2D706CDB">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第十条</w:t>
      </w:r>
      <w:r>
        <w:rPr>
          <w:rFonts w:hint="eastAsia" w:ascii="宋体" w:hAnsi="宋体" w:eastAsia="宋体" w:cs="宋体"/>
          <w:color w:val="000000"/>
          <w:kern w:val="0"/>
          <w:sz w:val="24"/>
          <w:shd w:val="clear" w:color="auto" w:fill="FFFFFF"/>
        </w:rPr>
        <w:t>　金融企业资产评估项目实行核准制和备案制。</w:t>
      </w:r>
    </w:p>
    <w:p w14:paraId="4463F5A8">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第十一条</w:t>
      </w:r>
      <w:r>
        <w:rPr>
          <w:rFonts w:hint="eastAsia" w:ascii="宋体" w:hAnsi="宋体" w:eastAsia="宋体" w:cs="宋体"/>
          <w:color w:val="000000"/>
          <w:kern w:val="0"/>
          <w:sz w:val="24"/>
          <w:shd w:val="clear" w:color="auto" w:fill="FFFFFF"/>
        </w:rPr>
        <w:t>　金融企业下列经济行为涉及资产评估的，资产评估项目实行核准：</w:t>
      </w:r>
    </w:p>
    <w:p w14:paraId="5E62C3E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（一）经批准进行改组改制、拟在境内或者境外上市、以非货币性资产与外商合资经营或者合作经营的经济行为；</w:t>
      </w:r>
    </w:p>
    <w:p w14:paraId="51FB497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（二）经县级以上人民政府批准的其他涉及国有资产产权变动的经济行为。</w:t>
      </w:r>
    </w:p>
    <w:p w14:paraId="6AEB498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中央金融企业资产评估项目报财政部核准。地方金融企业资产评估项目报本级财政部门核准。</w:t>
      </w:r>
    </w:p>
    <w:p w14:paraId="0C57BE1B">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第十二条</w:t>
      </w:r>
      <w:r>
        <w:rPr>
          <w:rFonts w:hint="eastAsia" w:ascii="宋体" w:hAnsi="宋体" w:eastAsia="宋体" w:cs="宋体"/>
          <w:color w:val="000000"/>
          <w:kern w:val="0"/>
          <w:sz w:val="24"/>
          <w:shd w:val="clear" w:color="auto" w:fill="FFFFFF"/>
        </w:rPr>
        <w:t>　需要核准的资产评估项目，金融企业应当在资产评估前向财政部门报告下列情况：</w:t>
      </w:r>
    </w:p>
    <w:p w14:paraId="75F7A42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（一）相关经济行为的批准情况；</w:t>
      </w:r>
    </w:p>
    <w:p w14:paraId="0D38150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（二）评估基准日的选择情况；</w:t>
      </w:r>
    </w:p>
    <w:p w14:paraId="0CBB662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（三）资产评估范围的确定情况；</w:t>
      </w:r>
    </w:p>
    <w:p w14:paraId="6D7CDFD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（四）资产评估机构的选择情况；</w:t>
      </w:r>
    </w:p>
    <w:p w14:paraId="6DD80C2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（五）资产评估的进度安排情况。</w:t>
      </w:r>
    </w:p>
    <w:p w14:paraId="2A5E89C0">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第十三条</w:t>
      </w:r>
      <w:r>
        <w:rPr>
          <w:rFonts w:hint="eastAsia" w:ascii="宋体" w:hAnsi="宋体" w:eastAsia="宋体" w:cs="宋体"/>
          <w:color w:val="000000"/>
          <w:kern w:val="0"/>
          <w:sz w:val="24"/>
          <w:shd w:val="clear" w:color="auto" w:fill="FFFFFF"/>
        </w:rPr>
        <w:t>　对资产评估机构出具的评估报告，金融企业应当逐级上报审核，自评估基准日起8个月内向财政部门提出资产评估项目核准申请。</w:t>
      </w:r>
    </w:p>
    <w:p w14:paraId="5A34A5A9">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第十四条</w:t>
      </w:r>
      <w:r>
        <w:rPr>
          <w:rFonts w:hint="eastAsia" w:ascii="宋体" w:hAnsi="宋体" w:eastAsia="宋体" w:cs="宋体"/>
          <w:color w:val="000000"/>
          <w:kern w:val="0"/>
          <w:sz w:val="24"/>
          <w:shd w:val="clear" w:color="auto" w:fill="FFFFFF"/>
        </w:rPr>
        <w:t>　金融企业申请资产评估项目核准时，应当向财政部门报送下列材料：</w:t>
      </w:r>
    </w:p>
    <w:p w14:paraId="2C1344A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（一）资产评估项目核准申请文件；</w:t>
      </w:r>
    </w:p>
    <w:p w14:paraId="77FD945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（二）金融企业资产评估项目核准表（包括：资产评估项目基本情况和资产评估结果，见附件1，一式1份）；</w:t>
      </w:r>
    </w:p>
    <w:p w14:paraId="7831C62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（三）与资产评估目的相对应的经济行为批准文件及实施方案；</w:t>
      </w:r>
    </w:p>
    <w:p w14:paraId="4AFCED3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（四）资产评估报告及电子文档；</w:t>
      </w:r>
    </w:p>
    <w:p w14:paraId="597FF9A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（五）按照规定应当进行审计的审计报告。</w:t>
      </w:r>
    </w:p>
    <w:p w14:paraId="73A913B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拟在境外和香港特别行政区上市的，还应当报送符合相关规定的资产评估报告。</w:t>
      </w:r>
    </w:p>
    <w:p w14:paraId="07920A7D">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第十五条</w:t>
      </w:r>
      <w:r>
        <w:rPr>
          <w:rFonts w:hint="eastAsia" w:ascii="宋体" w:hAnsi="宋体" w:eastAsia="宋体" w:cs="宋体"/>
          <w:color w:val="000000"/>
          <w:kern w:val="0"/>
          <w:sz w:val="24"/>
          <w:shd w:val="clear" w:color="auto" w:fill="FFFFFF"/>
        </w:rPr>
        <w:t>　财政部门收到核准申请后，对申请材料不齐全或者不符合法定形式的，应当在5个工作日内书面一次性告知申请人需要补正的全部内容。对申请材料齐全、符合法定形式，或者申请人按照要求全部补正申请材料的应当受理。</w:t>
      </w:r>
    </w:p>
    <w:p w14:paraId="2B6A942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受理申请或者不予受理申请，应当向申请人出具注明日期的书面凭证（见附件2）。</w:t>
      </w:r>
    </w:p>
    <w:p w14:paraId="64B4C628">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第十六条</w:t>
      </w:r>
      <w:r>
        <w:rPr>
          <w:rFonts w:hint="eastAsia" w:ascii="宋体" w:hAnsi="宋体" w:eastAsia="宋体" w:cs="宋体"/>
          <w:color w:val="000000"/>
          <w:kern w:val="0"/>
          <w:sz w:val="24"/>
          <w:shd w:val="clear" w:color="auto" w:fill="FFFFFF"/>
        </w:rPr>
        <w:t>　财政部门受理申请后，应当对申请材料进行审查。申请材料符合下列要求的，财政部门应当组织专家对资产评估报告进行评审：</w:t>
      </w:r>
    </w:p>
    <w:p w14:paraId="3587FED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（一）资产评估项目所涉及的经济行为已获得批准；</w:t>
      </w:r>
    </w:p>
    <w:p w14:paraId="573E194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（二）资产评估基准日的选择适当；</w:t>
      </w:r>
    </w:p>
    <w:p w14:paraId="6AB7324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（三）资产评估依据适当；</w:t>
      </w:r>
    </w:p>
    <w:p w14:paraId="687218D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（四）资产评估范围与经济行为批准文件确定的资产范围一致；</w:t>
      </w:r>
    </w:p>
    <w:p w14:paraId="6F2E278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（五）资产评估程序符合相关评估准则的规定；</w:t>
      </w:r>
    </w:p>
    <w:p w14:paraId="27FC54D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（六）资产评估报告的有效期已明示；</w:t>
      </w:r>
    </w:p>
    <w:p w14:paraId="1586246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（七）委托方和提供资料的相关当事方已就所提供的资产权属证明文件及其他资料的真实性、合法性和完整性做出承诺。</w:t>
      </w:r>
    </w:p>
    <w:p w14:paraId="20EB8A7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财政部门应当在受理申请后的20个工作日内作出是否予以核准的书面决定。作出不予核准的书面决定的，应当说明理由。</w:t>
      </w:r>
    </w:p>
    <w:p w14:paraId="02F342F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组织专家评审所需时间不计算在前款规定的期限内。</w:t>
      </w:r>
    </w:p>
    <w:p w14:paraId="6AD532FC">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第十七条</w:t>
      </w:r>
      <w:r>
        <w:rPr>
          <w:rFonts w:hint="eastAsia" w:ascii="宋体" w:hAnsi="宋体" w:eastAsia="宋体" w:cs="宋体"/>
          <w:color w:val="000000"/>
          <w:kern w:val="0"/>
          <w:sz w:val="24"/>
          <w:shd w:val="clear" w:color="auto" w:fill="FFFFFF"/>
        </w:rPr>
        <w:t>　除本办法第十一条第一款规定的经济行为以外的其他经济行为，应当进行资产评估的，资产评估项目实行备案。</w:t>
      </w:r>
    </w:p>
    <w:p w14:paraId="7914FA04">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第十八条</w:t>
      </w:r>
      <w:r>
        <w:rPr>
          <w:rFonts w:hint="eastAsia" w:ascii="宋体" w:hAnsi="宋体" w:eastAsia="宋体" w:cs="宋体"/>
          <w:color w:val="000000"/>
          <w:kern w:val="0"/>
          <w:sz w:val="24"/>
          <w:shd w:val="clear" w:color="auto" w:fill="FFFFFF"/>
        </w:rPr>
        <w:t>　中央直接管理的金融企业资产评估项目报财政部备案。中央直接管理的金融企业子公司、省级分公司或分行、金融资产管理公司办事处账面资产总额大于或者等于5000万元人民币的资产评估项目，由中央直接管理的金融企业审核后报财政部备案。中央直接管理的金融企业子公司、省级分公司或分行、金融资产管理公司办事处账面资产总额小于5000万元人民币的资产评估项目，以及下属公司、银行地（市、县）级支行的资产评估项目，报中央直接管理的金融企业备案。</w:t>
      </w:r>
    </w:p>
    <w:p w14:paraId="008FA4A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地方金融企业资产评估项目备案，由省级财政部门根据本地区实际情况具体确定。</w:t>
      </w:r>
    </w:p>
    <w:p w14:paraId="470E8D47">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第十九条</w:t>
      </w:r>
      <w:r>
        <w:rPr>
          <w:rFonts w:hint="eastAsia" w:ascii="宋体" w:hAnsi="宋体" w:eastAsia="宋体" w:cs="宋体"/>
          <w:color w:val="000000"/>
          <w:kern w:val="0"/>
          <w:sz w:val="24"/>
          <w:shd w:val="clear" w:color="auto" w:fill="FFFFFF"/>
        </w:rPr>
        <w:t>　对资产评估机构出具的评估报告，金融企业应当逐级上报审核，自评估基准日起9个月内向财政部门（或者金融企业）提出资产评估项目备案申请。</w:t>
      </w:r>
    </w:p>
    <w:p w14:paraId="5FE3ADD7">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第二十条</w:t>
      </w:r>
      <w:r>
        <w:rPr>
          <w:rFonts w:hint="eastAsia" w:ascii="宋体" w:hAnsi="宋体" w:eastAsia="宋体" w:cs="宋体"/>
          <w:color w:val="000000"/>
          <w:kern w:val="0"/>
          <w:sz w:val="24"/>
          <w:shd w:val="clear" w:color="auto" w:fill="FFFFFF"/>
        </w:rPr>
        <w:t>　金融企业申请资产评估项目备案时，应当报送下列材料：</w:t>
      </w:r>
    </w:p>
    <w:p w14:paraId="484745D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（一）金融企业资产评估项目备案表（包括：资产评估项目基本情况和资产评估结果，见附件3，一式3份）；</w:t>
      </w:r>
    </w:p>
    <w:p w14:paraId="506EC21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（二）与资产评估目的相对应的经济行为批准文件；</w:t>
      </w:r>
    </w:p>
    <w:p w14:paraId="73E3080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（三）资产评估报告及电子文档；</w:t>
      </w:r>
    </w:p>
    <w:p w14:paraId="6CE007B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（四）按照规定应当进行审计的审计报告。</w:t>
      </w:r>
    </w:p>
    <w:p w14:paraId="5CB210E9">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第二十一条</w:t>
      </w:r>
      <w:r>
        <w:rPr>
          <w:rFonts w:hint="eastAsia" w:ascii="宋体" w:hAnsi="宋体" w:eastAsia="宋体" w:cs="宋体"/>
          <w:color w:val="000000"/>
          <w:kern w:val="0"/>
          <w:sz w:val="24"/>
          <w:shd w:val="clear" w:color="auto" w:fill="FFFFFF"/>
        </w:rPr>
        <w:t>　财政部门（或者金融企业）收到备案材料后，应当在20个工作日内决定是否办理备案手续。</w:t>
      </w:r>
    </w:p>
    <w:p w14:paraId="6161AF9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对材料齐全、符合下列要求的，财政部门（或者金融企业）应当办理备案手续，并将资产评估项目备案表退资产占有企业和报送企业留存：</w:t>
      </w:r>
    </w:p>
    <w:p w14:paraId="70E7A7C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（一）资产评估项目所涉及的经济行为已获得批准；</w:t>
      </w:r>
    </w:p>
    <w:p w14:paraId="145B5D7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（二）资产评估范围与经济行为批准文件确定的资产范围一致；</w:t>
      </w:r>
    </w:p>
    <w:p w14:paraId="1A87A7F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（三）资产评估程序符合相关评估准则的规定；</w:t>
      </w:r>
    </w:p>
    <w:p w14:paraId="4AFAC8A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（四）委托方和提供资料的相关当事方已就所提供的资产权属证明文件及其他资料的真实性、合法性和完整性做出承诺。</w:t>
      </w:r>
    </w:p>
    <w:p w14:paraId="0D7C640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对材料不齐全或者不符合上述要求的，财政部门（或者金融企业）不予办理备案手续，并书面说明理由。</w:t>
      </w:r>
    </w:p>
    <w:p w14:paraId="1165A58A">
      <w:pPr>
        <w:shd w:val="clear" w:color="auto" w:fill="FFFFFF"/>
        <w:spacing w:line="440" w:lineRule="atLeast"/>
        <w:ind w:firstLine="480" w:firstLineChars="200"/>
        <w:rPr>
          <w:rFonts w:ascii="宋体" w:hAnsi="宋体" w:eastAsia="宋体" w:cs="宋体"/>
          <w:b/>
          <w:color w:val="000000"/>
          <w:kern w:val="0"/>
          <w:sz w:val="24"/>
          <w:shd w:val="clear" w:color="auto" w:fill="FFFFFF"/>
        </w:rPr>
      </w:pPr>
      <w:r>
        <w:rPr>
          <w:rFonts w:hint="eastAsia" w:ascii="宋体" w:hAnsi="宋体" w:eastAsia="宋体" w:cs="宋体"/>
          <w:color w:val="000000"/>
          <w:kern w:val="0"/>
          <w:sz w:val="24"/>
          <w:shd w:val="clear" w:color="auto" w:fill="FFFFFF"/>
        </w:rPr>
        <w:t>必要时财政部门（或者金融企业）可以组织有关专家进行评审。组织专家评审所需时间不计算在本条第一款规定的期限内。</w:t>
      </w:r>
    </w:p>
    <w:p w14:paraId="44810C42">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第二十二条</w:t>
      </w:r>
      <w:r>
        <w:rPr>
          <w:rFonts w:hint="eastAsia" w:ascii="宋体" w:hAnsi="宋体" w:eastAsia="宋体" w:cs="宋体"/>
          <w:color w:val="000000"/>
          <w:kern w:val="0"/>
          <w:sz w:val="24"/>
          <w:shd w:val="clear" w:color="auto" w:fill="FFFFFF"/>
        </w:rPr>
        <w:t>　涉及多个产权投资主体的，按照金融企业国有股最大股东的财务隶属关系申请核准或者备案。国有股东持股比例相等的，经协商可以委托其中一方按照其财务隶属关系申请核准或者备案。</w:t>
      </w:r>
    </w:p>
    <w:p w14:paraId="75BC623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申请核准或者备案的金融企业应当及时将核准或者备案情况告知产权投资主体。</w:t>
      </w:r>
    </w:p>
    <w:p w14:paraId="187BF4AC">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第二十三条</w:t>
      </w:r>
      <w:r>
        <w:rPr>
          <w:rFonts w:hint="eastAsia" w:ascii="宋体" w:hAnsi="宋体" w:eastAsia="宋体" w:cs="宋体"/>
          <w:color w:val="000000"/>
          <w:kern w:val="0"/>
          <w:sz w:val="24"/>
          <w:shd w:val="clear" w:color="auto" w:fill="FFFFFF"/>
        </w:rPr>
        <w:t>　财政部门准予资产评估项目核准文件和经财政部门（或者金融企业）备案的资产评估项目备案表是金融企业办理产权登记、股权设置和产权转让等相关手续的必备材料。</w:t>
      </w:r>
    </w:p>
    <w:p w14:paraId="702402BB">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第二十四条</w:t>
      </w:r>
      <w:r>
        <w:rPr>
          <w:rFonts w:hint="eastAsia" w:ascii="宋体" w:hAnsi="宋体" w:eastAsia="宋体" w:cs="宋体"/>
          <w:color w:val="000000"/>
          <w:kern w:val="0"/>
          <w:sz w:val="24"/>
          <w:shd w:val="clear" w:color="auto" w:fill="FFFFFF"/>
        </w:rPr>
        <w:t>　金融企业发生与资产评估相对应的经济行为时，应当以经核准或者备案的资产评估结果为作价参考依据。当交易价格与资产评估结果相差10％以上时，应当就差异原因向财政部门（或者金融企业）作出书面说明。</w:t>
      </w:r>
    </w:p>
    <w:p w14:paraId="2A485246">
      <w:pPr>
        <w:shd w:val="clear" w:color="auto" w:fill="FFFFFF"/>
        <w:spacing w:line="440" w:lineRule="atLeast"/>
        <w:jc w:val="center"/>
        <w:rPr>
          <w:rFonts w:ascii="黑体" w:hAnsi="黑体" w:eastAsia="黑体" w:cs="黑体"/>
          <w:color w:val="000000"/>
          <w:kern w:val="0"/>
          <w:sz w:val="28"/>
          <w:szCs w:val="28"/>
          <w:shd w:val="clear" w:color="auto" w:fill="FFFFFF"/>
        </w:rPr>
      </w:pPr>
      <w:r>
        <w:rPr>
          <w:rFonts w:hint="eastAsia" w:ascii="黑体" w:hAnsi="黑体" w:eastAsia="黑体" w:cs="黑体"/>
          <w:color w:val="000000"/>
          <w:kern w:val="0"/>
          <w:sz w:val="28"/>
          <w:szCs w:val="28"/>
          <w:shd w:val="clear" w:color="auto" w:fill="FFFFFF"/>
        </w:rPr>
        <w:t>第四章　监督检查</w:t>
      </w:r>
    </w:p>
    <w:p w14:paraId="775948EA">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第二十五条</w:t>
      </w:r>
      <w:r>
        <w:rPr>
          <w:rFonts w:hint="eastAsia" w:ascii="宋体" w:hAnsi="宋体" w:eastAsia="宋体" w:cs="宋体"/>
          <w:color w:val="000000"/>
          <w:kern w:val="0"/>
          <w:sz w:val="24"/>
          <w:shd w:val="clear" w:color="auto" w:fill="FFFFFF"/>
        </w:rPr>
        <w:t>　金融企业应当建立健全金融企业资产评估管理工作制度，完善档案管理，加强统计分析工作。</w:t>
      </w:r>
    </w:p>
    <w:p w14:paraId="0F7DE0C9">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第二十六条</w:t>
      </w:r>
      <w:r>
        <w:rPr>
          <w:rFonts w:hint="eastAsia" w:ascii="宋体" w:hAnsi="宋体" w:eastAsia="宋体" w:cs="宋体"/>
          <w:color w:val="000000"/>
          <w:kern w:val="0"/>
          <w:sz w:val="24"/>
          <w:shd w:val="clear" w:color="auto" w:fill="FFFFFF"/>
        </w:rPr>
        <w:t>　省级以上财政部门应当对金融企业资产评估工作进行监督检查，必要时可以对资产评估机构进行延伸检查。</w:t>
      </w:r>
    </w:p>
    <w:p w14:paraId="375C8DD4">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第二十七条</w:t>
      </w:r>
      <w:r>
        <w:rPr>
          <w:rFonts w:hint="eastAsia" w:ascii="宋体" w:hAnsi="宋体" w:eastAsia="宋体" w:cs="宋体"/>
          <w:color w:val="000000"/>
          <w:kern w:val="0"/>
          <w:sz w:val="24"/>
          <w:shd w:val="clear" w:color="auto" w:fill="FFFFFF"/>
        </w:rPr>
        <w:t>　省级财政部门应当于每年的3月31日前，将对本地区金融企业上一年度资产评估工作的监督检查情况、存在的问题及处理情况报财政部。</w:t>
      </w:r>
    </w:p>
    <w:p w14:paraId="0098DA50">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第二十八条</w:t>
      </w:r>
      <w:r>
        <w:rPr>
          <w:rFonts w:hint="eastAsia" w:ascii="宋体" w:hAnsi="宋体" w:eastAsia="宋体" w:cs="宋体"/>
          <w:color w:val="000000"/>
          <w:kern w:val="0"/>
          <w:sz w:val="24"/>
          <w:shd w:val="clear" w:color="auto" w:fill="FFFFFF"/>
        </w:rPr>
        <w:t>　省级以上财政部门应当将监督检查中发现的问题，及时向相关监管部门进行通报。</w:t>
      </w:r>
    </w:p>
    <w:p w14:paraId="675BBC01">
      <w:pPr>
        <w:shd w:val="clear" w:color="auto" w:fill="FFFFFF"/>
        <w:spacing w:line="440" w:lineRule="atLeast"/>
        <w:jc w:val="center"/>
        <w:rPr>
          <w:rFonts w:ascii="黑体" w:hAnsi="黑体" w:eastAsia="黑体" w:cs="黑体"/>
          <w:color w:val="000000"/>
          <w:kern w:val="0"/>
          <w:sz w:val="28"/>
          <w:szCs w:val="28"/>
          <w:shd w:val="clear" w:color="auto" w:fill="FFFFFF"/>
        </w:rPr>
      </w:pPr>
      <w:r>
        <w:rPr>
          <w:rFonts w:hint="eastAsia" w:ascii="黑体" w:hAnsi="黑体" w:eastAsia="黑体" w:cs="黑体"/>
          <w:color w:val="000000"/>
          <w:kern w:val="0"/>
          <w:sz w:val="28"/>
          <w:szCs w:val="28"/>
          <w:shd w:val="clear" w:color="auto" w:fill="FFFFFF"/>
        </w:rPr>
        <w:t>第五章　罚则</w:t>
      </w:r>
    </w:p>
    <w:p w14:paraId="12C91D98">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第二十九条</w:t>
      </w:r>
      <w:r>
        <w:rPr>
          <w:rFonts w:hint="eastAsia" w:ascii="宋体" w:hAnsi="宋体" w:eastAsia="宋体" w:cs="宋体"/>
          <w:color w:val="000000"/>
          <w:kern w:val="0"/>
          <w:sz w:val="24"/>
          <w:shd w:val="clear" w:color="auto" w:fill="FFFFFF"/>
        </w:rPr>
        <w:t>　金融企业在资产评估中有违法行为的，依照有关法律、行政法规的规定处理、处罚。</w:t>
      </w:r>
    </w:p>
    <w:p w14:paraId="6986E13C">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第三十条</w:t>
      </w:r>
      <w:r>
        <w:rPr>
          <w:rFonts w:hint="eastAsia" w:ascii="宋体" w:hAnsi="宋体" w:eastAsia="宋体" w:cs="宋体"/>
          <w:color w:val="000000"/>
          <w:kern w:val="0"/>
          <w:sz w:val="24"/>
          <w:shd w:val="clear" w:color="auto" w:fill="FFFFFF"/>
        </w:rPr>
        <w:t>　金融企业违反本办法有关规定，由财政部门责令限期改正。有下列情形之一的，由财政部门给予警告：</w:t>
      </w:r>
    </w:p>
    <w:p w14:paraId="7D24690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（一）应当进行资产评估而未进行评估的；</w:t>
      </w:r>
    </w:p>
    <w:p w14:paraId="5D1982C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（二）应当申请资产评估项目核准或者备案而未申请的；</w:t>
      </w:r>
    </w:p>
    <w:p w14:paraId="283ACFF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（三）委托没有资产评估执业资格的机构或者人员从事资产评估的，或者委托同一中介机构对同一经济行为进行资产评估、审计、会计业务服务的。</w:t>
      </w:r>
    </w:p>
    <w:p w14:paraId="0E052517">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第三十一条</w:t>
      </w:r>
      <w:r>
        <w:rPr>
          <w:rFonts w:hint="eastAsia" w:ascii="宋体" w:hAnsi="宋体" w:eastAsia="宋体" w:cs="宋体"/>
          <w:color w:val="000000"/>
          <w:kern w:val="0"/>
          <w:sz w:val="24"/>
          <w:shd w:val="clear" w:color="auto" w:fill="FFFFFF"/>
        </w:rPr>
        <w:t>　资产评估机构或者人员在金融企业资产评估中违反有关规定的，由省级以上财政部门依法进行处理、处罚。</w:t>
      </w:r>
    </w:p>
    <w:p w14:paraId="0DB76387">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第三十二条</w:t>
      </w:r>
      <w:r>
        <w:rPr>
          <w:rFonts w:hint="eastAsia" w:ascii="宋体" w:hAnsi="宋体" w:eastAsia="宋体" w:cs="宋体"/>
          <w:color w:val="000000"/>
          <w:kern w:val="0"/>
          <w:sz w:val="24"/>
          <w:shd w:val="clear" w:color="auto" w:fill="FFFFFF"/>
        </w:rPr>
        <w:t>　财政部门工作人员在资产评估监督管理工作中滥用职权、玩忽职守、徇私舞弊，或者泄漏金融企业商业秘密的，依法给予行政处分，涉嫌犯罪的，依法移送司法机关。</w:t>
      </w:r>
    </w:p>
    <w:p w14:paraId="5AE22129">
      <w:pPr>
        <w:shd w:val="clear" w:color="auto" w:fill="FFFFFF"/>
        <w:spacing w:line="440" w:lineRule="atLeast"/>
        <w:jc w:val="center"/>
        <w:rPr>
          <w:rFonts w:ascii="黑体" w:hAnsi="黑体" w:eastAsia="黑体" w:cs="黑体"/>
          <w:color w:val="000000"/>
          <w:kern w:val="0"/>
          <w:sz w:val="28"/>
          <w:szCs w:val="28"/>
          <w:shd w:val="clear" w:color="auto" w:fill="FFFFFF"/>
        </w:rPr>
      </w:pPr>
      <w:r>
        <w:rPr>
          <w:rFonts w:hint="eastAsia" w:ascii="黑体" w:hAnsi="黑体" w:eastAsia="黑体" w:cs="黑体"/>
          <w:color w:val="000000"/>
          <w:kern w:val="0"/>
          <w:sz w:val="28"/>
          <w:szCs w:val="28"/>
          <w:shd w:val="clear" w:color="auto" w:fill="FFFFFF"/>
        </w:rPr>
        <w:t>第六章　附则</w:t>
      </w:r>
    </w:p>
    <w:p w14:paraId="3762E9D2">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第三十三条</w:t>
      </w:r>
      <w:r>
        <w:rPr>
          <w:rFonts w:hint="eastAsia" w:ascii="宋体" w:hAnsi="宋体" w:eastAsia="宋体" w:cs="宋体"/>
          <w:color w:val="000000"/>
          <w:kern w:val="0"/>
          <w:sz w:val="24"/>
          <w:shd w:val="clear" w:color="auto" w:fill="FFFFFF"/>
        </w:rPr>
        <w:t>　省级财政部门可以依照本办法，结合本地区实际情况，制订具体实施办法。</w:t>
      </w:r>
    </w:p>
    <w:p w14:paraId="3F32251E">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第三十四条</w:t>
      </w:r>
      <w:r>
        <w:rPr>
          <w:rFonts w:hint="eastAsia" w:ascii="宋体" w:hAnsi="宋体" w:eastAsia="宋体" w:cs="宋体"/>
          <w:color w:val="000000"/>
          <w:kern w:val="0"/>
          <w:sz w:val="24"/>
          <w:shd w:val="clear" w:color="auto" w:fill="FFFFFF"/>
        </w:rPr>
        <w:t>　对中国人民银行总行所属企业资产评估的监督管理，参照本办法执行。</w:t>
      </w:r>
    </w:p>
    <w:p w14:paraId="19CCE501">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第三十五条</w:t>
      </w:r>
      <w:r>
        <w:rPr>
          <w:rFonts w:hint="eastAsia" w:ascii="宋体" w:hAnsi="宋体" w:eastAsia="宋体" w:cs="宋体"/>
          <w:color w:val="000000"/>
          <w:kern w:val="0"/>
          <w:sz w:val="24"/>
          <w:shd w:val="clear" w:color="auto" w:fill="FFFFFF"/>
        </w:rPr>
        <w:t>　本办法自2008年1月1日起施行。</w:t>
      </w:r>
    </w:p>
    <w:p w14:paraId="79B4D3C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br w:type="page"/>
      </w:r>
    </w:p>
    <w:p w14:paraId="7833C31D">
      <w:pPr>
        <w:pStyle w:val="5"/>
        <w:spacing w:line="440" w:lineRule="atLeast"/>
        <w:jc w:val="center"/>
        <w:rPr>
          <w:rFonts w:ascii="宋体" w:hAnsi="宋体" w:eastAsia="宋体" w:cs="宋体"/>
        </w:rPr>
      </w:pPr>
      <w:bookmarkStart w:id="13" w:name="_Toc17232"/>
      <w:r>
        <w:rPr>
          <w:rFonts w:hint="eastAsia" w:ascii="宋体" w:hAnsi="宋体" w:eastAsia="宋体" w:cs="宋体"/>
        </w:rPr>
        <w:t>最高人民法院关于人民法院确定财产</w:t>
      </w:r>
      <w:bookmarkEnd w:id="13"/>
    </w:p>
    <w:p w14:paraId="54E0C011">
      <w:pPr>
        <w:pStyle w:val="5"/>
        <w:spacing w:line="440" w:lineRule="atLeast"/>
        <w:jc w:val="center"/>
        <w:rPr>
          <w:rFonts w:ascii="宋体" w:hAnsi="宋体" w:eastAsia="宋体" w:cs="宋体"/>
        </w:rPr>
      </w:pPr>
      <w:bookmarkStart w:id="14" w:name="_Toc4714"/>
      <w:r>
        <w:rPr>
          <w:rFonts w:hint="eastAsia" w:ascii="宋体" w:hAnsi="宋体" w:eastAsia="宋体" w:cs="宋体"/>
        </w:rPr>
        <w:t>处置参考价若干问题的规定</w:t>
      </w:r>
      <w:bookmarkEnd w:id="14"/>
    </w:p>
    <w:p w14:paraId="13EC2A5E">
      <w:pPr>
        <w:shd w:val="clear" w:color="auto" w:fill="FFFFFF"/>
        <w:spacing w:line="440" w:lineRule="atLeast"/>
        <w:ind w:firstLine="480" w:firstLineChars="200"/>
        <w:jc w:val="center"/>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2018年8月28日最高人民法院发布　法释〔2018〕15号</w:t>
      </w:r>
    </w:p>
    <w:p w14:paraId="2DBDAE7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为公平、公正、高效确定财产处置参考价，维护当事人、利害关系人的合法权益，根据《中华人民共和国民事诉讼法》等法律规定，结合人民法院工作实际，制定本规定。</w:t>
      </w:r>
    </w:p>
    <w:p w14:paraId="111ADD97">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第一条</w:t>
      </w:r>
      <w:r>
        <w:rPr>
          <w:rFonts w:hint="eastAsia" w:ascii="宋体" w:hAnsi="宋体" w:eastAsia="宋体" w:cs="宋体"/>
          <w:color w:val="000000"/>
          <w:kern w:val="0"/>
          <w:sz w:val="24"/>
          <w:shd w:val="clear" w:color="auto" w:fill="FFFFFF"/>
        </w:rPr>
        <w:t>　人民法院查封、扣押、冻结财产后，对需要拍卖、变卖的财产，应当在三十日内启动确定财产处置参考价程序。</w:t>
      </w:r>
    </w:p>
    <w:p w14:paraId="08BD054B">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第二条</w:t>
      </w:r>
      <w:r>
        <w:rPr>
          <w:rFonts w:hint="eastAsia" w:ascii="宋体" w:hAnsi="宋体" w:eastAsia="宋体" w:cs="宋体"/>
          <w:color w:val="000000"/>
          <w:kern w:val="0"/>
          <w:sz w:val="24"/>
          <w:shd w:val="clear" w:color="auto" w:fill="FFFFFF"/>
        </w:rPr>
        <w:t>　人民法院确定财产处置参考价，可以采取当事人议价、定向询价、网络询价、委托评估等方式。</w:t>
      </w:r>
    </w:p>
    <w:p w14:paraId="28B900E9">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第三条</w:t>
      </w:r>
      <w:r>
        <w:rPr>
          <w:rFonts w:hint="eastAsia" w:ascii="宋体" w:hAnsi="宋体" w:eastAsia="宋体" w:cs="宋体"/>
          <w:color w:val="000000"/>
          <w:kern w:val="0"/>
          <w:sz w:val="24"/>
          <w:shd w:val="clear" w:color="auto" w:fill="FFFFFF"/>
        </w:rPr>
        <w:t>　人民法院确定参考价前，应当查明财产的权属、权利负担、占有使用、欠缴税费、质量瑕疵等事项。</w:t>
      </w:r>
    </w:p>
    <w:p w14:paraId="2B534D1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人民法院查明前款规定事项需要当事人、有关单位或者个人提供相关资料的，可以通知其提交；拒不提交的，可以强制提取；对妨碍强制提取的，参照民事诉讼法第一百一十一条、第一百一十四条的规定处理。</w:t>
      </w:r>
    </w:p>
    <w:p w14:paraId="5FB3DAC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查明本条第一款规定事项需要审计、鉴定的，人民法院可以先行审计、鉴定。</w:t>
      </w:r>
    </w:p>
    <w:p w14:paraId="7073ADB0">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第四条</w:t>
      </w:r>
      <w:r>
        <w:rPr>
          <w:rFonts w:hint="eastAsia" w:ascii="宋体" w:hAnsi="宋体" w:eastAsia="宋体" w:cs="宋体"/>
          <w:color w:val="000000"/>
          <w:kern w:val="0"/>
          <w:sz w:val="24"/>
          <w:shd w:val="clear" w:color="auto" w:fill="FFFFFF"/>
        </w:rPr>
        <w:t>　采取当事人议价方式确定参考价的，除一方当事人拒绝议价或者下落不明外，人民法院应当以适当的方式通知或者组织当事人进行协商，当事人应当在指定期限内提交议价结果。</w:t>
      </w:r>
    </w:p>
    <w:p w14:paraId="0AC348E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双方当事人提交的议价结果一致，且不损害他人合法权益的，议价结果为参考价。</w:t>
      </w:r>
    </w:p>
    <w:p w14:paraId="54C4C4D1">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第五条</w:t>
      </w:r>
      <w:r>
        <w:rPr>
          <w:rFonts w:hint="eastAsia" w:ascii="宋体" w:hAnsi="宋体" w:eastAsia="宋体" w:cs="宋体"/>
          <w:color w:val="000000"/>
          <w:kern w:val="0"/>
          <w:sz w:val="24"/>
          <w:shd w:val="clear" w:color="auto" w:fill="FFFFFF"/>
        </w:rPr>
        <w:t>　当事人议价不能或者不成，且财产有计税基准价、政府定价或者政府指导价的，人民法院应当向确定参考价时财产所在地的有关机构进行定向询价。</w:t>
      </w:r>
    </w:p>
    <w:p w14:paraId="32DE674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双方当事人一致要求直接进行定向询价，且财产有计税基准价、政府定价或者政府指导价的，人民法院应当准许。</w:t>
      </w:r>
    </w:p>
    <w:p w14:paraId="157CD8A4">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第六条</w:t>
      </w:r>
      <w:r>
        <w:rPr>
          <w:rFonts w:hint="eastAsia" w:ascii="宋体" w:hAnsi="宋体" w:eastAsia="宋体" w:cs="宋体"/>
          <w:color w:val="000000"/>
          <w:kern w:val="0"/>
          <w:sz w:val="24"/>
          <w:shd w:val="clear" w:color="auto" w:fill="FFFFFF"/>
        </w:rPr>
        <w:t>　采取定向询价方式确定参考价的，人民法院应当向有关机构出具询价函，询价函应当载明询价要求、完成期限等内容。</w:t>
      </w:r>
    </w:p>
    <w:p w14:paraId="48F4B6B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接受定向询价的机构在指定期限内出具的询价结果为参考价。</w:t>
      </w:r>
    </w:p>
    <w:p w14:paraId="6A2953F7">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第七条</w:t>
      </w:r>
      <w:r>
        <w:rPr>
          <w:rFonts w:hint="eastAsia" w:ascii="宋体" w:hAnsi="宋体" w:eastAsia="宋体" w:cs="宋体"/>
          <w:color w:val="000000"/>
          <w:kern w:val="0"/>
          <w:sz w:val="24"/>
          <w:shd w:val="clear" w:color="auto" w:fill="FFFFFF"/>
        </w:rPr>
        <w:t>　定向询价不能或者不成，财产无需由专业人员现场勘验或者鉴定，且具备网络询价条件的，人民法院应当通过司法网络询价平台进行网络询价。</w:t>
      </w:r>
    </w:p>
    <w:p w14:paraId="46884A7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双方当事人一致要求或者同意直接进行网络询价，财产无需由专业人员现场勘验或者鉴定，且具备网络询价条件的，人民法院应当准许。</w:t>
      </w:r>
    </w:p>
    <w:p w14:paraId="6FC84E5C">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第八条</w:t>
      </w:r>
      <w:r>
        <w:rPr>
          <w:rFonts w:hint="eastAsia" w:ascii="宋体" w:hAnsi="宋体" w:eastAsia="宋体" w:cs="宋体"/>
          <w:color w:val="000000"/>
          <w:kern w:val="0"/>
          <w:sz w:val="24"/>
          <w:shd w:val="clear" w:color="auto" w:fill="FFFFFF"/>
        </w:rPr>
        <w:t>　　最高人民法院建立全国性司法网络询价平台名单库。</w:t>
      </w:r>
    </w:p>
    <w:p w14:paraId="3C02FAA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司法网络询价平台应当同时符合下列条件：</w:t>
      </w:r>
    </w:p>
    <w:p w14:paraId="60818A5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（一）具备能够依法开展互联网信息服务工作的资质；</w:t>
      </w:r>
    </w:p>
    <w:p w14:paraId="42C35FE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（二）能够合法获取并整合全国各地区同种类财产一定时期的既往成交价、政府定价、政府指导价或者市场公开交易价等不少于三类价格数据，并保证数据真实、准确；</w:t>
      </w:r>
    </w:p>
    <w:p w14:paraId="5E29F46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（三）能够根据数据化财产特征，运用一定的运算规则对市场既往交易价格、交易趋势予以分析；</w:t>
      </w:r>
    </w:p>
    <w:p w14:paraId="10A7121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（四）程序运行规范、系统安全高效、服务质优价廉；</w:t>
      </w:r>
    </w:p>
    <w:p w14:paraId="54FAC14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（五）能够全程记载数据的分析过程，将形成的电子数据完整保存不少于十年，但法律、行政法规、司法解释另有规定的除外。</w:t>
      </w:r>
    </w:p>
    <w:p w14:paraId="6A118061">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第九条</w:t>
      </w:r>
      <w:r>
        <w:rPr>
          <w:rFonts w:hint="eastAsia" w:ascii="宋体" w:hAnsi="宋体" w:eastAsia="宋体" w:cs="宋体"/>
          <w:color w:val="000000"/>
          <w:kern w:val="0"/>
          <w:sz w:val="24"/>
          <w:shd w:val="clear" w:color="auto" w:fill="FFFFFF"/>
        </w:rPr>
        <w:t>　最高人民法院组成专门的评审委员会，负责司法网络询价平台的选定、评审和除名。每年引入权威第三方对已纳入和新申请纳入名单库的司法网络询价平台予以评审并公布结果。</w:t>
      </w:r>
    </w:p>
    <w:p w14:paraId="5624211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司法网络询价平台具有下列情形之一的，应当将其从名单库中除名：</w:t>
      </w:r>
    </w:p>
    <w:p w14:paraId="5EC2C59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（一）无正当理由拒绝进行网络询价；</w:t>
      </w:r>
    </w:p>
    <w:p w14:paraId="4B85B24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（二）无正当理由一年内累计五次未按期完成网络询价；</w:t>
      </w:r>
    </w:p>
    <w:p w14:paraId="7214964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（三）存在恶意串通、弄虚作假、泄露保密信息等行为；</w:t>
      </w:r>
    </w:p>
    <w:p w14:paraId="3FE30F6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（四）经权威第三方评审认定不符合提供网络询价服务条件；</w:t>
      </w:r>
    </w:p>
    <w:p w14:paraId="58D36DF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（五）存在其他违反询价规则以及法律、行政法规、司法解释规定的情形。</w:t>
      </w:r>
    </w:p>
    <w:p w14:paraId="15E6CA9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司法网络询价平台被除名后，五年内不得被纳入名单库。</w:t>
      </w:r>
    </w:p>
    <w:p w14:paraId="5E353C8B">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第十条</w:t>
      </w:r>
      <w:r>
        <w:rPr>
          <w:rFonts w:hint="eastAsia" w:ascii="宋体" w:hAnsi="宋体" w:eastAsia="宋体" w:cs="宋体"/>
          <w:color w:val="000000"/>
          <w:kern w:val="0"/>
          <w:sz w:val="24"/>
          <w:shd w:val="clear" w:color="auto" w:fill="FFFFFF"/>
        </w:rPr>
        <w:t>　采取网络询价方式确定参考价的，人民法院应当同时向名单库中的全部司法网络询价平台发出网络询价委托书。网络询价委托书应当载明财产名称、物理特征、规格数量、目的要求、完成期限以及其他需要明确的内容等。</w:t>
      </w:r>
    </w:p>
    <w:p w14:paraId="1C33FC78">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第十一条</w:t>
      </w:r>
      <w:r>
        <w:rPr>
          <w:rFonts w:hint="eastAsia" w:ascii="宋体" w:hAnsi="宋体" w:eastAsia="宋体" w:cs="宋体"/>
          <w:color w:val="000000"/>
          <w:kern w:val="0"/>
          <w:sz w:val="24"/>
          <w:shd w:val="clear" w:color="auto" w:fill="FFFFFF"/>
        </w:rPr>
        <w:t>　司法网络询价平台应当在收到人民法院网络询价委托书之日起三日内出具网络询价报告。网络询价报告应当载明财产的基本情况、参照样本、计算方法、询价结果及有效期等内容。</w:t>
      </w:r>
    </w:p>
    <w:p w14:paraId="3C2D75F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司法网络询价平台不能在期限内完成询价的，应当在期限届满前申请延长期限。全部司法网络询价平台均未能在期限内出具询价结果的，人民法院应当根据各司法网络询价平台的延期申请延期三日；部分司法网络询价平台在期限内出具网络询价结果的，人民法院对其他司法网络询价平台的延期申请不予准许。</w:t>
      </w:r>
    </w:p>
    <w:p w14:paraId="32C8468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全部司法网络询价平台均未在期限内出具或者补正网络询价报告，且未按照规定申请延长期限的，人民法院应当委托评估机构进行评估。</w:t>
      </w:r>
    </w:p>
    <w:p w14:paraId="64B74AB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人民法院未在网络询价结果有效期内发布一拍拍卖公告或者直接进入变卖程序的，应当通知司法网络询价平台在三日内重新出具网络询价报告。</w:t>
      </w:r>
    </w:p>
    <w:p w14:paraId="4E81CF0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　</w:t>
      </w:r>
      <w:r>
        <w:rPr>
          <w:rFonts w:hint="eastAsia" w:ascii="宋体" w:hAnsi="宋体" w:eastAsia="宋体" w:cs="宋体"/>
          <w:b/>
          <w:color w:val="000000"/>
          <w:kern w:val="0"/>
          <w:sz w:val="24"/>
          <w:shd w:val="clear" w:color="auto" w:fill="FFFFFF"/>
        </w:rPr>
        <w:t>第十二条</w:t>
      </w:r>
      <w:r>
        <w:rPr>
          <w:rFonts w:hint="eastAsia" w:ascii="宋体" w:hAnsi="宋体" w:eastAsia="宋体" w:cs="宋体"/>
          <w:color w:val="000000"/>
          <w:kern w:val="0"/>
          <w:sz w:val="24"/>
          <w:shd w:val="clear" w:color="auto" w:fill="FFFFFF"/>
        </w:rPr>
        <w:t>　人民法院应当对网络询价报告进行审查。网络询价报告均存在财产基本信息错误、超出财产范围或者遗漏财产等情形的，应当通知司法网络询价平台在三日内予以补正；部分网络询价报告不存在上述情形的，无需通知其他司法网络询价平台补正。</w:t>
      </w:r>
    </w:p>
    <w:p w14:paraId="454E5BB3">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第十三条</w:t>
      </w:r>
      <w:r>
        <w:rPr>
          <w:rFonts w:hint="eastAsia" w:ascii="宋体" w:hAnsi="宋体" w:eastAsia="宋体" w:cs="宋体"/>
          <w:color w:val="000000"/>
          <w:kern w:val="0"/>
          <w:sz w:val="24"/>
          <w:shd w:val="clear" w:color="auto" w:fill="FFFFFF"/>
        </w:rPr>
        <w:t>　全部司法网络询价平台均在期限内出具询价结果或者补正结果的，人民法院应当以全部司法网络询价平台出具结果的平均值为参考价；部分司法网络询价平台在期限内出具询价结果或者补正结果的，人民法院应当以该部分司法网络询价平台出具结果的平均值为参考价。</w:t>
      </w:r>
    </w:p>
    <w:p w14:paraId="61D9DCD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当事人、利害关系人依据本规定第二十二条的规定对全部网络询价报告均提出异议，且所提异议被驳回或者司法网络询价平台已作出补正的，人民法院应当以异议被驳回或者已作出补正的各司法网络询价平台出具结果的平均值为参考价；对部分网络询价报告提出异议的，人民法院应当以网络询价报告未被提出异议的各司法网络询价平台出具结果的平均值为参考价。</w:t>
      </w:r>
    </w:p>
    <w:p w14:paraId="4D02B500">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第十四条</w:t>
      </w:r>
      <w:r>
        <w:rPr>
          <w:rFonts w:hint="eastAsia" w:ascii="宋体" w:hAnsi="宋体" w:eastAsia="宋体" w:cs="宋体"/>
          <w:color w:val="000000"/>
          <w:kern w:val="0"/>
          <w:sz w:val="24"/>
          <w:shd w:val="clear" w:color="auto" w:fill="FFFFFF"/>
        </w:rPr>
        <w:t>　法律、行政法规规定必须委托评估、双方当事人要求委托评估或者网络询价不能或不成的，人民法院应当委托评估机构进行评估。</w:t>
      </w:r>
    </w:p>
    <w:p w14:paraId="3E8388D5">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第十五条</w:t>
      </w:r>
      <w:r>
        <w:rPr>
          <w:rFonts w:hint="eastAsia" w:ascii="宋体" w:hAnsi="宋体" w:eastAsia="宋体" w:cs="宋体"/>
          <w:color w:val="000000"/>
          <w:kern w:val="0"/>
          <w:sz w:val="24"/>
          <w:shd w:val="clear" w:color="auto" w:fill="FFFFFF"/>
        </w:rPr>
        <w:t>　最高人民法院根据全国性评估行业协会推荐的评估机构名单建立人民法院司法评估机构名单库。按评估专业领域和评估机构的执业范围建立名单分库，在分库下根据行政区划设省、市两级名单子库。</w:t>
      </w:r>
    </w:p>
    <w:p w14:paraId="60EC7C5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评估机构无正当理由拒绝进行司法评估或者存在弄虚作假等情形的，最高人民法院可以商全国性评估行业协会将其从名单库中除名；除名后五年内不得被纳入名单库。</w:t>
      </w:r>
    </w:p>
    <w:p w14:paraId="4CD8758D">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第十六条</w:t>
      </w:r>
      <w:r>
        <w:rPr>
          <w:rFonts w:hint="eastAsia" w:ascii="宋体" w:hAnsi="宋体" w:eastAsia="宋体" w:cs="宋体"/>
          <w:color w:val="000000"/>
          <w:kern w:val="0"/>
          <w:sz w:val="24"/>
          <w:shd w:val="clear" w:color="auto" w:fill="FFFFFF"/>
        </w:rPr>
        <w:t>　采取委托评估方式确定参考价的，人民法院应当通知双方当事人在指定期限内从名单分库中协商确定三家评估机构以及顺序；双方当事人在指定期限内协商不成或者一方当事人下落不明的，采取摇号方式在名单分库或者财产所在地的名单子库中随机确定三家评估机构以及顺序。双方当事人一致要求在同一名单子库中随机确定的，人民法院应当准许。</w:t>
      </w:r>
    </w:p>
    <w:p w14:paraId="2E7A67A2">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第十七条</w:t>
      </w:r>
      <w:r>
        <w:rPr>
          <w:rFonts w:hint="eastAsia" w:ascii="宋体" w:hAnsi="宋体" w:eastAsia="宋体" w:cs="宋体"/>
          <w:color w:val="000000"/>
          <w:kern w:val="0"/>
          <w:sz w:val="24"/>
          <w:shd w:val="clear" w:color="auto" w:fill="FFFFFF"/>
        </w:rPr>
        <w:t>　人民法院应当向顺序在先的评估机构出具评估委托书，评估委托书应当载明财产名称、物理特征、规格数量、目的要求、完成期限以及其他需要明确的内容等，同时应当将查明的财产情况及相关材料一并移交给评估机构。</w:t>
      </w:r>
    </w:p>
    <w:p w14:paraId="41548D7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评估机构应当出具评估报告，评估报告应当载明评估财产的基本情况、评估方法、评估标准、评估结果及有效期等内容。</w:t>
      </w:r>
    </w:p>
    <w:p w14:paraId="0BEF8C42">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第十八条</w:t>
      </w:r>
      <w:r>
        <w:rPr>
          <w:rFonts w:hint="eastAsia" w:ascii="宋体" w:hAnsi="宋体" w:eastAsia="宋体" w:cs="宋体"/>
          <w:color w:val="000000"/>
          <w:kern w:val="0"/>
          <w:sz w:val="24"/>
          <w:shd w:val="clear" w:color="auto" w:fill="FFFFFF"/>
        </w:rPr>
        <w:t>　评估需要进行现场勘验的，人民法院应当通知当事人到场；当事人不到场的，不影响勘验的进行，但应当有见证人见证。现场勘验需要当事人、协助义务人配合的，人民法院依法责令其配合；不予配合的，可以依法强制进行。</w:t>
      </w:r>
    </w:p>
    <w:p w14:paraId="2CA7C52B">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第十九条</w:t>
      </w:r>
      <w:r>
        <w:rPr>
          <w:rFonts w:hint="eastAsia" w:ascii="宋体" w:hAnsi="宋体" w:eastAsia="宋体" w:cs="宋体"/>
          <w:color w:val="000000"/>
          <w:kern w:val="0"/>
          <w:sz w:val="24"/>
          <w:shd w:val="clear" w:color="auto" w:fill="FFFFFF"/>
        </w:rPr>
        <w:t>　评估机构应当在三十日内出具评估报告。人民法院决定暂缓或者裁定中止执行的期间，应当从前述期限中扣除。</w:t>
      </w:r>
    </w:p>
    <w:p w14:paraId="69AE865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评估机构不能在期限内出具评估报告的，应当在期限届满五日前书面向人民法院申请延长期限。人民法院决定延长期限的，延期次数不超过两次，每次不超过十五日。</w:t>
      </w:r>
    </w:p>
    <w:p w14:paraId="1ED7E4A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评估机构未在期限内出具评估报告、补正说明，且未按照规定申请延长期限的，人民法院应当通知该评估机构三日内将人民法院委托评估时移交的材料退回，另行委托下一顺序的评估机构重新进行评估。</w:t>
      </w:r>
    </w:p>
    <w:p w14:paraId="12236BE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人民法院未在评估结果有效期内发布一拍拍卖公告或者直接进入变卖程序的，应当通知原评估机构在十五日内重新出具评估报告。</w:t>
      </w:r>
    </w:p>
    <w:p w14:paraId="446011F7">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第二十条</w:t>
      </w:r>
      <w:r>
        <w:rPr>
          <w:rFonts w:hint="eastAsia" w:ascii="宋体" w:hAnsi="宋体" w:eastAsia="宋体" w:cs="宋体"/>
          <w:color w:val="000000"/>
          <w:kern w:val="0"/>
          <w:sz w:val="24"/>
          <w:shd w:val="clear" w:color="auto" w:fill="FFFFFF"/>
        </w:rPr>
        <w:t>　人民法院应当对评估报告进行审查。具有下列情形之一的，应当责令评估机构在三日内予以书面说明或者补正：</w:t>
      </w:r>
    </w:p>
    <w:p w14:paraId="3F829AF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（一）财产基本信息错误；</w:t>
      </w:r>
    </w:p>
    <w:p w14:paraId="3E6E868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（二）超出财产范围或者遗漏财产；</w:t>
      </w:r>
    </w:p>
    <w:p w14:paraId="2E5C89E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（三）选定的评估机构与评估报告上签章的评估机构不符；</w:t>
      </w:r>
    </w:p>
    <w:p w14:paraId="22C219D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（四）评估人员执业资格证明与评估报告上署名的人员不符；</w:t>
      </w:r>
    </w:p>
    <w:p w14:paraId="39386FD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（五）具有其他应当书面说明或者补正的情形。</w:t>
      </w:r>
    </w:p>
    <w:p w14:paraId="04D5832F">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第二十一条</w:t>
      </w:r>
      <w:r>
        <w:rPr>
          <w:rFonts w:hint="eastAsia" w:ascii="宋体" w:hAnsi="宋体" w:eastAsia="宋体" w:cs="宋体"/>
          <w:color w:val="000000"/>
          <w:kern w:val="0"/>
          <w:sz w:val="24"/>
          <w:shd w:val="clear" w:color="auto" w:fill="FFFFFF"/>
        </w:rPr>
        <w:t>　人民法院收到定向询价、网络询价、委托评估、说明补正等报告后，应当在三日内发送给当事人及利害关系人。</w:t>
      </w:r>
    </w:p>
    <w:p w14:paraId="5BA893B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当事人、利害关系人已提供有效送达地址的，人民法院应当将报告以直接送达、留置送达、委托送达、邮寄送达或者电子送达的方式送达；当事人、利害关系人下落不明或者无法获取其有效送达地址，人民法院无法按照前述规定送达的，应当在中国执行信息公开网上予以公示，公示满十五日即视为收到。</w:t>
      </w:r>
    </w:p>
    <w:p w14:paraId="78D43DB8">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第二十二条</w:t>
      </w:r>
      <w:r>
        <w:rPr>
          <w:rFonts w:hint="eastAsia" w:ascii="宋体" w:hAnsi="宋体" w:eastAsia="宋体" w:cs="宋体"/>
          <w:color w:val="000000"/>
          <w:kern w:val="0"/>
          <w:sz w:val="24"/>
          <w:shd w:val="clear" w:color="auto" w:fill="FFFFFF"/>
        </w:rPr>
        <w:t>　当事人、利害关系人认为网络询价报告或者评估报告具有下列情形之一的，可以在收到报告后五日内提出书面异议：</w:t>
      </w:r>
    </w:p>
    <w:p w14:paraId="2D887AF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（一）财产基本信息错误；</w:t>
      </w:r>
    </w:p>
    <w:p w14:paraId="5592EA9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（二）超出财产范围或者遗漏财产；</w:t>
      </w:r>
    </w:p>
    <w:p w14:paraId="596C095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（三）评估机构或者评估人员不具备相应评估资质；</w:t>
      </w:r>
    </w:p>
    <w:p w14:paraId="268E4EA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（四）评估程序严重违法。</w:t>
      </w:r>
    </w:p>
    <w:p w14:paraId="5A8B081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对当事人、利害关系人依据前款规定提出的书面异议，人民法院应当参照民事诉讼法第二百二十五条的规定处理。</w:t>
      </w:r>
    </w:p>
    <w:p w14:paraId="50C4CEB3">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第二十三条</w:t>
      </w:r>
      <w:r>
        <w:rPr>
          <w:rFonts w:hint="eastAsia" w:ascii="宋体" w:hAnsi="宋体" w:eastAsia="宋体" w:cs="宋体"/>
          <w:color w:val="000000"/>
          <w:kern w:val="0"/>
          <w:sz w:val="24"/>
          <w:shd w:val="clear" w:color="auto" w:fill="FFFFFF"/>
        </w:rPr>
        <w:t>　当事人、利害关系人收到评估报告后五日内对评估报告的参照标准、计算方法或者评估结果等提出书面异议的，人民法院应当在三日内交评估机构予以书面说明。评估机构在五日内未作说明或者当事人、利害关系人对作出的说明仍有异议的，人民法院应当交由相关行业协会在指定期限内组织专业技术评审，并根据专业技术评审出具的结论认定评估结果或者责令原评估机构予以补正。</w:t>
      </w:r>
    </w:p>
    <w:p w14:paraId="37B425C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当事人、利害关系人提出前款异议，同时涉及本规定第二十二条第一款第一、二项情形的，按照前款规定处理；同时涉及本规定第二十二条第一款第三、四项情形的，按照本规定第二十二条第二款先对第三、四项情形审查，异议成立的，应当通知评估机构三日内将人民法院委托评估时移交的材料退回，另行委托下一顺序的评估机构重新进行评估；异议不成立的，按照前款规定处理。</w:t>
      </w:r>
    </w:p>
    <w:p w14:paraId="02047DC9">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第二十四条</w:t>
      </w:r>
      <w:r>
        <w:rPr>
          <w:rFonts w:hint="eastAsia" w:ascii="宋体" w:hAnsi="宋体" w:eastAsia="宋体" w:cs="宋体"/>
          <w:color w:val="000000"/>
          <w:kern w:val="0"/>
          <w:sz w:val="24"/>
          <w:shd w:val="clear" w:color="auto" w:fill="FFFFFF"/>
        </w:rPr>
        <w:t>　当事人、利害关系人未在本规定第二十二条、第二十三条规定的期限内提出异议或者对网络询价平台、评估机构、行业协会按照本规定第二十二条、第二十三条所作的补正说明、专业技术评审结论提出异议的，人民法院不予受理。</w:t>
      </w:r>
    </w:p>
    <w:p w14:paraId="36673AC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当事人、利害关系人对议价或者定向询价提出异议的，人民法院不予受理。</w:t>
      </w:r>
    </w:p>
    <w:p w14:paraId="66C0BF80">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第二十五条</w:t>
      </w:r>
      <w:r>
        <w:rPr>
          <w:rFonts w:hint="eastAsia" w:ascii="宋体" w:hAnsi="宋体" w:eastAsia="宋体" w:cs="宋体"/>
          <w:color w:val="000000"/>
          <w:kern w:val="0"/>
          <w:sz w:val="24"/>
          <w:shd w:val="clear" w:color="auto" w:fill="FFFFFF"/>
        </w:rPr>
        <w:t>　当事人、利害关系人有证据证明具有下列情形之一，且在发布一拍拍卖公告或者直接进入变卖程序之前提出异议的，人民法院应当按照执行监督程序进行审查处理：</w:t>
      </w:r>
    </w:p>
    <w:p w14:paraId="0E6C100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（一）议价中存在欺诈、胁迫情形；</w:t>
      </w:r>
    </w:p>
    <w:p w14:paraId="3B3E62A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（二）恶意串通损害第三人利益；</w:t>
      </w:r>
    </w:p>
    <w:p w14:paraId="76550A1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（三）有关机构出具虚假定向询价结果；</w:t>
      </w:r>
    </w:p>
    <w:p w14:paraId="3C03401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（四）依照本规定第二十二条、第二十三条作出的处理结果确有错误。</w:t>
      </w:r>
    </w:p>
    <w:p w14:paraId="20884D3C">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第二十六条</w:t>
      </w:r>
      <w:r>
        <w:rPr>
          <w:rFonts w:hint="eastAsia" w:ascii="宋体" w:hAnsi="宋体" w:eastAsia="宋体" w:cs="宋体"/>
          <w:color w:val="000000"/>
          <w:kern w:val="0"/>
          <w:sz w:val="24"/>
          <w:shd w:val="clear" w:color="auto" w:fill="FFFFFF"/>
        </w:rPr>
        <w:t>　当事人、利害关系人对评估报告未提出异议、所提异议被驳回或者评估机构已作出补正的，人民法院应当以评估结果或者补正结果为参考价；当事人、利害关系人对评估报告提出的异议成立的，人民法院应当以评估机构作出的补正结果或者重新作出的评估结果为参考价。专业技术评审对评估报告未作出否定结论的，人民法院应当以该评估结果为参考价。</w:t>
      </w:r>
    </w:p>
    <w:p w14:paraId="5239D5C0">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第二十七条</w:t>
      </w:r>
      <w:r>
        <w:rPr>
          <w:rFonts w:hint="eastAsia" w:ascii="宋体" w:hAnsi="宋体" w:eastAsia="宋体" w:cs="宋体"/>
          <w:color w:val="000000"/>
          <w:kern w:val="0"/>
          <w:sz w:val="24"/>
          <w:shd w:val="clear" w:color="auto" w:fill="FFFFFF"/>
        </w:rPr>
        <w:t>　司法网络询价平台、评估机构应当确定网络询价或者委托评估结果的有效期，有效期最长不得超过一年。</w:t>
      </w:r>
    </w:p>
    <w:p w14:paraId="3A02931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当事人议价的，可以自行协商确定议价结果的有效期，但不得超过前款规定的期限；定向询价结果的有效期，参照前款规定确定。</w:t>
      </w:r>
    </w:p>
    <w:p w14:paraId="5FDE7CC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人民法院在议价、询价、评估结果有效期内发布一拍拍卖公告或者直接进入变卖程序，拍卖、变卖时未超过有效期六个月的，无需重新确定参考价，但法律、行政法规、司法解释另有规定的除外。</w:t>
      </w:r>
    </w:p>
    <w:p w14:paraId="234837C6">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第二十八条</w:t>
      </w:r>
      <w:r>
        <w:rPr>
          <w:rFonts w:hint="eastAsia" w:ascii="宋体" w:hAnsi="宋体" w:eastAsia="宋体" w:cs="宋体"/>
          <w:color w:val="000000"/>
          <w:kern w:val="0"/>
          <w:sz w:val="24"/>
          <w:shd w:val="clear" w:color="auto" w:fill="FFFFFF"/>
        </w:rPr>
        <w:t>　具有下列情形之一的，人民法院应当决定暂缓网络询价或者委托评估：</w:t>
      </w:r>
    </w:p>
    <w:p w14:paraId="7B3F76A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（一）案件暂缓执行或者中止执行；</w:t>
      </w:r>
    </w:p>
    <w:p w14:paraId="58A819F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（二）评估材料与事实严重不符，可能影响评估结果，需要重新调查核实；</w:t>
      </w:r>
    </w:p>
    <w:p w14:paraId="327439B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（三）人民法院认为应当暂缓的其他情形。</w:t>
      </w:r>
    </w:p>
    <w:p w14:paraId="1D0405BB">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第二十九条</w:t>
      </w:r>
      <w:r>
        <w:rPr>
          <w:rFonts w:hint="eastAsia" w:ascii="宋体" w:hAnsi="宋体" w:eastAsia="宋体" w:cs="宋体"/>
          <w:color w:val="000000"/>
          <w:kern w:val="0"/>
          <w:sz w:val="24"/>
          <w:shd w:val="clear" w:color="auto" w:fill="FFFFFF"/>
        </w:rPr>
        <w:t>　具有下列情形之一的，人民法院应当撤回网络询价或者委托评估：</w:t>
      </w:r>
    </w:p>
    <w:p w14:paraId="643CC8A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（一）申请执行人撤回执行申请；</w:t>
      </w:r>
    </w:p>
    <w:p w14:paraId="0354249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（二）生效法律文书确定的义务已全部执行完毕；</w:t>
      </w:r>
    </w:p>
    <w:p w14:paraId="28D23A2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（三）据以执行的生效法律文书被撤销或者被裁定不予执行；</w:t>
      </w:r>
    </w:p>
    <w:p w14:paraId="6845DF1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（四）人民法院认为应当撤回的其他情形。</w:t>
      </w:r>
    </w:p>
    <w:p w14:paraId="1226CFB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人民法院决定网络询价或者委托评估后，双方当事人议价确定参考价或者协商不再对财产进行变价处理的，人民法院可以撤回网络询价或者委托评估。</w:t>
      </w:r>
    </w:p>
    <w:p w14:paraId="5B900FF7">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第三十条</w:t>
      </w:r>
      <w:r>
        <w:rPr>
          <w:rFonts w:hint="eastAsia" w:ascii="宋体" w:hAnsi="宋体" w:eastAsia="宋体" w:cs="宋体"/>
          <w:color w:val="000000"/>
          <w:kern w:val="0"/>
          <w:sz w:val="24"/>
          <w:shd w:val="clear" w:color="auto" w:fill="FFFFFF"/>
        </w:rPr>
        <w:t>　人民法院应当在参考价确定后十日内启动财产变价程序。拍卖的，参照参考价确定起拍价；直接变卖的，参照参考价确定变卖价。</w:t>
      </w:r>
    </w:p>
    <w:p w14:paraId="11B74437">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第三十一条</w:t>
      </w:r>
      <w:r>
        <w:rPr>
          <w:rFonts w:hint="eastAsia" w:ascii="宋体" w:hAnsi="宋体" w:eastAsia="宋体" w:cs="宋体"/>
          <w:color w:val="000000"/>
          <w:kern w:val="0"/>
          <w:sz w:val="24"/>
          <w:shd w:val="clear" w:color="auto" w:fill="FFFFFF"/>
        </w:rPr>
        <w:t>　人民法院委托司法网络询价平台进行网络询价的，网络询价费用应当按次计付给出具网络询价结果与财产处置成交价最接近的司法网络询价平台；多家司法网络询价平台出具的网络询价结果相同或者与财产处置成交价差距相同的，网络询价费用平均分配。</w:t>
      </w:r>
    </w:p>
    <w:p w14:paraId="48FA49E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人民法院依照本规定第十一条第三款规定委托评估机构进行评估或者依照本规定第二十九条规定撤回网络询价的，对司法网络询价平台不计付费用。</w:t>
      </w:r>
    </w:p>
    <w:p w14:paraId="3FB8984B">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第三十二条</w:t>
      </w:r>
      <w:r>
        <w:rPr>
          <w:rFonts w:hint="eastAsia" w:ascii="宋体" w:hAnsi="宋体" w:eastAsia="宋体" w:cs="宋体"/>
          <w:color w:val="000000"/>
          <w:kern w:val="0"/>
          <w:sz w:val="24"/>
          <w:shd w:val="clear" w:color="auto" w:fill="FFFFFF"/>
        </w:rPr>
        <w:t>　人民法院委托评估机构进行评估，财产处置未成交的，按照评估机构合理的实际支出计付费用；财产处置成交价高于评估价的，以评估价为基准计付费用；财产处置成交价低于评估价的，以财产处置成交价为基准计付费用。</w:t>
      </w:r>
    </w:p>
    <w:p w14:paraId="286D454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人民法院依照本规定第二十九条规定撤回委托评估的，按照评估机构合理的实际支出计付费用；人民法院依照本规定通知原评估机构重新出具评估报告的，按照前款规定的百分之三十计付费用。</w:t>
      </w:r>
    </w:p>
    <w:p w14:paraId="1155E8E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人民法院依照本规定另行委托评估机构重新进行评估的，对原评估机构不计付费用。</w:t>
      </w:r>
    </w:p>
    <w:p w14:paraId="6E9051F2">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第三十三条</w:t>
      </w:r>
      <w:r>
        <w:rPr>
          <w:rFonts w:hint="eastAsia" w:ascii="宋体" w:hAnsi="宋体" w:eastAsia="宋体" w:cs="宋体"/>
          <w:color w:val="000000"/>
          <w:kern w:val="0"/>
          <w:sz w:val="24"/>
          <w:shd w:val="clear" w:color="auto" w:fill="FFFFFF"/>
        </w:rPr>
        <w:t>　网络询价费及委托评估费由申请执行人先行垫付，由被执行人负担。</w:t>
      </w:r>
    </w:p>
    <w:p w14:paraId="41B4BF8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申请执行人通过签订保险合同的方式垫付网络询价费或者委托评估费的，保险人应当向人民法院出具担保书。担保书应当载明因申请执行人未垫付网络询价费或者委托评估费由保险人支付等内容，并附相关证据材料。</w:t>
      </w:r>
    </w:p>
    <w:p w14:paraId="1831C902">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第三十四条</w:t>
      </w:r>
      <w:r>
        <w:rPr>
          <w:rFonts w:hint="eastAsia" w:ascii="宋体" w:hAnsi="宋体" w:eastAsia="宋体" w:cs="宋体"/>
          <w:color w:val="000000"/>
          <w:kern w:val="0"/>
          <w:sz w:val="24"/>
          <w:shd w:val="clear" w:color="auto" w:fill="FFFFFF"/>
        </w:rPr>
        <w:t>　最高人民法院建设全国法院询价评估系统。询价评估系统与定向询价机构、司法网络询价平台、全国性评估行业协会的系统对接，实现数据共享。</w:t>
      </w:r>
    </w:p>
    <w:p w14:paraId="7E43EF6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询价评估系统应当具有记载当事人议价、定向询价、网络询价、委托评估、摇号过程等功能，并形成固化数据，长期保存、随案备查。</w:t>
      </w:r>
    </w:p>
    <w:p w14:paraId="7B8DCD2F">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第三十五条</w:t>
      </w:r>
      <w:r>
        <w:rPr>
          <w:rFonts w:hint="eastAsia" w:ascii="宋体" w:hAnsi="宋体" w:eastAsia="宋体" w:cs="宋体"/>
          <w:color w:val="000000"/>
          <w:kern w:val="0"/>
          <w:sz w:val="24"/>
          <w:shd w:val="clear" w:color="auto" w:fill="FFFFFF"/>
        </w:rPr>
        <w:t>　本规定自2018年9月1日起施行。</w:t>
      </w:r>
    </w:p>
    <w:p w14:paraId="0A1819E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最高人民法院此前公布的司法解释及规范性文件与本规定不一致的，以本规定为准。</w:t>
      </w:r>
    </w:p>
    <w:p w14:paraId="79412F1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br w:type="page"/>
      </w:r>
    </w:p>
    <w:p w14:paraId="1080F97C">
      <w:pPr>
        <w:pStyle w:val="5"/>
        <w:spacing w:line="440" w:lineRule="atLeast"/>
        <w:jc w:val="center"/>
        <w:rPr>
          <w:rFonts w:ascii="宋体" w:hAnsi="宋体" w:eastAsia="宋体" w:cs="宋体"/>
        </w:rPr>
      </w:pPr>
      <w:bookmarkStart w:id="15" w:name="_Toc6894"/>
      <w:r>
        <w:rPr>
          <w:rFonts w:hint="eastAsia" w:ascii="宋体" w:hAnsi="宋体" w:eastAsia="宋体" w:cs="宋体"/>
        </w:rPr>
        <w:t>资产评估行业财政监督管理办法</w:t>
      </w:r>
      <w:bookmarkEnd w:id="15"/>
    </w:p>
    <w:p w14:paraId="596E4649">
      <w:pPr>
        <w:shd w:val="clear" w:color="auto" w:fill="FFFFFF"/>
        <w:spacing w:line="440" w:lineRule="atLeast"/>
        <w:jc w:val="center"/>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2017年4月21日财政部令第86号发布，根据2019年1月2日《财政部关于修改&lt;会计师事务所执业许可和监督管理办法&gt;等2部部门规章的决定》修订</w:t>
      </w:r>
    </w:p>
    <w:p w14:paraId="7EFA9095">
      <w:pPr>
        <w:shd w:val="clear" w:color="auto" w:fill="FFFFFF"/>
        <w:spacing w:line="440" w:lineRule="atLeast"/>
        <w:jc w:val="center"/>
        <w:rPr>
          <w:rFonts w:ascii="黑体" w:hAnsi="黑体" w:eastAsia="黑体" w:cs="黑体"/>
          <w:color w:val="000000"/>
          <w:kern w:val="0"/>
          <w:sz w:val="28"/>
          <w:szCs w:val="28"/>
          <w:shd w:val="clear" w:color="auto" w:fill="FFFFFF"/>
        </w:rPr>
      </w:pPr>
      <w:r>
        <w:rPr>
          <w:rFonts w:hint="eastAsia" w:ascii="黑体" w:hAnsi="黑体" w:eastAsia="黑体" w:cs="黑体"/>
          <w:color w:val="000000"/>
          <w:kern w:val="0"/>
          <w:sz w:val="28"/>
          <w:szCs w:val="28"/>
          <w:shd w:val="clear" w:color="auto" w:fill="FFFFFF"/>
        </w:rPr>
        <w:t>第一章　总则</w:t>
      </w:r>
    </w:p>
    <w:p w14:paraId="2CDECD43">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第一条</w:t>
      </w:r>
      <w:r>
        <w:rPr>
          <w:rFonts w:hint="eastAsia" w:ascii="宋体" w:hAnsi="宋体" w:eastAsia="宋体" w:cs="宋体"/>
          <w:color w:val="000000"/>
          <w:kern w:val="0"/>
          <w:sz w:val="24"/>
          <w:shd w:val="clear" w:color="auto" w:fill="FFFFFF"/>
        </w:rPr>
        <w:t>　为了加强资产评估行业财政监督管理，促进资产评估行业健康发展，根据《中华人民共和国资产评估法》（以下简称资产评估法）等法律、行政法规和国务院的有关规定，制定本办法。</w:t>
      </w:r>
    </w:p>
    <w:p w14:paraId="1BFDDE4D">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第二条</w:t>
      </w:r>
      <w:r>
        <w:rPr>
          <w:rFonts w:hint="eastAsia" w:ascii="宋体" w:hAnsi="宋体" w:eastAsia="宋体" w:cs="宋体"/>
          <w:color w:val="000000"/>
          <w:kern w:val="0"/>
          <w:sz w:val="24"/>
          <w:shd w:val="clear" w:color="auto" w:fill="FFFFFF"/>
        </w:rPr>
        <w:t>　资产评估机构及其资产评估专业人员根据委托对单项资产、资产组合、企业价值、金融权益、资产损失或者其他经济权益进行评定、估算，并出具资产评估报告的专业服务行为和财政部门对资产评估行业实施监督管理，适用本办法。</w:t>
      </w:r>
    </w:p>
    <w:p w14:paraId="3E521CB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资产评估机构及其资产评估专业人员从事前款规定业务，涉及法律、行政法规和国务院规定由其他评估行政管理部门管理的，按照其他有关规定执行。</w:t>
      </w:r>
    </w:p>
    <w:p w14:paraId="3EE0F096">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第三条</w:t>
      </w:r>
      <w:r>
        <w:rPr>
          <w:rFonts w:hint="eastAsia" w:ascii="宋体" w:hAnsi="宋体" w:eastAsia="宋体" w:cs="宋体"/>
          <w:color w:val="000000"/>
          <w:kern w:val="0"/>
          <w:sz w:val="24"/>
          <w:shd w:val="clear" w:color="auto" w:fill="FFFFFF"/>
        </w:rPr>
        <w:t>　涉及国有资产或者公共利益等事项，属于本办法第二条规定范围有法律、行政法规规定需要评估的法定资产评估业务（以下简称“法定资产评估业务”），委托人应当按照资产评估法和有关法律、行政法规的规定，委托资产评估机构进行评估。</w:t>
      </w:r>
    </w:p>
    <w:p w14:paraId="318BEA0F">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第四条</w:t>
      </w:r>
      <w:r>
        <w:rPr>
          <w:rFonts w:hint="eastAsia" w:ascii="宋体" w:hAnsi="宋体" w:eastAsia="宋体" w:cs="宋体"/>
          <w:color w:val="000000"/>
          <w:kern w:val="0"/>
          <w:sz w:val="24"/>
          <w:shd w:val="clear" w:color="auto" w:fill="FFFFFF"/>
        </w:rPr>
        <w:t>　财政部门对资产评估行业的监督管理，实行行政监管、行业自律与机构自主管理相结合的原则。</w:t>
      </w:r>
    </w:p>
    <w:p w14:paraId="5D25514E">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第五条</w:t>
      </w:r>
      <w:r>
        <w:rPr>
          <w:rFonts w:hint="eastAsia" w:ascii="宋体" w:hAnsi="宋体" w:eastAsia="宋体" w:cs="宋体"/>
          <w:color w:val="000000"/>
          <w:kern w:val="0"/>
          <w:sz w:val="24"/>
          <w:shd w:val="clear" w:color="auto" w:fill="FFFFFF"/>
        </w:rPr>
        <w:t>　财政部负责统筹财政部门对全国资产评估行业的监督管理，制定有关监督管理办法和资产评估基本准则，指导和督促地方财政部门实施监督管理。</w:t>
      </w:r>
    </w:p>
    <w:p w14:paraId="408F419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财政部门对资产评估机构从事证券期货相关资产评估业务实施的监督管理，由财政部负责。</w:t>
      </w:r>
    </w:p>
    <w:p w14:paraId="49B9718B">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第六条</w:t>
      </w:r>
      <w:r>
        <w:rPr>
          <w:rFonts w:hint="eastAsia" w:ascii="宋体" w:hAnsi="宋体" w:eastAsia="宋体" w:cs="宋体"/>
          <w:color w:val="000000"/>
          <w:kern w:val="0"/>
          <w:sz w:val="24"/>
          <w:shd w:val="clear" w:color="auto" w:fill="FFFFFF"/>
        </w:rPr>
        <w:t>　各省、自治区、直辖市、计划单列市财政厅（局）（以下简称省级</w:t>
      </w:r>
    </w:p>
    <w:p w14:paraId="2A5989D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财政部门）负责对本行政区域内资产评估行业实施监督管理。</w:t>
      </w:r>
    </w:p>
    <w:p w14:paraId="5459549A">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第七条</w:t>
      </w:r>
      <w:r>
        <w:rPr>
          <w:rFonts w:hint="eastAsia" w:ascii="宋体" w:hAnsi="宋体" w:eastAsia="宋体" w:cs="宋体"/>
          <w:color w:val="000000"/>
          <w:kern w:val="0"/>
          <w:sz w:val="24"/>
          <w:shd w:val="clear" w:color="auto" w:fill="FFFFFF"/>
        </w:rPr>
        <w:t>　中国资产评估协会依照法律、行政法规、本办法和其协会章程的规定，负责全国资产评估行业的自律管理。</w:t>
      </w:r>
    </w:p>
    <w:p w14:paraId="212C85A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地方资产评估协会依照法律、法规、本办法和其协会章程的规定，负责本地区资产评估行业的自律管理。</w:t>
      </w:r>
    </w:p>
    <w:p w14:paraId="4E226E27">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第八条</w:t>
      </w:r>
      <w:r>
        <w:rPr>
          <w:rFonts w:hint="eastAsia" w:ascii="宋体" w:hAnsi="宋体" w:eastAsia="宋体" w:cs="宋体"/>
          <w:color w:val="000000"/>
          <w:kern w:val="0"/>
          <w:sz w:val="24"/>
          <w:shd w:val="clear" w:color="auto" w:fill="FFFFFF"/>
        </w:rPr>
        <w:t>　资产评估机构从事资产评估业务，除本办法第十六条规定外，依法不受行政区域、行业限制，任何组织或者个人不得非法干预。</w:t>
      </w:r>
    </w:p>
    <w:p w14:paraId="079405F5">
      <w:pPr>
        <w:shd w:val="clear" w:color="auto" w:fill="FFFFFF"/>
        <w:spacing w:line="440" w:lineRule="atLeast"/>
        <w:jc w:val="center"/>
        <w:rPr>
          <w:rFonts w:ascii="黑体" w:hAnsi="黑体" w:eastAsia="黑体" w:cs="黑体"/>
          <w:color w:val="000000"/>
          <w:kern w:val="0"/>
          <w:sz w:val="28"/>
          <w:szCs w:val="28"/>
          <w:shd w:val="clear" w:color="auto" w:fill="FFFFFF"/>
        </w:rPr>
      </w:pPr>
      <w:r>
        <w:rPr>
          <w:rFonts w:hint="eastAsia" w:ascii="黑体" w:hAnsi="黑体" w:eastAsia="黑体" w:cs="黑体"/>
          <w:color w:val="000000"/>
          <w:kern w:val="0"/>
          <w:sz w:val="28"/>
          <w:szCs w:val="28"/>
          <w:shd w:val="clear" w:color="auto" w:fill="FFFFFF"/>
        </w:rPr>
        <w:t>第二章　资产评估专业人员</w:t>
      </w:r>
    </w:p>
    <w:p w14:paraId="6DC2F716">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第九条</w:t>
      </w:r>
      <w:r>
        <w:rPr>
          <w:rFonts w:hint="eastAsia" w:ascii="宋体" w:hAnsi="宋体" w:eastAsia="宋体" w:cs="宋体"/>
          <w:color w:val="000000"/>
          <w:kern w:val="0"/>
          <w:sz w:val="24"/>
          <w:shd w:val="clear" w:color="auto" w:fill="FFFFFF"/>
        </w:rPr>
        <w:t>　资产评估专业人员包括资产评估师（含珠宝评估专业，下同）和具有资产评估专业知识及实践经验的其他资产评估从业人员。</w:t>
      </w:r>
    </w:p>
    <w:p w14:paraId="04132CC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资产评估师是指通过中国资产评估协会组织实施的资产评估师资格全国统一考试的资产评估专业人员。</w:t>
      </w:r>
    </w:p>
    <w:p w14:paraId="6CE4D1D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其他资产评估从业人员从事本办法第二条规定的资产评估业务，应当接受财政部门的监管。除从事法定资产评估业务外，其所需的资产评估专业知识及实践经验，由资产评估机构自主评价认定。</w:t>
      </w:r>
    </w:p>
    <w:p w14:paraId="2740819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由其他评估行政管理部门管理的其他专业领域评估师从事本办法第二条规定的资产评估业务，按照本条第三款规定执行。</w:t>
      </w:r>
    </w:p>
    <w:p w14:paraId="6EB8D30A">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第十条</w:t>
      </w:r>
      <w:r>
        <w:rPr>
          <w:rFonts w:hint="eastAsia" w:ascii="宋体" w:hAnsi="宋体" w:eastAsia="宋体" w:cs="宋体"/>
          <w:color w:val="000000"/>
          <w:kern w:val="0"/>
          <w:sz w:val="24"/>
          <w:shd w:val="clear" w:color="auto" w:fill="FFFFFF"/>
        </w:rPr>
        <w:t>　资产评估专业人员从事资产评估业务，应当加入资产评估机构，并且只能在一个资产评估机构从事业务。</w:t>
      </w:r>
    </w:p>
    <w:p w14:paraId="371D40A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资产评估专业人员应当与资产评估机构签订劳动合同，建立社会保险缴纳关系，按照国家有关规定办理人事档案存放手续。</w:t>
      </w:r>
    </w:p>
    <w:p w14:paraId="1569EA24">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第十一条</w:t>
      </w:r>
      <w:r>
        <w:rPr>
          <w:rFonts w:hint="eastAsia" w:ascii="宋体" w:hAnsi="宋体" w:eastAsia="宋体" w:cs="宋体"/>
          <w:color w:val="000000"/>
          <w:kern w:val="0"/>
          <w:sz w:val="24"/>
          <w:shd w:val="clear" w:color="auto" w:fill="FFFFFF"/>
        </w:rPr>
        <w:t>　资产评估专业人员从事资产评估业务，应当遵守法律、行政法规和本办法的规定，执行资产评估准则及资产评估机构的各项规章制度，依法签署资产评估报告，不得签署本人未承办业务的资产评估报告或者有重大遗漏的资产评估报告。</w:t>
      </w:r>
    </w:p>
    <w:p w14:paraId="56768C0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未取得资产评估师资格的人员，不得签署法定资产评估业务资产评估报告，其签署的法定资产评估业务资产评估报告无效。</w:t>
      </w:r>
    </w:p>
    <w:p w14:paraId="4A61541B">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第十二条</w:t>
      </w:r>
      <w:r>
        <w:rPr>
          <w:rFonts w:hint="eastAsia" w:ascii="宋体" w:hAnsi="宋体" w:eastAsia="宋体" w:cs="宋体"/>
          <w:color w:val="000000"/>
          <w:kern w:val="0"/>
          <w:sz w:val="24"/>
          <w:shd w:val="clear" w:color="auto" w:fill="FFFFFF"/>
        </w:rPr>
        <w:t>　资产评估专业人员应当接受资产评估协会的自律管理和所在资产评估机构的自主管理，不得从事损害资产评估机构合法利益的活动。</w:t>
      </w:r>
    </w:p>
    <w:p w14:paraId="1F4A40A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加入资产评估协会的资产评估专业人员，平等享有章程规定的权利，履行章程规定的义务。</w:t>
      </w:r>
    </w:p>
    <w:p w14:paraId="68B75A50">
      <w:pPr>
        <w:shd w:val="clear" w:color="auto" w:fill="FFFFFF"/>
        <w:spacing w:line="440" w:lineRule="atLeast"/>
        <w:jc w:val="center"/>
        <w:rPr>
          <w:rFonts w:ascii="黑体" w:hAnsi="黑体" w:eastAsia="黑体" w:cs="黑体"/>
          <w:color w:val="000000"/>
          <w:kern w:val="0"/>
          <w:sz w:val="28"/>
          <w:szCs w:val="28"/>
          <w:shd w:val="clear" w:color="auto" w:fill="FFFFFF"/>
        </w:rPr>
      </w:pPr>
      <w:r>
        <w:rPr>
          <w:rFonts w:hint="eastAsia" w:ascii="黑体" w:hAnsi="黑体" w:eastAsia="黑体" w:cs="黑体"/>
          <w:color w:val="000000"/>
          <w:kern w:val="0"/>
          <w:sz w:val="28"/>
          <w:szCs w:val="28"/>
          <w:shd w:val="clear" w:color="auto" w:fill="FFFFFF"/>
        </w:rPr>
        <w:t>第三章　资产评估机构</w:t>
      </w:r>
    </w:p>
    <w:p w14:paraId="5816A80C">
      <w:pPr>
        <w:shd w:val="clear" w:color="auto" w:fill="FFFFFF"/>
        <w:spacing w:line="440" w:lineRule="atLeast"/>
        <w:jc w:val="center"/>
        <w:rPr>
          <w:rFonts w:ascii="宋体" w:hAnsi="宋体" w:eastAsia="宋体" w:cs="宋体"/>
          <w:b/>
          <w:color w:val="000000"/>
          <w:kern w:val="0"/>
          <w:sz w:val="24"/>
          <w:shd w:val="clear" w:color="auto" w:fill="FFFFFF"/>
        </w:rPr>
      </w:pPr>
      <w:r>
        <w:rPr>
          <w:rFonts w:hint="eastAsia" w:ascii="黑体" w:hAnsi="黑体" w:eastAsia="黑体" w:cs="黑体"/>
          <w:b/>
          <w:color w:val="000000"/>
          <w:kern w:val="0"/>
          <w:sz w:val="24"/>
          <w:shd w:val="clear" w:color="auto" w:fill="FFFFFF"/>
        </w:rPr>
        <w:t>第一节　机构自主管理</w:t>
      </w:r>
    </w:p>
    <w:p w14:paraId="54BF5255">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第十三条</w:t>
      </w:r>
      <w:r>
        <w:rPr>
          <w:rFonts w:hint="eastAsia" w:ascii="宋体" w:hAnsi="宋体" w:eastAsia="宋体" w:cs="宋体"/>
          <w:color w:val="000000"/>
          <w:kern w:val="0"/>
          <w:sz w:val="24"/>
          <w:shd w:val="clear" w:color="auto" w:fill="FFFFFF"/>
        </w:rPr>
        <w:t>　资产评估机构应当依法采用合伙或者公司形式，并符合资产评估法第十五条规定的条件。</w:t>
      </w:r>
    </w:p>
    <w:p w14:paraId="1289A85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不符合资产评估法第十五条规定条件的资产评估机构不得承接资产评估业务。</w:t>
      </w:r>
    </w:p>
    <w:p w14:paraId="3604895D">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第十四条</w:t>
      </w:r>
      <w:r>
        <w:rPr>
          <w:rFonts w:hint="eastAsia" w:ascii="宋体" w:hAnsi="宋体" w:eastAsia="宋体" w:cs="宋体"/>
          <w:color w:val="000000"/>
          <w:kern w:val="0"/>
          <w:sz w:val="24"/>
          <w:shd w:val="clear" w:color="auto" w:fill="FFFFFF"/>
        </w:rPr>
        <w:t>　资产评估机构从事资产评估业务，应当遵守资产评估准则，履行资产评估程序，加强内部审核，严格控制执业风险。</w:t>
      </w:r>
    </w:p>
    <w:p w14:paraId="15772D4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资产评估机构开展法定资产评估业务，应当指定至少两名资产评估师承办。不具备两名以上资产评估师条件的资产评估机构，不得开展法定资产评估业务。</w:t>
      </w:r>
    </w:p>
    <w:p w14:paraId="5867D0F6">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第十五条</w:t>
      </w:r>
      <w:r>
        <w:rPr>
          <w:rFonts w:hint="eastAsia" w:ascii="宋体" w:hAnsi="宋体" w:eastAsia="宋体" w:cs="宋体"/>
          <w:color w:val="000000"/>
          <w:kern w:val="0"/>
          <w:sz w:val="24"/>
          <w:shd w:val="clear" w:color="auto" w:fill="FFFFFF"/>
        </w:rPr>
        <w:t>　法定资产评估业务资产评估报告应当由两名以上承办业务的资产评估师签署，并履行内部程序后加盖资产评估机构印章，资产评估机构及签字资产评估师依法承担责任。</w:t>
      </w:r>
    </w:p>
    <w:p w14:paraId="2A195343">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第十六条</w:t>
      </w:r>
      <w:r>
        <w:rPr>
          <w:rFonts w:hint="eastAsia" w:ascii="宋体" w:hAnsi="宋体" w:eastAsia="宋体" w:cs="宋体"/>
          <w:color w:val="000000"/>
          <w:kern w:val="0"/>
          <w:sz w:val="24"/>
          <w:shd w:val="clear" w:color="auto" w:fill="FFFFFF"/>
        </w:rPr>
        <w:t>　资产评估机构应当遵守独立性原则和资产评估准则规定的资产评估业务回避要求，不得受理与其合伙人或者股东存在利害关系的业务。</w:t>
      </w:r>
    </w:p>
    <w:p w14:paraId="65289F08">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第十七条</w:t>
      </w:r>
      <w:r>
        <w:rPr>
          <w:rFonts w:hint="eastAsia" w:ascii="宋体" w:hAnsi="宋体" w:eastAsia="宋体" w:cs="宋体"/>
          <w:color w:val="000000"/>
          <w:kern w:val="0"/>
          <w:sz w:val="24"/>
          <w:shd w:val="clear" w:color="auto" w:fill="FFFFFF"/>
        </w:rPr>
        <w:t>　资产评估机构应当建立健全质量控制制度和内部管理制度。其中，内部管理制度包括资产评估业务管理制度、业务档案管理制度、人事管理制度、继续教育制度、财务管理制度等。</w:t>
      </w:r>
    </w:p>
    <w:p w14:paraId="136D424C">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第十八条</w:t>
      </w:r>
      <w:r>
        <w:rPr>
          <w:rFonts w:hint="eastAsia" w:ascii="宋体" w:hAnsi="宋体" w:eastAsia="宋体" w:cs="宋体"/>
          <w:color w:val="000000"/>
          <w:kern w:val="0"/>
          <w:sz w:val="24"/>
          <w:shd w:val="clear" w:color="auto" w:fill="FFFFFF"/>
        </w:rPr>
        <w:t>　资产评估机构应当指定一名取得资产评估师资格的本机构合伙人或者股东专门负责执业质量控制。</w:t>
      </w:r>
    </w:p>
    <w:p w14:paraId="754B936A">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第十九条</w:t>
      </w:r>
      <w:r>
        <w:rPr>
          <w:rFonts w:hint="eastAsia" w:ascii="宋体" w:hAnsi="宋体" w:eastAsia="宋体" w:cs="宋体"/>
          <w:color w:val="000000"/>
          <w:kern w:val="0"/>
          <w:sz w:val="24"/>
          <w:shd w:val="clear" w:color="auto" w:fill="FFFFFF"/>
        </w:rPr>
        <w:t>　资产评估机构根据业务需要建立职业风险基金管理制度，或者自愿购买职业责任保险，完善职业风险防范机制。</w:t>
      </w:r>
    </w:p>
    <w:p w14:paraId="5A07767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资产评估机构建立职业风险基金管理制度的，按照财政部的具体规定提取、管理和使用职业风险基金。</w:t>
      </w:r>
    </w:p>
    <w:p w14:paraId="7D47609D">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第二十条</w:t>
      </w:r>
      <w:r>
        <w:rPr>
          <w:rFonts w:hint="eastAsia" w:ascii="宋体" w:hAnsi="宋体" w:eastAsia="宋体" w:cs="宋体"/>
          <w:color w:val="000000"/>
          <w:kern w:val="0"/>
          <w:sz w:val="24"/>
          <w:shd w:val="clear" w:color="auto" w:fill="FFFFFF"/>
        </w:rPr>
        <w:t>　实行集团化发展的资产评估机构，应当在质量控制、内部管理、客户服务、企业形象、信息化等方面，对设立的分支机构实行统一管理，或者对集团成员实行统一政策。</w:t>
      </w:r>
    </w:p>
    <w:p w14:paraId="7FC34EA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分支机构应当在资产评估机构授权范围内，依法从事资产评估业务，并以资产评估机构的名义出具资产评估报告。</w:t>
      </w:r>
    </w:p>
    <w:p w14:paraId="01023F71">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第二十一条</w:t>
      </w:r>
      <w:r>
        <w:rPr>
          <w:rFonts w:hint="eastAsia" w:ascii="宋体" w:hAnsi="宋体" w:eastAsia="宋体" w:cs="宋体"/>
          <w:color w:val="000000"/>
          <w:kern w:val="0"/>
          <w:sz w:val="24"/>
          <w:shd w:val="clear" w:color="auto" w:fill="FFFFFF"/>
        </w:rPr>
        <w:t>　资产评估机构和分支机构加入资产评估协会，平等享有章程规定的权利，履行章程规定的义务。</w:t>
      </w:r>
    </w:p>
    <w:p w14:paraId="0311AB64">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第二十二条</w:t>
      </w:r>
      <w:r>
        <w:rPr>
          <w:rFonts w:hint="eastAsia" w:ascii="宋体" w:hAnsi="宋体" w:eastAsia="宋体" w:cs="宋体"/>
          <w:color w:val="000000"/>
          <w:kern w:val="0"/>
          <w:sz w:val="24"/>
          <w:shd w:val="clear" w:color="auto" w:fill="FFFFFF"/>
        </w:rPr>
        <w:t>　资产评估机构和分支机构应当在每年3月31日之前，分别向所加入的资产评估协会报送下列材料：</w:t>
      </w:r>
    </w:p>
    <w:p w14:paraId="042F09B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（一）资产评估机构或分支机构基本情况；</w:t>
      </w:r>
    </w:p>
    <w:p w14:paraId="02A0EC7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（二）上年度资产评估项目重要信息；</w:t>
      </w:r>
    </w:p>
    <w:p w14:paraId="1DD9D1B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（三）资产评估机构建立职业风险基金或者购买职业责任保险情况。购买职业责任保险的，应当提供职业责任保险保单信息。</w:t>
      </w:r>
    </w:p>
    <w:p w14:paraId="722EED70">
      <w:pPr>
        <w:shd w:val="clear" w:color="auto" w:fill="FFFFFF"/>
        <w:spacing w:line="440" w:lineRule="atLeast"/>
        <w:jc w:val="center"/>
        <w:rPr>
          <w:rFonts w:ascii="黑体" w:hAnsi="黑体" w:eastAsia="黑体" w:cs="黑体"/>
          <w:b/>
          <w:color w:val="000000"/>
          <w:kern w:val="0"/>
          <w:sz w:val="24"/>
          <w:shd w:val="clear" w:color="auto" w:fill="FFFFFF"/>
        </w:rPr>
      </w:pPr>
      <w:r>
        <w:rPr>
          <w:rFonts w:hint="eastAsia" w:ascii="黑体" w:hAnsi="黑体" w:eastAsia="黑体" w:cs="黑体"/>
          <w:b/>
          <w:color w:val="000000"/>
          <w:kern w:val="0"/>
          <w:sz w:val="24"/>
          <w:shd w:val="clear" w:color="auto" w:fill="FFFFFF"/>
        </w:rPr>
        <w:t>第二节　机构备案管理</w:t>
      </w:r>
    </w:p>
    <w:p w14:paraId="48B91372">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第二十三条</w:t>
      </w:r>
      <w:r>
        <w:rPr>
          <w:rFonts w:hint="eastAsia" w:ascii="宋体" w:hAnsi="宋体" w:eastAsia="宋体" w:cs="宋体"/>
          <w:color w:val="000000"/>
          <w:kern w:val="0"/>
          <w:sz w:val="24"/>
          <w:shd w:val="clear" w:color="auto" w:fill="FFFFFF"/>
        </w:rPr>
        <w:t>　省级财政部门负责本地区资产评估机构和分支机构的备案管理。</w:t>
      </w:r>
    </w:p>
    <w:p w14:paraId="747D4315">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第二十四条</w:t>
      </w:r>
      <w:r>
        <w:rPr>
          <w:rFonts w:hint="eastAsia" w:ascii="宋体" w:hAnsi="宋体" w:eastAsia="宋体" w:cs="宋体"/>
          <w:color w:val="000000"/>
          <w:kern w:val="0"/>
          <w:sz w:val="24"/>
          <w:shd w:val="clear" w:color="auto" w:fill="FFFFFF"/>
        </w:rPr>
        <w:t>　资产评估机构应当自领取营业执照之日起30日内，通过备案信息管理系统向所在地省级财政部门备案，提交下列材料：</w:t>
      </w:r>
    </w:p>
    <w:p w14:paraId="397AEA2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（一）资产评估机构备案表；</w:t>
      </w:r>
    </w:p>
    <w:p w14:paraId="585F285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（二）统一社会信用代码；</w:t>
      </w:r>
    </w:p>
    <w:p w14:paraId="12E859D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（三）资产评估机构合伙人或者股东以及执行合伙事务的合伙人或者法定代表人三年以上从业经历、最近三年接受处罚信息等基本情况；</w:t>
      </w:r>
    </w:p>
    <w:p w14:paraId="4FFCFDF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（四）在该机构从业的资产评估师、其他专业领域的评估师和其他资产评估从业人员情况；</w:t>
      </w:r>
    </w:p>
    <w:p w14:paraId="0853CAD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（五）资产评估机构质量控制制度和内部管理制度。</w:t>
      </w:r>
    </w:p>
    <w:p w14:paraId="4B88AAF9">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第二十五条</w:t>
      </w:r>
      <w:r>
        <w:rPr>
          <w:rFonts w:hint="eastAsia" w:ascii="宋体" w:hAnsi="宋体" w:eastAsia="宋体" w:cs="宋体"/>
          <w:color w:val="000000"/>
          <w:kern w:val="0"/>
          <w:sz w:val="24"/>
          <w:shd w:val="clear" w:color="auto" w:fill="FFFFFF"/>
        </w:rPr>
        <w:t>　资产评估机构的备案信息不齐全或者备案材料不符合要求的，省级财政部门应当在接到备案材料5个工作日内一次性告知需要补正的全部内容，并给予指导。资产评估机构应当根据要求，在15个工作日内补正。逾期不补正的，视同未备案。</w:t>
      </w:r>
    </w:p>
    <w:p w14:paraId="71EAACAD">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第二十六条</w:t>
      </w:r>
      <w:r>
        <w:rPr>
          <w:rFonts w:hint="eastAsia" w:ascii="宋体" w:hAnsi="宋体" w:eastAsia="宋体" w:cs="宋体"/>
          <w:color w:val="000000"/>
          <w:kern w:val="0"/>
          <w:sz w:val="24"/>
          <w:shd w:val="clear" w:color="auto" w:fill="FFFFFF"/>
        </w:rPr>
        <w:t>　备案材料完备且符合要求的，省级财政部门收齐备案材料即完成备案，并在20个工作日内将下列信息以公函编号向社会公开：</w:t>
      </w:r>
    </w:p>
    <w:p w14:paraId="298D0A1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（一）资产评估机构名称及组织形式；</w:t>
      </w:r>
    </w:p>
    <w:p w14:paraId="1B3E21D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（二）资产评估机构的合伙人或者股东的基本情况；</w:t>
      </w:r>
    </w:p>
    <w:p w14:paraId="088AFF5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（三）资产评估机构执行合伙事务的合伙人或者法定代表人；</w:t>
      </w:r>
    </w:p>
    <w:p w14:paraId="45CEA03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（四）申报的资产评估专业人员基本情况。</w:t>
      </w:r>
    </w:p>
    <w:p w14:paraId="32934AC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对于资产评估机构申报的资产评估师信息，省级财政部门应当在公开前向有关资产评估协会核实。</w:t>
      </w:r>
    </w:p>
    <w:p w14:paraId="220E2F25">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第二十七条</w:t>
      </w:r>
      <w:r>
        <w:rPr>
          <w:rFonts w:hint="eastAsia" w:ascii="宋体" w:hAnsi="宋体" w:eastAsia="宋体" w:cs="宋体"/>
          <w:color w:val="000000"/>
          <w:kern w:val="0"/>
          <w:sz w:val="24"/>
          <w:shd w:val="clear" w:color="auto" w:fill="FFFFFF"/>
        </w:rPr>
        <w:t>　资产评估机构设立分支机构的，应当比照本办法第二十四条至第二十六条的规定，由资产评估机构向其分支机构所在地省级财政部门备案，提</w:t>
      </w:r>
    </w:p>
    <w:p w14:paraId="09D298E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交下列材料：</w:t>
      </w:r>
    </w:p>
    <w:p w14:paraId="54A0C55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（一）资产评估机构设立分支机构备案表；</w:t>
      </w:r>
    </w:p>
    <w:p w14:paraId="62B8B88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（二）分支机构统一社会信用代码；</w:t>
      </w:r>
    </w:p>
    <w:p w14:paraId="46096FC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（三）资产评估机构授权分支机构的业务范围；</w:t>
      </w:r>
    </w:p>
    <w:p w14:paraId="1ACA9FB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（四）分支机构负责人三年以上从业经历、最近三年接受处罚信息等基本情况；</w:t>
      </w:r>
    </w:p>
    <w:p w14:paraId="3C53F9A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（五）在该分支机构从业的资产评估师、其他专业领域评估师和其他资产评估从业人员情况。</w:t>
      </w:r>
    </w:p>
    <w:p w14:paraId="42F4488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完成分支机构备案的省级财政部门应当将分支机构备案情况向社会公开，同时告知资产评估机构所在地省级财政部门。</w:t>
      </w:r>
    </w:p>
    <w:p w14:paraId="26A60D75">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第二十八条</w:t>
      </w:r>
      <w:r>
        <w:rPr>
          <w:rFonts w:hint="eastAsia" w:ascii="宋体" w:hAnsi="宋体" w:eastAsia="宋体" w:cs="宋体"/>
          <w:color w:val="000000"/>
          <w:kern w:val="0"/>
          <w:sz w:val="24"/>
          <w:shd w:val="clear" w:color="auto" w:fill="FFFFFF"/>
        </w:rPr>
        <w:t>　资产评估机构的名称、执行合伙事务的合伙人或者法定代表人、合伙人或者股东、分支机构的名称或者负责人发生变更，以及发生机构分立、合并、转制、撤销等重大事项，应当自变更之日起15个工作日内，比照本办法第二十四条至第二十六条的规定，向有关省级财政部门办理变更手续。需要变更工商登记的，自工商变更登记完成之日起15个工作日内向有关省级财政部门办理变更手续。</w:t>
      </w:r>
    </w:p>
    <w:p w14:paraId="256E0453">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第二十九条</w:t>
      </w:r>
      <w:r>
        <w:rPr>
          <w:rFonts w:hint="eastAsia" w:ascii="宋体" w:hAnsi="宋体" w:eastAsia="宋体" w:cs="宋体"/>
          <w:color w:val="000000"/>
          <w:kern w:val="0"/>
          <w:sz w:val="24"/>
          <w:shd w:val="clear" w:color="auto" w:fill="FFFFFF"/>
        </w:rPr>
        <w:t>　资产评估机构办理合并或者分立变更手续的，应当提供合并或者分立协议。合并或者分立协议应当包括以下事项：</w:t>
      </w:r>
    </w:p>
    <w:p w14:paraId="5F2D73C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（一）合并或者分立前资产评估机构评估业务档案保管方案；</w:t>
      </w:r>
    </w:p>
    <w:p w14:paraId="7F1EA6A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（二）合并或者分立前资产评估机构职业风险基金或者执业责任保险的处理方案；</w:t>
      </w:r>
    </w:p>
    <w:p w14:paraId="49F84E8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（三）合并或者分立前资产评估机构资产评估业务、执业责任的承继关系。</w:t>
      </w:r>
    </w:p>
    <w:p w14:paraId="38A4658C">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第三十条</w:t>
      </w:r>
      <w:r>
        <w:rPr>
          <w:rFonts w:hint="eastAsia" w:ascii="宋体" w:hAnsi="宋体" w:eastAsia="宋体" w:cs="宋体"/>
          <w:color w:val="000000"/>
          <w:kern w:val="0"/>
          <w:sz w:val="24"/>
          <w:shd w:val="clear" w:color="auto" w:fill="FFFFFF"/>
        </w:rPr>
        <w:t>　合伙制资产评估机构转为公司制资产评估机构，或者公司制资产评估机构转为合伙制资产评估机构，办理变更手续应当提供合伙人会议或股东（大）会审议通过的转制决议。</w:t>
      </w:r>
    </w:p>
    <w:p w14:paraId="65E1D09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转制决议应当载明转制后机构与转制前机构的债权债务、档案保管、资产评估业务、执业责任等承继关系。</w:t>
      </w:r>
    </w:p>
    <w:p w14:paraId="5757F3ED">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第三十一条</w:t>
      </w:r>
      <w:r>
        <w:rPr>
          <w:rFonts w:hint="eastAsia" w:ascii="宋体" w:hAnsi="宋体" w:eastAsia="宋体" w:cs="宋体"/>
          <w:color w:val="000000"/>
          <w:kern w:val="0"/>
          <w:sz w:val="24"/>
          <w:shd w:val="clear" w:color="auto" w:fill="FFFFFF"/>
        </w:rPr>
        <w:t>　资产评估机构跨省级行政区划迁移经营场所，应当书面告知迁出地省级财政部门。</w:t>
      </w:r>
    </w:p>
    <w:p w14:paraId="07A9781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资产评估机构在办理完迁入地工商登记手续后15个工作日内，比照本办法第二十四条至第二十六条的规定，向迁入地省级财政部门办理迁入备案手续。</w:t>
      </w:r>
    </w:p>
    <w:p w14:paraId="16E37D0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迁入地省级财政部门办理迁入备案手续后通知迁出地的省级财政部门，迁出</w:t>
      </w:r>
    </w:p>
    <w:p w14:paraId="7D70A4C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地的省级财政部门应同时予以公告。</w:t>
      </w:r>
    </w:p>
    <w:p w14:paraId="1FAAF0B5">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第三十二条</w:t>
      </w:r>
      <w:r>
        <w:rPr>
          <w:rFonts w:hint="eastAsia" w:ascii="宋体" w:hAnsi="宋体" w:eastAsia="宋体" w:cs="宋体"/>
          <w:color w:val="000000"/>
          <w:kern w:val="0"/>
          <w:sz w:val="24"/>
          <w:shd w:val="clear" w:color="auto" w:fill="FFFFFF"/>
        </w:rPr>
        <w:t>　已完成备案的资产评估机构或者分支机构有下列行为之一的，省级财政部门予以注销备案，并向社会公开：</w:t>
      </w:r>
    </w:p>
    <w:p w14:paraId="1F4A41B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（一）注销工商登记的；</w:t>
      </w:r>
    </w:p>
    <w:p w14:paraId="0E980C1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（二）被工商行政管理机关吊销营业执照的；</w:t>
      </w:r>
    </w:p>
    <w:p w14:paraId="73F6681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（三）主动要求注销备案的。</w:t>
      </w:r>
    </w:p>
    <w:p w14:paraId="614EE9EA">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第三十三条</w:t>
      </w:r>
      <w:r>
        <w:rPr>
          <w:rFonts w:hint="eastAsia" w:ascii="宋体" w:hAnsi="宋体" w:eastAsia="宋体" w:cs="宋体"/>
          <w:color w:val="000000"/>
          <w:kern w:val="0"/>
          <w:sz w:val="24"/>
          <w:shd w:val="clear" w:color="auto" w:fill="FFFFFF"/>
        </w:rPr>
        <w:t>　注销备案的资产评估机构及其分支机构的资产评估业务档案，应当按照《中华人民共和国档案法》和资产评估档案管理的有关规定予以妥善保存。</w:t>
      </w:r>
    </w:p>
    <w:p w14:paraId="4CE7626B">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第三十四条</w:t>
      </w:r>
      <w:r>
        <w:rPr>
          <w:rFonts w:hint="eastAsia" w:ascii="宋体" w:hAnsi="宋体" w:eastAsia="宋体" w:cs="宋体"/>
          <w:color w:val="000000"/>
          <w:kern w:val="0"/>
          <w:sz w:val="24"/>
          <w:shd w:val="clear" w:color="auto" w:fill="FFFFFF"/>
        </w:rPr>
        <w:t>　财政部建立统一的备案信息管理系统。备案信息管理系统实行全国联网，并与其他相关行政管理部门实行信息共享。</w:t>
      </w:r>
    </w:p>
    <w:p w14:paraId="42003EF6">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第三十五条</w:t>
      </w:r>
      <w:r>
        <w:rPr>
          <w:rFonts w:hint="eastAsia" w:ascii="宋体" w:hAnsi="宋体" w:eastAsia="宋体" w:cs="宋体"/>
          <w:color w:val="000000"/>
          <w:kern w:val="0"/>
          <w:sz w:val="24"/>
          <w:shd w:val="clear" w:color="auto" w:fill="FFFFFF"/>
        </w:rPr>
        <w:t>　资产评估机构未按本办法规定备案的，依法承担法律责任。</w:t>
      </w:r>
    </w:p>
    <w:p w14:paraId="4DD2CD60">
      <w:pPr>
        <w:shd w:val="clear" w:color="auto" w:fill="FFFFFF"/>
        <w:spacing w:line="440" w:lineRule="atLeast"/>
        <w:jc w:val="center"/>
        <w:rPr>
          <w:rFonts w:ascii="黑体" w:hAnsi="黑体" w:eastAsia="黑体" w:cs="黑体"/>
          <w:color w:val="000000"/>
          <w:kern w:val="0"/>
          <w:sz w:val="28"/>
          <w:szCs w:val="28"/>
          <w:shd w:val="clear" w:color="auto" w:fill="FFFFFF"/>
        </w:rPr>
      </w:pPr>
      <w:r>
        <w:rPr>
          <w:rFonts w:hint="eastAsia" w:ascii="黑体" w:hAnsi="黑体" w:eastAsia="黑体" w:cs="黑体"/>
          <w:color w:val="000000"/>
          <w:kern w:val="0"/>
          <w:sz w:val="28"/>
          <w:szCs w:val="28"/>
          <w:shd w:val="clear" w:color="auto" w:fill="FFFFFF"/>
        </w:rPr>
        <w:t>第四章　资产评估协会</w:t>
      </w:r>
    </w:p>
    <w:p w14:paraId="69C9212A">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第三十六条</w:t>
      </w:r>
      <w:r>
        <w:rPr>
          <w:rFonts w:hint="eastAsia" w:ascii="宋体" w:hAnsi="宋体" w:eastAsia="宋体" w:cs="宋体"/>
          <w:color w:val="000000"/>
          <w:kern w:val="0"/>
          <w:sz w:val="24"/>
          <w:shd w:val="clear" w:color="auto" w:fill="FFFFFF"/>
        </w:rPr>
        <w:t>　资产评估协会是资产评估机构和资产评估专业人员的自律性组织，接受有关财政部门的监督，不得损害国家利益和社会公共利益，不得损害会员的合法权益。</w:t>
      </w:r>
    </w:p>
    <w:p w14:paraId="73974891">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第三十七条</w:t>
      </w:r>
      <w:r>
        <w:rPr>
          <w:rFonts w:hint="eastAsia" w:ascii="宋体" w:hAnsi="宋体" w:eastAsia="宋体" w:cs="宋体"/>
          <w:color w:val="000000"/>
          <w:kern w:val="0"/>
          <w:sz w:val="24"/>
          <w:shd w:val="clear" w:color="auto" w:fill="FFFFFF"/>
        </w:rPr>
        <w:t>　资产评估协会通过制定章程规范协会内部管理和活动。协会章程应当由会员代表大会制定，经登记管理机关核准后，报有关财政部门备案。</w:t>
      </w:r>
    </w:p>
    <w:p w14:paraId="42A4670B">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第三十八条</w:t>
      </w:r>
      <w:r>
        <w:rPr>
          <w:rFonts w:hint="eastAsia" w:ascii="宋体" w:hAnsi="宋体" w:eastAsia="宋体" w:cs="宋体"/>
          <w:color w:val="000000"/>
          <w:kern w:val="0"/>
          <w:sz w:val="24"/>
          <w:shd w:val="clear" w:color="auto" w:fill="FFFFFF"/>
        </w:rPr>
        <w:t>　资产评估协会应当依法履行职责，向有关财政部门提供资产评估师信息，及时向有关财政部门报告会员信用档案、会员自律检查情况及奖惩情况。</w:t>
      </w:r>
    </w:p>
    <w:p w14:paraId="3D176AB2">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第三十九条</w:t>
      </w:r>
      <w:r>
        <w:rPr>
          <w:rFonts w:hint="eastAsia" w:ascii="宋体" w:hAnsi="宋体" w:eastAsia="宋体" w:cs="宋体"/>
          <w:color w:val="000000"/>
          <w:kern w:val="0"/>
          <w:sz w:val="24"/>
          <w:shd w:val="clear" w:color="auto" w:fill="FFFFFF"/>
        </w:rPr>
        <w:t>　资产评估协会对资产评估机构及其资产评估专业人员进行自律检查。资产评估机构及其资产评估专业人员应当配合资产评估协会组织实施的自律检查。</w:t>
      </w:r>
    </w:p>
    <w:p w14:paraId="7C50AA5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资产评估协会应当重点检查资产评估机构及其资产评估专业人员的执业质量和职业风险防范机制。</w:t>
      </w:r>
    </w:p>
    <w:p w14:paraId="64768B57">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第四十条</w:t>
      </w:r>
      <w:r>
        <w:rPr>
          <w:rFonts w:hint="eastAsia" w:ascii="宋体" w:hAnsi="宋体" w:eastAsia="宋体" w:cs="宋体"/>
          <w:color w:val="000000"/>
          <w:kern w:val="0"/>
          <w:sz w:val="24"/>
          <w:shd w:val="clear" w:color="auto" w:fill="FFFFFF"/>
        </w:rPr>
        <w:t>　资产评估协会应当结合自律检查工作，对资产评估机构及其分支机构按照本办法</w:t>
      </w:r>
      <w:r>
        <w:rPr>
          <w:rFonts w:hint="eastAsia" w:ascii="宋体" w:hAnsi="宋体" w:eastAsia="宋体" w:cs="宋体"/>
          <w:b/>
          <w:color w:val="000000"/>
          <w:kern w:val="0"/>
          <w:sz w:val="24"/>
          <w:shd w:val="clear" w:color="auto" w:fill="FFFFFF"/>
        </w:rPr>
        <w:t>第二十二条</w:t>
      </w:r>
      <w:r>
        <w:rPr>
          <w:rFonts w:hint="eastAsia" w:ascii="宋体" w:hAnsi="宋体" w:eastAsia="宋体" w:cs="宋体"/>
          <w:color w:val="000000"/>
          <w:kern w:val="0"/>
          <w:sz w:val="24"/>
          <w:shd w:val="clear" w:color="auto" w:fill="FFFFFF"/>
        </w:rPr>
        <w:t>规定报送的材料进行分析，发现不符合法律、行政法规和本办法规定的情况，及时向有关财政部门报告。</w:t>
      </w:r>
    </w:p>
    <w:p w14:paraId="320C5D14">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第四十一条</w:t>
      </w:r>
      <w:r>
        <w:rPr>
          <w:rFonts w:hint="eastAsia" w:ascii="宋体" w:hAnsi="宋体" w:eastAsia="宋体" w:cs="宋体"/>
          <w:color w:val="000000"/>
          <w:kern w:val="0"/>
          <w:sz w:val="24"/>
          <w:shd w:val="clear" w:color="auto" w:fill="FFFFFF"/>
        </w:rPr>
        <w:t>　资产评估协会应当与其他评估专业领域行业协会加强沟通协作，建立会员、执业、惩戒等相关信息的共享机制。</w:t>
      </w:r>
    </w:p>
    <w:p w14:paraId="6E3E908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中国资产评估协会应当会同其他评估专业领域行业协会根据需要制定共同</w:t>
      </w:r>
    </w:p>
    <w:p w14:paraId="40D8F02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的行为规范，促进评估行业健康有序发展。</w:t>
      </w:r>
    </w:p>
    <w:p w14:paraId="4F3D952C">
      <w:pPr>
        <w:shd w:val="clear" w:color="auto" w:fill="FFFFFF"/>
        <w:spacing w:line="440" w:lineRule="atLeast"/>
        <w:jc w:val="center"/>
        <w:rPr>
          <w:rFonts w:ascii="黑体" w:hAnsi="黑体" w:eastAsia="黑体" w:cs="黑体"/>
          <w:color w:val="000000"/>
          <w:kern w:val="0"/>
          <w:sz w:val="28"/>
          <w:szCs w:val="28"/>
          <w:shd w:val="clear" w:color="auto" w:fill="FFFFFF"/>
        </w:rPr>
      </w:pPr>
      <w:r>
        <w:rPr>
          <w:rFonts w:hint="eastAsia" w:ascii="黑体" w:hAnsi="黑体" w:eastAsia="黑体" w:cs="黑体"/>
          <w:color w:val="000000"/>
          <w:kern w:val="0"/>
          <w:sz w:val="28"/>
          <w:szCs w:val="28"/>
          <w:shd w:val="clear" w:color="auto" w:fill="FFFFFF"/>
        </w:rPr>
        <w:t>第五章　监督检查</w:t>
      </w:r>
    </w:p>
    <w:p w14:paraId="33FB57CB">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第四十二条</w:t>
      </w:r>
      <w:r>
        <w:rPr>
          <w:rFonts w:hint="eastAsia" w:ascii="宋体" w:hAnsi="宋体" w:eastAsia="宋体" w:cs="宋体"/>
          <w:color w:val="000000"/>
          <w:kern w:val="0"/>
          <w:sz w:val="24"/>
          <w:shd w:val="clear" w:color="auto" w:fill="FFFFFF"/>
        </w:rPr>
        <w:t>　财政部统一部署对资产评估行业的监督检查，主要负责以下工作：</w:t>
      </w:r>
    </w:p>
    <w:p w14:paraId="4419C1C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（一）制定资产评估专业人员、资产评估机构、资产评估协会和相关资产评估业务监督检查的具体办法；</w:t>
      </w:r>
    </w:p>
    <w:p w14:paraId="014D201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（二）组织开展资产评估执业质量专项检查；</w:t>
      </w:r>
    </w:p>
    <w:p w14:paraId="27BCF04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（三）监督检查资产评估机构从事证券期货相关资产评估业务情况；</w:t>
      </w:r>
    </w:p>
    <w:p w14:paraId="23DCB89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（四）检查中国资产评估协会履行资产评估法第三十六条规定的职责情况，并根据工作需要，对地方资产评估协会履行职责情况进行抽查；</w:t>
      </w:r>
    </w:p>
    <w:p w14:paraId="18873CE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（五）指导和督促地方财政部门对资产评估行业的监督检查，并对其检查情况予以抽查。</w:t>
      </w:r>
    </w:p>
    <w:p w14:paraId="70588DA3">
      <w:pPr>
        <w:shd w:val="clear" w:color="auto" w:fill="FFFFFF"/>
        <w:spacing w:line="440" w:lineRule="atLeast"/>
        <w:ind w:firstLine="480" w:firstLineChars="200"/>
        <w:rPr>
          <w:rFonts w:ascii="宋体" w:hAnsi="宋体" w:eastAsia="宋体" w:cs="宋体"/>
          <w:b/>
          <w:color w:val="000000"/>
          <w:kern w:val="0"/>
          <w:sz w:val="24"/>
          <w:shd w:val="clear" w:color="auto" w:fill="FFFFFF"/>
        </w:rPr>
      </w:pPr>
      <w:r>
        <w:rPr>
          <w:rFonts w:hint="eastAsia" w:ascii="宋体" w:hAnsi="宋体" w:eastAsia="宋体" w:cs="宋体"/>
          <w:color w:val="000000"/>
          <w:kern w:val="0"/>
          <w:sz w:val="24"/>
          <w:shd w:val="clear" w:color="auto" w:fill="FFFFFF"/>
        </w:rPr>
        <w:t>对本条第一款第三项进行监督检查，必要时，财政部可以会同其他有关部门进行。</w:t>
      </w:r>
    </w:p>
    <w:p w14:paraId="5588CEA7">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第四十三条</w:t>
      </w:r>
      <w:r>
        <w:rPr>
          <w:rFonts w:hint="eastAsia" w:ascii="宋体" w:hAnsi="宋体" w:eastAsia="宋体" w:cs="宋体"/>
          <w:color w:val="000000"/>
          <w:kern w:val="0"/>
          <w:sz w:val="24"/>
          <w:shd w:val="clear" w:color="auto" w:fill="FFFFFF"/>
        </w:rPr>
        <w:t>　省级财政部门开展监督检查，包括年度检查和必要的专项检查，对本行政区域内资产评估机构包括分支机构下列内容进行重点检查，并将检查结果予以公开，同时向财政部报告：</w:t>
      </w:r>
    </w:p>
    <w:p w14:paraId="0D2BAF3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（一）资产评估机构持续符合资产评估法第十五条规定条件的情况；</w:t>
      </w:r>
    </w:p>
    <w:p w14:paraId="1DC2D57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（二）办理备案情况；</w:t>
      </w:r>
    </w:p>
    <w:p w14:paraId="50D548E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（三）资产评估执业质量情况。</w:t>
      </w:r>
    </w:p>
    <w:p w14:paraId="2EC5294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对本条第一款第一项进行检查，必要时，有关财政部门可以会同其他相关评估行政管理部门进行。</w:t>
      </w:r>
    </w:p>
    <w:p w14:paraId="6B228F7E">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第四十四条</w:t>
      </w:r>
      <w:r>
        <w:rPr>
          <w:rFonts w:hint="eastAsia" w:ascii="宋体" w:hAnsi="宋体" w:eastAsia="宋体" w:cs="宋体"/>
          <w:color w:val="000000"/>
          <w:kern w:val="0"/>
          <w:sz w:val="24"/>
          <w:shd w:val="clear" w:color="auto" w:fill="FFFFFF"/>
        </w:rPr>
        <w:t>　省级财政部门对地方资产评估协会实施监督检查，并将检查情况向财政部汇报，重点检查资产评估协会履行以下职责情况：</w:t>
      </w:r>
    </w:p>
    <w:p w14:paraId="4DD4E85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（一）地方资产评估协会章程的制定、修改情况；</w:t>
      </w:r>
    </w:p>
    <w:p w14:paraId="7DCE28A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（二）指导会员落实准则情况；</w:t>
      </w:r>
    </w:p>
    <w:p w14:paraId="342781A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（三）检查会员执业质量情况；</w:t>
      </w:r>
    </w:p>
    <w:p w14:paraId="19CE45A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（四）开展会员继续教育、信用档案、风险防范等情况；</w:t>
      </w:r>
    </w:p>
    <w:p w14:paraId="147F211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（五）机构会员年度信息管理情况。</w:t>
      </w:r>
    </w:p>
    <w:p w14:paraId="7CC30DA4">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第四十五条</w:t>
      </w:r>
      <w:r>
        <w:rPr>
          <w:rFonts w:hint="eastAsia" w:ascii="宋体" w:hAnsi="宋体" w:eastAsia="宋体" w:cs="宋体"/>
          <w:color w:val="000000"/>
          <w:kern w:val="0"/>
          <w:sz w:val="24"/>
          <w:shd w:val="clear" w:color="auto" w:fill="FFFFFF"/>
        </w:rPr>
        <w:t>　财政部门开展资产评估行业监督检查，应当由本部门两名以上执法人员组成检查组。具体按照财政检查工作的有关规定执行。</w:t>
      </w:r>
    </w:p>
    <w:p w14:paraId="594188E5">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第四十六条</w:t>
      </w:r>
      <w:r>
        <w:rPr>
          <w:rFonts w:hint="eastAsia" w:ascii="宋体" w:hAnsi="宋体" w:eastAsia="宋体" w:cs="宋体"/>
          <w:color w:val="000000"/>
          <w:kern w:val="0"/>
          <w:sz w:val="24"/>
          <w:shd w:val="clear" w:color="auto" w:fill="FFFFFF"/>
        </w:rPr>
        <w:t>　检查时，财政部门认定虚假资产评估报告和重大遗漏资产评估报告，应当以资产评估准则为依据，组织相关专家进行专业技术论证，也可以委托资产评估协会组织专家提供专业技术支持。</w:t>
      </w:r>
    </w:p>
    <w:p w14:paraId="6C9B903A">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第四十七条</w:t>
      </w:r>
      <w:r>
        <w:rPr>
          <w:rFonts w:hint="eastAsia" w:ascii="宋体" w:hAnsi="宋体" w:eastAsia="宋体" w:cs="宋体"/>
          <w:color w:val="000000"/>
          <w:kern w:val="0"/>
          <w:sz w:val="24"/>
          <w:shd w:val="clear" w:color="auto" w:fill="FFFFFF"/>
        </w:rPr>
        <w:t>　检查过程中，财政部和省级财政部门发现资产评估专业人员、资产评估机构和资产评估协会存在违法情形的，应当依照资产评估法等法律、行政法规和本办法的规定处理、处罚。涉嫌犯罪的，移送司法机关处理。</w:t>
      </w:r>
    </w:p>
    <w:p w14:paraId="4CA1BCB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当事人对行政处理、行政处罚决定不服的，可以依法申请行政复议或者提起行政诉讼。</w:t>
      </w:r>
    </w:p>
    <w:p w14:paraId="7EC8977B">
      <w:pPr>
        <w:shd w:val="clear" w:color="auto" w:fill="FFFFFF"/>
        <w:spacing w:line="440" w:lineRule="atLeast"/>
        <w:jc w:val="center"/>
        <w:rPr>
          <w:rFonts w:ascii="黑体" w:hAnsi="黑体" w:eastAsia="黑体" w:cs="黑体"/>
          <w:color w:val="000000"/>
          <w:kern w:val="0"/>
          <w:sz w:val="28"/>
          <w:szCs w:val="28"/>
          <w:shd w:val="clear" w:color="auto" w:fill="FFFFFF"/>
        </w:rPr>
      </w:pPr>
      <w:r>
        <w:rPr>
          <w:rFonts w:hint="eastAsia" w:ascii="黑体" w:hAnsi="黑体" w:eastAsia="黑体" w:cs="黑体"/>
          <w:color w:val="000000"/>
          <w:kern w:val="0"/>
          <w:sz w:val="28"/>
          <w:szCs w:val="28"/>
          <w:shd w:val="clear" w:color="auto" w:fill="FFFFFF"/>
        </w:rPr>
        <w:t>第六章　调查处理</w:t>
      </w:r>
    </w:p>
    <w:p w14:paraId="4C4DF898">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第四十八条</w:t>
      </w:r>
      <w:r>
        <w:rPr>
          <w:rFonts w:hint="eastAsia" w:ascii="宋体" w:hAnsi="宋体" w:eastAsia="宋体" w:cs="宋体"/>
          <w:color w:val="000000"/>
          <w:kern w:val="0"/>
          <w:sz w:val="24"/>
          <w:shd w:val="clear" w:color="auto" w:fill="FFFFFF"/>
        </w:rPr>
        <w:t>　资产评估委托人或资产评估报告使用人对资产评估机构或资产评估专业人员的下列行为，可以向对该资产评估机构备案的省级财政部门进行投诉、举报，其他公民、法人或其他组织可以向对该资产评估机构备案的省级财政部门举报：</w:t>
      </w:r>
    </w:p>
    <w:p w14:paraId="1635567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（一）违法开展法定资产评估业务的；</w:t>
      </w:r>
    </w:p>
    <w:p w14:paraId="771FE3D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（二）资产评估专业人员违反资产评估法第十四条规定的；</w:t>
      </w:r>
    </w:p>
    <w:p w14:paraId="1B6C749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（三）资产评估机构未按照本办法规定备案或备案后未持续符合资产评估法第十五条规定条件的；</w:t>
      </w:r>
    </w:p>
    <w:p w14:paraId="41974E7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（四）资产评估机构违反资产评估法第二十条规定的；</w:t>
      </w:r>
    </w:p>
    <w:p w14:paraId="40BA6BE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（五）资产评估机构违反本办法第十六条规定的；</w:t>
      </w:r>
    </w:p>
    <w:p w14:paraId="731905B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（六）资产评估机构违反本办法第二十条第二款规定的。</w:t>
      </w:r>
    </w:p>
    <w:p w14:paraId="5E578A0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资产评估委托人或资产评估报告使用人投诉、举报资产评估机构出具虚假资产评估报告或者重大遗漏的资产评估报告的，可以先与资产评估机构进行沟通。</w:t>
      </w:r>
    </w:p>
    <w:p w14:paraId="701E091E">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第四十九条</w:t>
      </w:r>
      <w:r>
        <w:rPr>
          <w:rFonts w:hint="eastAsia" w:ascii="宋体" w:hAnsi="宋体" w:eastAsia="宋体" w:cs="宋体"/>
          <w:color w:val="000000"/>
          <w:kern w:val="0"/>
          <w:sz w:val="24"/>
          <w:shd w:val="clear" w:color="auto" w:fill="FFFFFF"/>
        </w:rPr>
        <w:t>　在法定资产评估业务中，委托人或被评估单位有资产评估法第五十二条规定行为的，资产评估的相关当事人可以向委托人或被评估单位所在地省级财政部门进行投诉、举报，其他公民、法人或其他组织可以向委托人或被评估单位所在地省级财政部门举报。</w:t>
      </w:r>
    </w:p>
    <w:p w14:paraId="596D781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由于委托人或被评估单位的行政管理层级不匹配或存在其他原因超出省级财政部门处理权限的，省级财政部门可以申请由财政部受理。</w:t>
      </w:r>
    </w:p>
    <w:p w14:paraId="5EFC529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向财政部门投诉、举报事项涉及资产评估机构从事证券期货相关资产评估业务的，由财政部受理。</w:t>
      </w:r>
    </w:p>
    <w:p w14:paraId="131E0A28">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第五十条</w:t>
      </w:r>
      <w:r>
        <w:rPr>
          <w:rFonts w:hint="eastAsia" w:ascii="宋体" w:hAnsi="宋体" w:eastAsia="宋体" w:cs="宋体"/>
          <w:color w:val="000000"/>
          <w:kern w:val="0"/>
          <w:sz w:val="24"/>
          <w:shd w:val="clear" w:color="auto" w:fill="FFFFFF"/>
        </w:rPr>
        <w:t>　投诉、举报应当通过书面形式实名进行，并如实反映情况，提供相关证明材料。</w:t>
      </w:r>
    </w:p>
    <w:p w14:paraId="363AE655">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第五十一条</w:t>
      </w:r>
      <w:r>
        <w:rPr>
          <w:rFonts w:hint="eastAsia" w:ascii="宋体" w:hAnsi="宋体" w:eastAsia="宋体" w:cs="宋体"/>
          <w:color w:val="000000"/>
          <w:kern w:val="0"/>
          <w:sz w:val="24"/>
          <w:shd w:val="clear" w:color="auto" w:fill="FFFFFF"/>
        </w:rPr>
        <w:t>　财政部门接到投诉、举报的事项，应当在　15　个工作日内作出是否受理的书面决定。投诉、举报事项属于财政部门职责的，财政部门应当予以受理。不予受理的，应当说明理由，及时告知实名投诉人、举报人。</w:t>
      </w:r>
    </w:p>
    <w:p w14:paraId="407D3167">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第五十二条</w:t>
      </w:r>
      <w:r>
        <w:rPr>
          <w:rFonts w:hint="eastAsia" w:ascii="宋体" w:hAnsi="宋体" w:eastAsia="宋体" w:cs="宋体"/>
          <w:color w:val="000000"/>
          <w:kern w:val="0"/>
          <w:sz w:val="24"/>
          <w:shd w:val="clear" w:color="auto" w:fill="FFFFFF"/>
        </w:rPr>
        <w:t>　投诉、举报事项属于下列情形的，财政部门不予受理：</w:t>
      </w:r>
    </w:p>
    <w:p w14:paraId="240CE37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（一）投诉、举报事项不属于财政部门职责的；</w:t>
      </w:r>
    </w:p>
    <w:p w14:paraId="027C829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（二）已由公安机关、检察机关立案调查或者进入司法程序的；</w:t>
      </w:r>
    </w:p>
    <w:p w14:paraId="1FB11DA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（三）属于资产评估协会自律管理的。</w:t>
      </w:r>
    </w:p>
    <w:p w14:paraId="5AC20FB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投诉人、举报人就同一事项向财政部门和资产评估协会投诉、举报的，财政部门按照本办法第五十一条和本条第一款的规定处理。</w:t>
      </w:r>
    </w:p>
    <w:p w14:paraId="2FC50243">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第五十三条</w:t>
      </w:r>
      <w:r>
        <w:rPr>
          <w:rFonts w:hint="eastAsia" w:ascii="宋体" w:hAnsi="宋体" w:eastAsia="宋体" w:cs="宋体"/>
          <w:color w:val="000000"/>
          <w:kern w:val="0"/>
          <w:sz w:val="24"/>
          <w:shd w:val="clear" w:color="auto" w:fill="FFFFFF"/>
        </w:rPr>
        <w:t>　财政部门受理投诉、举报，应当采用书面审查的方式及时进行处理，必要时可以成立由本部门两名以上执法人员和聘用的专家组成的调查组，进行调查取证。有关当事人应当如实反映情况，提供相关材料。</w:t>
      </w:r>
    </w:p>
    <w:p w14:paraId="6E503DA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调查组成员与当事人有直接利害关系的,应当回避；对调查工作中知悉的国家秘密和商业秘密，应当保密。</w:t>
      </w:r>
    </w:p>
    <w:p w14:paraId="3E58B2B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受理的投诉、举报事项同时涉及其他行政管理部门职责的，应当会同其他行政管理部门进行处理。</w:t>
      </w:r>
    </w:p>
    <w:p w14:paraId="449F6996">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第五十四条</w:t>
      </w:r>
      <w:r>
        <w:rPr>
          <w:rFonts w:hint="eastAsia" w:ascii="宋体" w:hAnsi="宋体" w:eastAsia="宋体" w:cs="宋体"/>
          <w:color w:val="000000"/>
          <w:kern w:val="0"/>
          <w:sz w:val="24"/>
          <w:shd w:val="clear" w:color="auto" w:fill="FFFFFF"/>
        </w:rPr>
        <w:t>　对投诉、举报的调查，调查组有权进入被投诉举报单位现场调查，查阅、复印有关凭证、文件等资料，询问被投诉举报单位有关人员，必要时按照资产评估业务延伸调查，并将调查内容与事项予以记录和摘录，编制调查工作底稿。</w:t>
      </w:r>
    </w:p>
    <w:p w14:paraId="766F5F2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调查组在调查中取得的证据、材料以及工作底稿，应当有提供者或者被调查人的签名或者盖章。未取得提供者或者被调查人签名或者盖章的材料，调查组应当注明原因。</w:t>
      </w:r>
    </w:p>
    <w:p w14:paraId="0FC955E9">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第五十五条</w:t>
      </w:r>
      <w:r>
        <w:rPr>
          <w:rFonts w:hint="eastAsia" w:ascii="宋体" w:hAnsi="宋体" w:eastAsia="宋体" w:cs="宋体"/>
          <w:color w:val="000000"/>
          <w:kern w:val="0"/>
          <w:sz w:val="24"/>
          <w:shd w:val="clear" w:color="auto" w:fill="FFFFFF"/>
        </w:rPr>
        <w:t>　在有关证据可能灭失或者以后难以取得的情况下，经财政部门负责人批准，调查组可以先行登记保存，并应当在7个工作日内及时作出处理决定。被调查人或者有关人员不得销毁或者转移证据。</w:t>
      </w:r>
    </w:p>
    <w:p w14:paraId="7E741672">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第五十六条</w:t>
      </w:r>
      <w:r>
        <w:rPr>
          <w:rFonts w:hint="eastAsia" w:ascii="宋体" w:hAnsi="宋体" w:eastAsia="宋体" w:cs="宋体"/>
          <w:color w:val="000000"/>
          <w:kern w:val="0"/>
          <w:sz w:val="24"/>
          <w:shd w:val="clear" w:color="auto" w:fill="FFFFFF"/>
        </w:rPr>
        <w:t>　针对资产评估协会的投诉、举报，财政部和省级财政部门应当及时调查处理。</w:t>
      </w:r>
    </w:p>
    <w:p w14:paraId="6D4CC108">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第五十七条</w:t>
      </w:r>
      <w:r>
        <w:rPr>
          <w:rFonts w:hint="eastAsia" w:ascii="宋体" w:hAnsi="宋体" w:eastAsia="宋体" w:cs="宋体"/>
          <w:color w:val="000000"/>
          <w:kern w:val="0"/>
          <w:sz w:val="24"/>
          <w:shd w:val="clear" w:color="auto" w:fill="FFFFFF"/>
        </w:rPr>
        <w:t>　调查时，财政部门认定虚假资产评估报告和重大遗漏资产评估报告，按照本办法第四十六条规定执行。</w:t>
      </w:r>
    </w:p>
    <w:p w14:paraId="0F3636C3">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第五十八条</w:t>
      </w:r>
      <w:r>
        <w:rPr>
          <w:rFonts w:hint="eastAsia" w:ascii="宋体" w:hAnsi="宋体" w:eastAsia="宋体" w:cs="宋体"/>
          <w:color w:val="000000"/>
          <w:kern w:val="0"/>
          <w:sz w:val="24"/>
          <w:shd w:val="clear" w:color="auto" w:fill="FFFFFF"/>
        </w:rPr>
        <w:t>　经调查发现资产评估专业人员、资产评估机构和资产评估协会</w:t>
      </w:r>
    </w:p>
    <w:p w14:paraId="13DED77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存在违法情形的，财政部和省级财政部门按照本办法第四十七条规定予以处理。</w:t>
      </w:r>
    </w:p>
    <w:p w14:paraId="0AFEE74A">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第五十九条</w:t>
      </w:r>
      <w:r>
        <w:rPr>
          <w:rFonts w:hint="eastAsia" w:ascii="宋体" w:hAnsi="宋体" w:eastAsia="宋体" w:cs="宋体"/>
          <w:color w:val="000000"/>
          <w:kern w:val="0"/>
          <w:sz w:val="24"/>
          <w:shd w:val="clear" w:color="auto" w:fill="FFFFFF"/>
        </w:rPr>
        <w:t>　财政部门根据调查处理具体情况，应当采取书面形式答复实名投诉人、举报人。</w:t>
      </w:r>
    </w:p>
    <w:p w14:paraId="1F88DDC3">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第六十条</w:t>
      </w:r>
      <w:r>
        <w:rPr>
          <w:rFonts w:hint="eastAsia" w:ascii="宋体" w:hAnsi="宋体" w:eastAsia="宋体" w:cs="宋体"/>
          <w:color w:val="000000"/>
          <w:kern w:val="0"/>
          <w:sz w:val="24"/>
          <w:shd w:val="clear" w:color="auto" w:fill="FFFFFF"/>
        </w:rPr>
        <w:t>　对其他有关部门移送的资产评估违法线索或案件，或者资产评估协会按照本办法第四十条规定报告的情况，有关财政部门应当比照本办法第五十二条至第五十八条的规定依法调查处理，并将处理结果告知移送部门或者资产评估协会。</w:t>
      </w:r>
    </w:p>
    <w:p w14:paraId="05F60B8E">
      <w:pPr>
        <w:shd w:val="clear" w:color="auto" w:fill="FFFFFF"/>
        <w:spacing w:line="440" w:lineRule="atLeast"/>
        <w:jc w:val="center"/>
        <w:rPr>
          <w:rFonts w:ascii="黑体" w:hAnsi="黑体" w:eastAsia="黑体" w:cs="黑体"/>
          <w:color w:val="000000"/>
          <w:kern w:val="0"/>
          <w:sz w:val="28"/>
          <w:szCs w:val="28"/>
          <w:shd w:val="clear" w:color="auto" w:fill="FFFFFF"/>
        </w:rPr>
      </w:pPr>
      <w:r>
        <w:rPr>
          <w:rFonts w:hint="eastAsia" w:ascii="黑体" w:hAnsi="黑体" w:eastAsia="黑体" w:cs="黑体"/>
          <w:color w:val="000000"/>
          <w:kern w:val="0"/>
          <w:sz w:val="28"/>
          <w:szCs w:val="28"/>
          <w:shd w:val="clear" w:color="auto" w:fill="FFFFFF"/>
        </w:rPr>
        <w:t>第七章　法律责任</w:t>
      </w:r>
    </w:p>
    <w:p w14:paraId="03BBE471">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第六十一条</w:t>
      </w:r>
      <w:r>
        <w:rPr>
          <w:rFonts w:hint="eastAsia" w:ascii="宋体" w:hAnsi="宋体" w:eastAsia="宋体" w:cs="宋体"/>
          <w:color w:val="000000"/>
          <w:kern w:val="0"/>
          <w:sz w:val="24"/>
          <w:shd w:val="clear" w:color="auto" w:fill="FFFFFF"/>
        </w:rPr>
        <w:t>　资产评估专业人员有下列行为之一的，由有关省级财政部门予以警告，可以责令停止从业六个月以上一年以下；有违法所得的，没收违法所得；情节严重的，责令停止从业一年以上五年以下；构成犯罪的，移送司法机关处理：</w:t>
      </w:r>
    </w:p>
    <w:p w14:paraId="297A94F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（一）违反本办法第十条第一款的规定，同时在两个以上资产评估机构从事业务的；</w:t>
      </w:r>
    </w:p>
    <w:p w14:paraId="1459CF4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（二）违反本办法第十一条第一款的规定，签署本人未承办业务的资产评估报告或者有重大遗漏的资产评估报告的。</w:t>
      </w:r>
    </w:p>
    <w:p w14:paraId="5F7FE2C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资产评估专业人员违反本办法第十二条第一款、第三十九条第一款规定，不接受行业自律管理的，由资产评估协会予以惩戒，记入信用档案；情节严重的，由资产评估协会按照规定取消会员资格，并予以公告。</w:t>
      </w:r>
    </w:p>
    <w:p w14:paraId="0544C617">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第六十二条</w:t>
      </w:r>
      <w:r>
        <w:rPr>
          <w:rFonts w:hint="eastAsia" w:ascii="宋体" w:hAnsi="宋体" w:eastAsia="宋体" w:cs="宋体"/>
          <w:color w:val="000000"/>
          <w:kern w:val="0"/>
          <w:sz w:val="24"/>
          <w:shd w:val="clear" w:color="auto" w:fill="FFFFFF"/>
        </w:rPr>
        <w:t>　有下列行为之一的，由对其备案的省级财政部门对资产评估机构予以警告，可以责令停业一个月以上六个月以下；有违法所得的，没收违法所得，并处违法所得一倍以上五倍以下罚款；情节严重的，通知工商行政管理部门依法处理；构成犯罪的，移送司法机关处理：</w:t>
      </w:r>
    </w:p>
    <w:p w14:paraId="0AC0356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（一）违反本办法第十一条第二款规定，未取得资产评估师资格的人员签署法定资产评估业务资产评估报告的；</w:t>
      </w:r>
    </w:p>
    <w:p w14:paraId="7B44097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（二）违反本办法第十五条规定，承办并出具法定资产评估业务资产评估报告的资产评估师人数不符合法律规定的；</w:t>
      </w:r>
    </w:p>
    <w:p w14:paraId="41A0F0E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（三）违反本办法第十六条规定，受理与其合伙人或者股东存在利害关系业务的。</w:t>
      </w:r>
    </w:p>
    <w:p w14:paraId="0830970F">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第六十三条</w:t>
      </w:r>
      <w:r>
        <w:rPr>
          <w:rFonts w:hint="eastAsia" w:ascii="宋体" w:hAnsi="宋体" w:eastAsia="宋体" w:cs="宋体"/>
          <w:color w:val="000000"/>
          <w:kern w:val="0"/>
          <w:sz w:val="24"/>
          <w:shd w:val="clear" w:color="auto" w:fill="FFFFFF"/>
        </w:rPr>
        <w:t>　资产评估机构违反本办法第十七条、第十八条、第十九条、第二十条第一款、第二十八条、第三十一条第一款和第二款规定的，由资产评估机构所在地省级财政部门责令改正，并予以警告。</w:t>
      </w:r>
    </w:p>
    <w:p w14:paraId="0F3DA9B0">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第六十四条</w:t>
      </w:r>
      <w:r>
        <w:rPr>
          <w:rFonts w:hint="eastAsia" w:ascii="宋体" w:hAnsi="宋体" w:eastAsia="宋体" w:cs="宋体"/>
          <w:color w:val="000000"/>
          <w:kern w:val="0"/>
          <w:sz w:val="24"/>
          <w:shd w:val="clear" w:color="auto" w:fill="FFFFFF"/>
        </w:rPr>
        <w:t>　资产评估机构违反本办法第二十条第二款规定造成不良后果的，由其分支机构所在地的省级财政部门责令改正，对资产评估机构及其法定代表人或执行合伙事务的合伙人分别予以警告；没有违法所得的，可以并处资产评</w:t>
      </w:r>
    </w:p>
    <w:p w14:paraId="02B9E8C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估机构一万元以下罚款；有违法所得的，可以并处资产评估机构违法所得一倍以上三倍以下、最高不超过三万元的罚款；同时通知资产评估机构所在地省级财政部门。</w:t>
      </w:r>
    </w:p>
    <w:p w14:paraId="183A9DBC">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第六十五条</w:t>
      </w:r>
      <w:r>
        <w:rPr>
          <w:rFonts w:hint="eastAsia" w:ascii="宋体" w:hAnsi="宋体" w:eastAsia="宋体" w:cs="宋体"/>
          <w:color w:val="000000"/>
          <w:kern w:val="0"/>
          <w:sz w:val="24"/>
          <w:shd w:val="clear" w:color="auto" w:fill="FFFFFF"/>
        </w:rPr>
        <w:t>　资产评估机构未按照本办法第二十四条规定备案或者备案后不符合资产评估法第十五条规定条件的，由资产评估机构所在地省级财政部门责令改正；拒不改正的，责令停业，可以并处一万元以上五万元以下罚款，并通报工商行政管理部门。</w:t>
      </w:r>
    </w:p>
    <w:p w14:paraId="7FD066A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资产评估机构未按照本办法第二十七条第一款规定办理分支机构备案的，由其分支机构所在地的省级财政部门责令改正，并对资产评估机构及其法定代表人或者执行合伙事务的合伙人分别予以警告，同时通知资产评估机构所在地的省级财政部门。</w:t>
      </w:r>
    </w:p>
    <w:p w14:paraId="16053AA1">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第六十六条</w:t>
      </w:r>
      <w:r>
        <w:rPr>
          <w:rFonts w:hint="eastAsia" w:ascii="宋体" w:hAnsi="宋体" w:eastAsia="宋体" w:cs="宋体"/>
          <w:color w:val="000000"/>
          <w:kern w:val="0"/>
          <w:sz w:val="24"/>
          <w:shd w:val="clear" w:color="auto" w:fill="FFFFFF"/>
        </w:rPr>
        <w:t>　资产评估协会有下列行为之一的，由有关财政部门予以警告，责令改正；拒不改正的，可以通报登记管理机关依法处理：</w:t>
      </w:r>
    </w:p>
    <w:p w14:paraId="6E0DC01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（一）章程不符合资产评估法和本办法规定的；</w:t>
      </w:r>
    </w:p>
    <w:p w14:paraId="59E6D30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（二）资产评估协会未依照资产评估法、本办法和其章程的规定履行职责的。</w:t>
      </w:r>
    </w:p>
    <w:p w14:paraId="7611A2B6">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第六十七条</w:t>
      </w:r>
      <w:r>
        <w:rPr>
          <w:rFonts w:hint="eastAsia" w:ascii="宋体" w:hAnsi="宋体" w:eastAsia="宋体" w:cs="宋体"/>
          <w:color w:val="000000"/>
          <w:kern w:val="0"/>
          <w:sz w:val="24"/>
          <w:shd w:val="clear" w:color="auto" w:fill="FFFFFF"/>
        </w:rPr>
        <w:t>　有关财政部门对资产评估机构、资产评估专业人员和资产评估协会的财政处理、处罚情况，应当在　15　个工作日内向社会公开。</w:t>
      </w:r>
    </w:p>
    <w:p w14:paraId="33789B75">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第六十八条</w:t>
      </w:r>
      <w:r>
        <w:rPr>
          <w:rFonts w:hint="eastAsia" w:ascii="宋体" w:hAnsi="宋体" w:eastAsia="宋体" w:cs="宋体"/>
          <w:color w:val="000000"/>
          <w:kern w:val="0"/>
          <w:sz w:val="24"/>
          <w:shd w:val="clear" w:color="auto" w:fill="FFFFFF"/>
        </w:rPr>
        <w:t>　财政部门工作人员在资产评估行业监督管理工作中滥用职权、玩忽职守、徇私舞弊的，按照《中华人民共和国公务员法》、《中华人民共和国行政监察法》等国家有关规定追究相应责任；涉嫌犯罪的，移送司法机关处理。</w:t>
      </w:r>
    </w:p>
    <w:p w14:paraId="0B5B31C8">
      <w:pPr>
        <w:shd w:val="clear" w:color="auto" w:fill="FFFFFF"/>
        <w:spacing w:line="440" w:lineRule="atLeast"/>
        <w:jc w:val="center"/>
        <w:rPr>
          <w:rFonts w:ascii="黑体" w:hAnsi="黑体" w:eastAsia="黑体" w:cs="黑体"/>
          <w:color w:val="000000"/>
          <w:kern w:val="0"/>
          <w:sz w:val="28"/>
          <w:szCs w:val="28"/>
          <w:shd w:val="clear" w:color="auto" w:fill="FFFFFF"/>
        </w:rPr>
      </w:pPr>
      <w:r>
        <w:rPr>
          <w:rFonts w:hint="eastAsia" w:ascii="黑体" w:hAnsi="黑体" w:eastAsia="黑体" w:cs="黑体"/>
          <w:color w:val="000000"/>
          <w:kern w:val="0"/>
          <w:sz w:val="28"/>
          <w:szCs w:val="28"/>
          <w:shd w:val="clear" w:color="auto" w:fill="FFFFFF"/>
        </w:rPr>
        <w:t>第八章　附则</w:t>
      </w:r>
    </w:p>
    <w:p w14:paraId="41E40B40">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第六十九条</w:t>
      </w:r>
      <w:r>
        <w:rPr>
          <w:rFonts w:hint="eastAsia" w:ascii="宋体" w:hAnsi="宋体" w:eastAsia="宋体" w:cs="宋体"/>
          <w:color w:val="000000"/>
          <w:kern w:val="0"/>
          <w:sz w:val="24"/>
          <w:shd w:val="clear" w:color="auto" w:fill="FFFFFF"/>
        </w:rPr>
        <w:t>　本办法所称资产评估行业、资产评估专业人员、资产评估机构和资产评估协会是指根据资产评估法和国务院规定，按照职责分工由财政部门监管的资产评估行业、资产评估专业人员、资产评估机构和资产评估协会。</w:t>
      </w:r>
    </w:p>
    <w:p w14:paraId="44A91FB9">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第七十条</w:t>
      </w:r>
      <w:r>
        <w:rPr>
          <w:rFonts w:hint="eastAsia" w:ascii="宋体" w:hAnsi="宋体" w:eastAsia="宋体" w:cs="宋体"/>
          <w:color w:val="000000"/>
          <w:kern w:val="0"/>
          <w:sz w:val="24"/>
          <w:shd w:val="clear" w:color="auto" w:fill="FFFFFF"/>
        </w:rPr>
        <w:t>　外商投资者在中华人民共和国境内设立、参股、入伙资产评估机构或者开展法定资产评估业务，应当依法履行国家安全审查程序。</w:t>
      </w:r>
    </w:p>
    <w:p w14:paraId="6D8D56E4">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第七十一条</w:t>
      </w:r>
      <w:r>
        <w:rPr>
          <w:rFonts w:hint="eastAsia" w:ascii="宋体" w:hAnsi="宋体" w:eastAsia="宋体" w:cs="宋体"/>
          <w:color w:val="000000"/>
          <w:kern w:val="0"/>
          <w:sz w:val="24"/>
          <w:shd w:val="clear" w:color="auto" w:fill="FFFFFF"/>
        </w:rPr>
        <w:t>　省级财政部门可结合实际制定具体的实施办法。设区的市级财政部门可以对本行政区域内资产评估行业实施监督管理，具体由省级财政部门根据当地资产评估行业发展状况和设区的市级财政部门具备的监管条件确定。</w:t>
      </w:r>
    </w:p>
    <w:p w14:paraId="326D0D76">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第七十二条</w:t>
      </w:r>
      <w:r>
        <w:rPr>
          <w:rFonts w:hint="eastAsia" w:ascii="宋体" w:hAnsi="宋体" w:eastAsia="宋体" w:cs="宋体"/>
          <w:color w:val="000000"/>
          <w:kern w:val="0"/>
          <w:sz w:val="24"/>
          <w:shd w:val="clear" w:color="auto" w:fill="FFFFFF"/>
        </w:rPr>
        <w:t>　本办法自2017年6月1日起施行。财政部2011年8月11日发布的《资产评估机构审批和监督管理办法》（财政部令第64号）同时废止。</w:t>
      </w:r>
    </w:p>
    <w:p w14:paraId="596326B8">
      <w:pPr>
        <w:shd w:val="clear" w:color="auto" w:fill="FFFFFF"/>
        <w:spacing w:line="440" w:lineRule="atLeast"/>
        <w:ind w:firstLine="482" w:firstLineChars="200"/>
        <w:rPr>
          <w:rFonts w:ascii="宋体" w:hAnsi="宋体" w:eastAsia="宋体" w:cs="宋体"/>
          <w:b/>
          <w:color w:val="000000"/>
          <w:kern w:val="0"/>
          <w:sz w:val="24"/>
          <w:shd w:val="clear" w:color="auto" w:fill="FFFFFF"/>
        </w:rPr>
      </w:pPr>
      <w:r>
        <w:rPr>
          <w:rFonts w:hint="eastAsia" w:ascii="宋体" w:hAnsi="宋体" w:eastAsia="宋体" w:cs="宋体"/>
          <w:b/>
          <w:color w:val="000000"/>
          <w:kern w:val="0"/>
          <w:sz w:val="24"/>
          <w:shd w:val="clear" w:color="auto" w:fill="FFFFFF"/>
        </w:rPr>
        <w:br w:type="page"/>
      </w:r>
    </w:p>
    <w:p w14:paraId="0225BD19">
      <w:pPr>
        <w:pStyle w:val="4"/>
        <w:spacing w:line="440" w:lineRule="atLeast"/>
        <w:jc w:val="center"/>
        <w:rPr>
          <w:rFonts w:ascii="黑体" w:hAnsi="黑体" w:cs="黑体"/>
          <w:shd w:val="clear" w:color="FFFFFF" w:fill="D9D9D9"/>
        </w:rPr>
      </w:pPr>
      <w:bookmarkStart w:id="16" w:name="_Toc10585"/>
      <w:r>
        <w:rPr>
          <w:rFonts w:hint="eastAsia" w:ascii="黑体" w:hAnsi="黑体" w:cs="黑体"/>
          <w:shd w:val="clear" w:color="FFFFFF" w:fill="D9D9D9"/>
        </w:rPr>
        <w:t>资产评估行业规范性文件</w:t>
      </w:r>
      <w:bookmarkEnd w:id="16"/>
    </w:p>
    <w:p w14:paraId="47C9FAA6">
      <w:pPr>
        <w:pStyle w:val="5"/>
        <w:spacing w:line="440" w:lineRule="atLeast"/>
        <w:jc w:val="center"/>
        <w:rPr>
          <w:rFonts w:ascii="宋体" w:hAnsi="宋体" w:eastAsia="宋体" w:cs="宋体"/>
        </w:rPr>
      </w:pPr>
      <w:bookmarkStart w:id="17" w:name="_Toc10727"/>
      <w:r>
        <w:rPr>
          <w:rFonts w:hint="eastAsia" w:ascii="宋体" w:hAnsi="宋体" w:eastAsia="宋体" w:cs="宋体"/>
        </w:rPr>
        <w:t>财政部关于中央企业破产资产评估项目管理有关问题的通知</w:t>
      </w:r>
      <w:bookmarkEnd w:id="17"/>
    </w:p>
    <w:p w14:paraId="4417E2B1">
      <w:pPr>
        <w:shd w:val="clear" w:color="auto" w:fill="FFFFFF"/>
        <w:spacing w:line="440" w:lineRule="atLeast"/>
        <w:ind w:firstLine="480" w:firstLineChars="200"/>
        <w:jc w:val="center"/>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2000年9月29日财政部发布　财企[2000]385号</w:t>
      </w:r>
    </w:p>
    <w:p w14:paraId="3B7313C7">
      <w:pPr>
        <w:shd w:val="clear" w:color="auto" w:fill="FFFFFF"/>
        <w:spacing w:line="440" w:lineRule="atLeast"/>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国务院各部委、各直属机构，中国人民解放军总后勤部，中央各企业集团，各省、自治区、直辖市、计划单列市财政厅（局）、国有资产管理局（办公室），新疆生产建设兵团：</w:t>
      </w:r>
    </w:p>
    <w:p w14:paraId="521CA27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为规范中央管理企业（指资产财务关系直接隶属财政部管理的企业、暂未脱钩仍实行行业管理或中央主管部门管理的企业，以下简称中央企业）实施破产中涉及的资产评估管理工作，维护债权人、债务人的合法权益，根据《国有资产评估管理办法》（1991年国务院91号令）、《国有资产评估管理办法施行细则》等有关文件精神，现对中央破产企业涉及资产评估项目管理的有关问题通知如下：</w:t>
      </w:r>
    </w:p>
    <w:p w14:paraId="0FB8B55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中央破产企业资产评估事关破产程序的正常实施和企业人员的妥善安置，有关方面应予以高度重视。为保证中央破产企业资产评估的客观、公正、高效，清算组、上级企业或主管单位、原企业有关人员及其他相关方应积极支持和配合资产评估工作；承担中央破产企业资产评估的评估机构，要组织具有丰富执业经验、良好职业道德的专职评估人员和其他辅助人员参与整个评估工作，评估人员应依照现行的有关评估操作的政策法规，遵循客观、公正、科学的原则，认真做好中央破产企业资产评估工作。</w:t>
      </w:r>
    </w:p>
    <w:p w14:paraId="161BE0D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二、凡经全国企业兼并破产和职工再就业工作领导小组批准实施破产的中央企业，其资产评估免于立项。企业破产清算组可根据法院宣告，直接委托符合条件的资产评估机构对破产企业全部财产进行评估。</w:t>
      </w:r>
    </w:p>
    <w:p w14:paraId="77A8C2C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三、中央破产企业资产评估基准日以受理破产申请的人民法院宣告企业破产并发布公告之日为准，资产评估结果自评估基准日起1年内有效。</w:t>
      </w:r>
    </w:p>
    <w:p w14:paraId="0A0F7B0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四、为确保资产评估执业质量，承担中央破产企业资产评估的机构必须具备以下条件：</w:t>
      </w:r>
    </w:p>
    <w:p w14:paraId="74992B5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（一）成立2年以上、已完成脱钩改制工作、具有正式资产评估资格且组织形式为有限责任公司的资产评估机构或兼营资产评估的机构，兼营资产评估业务的机构必须内设独立的资产评估业务部门；</w:t>
      </w:r>
    </w:p>
    <w:p w14:paraId="7854B58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（二）拥有8名以上具备执业资格的注册资产评估师；</w:t>
      </w:r>
    </w:p>
    <w:p w14:paraId="0095327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（三）在以往执业过程中没有发生过明显的工作失误或违反职业道德行为。</w:t>
      </w:r>
    </w:p>
    <w:p w14:paraId="5380A79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按统一领导、分级管理的原则，中央企业破产项目的资产评估合规性审核由财政部受理，从中央下放地方管理的煤炭、有色等破产企业，凡涉及享受职工安置费由中央财政兜底政策（即职工安置费在以土地作价、资产变现支付后不足部分经批准由中央财政负责补助）的，其资产评估合规性审核也由财政部直接受理。</w:t>
      </w:r>
    </w:p>
    <w:p w14:paraId="0F402E3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六、关于破产项目合规性审核的申报、审核程序及审核内容。</w:t>
      </w:r>
    </w:p>
    <w:p w14:paraId="3D83825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（一）资产评估合规性审核材料的申报。破产企业资产评估合规性审核申请由破产企业清算组在评估基准日后2个月内提出。申报材料如下：</w:t>
      </w:r>
    </w:p>
    <w:p w14:paraId="25CC83F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1.破产清算组申请合规性审核的书面文件；</w:t>
      </w:r>
    </w:p>
    <w:p w14:paraId="3596DB7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2.破产企业资产评估合规性审核申请表（格式见附件一）；</w:t>
      </w:r>
    </w:p>
    <w:p w14:paraId="7E21076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3.评估机构提交的资产评估报告书、评估说明和评估明细表；</w:t>
      </w:r>
    </w:p>
    <w:p w14:paraId="7EBA70A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4.评估机构和经办注册评估师出具的承诺函；</w:t>
      </w:r>
    </w:p>
    <w:p w14:paraId="186053C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5.破产企业清算组出具的承诺函；</w:t>
      </w:r>
    </w:p>
    <w:p w14:paraId="46BD6B0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6.评估机构的资质情况说明；</w:t>
      </w:r>
    </w:p>
    <w:p w14:paraId="5CCFB22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7.审核需要的其他材料。</w:t>
      </w:r>
    </w:p>
    <w:p w14:paraId="5216E5A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资产评估合规性初审。破产企业清算组提出的资产评估合规性审核申报材料需按产权关系或行政隶属关系先报经企业上级主管单位（指实行行业或部门管理的有关部、委、办、局，或资产财务关系隶属财政部的中央一级企业，以下简称主管单位）进行初审。主管单位初审认为合格的，正式向财政部提出合规性审核的书面申请，并将初审意见及有关材料一并附上；对没有主管单位的，其资产评估合规性审核可由清算组直接报财政部。</w:t>
      </w:r>
    </w:p>
    <w:p w14:paraId="19F2D81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（三）资产评估项目合规性核准。财政部负责合规性审核的内容主要包括：</w:t>
      </w:r>
    </w:p>
    <w:p w14:paraId="5970A21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1.承担该项目的资产评估机构是否具备本通知规定的条件；</w:t>
      </w:r>
    </w:p>
    <w:p w14:paraId="137197F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2.在资产评估报告中签字的有关人员是否具备资产评估执业资格；</w:t>
      </w:r>
    </w:p>
    <w:p w14:paraId="3055A3E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3.评估操作中是否遵循了现行的相关法律、法规和政策制度；</w:t>
      </w:r>
    </w:p>
    <w:p w14:paraId="33A1BB4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4.评估目的与评估范围是否相匹配；</w:t>
      </w:r>
    </w:p>
    <w:p w14:paraId="19302C2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5.评估基准日的选择是否符合本通知要求；</w:t>
      </w:r>
    </w:p>
    <w:p w14:paraId="1B0DE00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6.评估过程、步骤是否符合规范要求；</w:t>
      </w:r>
    </w:p>
    <w:p w14:paraId="393500D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7.评估方法是否适当，所选用和确定的参数如变现率（折扣率）等是否合理；</w:t>
      </w:r>
    </w:p>
    <w:p w14:paraId="7C111E0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8.资产评估报告内容和格式是否完整、规范（有关要求详见附件二）；</w:t>
      </w:r>
    </w:p>
    <w:p w14:paraId="6BE97E0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9.清算组、评估机构和注册资产评估师是否按有关规定出具了承诺函；</w:t>
      </w:r>
    </w:p>
    <w:p w14:paraId="5A750EF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10.其他。</w:t>
      </w:r>
    </w:p>
    <w:p w14:paraId="6B35D01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（四）财政部对材料齐全的评估报告在30个工作日内完成合规性审核工作，并下达合规性审核意见。</w:t>
      </w:r>
    </w:p>
    <w:p w14:paraId="1F503BD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七、按照国有企业破产的有关法规，针对进入破产程序的中央企业负债的特殊性，财政部只对破产财产的评估情况进行合规性审核，不对负债的评估情况发表意见。</w:t>
      </w:r>
    </w:p>
    <w:p w14:paraId="09ADDB0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八、为严肃财经纪律，保证中央企业破产程序的正常实施，确保国有资产评估管理工作顺利进行，对未经合规性审核而擅自处理破产财产的，要严肃查处，并依照法律法规追究有关责任主体（企业、部门）和有关责任人的法律责任。</w:t>
      </w:r>
    </w:p>
    <w:p w14:paraId="15B93CA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九、建立中央破产企业资产评估后续评价制度。中央破产企业清算组应在破产财产分配结束之后1个月内将资产处置结果报财政部备案。破产清算组的报送材料应重点分析资产处置结果与评估结果的差异情况。财政部对处置结果组织进行抽查。</w:t>
      </w:r>
    </w:p>
    <w:p w14:paraId="4B1855A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十、本通知规定只适用于中央破产企业，地方破产企业资产评估项目管理办法由各地财政部门（或国有资产管理部门）参照本通知制定，并报财政部备案。</w:t>
      </w:r>
    </w:p>
    <w:p w14:paraId="297169A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十一、本通知自发布之日起执行。</w:t>
      </w:r>
    </w:p>
    <w:p w14:paraId="5F3A14EB">
      <w:pPr>
        <w:shd w:val="clear" w:color="auto" w:fill="FFFFFF"/>
        <w:spacing w:line="440" w:lineRule="atLeast"/>
        <w:ind w:firstLine="480" w:firstLineChars="200"/>
        <w:rPr>
          <w:rFonts w:ascii="宋体" w:hAnsi="宋体" w:eastAsia="宋体" w:cs="宋体"/>
          <w:color w:val="000000"/>
          <w:kern w:val="0"/>
          <w:sz w:val="24"/>
          <w:shd w:val="clear" w:color="auto" w:fill="FFFFFF"/>
        </w:rPr>
      </w:pPr>
    </w:p>
    <w:p w14:paraId="3F845B8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附件：一、中央破产企业资产评估合规性审核申请表（表1、表2）</w:t>
      </w:r>
    </w:p>
    <w:p w14:paraId="006962C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　　　二、关于中央破产企业资产评估报告内容和格式的具体要求</w:t>
      </w:r>
    </w:p>
    <w:p w14:paraId="6E068141">
      <w:pPr>
        <w:shd w:val="clear" w:color="auto" w:fill="FFFFFF"/>
        <w:spacing w:line="440" w:lineRule="atLeast"/>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抄送：财政部驻各省、自治区、直辖市、计划单列市财政监察专员办事处。</w:t>
      </w:r>
    </w:p>
    <w:p w14:paraId="0815D417">
      <w:pPr>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br w:type="page"/>
      </w:r>
    </w:p>
    <w:p w14:paraId="4F69723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fldChar w:fldCharType="begin"/>
      </w:r>
      <w:r>
        <w:rPr>
          <w:rFonts w:ascii="宋体" w:hAnsi="宋体" w:eastAsia="宋体" w:cs="宋体"/>
          <w:color w:val="000000"/>
          <w:kern w:val="0"/>
          <w:sz w:val="24"/>
          <w:shd w:val="clear" w:color="auto" w:fill="FFFFFF"/>
        </w:rPr>
        <w:instrText xml:space="preserve"> INCLUDEPICTURE "C:\\var\\folders\\d5\\dr5lm2px1fx6vg3203l746q00000gn\\T\\com.microsoft.Word\\WebArchiveCopyPasteTempFiles\\W020080519530386402134.gif" \* MERGEFORMAT </w:instrText>
      </w:r>
      <w:r>
        <w:rPr>
          <w:rFonts w:hint="eastAsia" w:ascii="宋体" w:hAnsi="宋体" w:eastAsia="宋体" w:cs="宋体"/>
          <w:color w:val="000000"/>
          <w:kern w:val="0"/>
          <w:sz w:val="24"/>
          <w:shd w:val="clear" w:color="auto" w:fill="FFFFFF"/>
        </w:rPr>
        <w:fldChar w:fldCharType="separate"/>
      </w:r>
      <w:r>
        <w:rPr>
          <w:rFonts w:hint="eastAsia" w:ascii="宋体" w:hAnsi="宋体" w:eastAsia="宋体" w:cs="宋体"/>
          <w:color w:val="000000"/>
          <w:kern w:val="0"/>
          <w:sz w:val="24"/>
          <w:shd w:val="clear" w:color="auto" w:fill="FFFFFF"/>
        </w:rPr>
        <w:drawing>
          <wp:inline distT="0" distB="0" distL="0" distR="0">
            <wp:extent cx="5274310" cy="3685540"/>
            <wp:effectExtent l="0" t="0" r="2540" b="10160"/>
            <wp:docPr id="14" name="图片 14"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表格&#10;&#10;描述已自动生成"/>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274310" cy="3685540"/>
                    </a:xfrm>
                    <a:prstGeom prst="rect">
                      <a:avLst/>
                    </a:prstGeom>
                    <a:noFill/>
                    <a:ln>
                      <a:noFill/>
                    </a:ln>
                  </pic:spPr>
                </pic:pic>
              </a:graphicData>
            </a:graphic>
          </wp:inline>
        </w:drawing>
      </w:r>
      <w:r>
        <w:rPr>
          <w:rFonts w:hint="eastAsia" w:ascii="宋体" w:hAnsi="宋体" w:eastAsia="宋体" w:cs="宋体"/>
          <w:color w:val="000000"/>
          <w:kern w:val="0"/>
          <w:sz w:val="24"/>
          <w:shd w:val="clear" w:color="auto" w:fill="FFFFFF"/>
        </w:rPr>
        <w:fldChar w:fldCharType="end"/>
      </w:r>
    </w:p>
    <w:p w14:paraId="2C248C3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fldChar w:fldCharType="begin"/>
      </w:r>
      <w:r>
        <w:rPr>
          <w:rFonts w:ascii="宋体" w:hAnsi="宋体" w:eastAsia="宋体" w:cs="宋体"/>
          <w:color w:val="000000"/>
          <w:kern w:val="0"/>
          <w:sz w:val="24"/>
          <w:shd w:val="clear" w:color="auto" w:fill="FFFFFF"/>
        </w:rPr>
        <w:instrText xml:space="preserve"> INCLUDEPICTURE "C:\\var\\folders\\d5\\dr5lm2px1fx6vg3203l746q00000gn\\T\\com.microsoft.Word\\WebArchiveCopyPasteTempFiles\\W020080519530386569936.gif" \* MERGEFORMAT </w:instrText>
      </w:r>
      <w:r>
        <w:rPr>
          <w:rFonts w:hint="eastAsia" w:ascii="宋体" w:hAnsi="宋体" w:eastAsia="宋体" w:cs="宋体"/>
          <w:color w:val="000000"/>
          <w:kern w:val="0"/>
          <w:sz w:val="24"/>
          <w:shd w:val="clear" w:color="auto" w:fill="FFFFFF"/>
        </w:rPr>
        <w:fldChar w:fldCharType="separate"/>
      </w:r>
      <w:r>
        <w:rPr>
          <w:rFonts w:hint="eastAsia" w:ascii="宋体" w:hAnsi="宋体" w:eastAsia="宋体" w:cs="宋体"/>
          <w:color w:val="000000"/>
          <w:kern w:val="0"/>
          <w:sz w:val="24"/>
          <w:shd w:val="clear" w:color="auto" w:fill="FFFFFF"/>
        </w:rPr>
        <w:drawing>
          <wp:inline distT="0" distB="0" distL="0" distR="0">
            <wp:extent cx="5274310" cy="3329940"/>
            <wp:effectExtent l="0" t="0" r="2540" b="3810"/>
            <wp:docPr id="15" name="图片 15"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表格&#10;&#10;描述已自动生成"/>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5274310" cy="3329940"/>
                    </a:xfrm>
                    <a:prstGeom prst="rect">
                      <a:avLst/>
                    </a:prstGeom>
                    <a:noFill/>
                    <a:ln>
                      <a:noFill/>
                    </a:ln>
                  </pic:spPr>
                </pic:pic>
              </a:graphicData>
            </a:graphic>
          </wp:inline>
        </w:drawing>
      </w:r>
      <w:r>
        <w:rPr>
          <w:rFonts w:hint="eastAsia" w:ascii="宋体" w:hAnsi="宋体" w:eastAsia="宋体" w:cs="宋体"/>
          <w:color w:val="000000"/>
          <w:kern w:val="0"/>
          <w:sz w:val="24"/>
          <w:shd w:val="clear" w:color="auto" w:fill="FFFFFF"/>
        </w:rPr>
        <w:fldChar w:fldCharType="end"/>
      </w:r>
    </w:p>
    <w:p w14:paraId="30EE7601">
      <w:pPr>
        <w:rPr>
          <w:rFonts w:ascii="宋体" w:hAnsi="宋体" w:eastAsia="宋体" w:cs="宋体"/>
          <w:color w:val="000000"/>
          <w:kern w:val="0"/>
          <w:sz w:val="24"/>
          <w:shd w:val="clear" w:color="auto" w:fill="FFFFFF"/>
        </w:rPr>
      </w:pPr>
      <w:bookmarkStart w:id="18" w:name="_Toc6188"/>
      <w:r>
        <w:rPr>
          <w:rFonts w:hint="eastAsia" w:ascii="宋体" w:hAnsi="宋体" w:eastAsia="宋体" w:cs="宋体"/>
          <w:color w:val="000000"/>
          <w:kern w:val="0"/>
          <w:sz w:val="24"/>
          <w:shd w:val="clear" w:color="auto" w:fill="FFFFFF"/>
        </w:rPr>
        <w:br w:type="page"/>
      </w:r>
    </w:p>
    <w:p w14:paraId="3B00A8F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附件二：</w:t>
      </w:r>
      <w:bookmarkEnd w:id="18"/>
    </w:p>
    <w:p w14:paraId="5A32C6E8">
      <w:pPr>
        <w:spacing w:after="150" w:line="440" w:lineRule="atLeast"/>
        <w:jc w:val="center"/>
        <w:rPr>
          <w:rFonts w:ascii="宋体" w:hAnsi="宋体" w:eastAsia="宋体" w:cs="宋体"/>
          <w:b/>
          <w:bCs/>
          <w:color w:val="333333"/>
          <w:kern w:val="0"/>
          <w:sz w:val="32"/>
          <w:szCs w:val="32"/>
        </w:rPr>
      </w:pPr>
      <w:r>
        <w:rPr>
          <w:rFonts w:hint="eastAsia" w:ascii="宋体" w:hAnsi="宋体" w:eastAsia="宋体" w:cs="宋体"/>
          <w:b/>
          <w:bCs/>
          <w:color w:val="333333"/>
          <w:kern w:val="0"/>
          <w:sz w:val="32"/>
          <w:szCs w:val="32"/>
        </w:rPr>
        <w:t>关于中央破产企业资产评估报告</w:t>
      </w:r>
    </w:p>
    <w:p w14:paraId="59FF4F93">
      <w:pPr>
        <w:spacing w:after="150" w:line="440" w:lineRule="atLeast"/>
        <w:jc w:val="center"/>
        <w:rPr>
          <w:rFonts w:ascii="宋体" w:hAnsi="宋体" w:eastAsia="宋体" w:cs="宋体"/>
          <w:b/>
          <w:bCs/>
          <w:color w:val="333333"/>
          <w:kern w:val="0"/>
          <w:sz w:val="32"/>
          <w:szCs w:val="32"/>
        </w:rPr>
      </w:pPr>
      <w:r>
        <w:rPr>
          <w:rFonts w:hint="eastAsia" w:ascii="宋体" w:hAnsi="宋体" w:eastAsia="宋体" w:cs="宋体"/>
          <w:b/>
          <w:bCs/>
          <w:color w:val="333333"/>
          <w:kern w:val="0"/>
          <w:sz w:val="32"/>
          <w:szCs w:val="32"/>
        </w:rPr>
        <w:t>内容和格式的具体要求</w:t>
      </w:r>
    </w:p>
    <w:p w14:paraId="77195D2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破产企业的资产评估报告的基本内容和格式应符合我部《关于印发〈资产评估报告基本内容与格式的暂行规定〉的通知》（财评字[1999]91号）的要求，同时，为了分清委托方与评估机构的法律责任，明确破产企业资产评估的工作内容和审核标准，我们结合破产企业资产评估项目的具体情况和特点，对评估报告的内容和格式作如下具体要求：</w:t>
      </w:r>
    </w:p>
    <w:p w14:paraId="37DBC95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一、对《关于进行资产评估有关事项的说明》的具体要求</w:t>
      </w:r>
    </w:p>
    <w:p w14:paraId="1ED9623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该说明由破产企业清算组根据破产企业介绍的情况和进驻破产企业后通过核实、查证等相关工作了解到的情况撰写，由清算组组长签字并加盖清算组印章。</w:t>
      </w:r>
    </w:p>
    <w:p w14:paraId="7452A78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1.评估目的中应明确该企业破产是否经企业主管单位同意，法院是否正式受理破产申请并公开宣告，还应说明破产企业是否列入中央企业破产计划，是否需中央财政补助职工安置费用。</w:t>
      </w:r>
    </w:p>
    <w:p w14:paraId="5C19A46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2.评估范围中应明确委托评估的资产账面值是否与审计结果一致，同时，要对下列事项作特别说明：</w:t>
      </w:r>
    </w:p>
    <w:p w14:paraId="3BA5F01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根据现行法规列入委托评估范围的已设定抵押的资产账面值和拟用于承担担保责任的资产账面值情况，依法中止的涉及诉讼资产账面值和被扣押、查封的资产账面值以及依法追回的非法转移、放弃的财产权利情况，评估范围是否包括土地使用权情况；</w:t>
      </w:r>
    </w:p>
    <w:p w14:paraId="2444F6F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（2）拟用作承担抵押、担保责任的资产与普通资产的划分原则和依据；</w:t>
      </w:r>
    </w:p>
    <w:p w14:paraId="7947FF3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（3）评估范围是否包括公益性福利设施及党、团、工会组织占用破产企业的财产和相应金额；</w:t>
      </w:r>
    </w:p>
    <w:p w14:paraId="7AF10BA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（4）评估范围是否包括清查中发现的盘盈资产，是否包括账面值中未反映的无形资产及其他特许权；</w:t>
      </w:r>
    </w:p>
    <w:p w14:paraId="1EF4FA8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（5）未纳入评估范围的资产和相应账面值以及未纳入评估范围的原因和依据。</w:t>
      </w:r>
    </w:p>
    <w:p w14:paraId="7704E1E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3.评估基准日部分应说明是否以法院宣告破产并发布公告之日作为评估基准日。</w:t>
      </w:r>
    </w:p>
    <w:p w14:paraId="1631E8B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4.资产清查情况的说明中应具体说明清查结论，涉及调整事项的应分项说明调整事由及结果。对清查中发现的存货、设备等的变质、毁损、报废等严重影响资产价值的事项应另行提交由专业鉴定机构或清算组出具的鉴定情况和结果，清算组应对此提出处理意见。</w:t>
      </w:r>
    </w:p>
    <w:p w14:paraId="2A3A8A0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5.对清算组以清算资产负债表提交给评估机构的，应说明清算期初资产负债表的编制是否根据我部《关于印发〈国有企业试行破产有关会计处理问题暂行规定〉的通知》（财会字[1997]28号）的要求执行并简要介绍执行情况。</w:t>
      </w:r>
    </w:p>
    <w:p w14:paraId="49FA13F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6.可能影响资产评估工作的重大事项说明中应明确下列事项：</w:t>
      </w:r>
    </w:p>
    <w:p w14:paraId="21C3253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（1）清算组对破产清算财产拟作的处置方案，包括对有价证券、存货、建筑物、机器设备、无形资产及其他特许权等的初步处置方案和拟采取的变现方式；</w:t>
      </w:r>
    </w:p>
    <w:p w14:paraId="4900126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（2）与已设定抵押资产的账面值和对应的债务金额及债权人是否放弃优先受偿权，拟用于承担担保责任的资产和相应的担保金额；</w:t>
      </w:r>
    </w:p>
    <w:p w14:paraId="6C09359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（3）土地使用权的初步处置意见和拟作处理的依据；</w:t>
      </w:r>
    </w:p>
    <w:p w14:paraId="214F23B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（4）经债权人大会决议确认的债权数额，债权人大会未召开或未能确认债权数额的，应说明清算组初步核定的债权数额。</w:t>
      </w:r>
    </w:p>
    <w:p w14:paraId="22C0FD5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二、关于资产评估报告书的具体要求</w:t>
      </w:r>
    </w:p>
    <w:p w14:paraId="2067D1E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1.评估目的部分应说明破产企业主管单位的批准情况、是否列入中央企业破产计划、是否需中央财政补助职工安置费用以及所在地法院的受理情况。</w:t>
      </w:r>
    </w:p>
    <w:p w14:paraId="057D7B2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评估范围部分应对评估操作中涉及的全部资产的种类、各类资产的内容及划分依据作详细的文字表述，并列示具体评估对象（各资产项目）的账面值。该部分应充分披露经核实、查证的涉及已设定抵押、担保、被查封、被扣押等事项的资产和相应账面值。应对清算组委托评估的资产范围是否合法和全面发表专业意见，对未纳入评估范围的应说明原因并披露其账面内容和相应账面值；如评估内容与清算组委托评估范围不一致，应说明原因。</w:t>
      </w:r>
    </w:p>
    <w:p w14:paraId="6A019D9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3.评估基准日部分应明确实际操作中选用的评估基准日，对因特殊情况使评估基准日与本规定要求不一致的，应说明原因。</w:t>
      </w:r>
    </w:p>
    <w:p w14:paraId="082C60F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4.评估方法部分应对评估范围内各类资产的评估方法全面反映，应明确与所选用的评估方法对应的具体评估对象和范围，应对清算价格法中变现率（或折扣率）的确定方法和过程作充分披露，应对评估中采用的特殊方法、区别资产的不同变现方式所做的不同评估处理情况等作详细披露。</w:t>
      </w:r>
    </w:p>
    <w:p w14:paraId="195ED6E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5.评估结论中应以“对评估结论的说明”的形式，在汇总表外单独说明评估范围中包括的公益性福利设施等非经营性资产及涉及诉讼的资产等评估结果，单独说明“用作抵押、担保的资产”中评估值超过相应债务的资产项目其超过额汇总结果，并提请清算组及有关当事方充分关注并按现行法规处理。</w:t>
      </w:r>
    </w:p>
    <w:p w14:paraId="056286A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6.特别事项中应披露下列事项：</w:t>
      </w:r>
    </w:p>
    <w:p w14:paraId="3DE5EC6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（1）经债权人大会决议确认的债权数额或清算组初步核定的债权数额；</w:t>
      </w:r>
    </w:p>
    <w:p w14:paraId="11F7C85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（2）评估机构接受清算组的委托核实破产企业债务的，应披露经核实的债务结果，并单独列示其中的欠付职工工资、欠付社会福利款、欠缴税款及职工集资款。</w:t>
      </w:r>
    </w:p>
    <w:p w14:paraId="088F44A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7.评估机构应特别关注并揭示评估基准日至出具报告期间影响评估结论的重大事项。上述评估基准日期后重大事项包括但不限于在此期间分回的投资收益和其他收益、追回的评估中已做坏账处理的应收款项、依法追回的法院宣告受理破产案件前6个月内企业非法处理的财产、获取的其他财产权利和相应价值以及在此期间发生的损失等。对难以在评估结论中反映也未做反映的上述事项，应说明原因并对其发生情况和涉及金额逐项予以揭示。</w:t>
      </w:r>
    </w:p>
    <w:p w14:paraId="6CE7713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8.备查文件中应包括法院宣告破产并公告的文书复印件、全部抵押、担保合同（协议）等必备材料。</w:t>
      </w:r>
    </w:p>
    <w:p w14:paraId="21800F1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三、关于资产评估说明的具体要求</w:t>
      </w:r>
    </w:p>
    <w:p w14:paraId="422FA58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1.评估机构的清查核实说明中应明确清查范围是否包括了所有委托评估的资产，是否存在影响资产清查的事项和原因，是否有调整事项及其原因，以及调整结果是否与清算组取得一致意见等。</w:t>
      </w:r>
    </w:p>
    <w:p w14:paraId="53942F5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2.对评估中依照的行业特殊政策、重要法规依据，及评估中参考的破产企业所在地的有关价格标准、参数和相关信息应予逐条列示并附在评估报告书备查文件中备查。</w:t>
      </w:r>
    </w:p>
    <w:p w14:paraId="5453332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评估技术说明中，全面、详细地说明各类资产的评估方法、评估程序与结果，应充分披露变现率（或折扣率）的考虑因素、确定过程及结果，说明不同处置方式下的资产的区别处理情况，说明对拟用作承担抵押、担保责任的资产与普通资产在评估方法上的区别处理情况以及对涉及诉讼资产的评估方法等。</w:t>
      </w:r>
    </w:p>
    <w:p w14:paraId="30591ED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四、关于评估明细表的具体要求</w:t>
      </w:r>
    </w:p>
    <w:p w14:paraId="52A81E6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破产企业资产评估明细表的资产科目设置参照财政部下发的《国有企业试行破产有关会计处理问题的暂行规定》（财会字[1997]28号）中资产负债表的会计科目设置，评估结果汇总表格式参见附表。对因破产清算资产中不涉及抵押、担保事项，或是涉及抵押、担保事项的资产和金额较少，或是由于抵押权人、担保权人放弃优先受偿权的，明细表和汇总表格式可仍按91号文件规定的格式出具。</w:t>
      </w:r>
    </w:p>
    <w:p w14:paraId="011F971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对“用作抵押、担保的资产”中评估值超过相应债务的资产项目，其超过部分应在普通资产的相应资产科目明细表中列示，并作备注。对列入普通资产的上述超过部分总额应在评估结果汇总表的表外作附注反映。</w:t>
      </w:r>
    </w:p>
    <w:p w14:paraId="3B743F5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br w:type="page"/>
      </w:r>
    </w:p>
    <w:p w14:paraId="7CF76143">
      <w:pPr>
        <w:pStyle w:val="5"/>
        <w:spacing w:line="440" w:lineRule="atLeast"/>
        <w:jc w:val="center"/>
        <w:rPr>
          <w:rFonts w:ascii="宋体" w:hAnsi="宋体" w:eastAsia="宋体" w:cs="宋体"/>
        </w:rPr>
      </w:pPr>
      <w:bookmarkStart w:id="19" w:name="_Toc31163"/>
      <w:r>
        <w:rPr>
          <w:rFonts w:hint="eastAsia" w:ascii="宋体" w:hAnsi="宋体" w:eastAsia="宋体" w:cs="宋体"/>
        </w:rPr>
        <w:t>财政部、国家知识产权局关于加强知识产权</w:t>
      </w:r>
      <w:bookmarkEnd w:id="19"/>
    </w:p>
    <w:p w14:paraId="1093E094">
      <w:pPr>
        <w:pStyle w:val="5"/>
        <w:spacing w:line="440" w:lineRule="atLeast"/>
        <w:jc w:val="center"/>
        <w:rPr>
          <w:rFonts w:ascii="宋体" w:hAnsi="宋体" w:eastAsia="宋体" w:cs="宋体"/>
        </w:rPr>
      </w:pPr>
      <w:bookmarkStart w:id="20" w:name="_Toc22261"/>
      <w:r>
        <w:rPr>
          <w:rFonts w:hint="eastAsia" w:ascii="宋体" w:hAnsi="宋体" w:eastAsia="宋体" w:cs="宋体"/>
        </w:rPr>
        <w:t>资产评估管理工作若干问题的通知</w:t>
      </w:r>
      <w:bookmarkEnd w:id="20"/>
    </w:p>
    <w:p w14:paraId="1501F2B7">
      <w:pPr>
        <w:shd w:val="clear" w:color="auto" w:fill="FFFFFF"/>
        <w:spacing w:line="440" w:lineRule="atLeast"/>
        <w:jc w:val="center"/>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2006年4月19日财政部　国家知识产权局发布</w:t>
      </w:r>
    </w:p>
    <w:p w14:paraId="7BB5892C">
      <w:pPr>
        <w:shd w:val="clear" w:color="auto" w:fill="FFFFFF"/>
        <w:spacing w:line="440" w:lineRule="atLeast"/>
        <w:jc w:val="center"/>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财企〔2006〕109号</w:t>
      </w:r>
    </w:p>
    <w:p w14:paraId="18A75690">
      <w:pPr>
        <w:shd w:val="clear" w:color="auto" w:fill="FFFFFF"/>
        <w:spacing w:line="440" w:lineRule="atLeast"/>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各省、自治区、直辖市、计划单列市财政厅（局）、知识产权局：</w:t>
      </w:r>
    </w:p>
    <w:p w14:paraId="11F3C57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为了加强知识产权资产评估管理，规范知识产权的评估行为，使知识产权资产评估更好地服务于国家创新经济建设和知识产权保护工作，依据《中华人民共和国公司法》、《中华人民共和国专利法》、《中华人民共和国商标法》、《中华人民共和国著作权法》、《中华人民共和国担保法》、《国有资产评估管理办法》等有关规定，现就知识产权资产评估管理工作的有关事项通知如下：</w:t>
      </w:r>
    </w:p>
    <w:p w14:paraId="30DED31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一、知识产权占有单位符合下列情形之一的，应当进行资产评估：</w:t>
      </w:r>
    </w:p>
    <w:p w14:paraId="18D0E25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（一）根据《公司法》第二十七条规定，以知识产权资产作价出资成立有限责任公司或股份有限公司的；</w:t>
      </w:r>
    </w:p>
    <w:p w14:paraId="14848DE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（二）以知识产权质押，市场没有参照价格，质权人要求评估的；</w:t>
      </w:r>
    </w:p>
    <w:p w14:paraId="2E3B8DE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（三）行政单位拍卖、转让、置换知识产权的；</w:t>
      </w:r>
    </w:p>
    <w:p w14:paraId="4D83B5E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（四）国有事业单位改制、合并、分立、清算、投资、转让、置换、拍卖涉及知识产权的；</w:t>
      </w:r>
    </w:p>
    <w:p w14:paraId="2F56CF9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（五）国有企业改制、上市、合并、分立、清算、投资、转让、置换、拍卖、偿还债务涉及知识产权的；</w:t>
      </w:r>
    </w:p>
    <w:p w14:paraId="129F26F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（六）国有企业收购或通过置换取得非国有单位的知识产权，或接受非国有单位以知识产权出资的；</w:t>
      </w:r>
    </w:p>
    <w:p w14:paraId="44C6F20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（七）国有企业以知识产权许可外国公司、企业、其他经济组织或个人使用，市场没有参照价格的；</w:t>
      </w:r>
    </w:p>
    <w:p w14:paraId="04CB1A0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（八）确定涉及知识产权诉讼价值，人民法院、仲裁机关或当事人要求评估的；</w:t>
      </w:r>
    </w:p>
    <w:p w14:paraId="222D269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（九）法律、行政法规规定的其他需要进行资产评估的事项。</w:t>
      </w:r>
    </w:p>
    <w:p w14:paraId="18A0BD7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非国有单位发生合并、分立、清算、投资、转让、置换、偿还债务等经济行为涉及知识产权的，可以参照国有企业进行资产评估。</w:t>
      </w:r>
    </w:p>
    <w:p w14:paraId="2616D86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二、知识产权评估应当依法委托经财政部门批准设立的资产评估机构进行评估。</w:t>
      </w:r>
    </w:p>
    <w:p w14:paraId="09C81EA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资产评估机构从事知识产权评估业务时，应当严格遵循有关的资产评估准则和规范。在评估过程中，要考虑知识产权的特殊性，科学、客观地分析知识产权预期收益的可行性和合理性。</w:t>
      </w:r>
    </w:p>
    <w:p w14:paraId="687B5CC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资产评估机构在执行知识产权评估业务时，可以聘请专利、商标、版权等知识产权方面的专家协助工作，但不能因此减轻或免除资产评估机构及注册资产评估师应当承担的法律责任。</w:t>
      </w:r>
    </w:p>
    <w:p w14:paraId="32D1268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财政部和国家知识产权局共同组织知识产权评估专业培训、考核并颁发培训证书，建立并严格执行继续教育、培训考核制度，确保培训的质量，不断提高注册资产评估师及从业人员知识产权评估的专业能力和水平。</w:t>
      </w:r>
    </w:p>
    <w:p w14:paraId="0E79F7A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中国资产评估协会应当加强行业自律和专业指导工作，可以建立知识产权评估专家库和相关的专业委员会，建立和完善知识产权数据库，为知识产权资产评估创建必要的平台，以提高资产评估的执业质量、行业公信力和影响力。</w:t>
      </w:r>
    </w:p>
    <w:p w14:paraId="1C22228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五、资产评估机构必须坚持独立、客观、公正的原则，不得以迎合委托方对评估结果高估或者低估的要求、给予“回扣”、恶性压价等不正当方式承揽知识产权评估业务。</w:t>
      </w:r>
    </w:p>
    <w:p w14:paraId="5ACA7E8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财政部和国家知识产权局定期组织对从事知识产权评估业务的资产评估机构执业质量进行监督检查。</w:t>
      </w:r>
    </w:p>
    <w:p w14:paraId="659BCE7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六、任何单位和个人不得非法干预知识产权评估业务和评估结果。</w:t>
      </w:r>
    </w:p>
    <w:p w14:paraId="0AD07D1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七、占有知识产权的国有单位和从事知识产权评估业务的资产评估机构违反上述规定的，按国家有关规定处理。</w:t>
      </w:r>
    </w:p>
    <w:p w14:paraId="34E6ED1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本通知发布后，过去有关规定与本通知内容相抵触的，以本通知为准。</w:t>
      </w:r>
    </w:p>
    <w:p w14:paraId="7E5257C5">
      <w:pPr>
        <w:shd w:val="clear" w:color="auto" w:fill="FFFFFF"/>
        <w:wordWrap w:val="0"/>
        <w:spacing w:line="440" w:lineRule="atLeast"/>
        <w:ind w:firstLine="480" w:firstLineChars="200"/>
        <w:jc w:val="right"/>
        <w:rPr>
          <w:rFonts w:ascii="宋体" w:hAnsi="宋体" w:eastAsia="宋体" w:cs="宋体"/>
          <w:color w:val="000000"/>
          <w:kern w:val="0"/>
          <w:sz w:val="24"/>
          <w:shd w:val="clear" w:color="auto" w:fill="FFFFFF"/>
        </w:rPr>
      </w:pPr>
    </w:p>
    <w:p w14:paraId="2B72F2E3">
      <w:pPr>
        <w:shd w:val="clear" w:color="auto" w:fill="FFFFFF"/>
        <w:wordWrap w:val="0"/>
        <w:spacing w:line="440" w:lineRule="atLeast"/>
        <w:ind w:firstLine="480" w:firstLineChars="200"/>
        <w:jc w:val="right"/>
        <w:rPr>
          <w:rFonts w:ascii="宋体" w:hAnsi="宋体" w:eastAsia="宋体" w:cs="宋体"/>
          <w:color w:val="000000"/>
          <w:kern w:val="0"/>
          <w:sz w:val="24"/>
          <w:shd w:val="clear" w:color="auto" w:fill="FFFFFF"/>
        </w:rPr>
      </w:pPr>
    </w:p>
    <w:p w14:paraId="2F17C490">
      <w:pPr>
        <w:shd w:val="clear" w:color="auto" w:fill="FFFFFF"/>
        <w:wordWrap w:val="0"/>
        <w:spacing w:line="440" w:lineRule="atLeast"/>
        <w:ind w:firstLine="480" w:firstLineChars="200"/>
        <w:jc w:val="right"/>
        <w:rPr>
          <w:rFonts w:ascii="宋体" w:hAnsi="宋体" w:eastAsia="宋体" w:cs="宋体"/>
          <w:color w:val="000000"/>
          <w:kern w:val="0"/>
          <w:sz w:val="24"/>
          <w:shd w:val="clear" w:color="auto" w:fill="FFFFFF"/>
        </w:rPr>
      </w:pPr>
    </w:p>
    <w:p w14:paraId="32E6B1AD">
      <w:pPr>
        <w:shd w:val="clear" w:color="auto" w:fill="FFFFFF"/>
        <w:wordWrap w:val="0"/>
        <w:spacing w:line="440" w:lineRule="atLeast"/>
        <w:ind w:firstLine="480" w:firstLineChars="200"/>
        <w:jc w:val="right"/>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二〇〇六年四月十九日</w:t>
      </w:r>
    </w:p>
    <w:p w14:paraId="2E99894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br w:type="page"/>
      </w:r>
    </w:p>
    <w:p w14:paraId="4368483D">
      <w:pPr>
        <w:pStyle w:val="5"/>
        <w:spacing w:line="440" w:lineRule="atLeast"/>
        <w:jc w:val="center"/>
        <w:rPr>
          <w:rFonts w:ascii="宋体" w:hAnsi="宋体" w:eastAsia="宋体" w:cs="宋体"/>
        </w:rPr>
      </w:pPr>
      <w:bookmarkStart w:id="21" w:name="_Toc21914"/>
      <w:r>
        <w:rPr>
          <w:rFonts w:hint="eastAsia" w:ascii="宋体" w:hAnsi="宋体" w:eastAsia="宋体" w:cs="宋体"/>
        </w:rPr>
        <w:t>资产评估机构职业风险基金管理办法</w:t>
      </w:r>
      <w:bookmarkEnd w:id="21"/>
    </w:p>
    <w:p w14:paraId="593E52E5">
      <w:pPr>
        <w:shd w:val="clear" w:color="auto" w:fill="FFFFFF"/>
        <w:spacing w:line="440" w:lineRule="atLeast"/>
        <w:jc w:val="center"/>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2009年2月24日财政部发布　财企〔2009〕26号</w:t>
      </w:r>
    </w:p>
    <w:p w14:paraId="020290BE">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第一条</w:t>
      </w:r>
      <w:r>
        <w:rPr>
          <w:rFonts w:hint="eastAsia" w:ascii="宋体" w:hAnsi="宋体" w:eastAsia="宋体" w:cs="宋体"/>
          <w:color w:val="000000"/>
          <w:kern w:val="0"/>
          <w:sz w:val="24"/>
          <w:shd w:val="clear" w:color="auto" w:fill="FFFFFF"/>
        </w:rPr>
        <w:t>　为规范资产评估机构职业风险基金的管理，完善资产评估机构职业责任保障机制，提高抵御风险能力，制定本办法。</w:t>
      </w:r>
    </w:p>
    <w:p w14:paraId="5244E26F">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第二条</w:t>
      </w:r>
      <w:r>
        <w:rPr>
          <w:rFonts w:hint="eastAsia" w:ascii="宋体" w:hAnsi="宋体" w:eastAsia="宋体" w:cs="宋体"/>
          <w:color w:val="000000"/>
          <w:kern w:val="0"/>
          <w:sz w:val="24"/>
          <w:shd w:val="clear" w:color="auto" w:fill="FFFFFF"/>
        </w:rPr>
        <w:t>　资产评估机构应当按照本办法规定提取、使用职业风险基金。</w:t>
      </w:r>
    </w:p>
    <w:p w14:paraId="462EC6A2">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第三条</w:t>
      </w:r>
      <w:r>
        <w:rPr>
          <w:rFonts w:hint="eastAsia" w:ascii="宋体" w:hAnsi="宋体" w:eastAsia="宋体" w:cs="宋体"/>
          <w:color w:val="000000"/>
          <w:kern w:val="0"/>
          <w:sz w:val="24"/>
          <w:shd w:val="clear" w:color="auto" w:fill="FFFFFF"/>
        </w:rPr>
        <w:t>　资产评估机构应当于每一个会计年度终了前，以本年度评估业务收入为基数，按照不低于5%的比例从管理费用中提取职业风险基金，并设立专户核算。</w:t>
      </w:r>
    </w:p>
    <w:p w14:paraId="6DA4D38E">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第四条</w:t>
      </w:r>
      <w:r>
        <w:rPr>
          <w:rFonts w:hint="eastAsia" w:ascii="宋体" w:hAnsi="宋体" w:eastAsia="宋体" w:cs="宋体"/>
          <w:color w:val="000000"/>
          <w:kern w:val="0"/>
          <w:sz w:val="24"/>
          <w:shd w:val="clear" w:color="auto" w:fill="FFFFFF"/>
        </w:rPr>
        <w:t>　资产评估机构提取的职业风险基金应当用于下列支出：</w:t>
      </w:r>
    </w:p>
    <w:p w14:paraId="3829831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（一）因职业责任引起的民事赔偿；</w:t>
      </w:r>
    </w:p>
    <w:p w14:paraId="5097FB8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（二）与民事赔偿相关的律师费、诉讼费等法律费用。</w:t>
      </w:r>
    </w:p>
    <w:p w14:paraId="4FD63A5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本条第一款支出事项发生后，资产评估机构向相关责任人追偿的部分，应当纳入职业风险基金管理。</w:t>
      </w:r>
    </w:p>
    <w:p w14:paraId="2B2F5264">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第五条</w:t>
      </w:r>
      <w:r>
        <w:rPr>
          <w:rFonts w:hint="eastAsia" w:ascii="宋体" w:hAnsi="宋体" w:eastAsia="宋体" w:cs="宋体"/>
          <w:color w:val="000000"/>
          <w:kern w:val="0"/>
          <w:sz w:val="24"/>
          <w:shd w:val="clear" w:color="auto" w:fill="FFFFFF"/>
        </w:rPr>
        <w:t>　资产评估机构持续经营期间，应当保证结余的职业风险基金不低于近5年评估业务收入总和的5%。</w:t>
      </w:r>
    </w:p>
    <w:p w14:paraId="5390388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资产评估机构因赔付造成职业风险基金余额低于近5年评估业务收入总和5%的，应当于本会计年度终了前提取补足职业风险基金。</w:t>
      </w:r>
    </w:p>
    <w:p w14:paraId="7817CFD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具有证券、期货相关业务评估资格的资产评估机构，因补提职业风险基金导致净资产不足200万元的，股东或合伙人应当在三个月内注资补足净资产。</w:t>
      </w:r>
    </w:p>
    <w:p w14:paraId="25E0BE15">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第六条</w:t>
      </w:r>
      <w:r>
        <w:rPr>
          <w:rFonts w:hint="eastAsia" w:ascii="宋体" w:hAnsi="宋体" w:eastAsia="宋体" w:cs="宋体"/>
          <w:color w:val="000000"/>
          <w:kern w:val="0"/>
          <w:sz w:val="24"/>
          <w:shd w:val="clear" w:color="auto" w:fill="FFFFFF"/>
        </w:rPr>
        <w:t>　资产评估机构在符合本办法第五条第一款规定的前提下，经股东会或合伙人决议，可将已计提5年以上（不含5年）结存的职业风险基金转作当年可供分配的利润进行分配，同时应当完善相关内部管理制度。</w:t>
      </w:r>
    </w:p>
    <w:p w14:paraId="6C0042D9">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第七条</w:t>
      </w:r>
      <w:r>
        <w:rPr>
          <w:rFonts w:hint="eastAsia" w:ascii="宋体" w:hAnsi="宋体" w:eastAsia="宋体" w:cs="宋体"/>
          <w:color w:val="000000"/>
          <w:kern w:val="0"/>
          <w:sz w:val="24"/>
          <w:shd w:val="clear" w:color="auto" w:fill="FFFFFF"/>
        </w:rPr>
        <w:t>　资产评估机构合并的，合并前各方已提取的职业风险基金应当并入合并后机构。</w:t>
      </w:r>
    </w:p>
    <w:p w14:paraId="33A4CC08">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第八条</w:t>
      </w:r>
      <w:r>
        <w:rPr>
          <w:rFonts w:hint="eastAsia" w:ascii="宋体" w:hAnsi="宋体" w:eastAsia="宋体" w:cs="宋体"/>
          <w:color w:val="000000"/>
          <w:kern w:val="0"/>
          <w:sz w:val="24"/>
          <w:shd w:val="clear" w:color="auto" w:fill="FFFFFF"/>
        </w:rPr>
        <w:t>　资产评估机构分立的，已提取的职业风险基金应当按照权利与责任一致的原则，在分立各方之间进行分配，并在分立协议中予以约定。</w:t>
      </w:r>
    </w:p>
    <w:p w14:paraId="2D5DC6B0">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第九条</w:t>
      </w:r>
      <w:r>
        <w:rPr>
          <w:rFonts w:hint="eastAsia" w:ascii="宋体" w:hAnsi="宋体" w:eastAsia="宋体" w:cs="宋体"/>
          <w:color w:val="000000"/>
          <w:kern w:val="0"/>
          <w:sz w:val="24"/>
          <w:shd w:val="clear" w:color="auto" w:fill="FFFFFF"/>
        </w:rPr>
        <w:t>　资产评估机构清算时，职业风险基金余额应当核转清算收益。</w:t>
      </w:r>
    </w:p>
    <w:p w14:paraId="7EFA5BBB">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第十条</w:t>
      </w:r>
      <w:r>
        <w:rPr>
          <w:rFonts w:hint="eastAsia" w:ascii="宋体" w:hAnsi="宋体" w:eastAsia="宋体" w:cs="宋体"/>
          <w:color w:val="000000"/>
          <w:kern w:val="0"/>
          <w:sz w:val="24"/>
          <w:shd w:val="clear" w:color="auto" w:fill="FFFFFF"/>
        </w:rPr>
        <w:t>　资产评估机构可以在机构所在省通过购买职业责任保险的方式，提高抵御职业责任风险的能力。</w:t>
      </w:r>
    </w:p>
    <w:p w14:paraId="453FB1D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资产评估机构购买职业责任保险符合本办法规定的，可不再提取购买保险年度的职业风险基金。</w:t>
      </w:r>
    </w:p>
    <w:p w14:paraId="60425CB1">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第十一条</w:t>
      </w:r>
      <w:r>
        <w:rPr>
          <w:rFonts w:hint="eastAsia" w:ascii="宋体" w:hAnsi="宋体" w:eastAsia="宋体" w:cs="宋体"/>
          <w:color w:val="000000"/>
          <w:kern w:val="0"/>
          <w:sz w:val="24"/>
          <w:shd w:val="clear" w:color="auto" w:fill="FFFFFF"/>
        </w:rPr>
        <w:t>　资产评估机构购买职业责任保险的，应当与保险公司签订书面保险合同。保险合同除了符合有关法律规定外，还应当约定以下事项：</w:t>
      </w:r>
    </w:p>
    <w:p w14:paraId="2ACE2F7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（一）投保范围为资产评估机构的评估业务收入；</w:t>
      </w:r>
    </w:p>
    <w:p w14:paraId="2D84D1C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（二）赔偿范围应当与本办法第四条第一款规定的职业风险基金支出范围一致；</w:t>
      </w:r>
    </w:p>
    <w:p w14:paraId="520ADF7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（三）追溯期应当追溯至首次购买保险年度；</w:t>
      </w:r>
    </w:p>
    <w:p w14:paraId="5B0851A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（四）累计赔偿限额不得低于已购买保险年度评估业务收入总和的5%。</w:t>
      </w:r>
    </w:p>
    <w:p w14:paraId="234B0EF4">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第十二条</w:t>
      </w:r>
      <w:r>
        <w:rPr>
          <w:rFonts w:hint="eastAsia" w:ascii="宋体" w:hAnsi="宋体" w:eastAsia="宋体" w:cs="宋体"/>
          <w:color w:val="000000"/>
          <w:kern w:val="0"/>
          <w:sz w:val="24"/>
          <w:shd w:val="clear" w:color="auto" w:fill="FFFFFF"/>
        </w:rPr>
        <w:t>　资产评估机构职业责任保险的追溯期超过5年，且累计赔偿限额已不低于近5年评估业务收入总和5%的，可不再增加职业责任保险累计赔偿限额，并可将5年以前计提的职业风险基金余额予以分配。</w:t>
      </w:r>
    </w:p>
    <w:p w14:paraId="7FA720BA">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第十三条</w:t>
      </w:r>
      <w:r>
        <w:rPr>
          <w:rFonts w:hint="eastAsia" w:ascii="宋体" w:hAnsi="宋体" w:eastAsia="宋体" w:cs="宋体"/>
          <w:color w:val="000000"/>
          <w:kern w:val="0"/>
          <w:sz w:val="24"/>
          <w:shd w:val="clear" w:color="auto" w:fill="FFFFFF"/>
        </w:rPr>
        <w:t>　资产评估机构的分支机构的职业风险基金，由总机构统一提取和使用。</w:t>
      </w:r>
    </w:p>
    <w:p w14:paraId="7A22FC6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购买职业责任保险的资产评估机构具有分支机构的，投保范围应包括其分支机构的评估业务收入。</w:t>
      </w:r>
    </w:p>
    <w:p w14:paraId="1CDC772B">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第十四条</w:t>
      </w:r>
      <w:r>
        <w:rPr>
          <w:rFonts w:hint="eastAsia" w:ascii="宋体" w:hAnsi="宋体" w:eastAsia="宋体" w:cs="宋体"/>
          <w:color w:val="000000"/>
          <w:kern w:val="0"/>
          <w:sz w:val="24"/>
          <w:shd w:val="clear" w:color="auto" w:fill="FFFFFF"/>
        </w:rPr>
        <w:t>　资产评估机构应当按照《财政部关于加强资产评估机构后续管理有关问题的通知》（财企[2008]62号）的规定，将职业责任保险保单复印件、经会计师事务所审计的累计职业风险基金账户信息，随同年度会计报表等资料一并报所在地的省级财政部门、评估协会备案。</w:t>
      </w:r>
    </w:p>
    <w:p w14:paraId="206636E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具有证券、期货相关业务评估资格的资产评估机构应当按照《财政部　证监会关于从事证券期货相关业务的资产评估机构有关管理问题的通知》（财企[2008]81号）的规定，将职业责任保险保单复印件、经会计师事务所审计的累计职业风险基金账户信息，随同资产评估机构基本情况表等资料一并报财政部、证监会、中国资产评估协会备案。</w:t>
      </w:r>
    </w:p>
    <w:p w14:paraId="7B9DB47F">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第十五条</w:t>
      </w:r>
      <w:r>
        <w:rPr>
          <w:rFonts w:hint="eastAsia" w:ascii="宋体" w:hAnsi="宋体" w:eastAsia="宋体" w:cs="宋体"/>
          <w:color w:val="000000"/>
          <w:kern w:val="0"/>
          <w:sz w:val="24"/>
          <w:shd w:val="clear" w:color="auto" w:fill="FFFFFF"/>
        </w:rPr>
        <w:t>　财政部以及省级财政部门对资产评估机构提取、使用、分配职业风险基金以及购买职业责任保险的情况进行监督。</w:t>
      </w:r>
    </w:p>
    <w:p w14:paraId="4E2B69A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资产评估机构违反本办法规定的，由省级以上财政部门责令限期改正,记入诚信档案，并向社会公告。</w:t>
      </w:r>
    </w:p>
    <w:p w14:paraId="679CAAE7">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第十六条</w:t>
      </w:r>
      <w:r>
        <w:rPr>
          <w:rFonts w:hint="eastAsia" w:ascii="宋体" w:hAnsi="宋体" w:eastAsia="宋体" w:cs="宋体"/>
          <w:color w:val="000000"/>
          <w:kern w:val="0"/>
          <w:sz w:val="24"/>
          <w:shd w:val="clear" w:color="auto" w:fill="FFFFFF"/>
        </w:rPr>
        <w:t>　本办法自2009年2月24日起施行。本办法施行前有关资产评估机构职业风险基金的规定与本办法不符的，以本办法为准。</w:t>
      </w:r>
    </w:p>
    <w:p w14:paraId="0490582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br w:type="page"/>
      </w:r>
    </w:p>
    <w:p w14:paraId="3191BA88">
      <w:pPr>
        <w:pStyle w:val="5"/>
        <w:spacing w:line="440" w:lineRule="atLeast"/>
        <w:jc w:val="center"/>
        <w:rPr>
          <w:rFonts w:ascii="宋体" w:hAnsi="宋体" w:eastAsia="宋体" w:cs="宋体"/>
        </w:rPr>
      </w:pPr>
      <w:bookmarkStart w:id="22" w:name="_Toc24928"/>
      <w:r>
        <w:rPr>
          <w:rFonts w:hint="eastAsia" w:ascii="宋体" w:hAnsi="宋体" w:eastAsia="宋体" w:cs="宋体"/>
        </w:rPr>
        <w:t>中央文化企业国有资产评估管理暂行办法</w:t>
      </w:r>
      <w:bookmarkEnd w:id="22"/>
    </w:p>
    <w:p w14:paraId="51646410">
      <w:pPr>
        <w:shd w:val="clear" w:color="auto" w:fill="FFFFFF"/>
        <w:spacing w:line="440" w:lineRule="atLeast"/>
        <w:ind w:firstLine="480" w:firstLineChars="200"/>
        <w:jc w:val="center"/>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2012年12月22日财政部发布　财文资〔2012〕15号</w:t>
      </w:r>
    </w:p>
    <w:p w14:paraId="3F216E66">
      <w:pPr>
        <w:shd w:val="clear" w:color="auto" w:fill="FFFFFF"/>
        <w:spacing w:line="440" w:lineRule="atLeast"/>
        <w:jc w:val="center"/>
        <w:rPr>
          <w:rFonts w:ascii="黑体" w:hAnsi="黑体" w:eastAsia="黑体" w:cs="黑体"/>
          <w:color w:val="000000"/>
          <w:kern w:val="0"/>
          <w:sz w:val="28"/>
          <w:szCs w:val="28"/>
          <w:shd w:val="clear" w:color="auto" w:fill="FFFFFF"/>
        </w:rPr>
      </w:pPr>
      <w:r>
        <w:rPr>
          <w:rFonts w:hint="eastAsia" w:ascii="黑体" w:hAnsi="黑体" w:eastAsia="黑体" w:cs="黑体"/>
          <w:color w:val="000000"/>
          <w:kern w:val="0"/>
          <w:sz w:val="28"/>
          <w:szCs w:val="28"/>
          <w:shd w:val="clear" w:color="auto" w:fill="FFFFFF"/>
        </w:rPr>
        <w:t>第一章　总则</w:t>
      </w:r>
    </w:p>
    <w:p w14:paraId="7388C958">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第一条</w:t>
      </w:r>
      <w:r>
        <w:rPr>
          <w:rFonts w:hint="eastAsia" w:ascii="宋体" w:hAnsi="宋体" w:eastAsia="宋体" w:cs="宋体"/>
          <w:color w:val="000000"/>
          <w:kern w:val="0"/>
          <w:sz w:val="24"/>
          <w:shd w:val="clear" w:color="auto" w:fill="FFFFFF"/>
        </w:rPr>
        <w:t>　为规范中央文化企业国有资产评估行为，维护国有资产出资人合法权益，促进中央文化企业国有产权有序流转，防止国有资产流失，结合文化企业特点，根据《国有资产评估管理办法》（国务院令第91号）和《国有资产评估若干问题的规定》（财政部令第14号）等有关规定，制定本办法。</w:t>
      </w:r>
    </w:p>
    <w:p w14:paraId="1C6CD446">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第二条</w:t>
      </w:r>
      <w:r>
        <w:rPr>
          <w:rFonts w:hint="eastAsia" w:ascii="宋体" w:hAnsi="宋体" w:eastAsia="宋体" w:cs="宋体"/>
          <w:color w:val="000000"/>
          <w:kern w:val="0"/>
          <w:sz w:val="24"/>
          <w:shd w:val="clear" w:color="auto" w:fill="FFFFFF"/>
        </w:rPr>
        <w:t>　财政部代表国务院履行出资人职责的中央文化企业及其各级子企业涉及的资产评估，适用本办法。</w:t>
      </w:r>
    </w:p>
    <w:p w14:paraId="419B49FD">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第三条</w:t>
      </w:r>
      <w:r>
        <w:rPr>
          <w:rFonts w:hint="eastAsia" w:ascii="宋体" w:hAnsi="宋体" w:eastAsia="宋体" w:cs="宋体"/>
          <w:color w:val="000000"/>
          <w:kern w:val="0"/>
          <w:sz w:val="24"/>
          <w:shd w:val="clear" w:color="auto" w:fill="FFFFFF"/>
        </w:rPr>
        <w:t>　中央文化企业国有资产评估项目实行核准制和备案制。</w:t>
      </w:r>
    </w:p>
    <w:p w14:paraId="4B31D86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国务院批准经济行为事项涉及的资产评估项目，由财政部负责核准。其他资产评估项目实行备案制。</w:t>
      </w:r>
    </w:p>
    <w:p w14:paraId="439E4E5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资产评估项目备案实行分级管理。中央文化企业及其子企业的资产评估项目由财政部负责备案，子企业以下企业的资产评估项目由中央文化企业负责备案。各级中央文化企业涉及拟上市项目的资产评估由财政部负责备案。</w:t>
      </w:r>
    </w:p>
    <w:p w14:paraId="1C7A4BAA">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第四条</w:t>
      </w:r>
      <w:r>
        <w:rPr>
          <w:rFonts w:hint="eastAsia" w:ascii="宋体" w:hAnsi="宋体" w:eastAsia="宋体" w:cs="宋体"/>
          <w:color w:val="000000"/>
          <w:kern w:val="0"/>
          <w:sz w:val="24"/>
          <w:shd w:val="clear" w:color="auto" w:fill="FFFFFF"/>
        </w:rPr>
        <w:t>　中央文化企业应当建立内部国有资产评估管理制度，实施资产评估项目的档案管理，于每年度终了30个工作日内，将其备案的资产评估项目统计分析资料报送财政部。</w:t>
      </w:r>
    </w:p>
    <w:p w14:paraId="614D45C2">
      <w:pPr>
        <w:shd w:val="clear" w:color="auto" w:fill="FFFFFF"/>
        <w:spacing w:line="440" w:lineRule="atLeast"/>
        <w:jc w:val="center"/>
        <w:rPr>
          <w:rFonts w:ascii="黑体" w:hAnsi="黑体" w:eastAsia="黑体" w:cs="黑体"/>
          <w:color w:val="000000"/>
          <w:kern w:val="0"/>
          <w:sz w:val="28"/>
          <w:szCs w:val="28"/>
          <w:shd w:val="clear" w:color="auto" w:fill="FFFFFF"/>
        </w:rPr>
      </w:pPr>
      <w:r>
        <w:rPr>
          <w:rFonts w:hint="eastAsia" w:ascii="黑体" w:hAnsi="黑体" w:eastAsia="黑体" w:cs="黑体"/>
          <w:color w:val="000000"/>
          <w:kern w:val="0"/>
          <w:sz w:val="28"/>
          <w:szCs w:val="28"/>
          <w:shd w:val="clear" w:color="auto" w:fill="FFFFFF"/>
        </w:rPr>
        <w:t>第二章　资产评估</w:t>
      </w:r>
    </w:p>
    <w:p w14:paraId="436162CA">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第五条</w:t>
      </w:r>
      <w:r>
        <w:rPr>
          <w:rFonts w:hint="eastAsia" w:ascii="宋体" w:hAnsi="宋体" w:eastAsia="宋体" w:cs="宋体"/>
          <w:color w:val="000000"/>
          <w:kern w:val="0"/>
          <w:sz w:val="24"/>
          <w:shd w:val="clear" w:color="auto" w:fill="FFFFFF"/>
        </w:rPr>
        <w:t>　中央文化企业有下列行为之一的，应当对相关资产进行评估：</w:t>
      </w:r>
    </w:p>
    <w:p w14:paraId="3C09362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（一）整体或者部分改建为有限责任公司或者股份有限公司；</w:t>
      </w:r>
    </w:p>
    <w:p w14:paraId="5AF2E17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（二）以非货币资产对外投资；</w:t>
      </w:r>
    </w:p>
    <w:p w14:paraId="7E0F26D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（三）合并、分立、破产、解散；</w:t>
      </w:r>
    </w:p>
    <w:p w14:paraId="18E9C44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（四）非上市公司国有股东股权比例变动；</w:t>
      </w:r>
    </w:p>
    <w:p w14:paraId="439831D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（五）产权转让；</w:t>
      </w:r>
    </w:p>
    <w:p w14:paraId="6C28F40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（六）资产转让、置换、拍卖、抵押、质押；</w:t>
      </w:r>
    </w:p>
    <w:p w14:paraId="10F6343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（七）整体或者部分资产租赁给非国有单位；</w:t>
      </w:r>
    </w:p>
    <w:p w14:paraId="0558FA9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（八）以非货币资产偿还债务；</w:t>
      </w:r>
    </w:p>
    <w:p w14:paraId="36EDC61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（九）确定涉讼资产价值；</w:t>
      </w:r>
    </w:p>
    <w:p w14:paraId="5C62024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（十）收购非国有单位的资产；</w:t>
      </w:r>
    </w:p>
    <w:p w14:paraId="1ABD39C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（十一）接受非国有单位以非货币资产出资、抵债；</w:t>
      </w:r>
    </w:p>
    <w:p w14:paraId="40C3BD6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（十二）法律、行政法规以及企业章程规定应当进行资产评估的其他情形。</w:t>
      </w:r>
    </w:p>
    <w:p w14:paraId="54B12FDC">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第六条</w:t>
      </w:r>
      <w:r>
        <w:rPr>
          <w:rFonts w:hint="eastAsia" w:ascii="宋体" w:hAnsi="宋体" w:eastAsia="宋体" w:cs="宋体"/>
          <w:color w:val="000000"/>
          <w:kern w:val="0"/>
          <w:sz w:val="24"/>
          <w:shd w:val="clear" w:color="auto" w:fill="FFFFFF"/>
        </w:rPr>
        <w:t>　中央文化企业有下列行为之一的，可以不对相关国有资产进行评估：</w:t>
      </w:r>
    </w:p>
    <w:p w14:paraId="78FE9F5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（一）经国务院及其授权部门批准，对企业整体或者部分资产实施无偿划转，且资产有关凭证完整有效；</w:t>
      </w:r>
    </w:p>
    <w:p w14:paraId="4EDCF3D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（二）国有独资企业与其下属独资企业之间或者其下属独资企业之间合并、资产（产权）划转、置换和转让，且资产有关凭证完整有效。</w:t>
      </w:r>
    </w:p>
    <w:p w14:paraId="7D86E823">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第七条</w:t>
      </w:r>
      <w:r>
        <w:rPr>
          <w:rFonts w:hint="eastAsia" w:ascii="宋体" w:hAnsi="宋体" w:eastAsia="宋体" w:cs="宋体"/>
          <w:color w:val="000000"/>
          <w:kern w:val="0"/>
          <w:sz w:val="24"/>
          <w:shd w:val="clear" w:color="auto" w:fill="FFFFFF"/>
        </w:rPr>
        <w:t>　中央文化企业发生第五条所列经济行为的，涉及的评估对象属于企业法人财产权的，资产评估由中央文化企业委托；属于企业出资人权利的，由出资人委托；属于接受非国有资产的，一般由接受方委托。</w:t>
      </w:r>
    </w:p>
    <w:p w14:paraId="0AABA62A">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第八条</w:t>
      </w:r>
      <w:r>
        <w:rPr>
          <w:rFonts w:hint="eastAsia" w:ascii="宋体" w:hAnsi="宋体" w:eastAsia="宋体" w:cs="宋体"/>
          <w:color w:val="000000"/>
          <w:kern w:val="0"/>
          <w:sz w:val="24"/>
          <w:shd w:val="clear" w:color="auto" w:fill="FFFFFF"/>
        </w:rPr>
        <w:t>　中央文化企业应当加强著作权等无形资产的管理工作，对无形资产进行全面清查，完善权属证明材料，配合资产评估机构对纳入评估范围的无形资产进行全面、合理评估。</w:t>
      </w:r>
    </w:p>
    <w:p w14:paraId="70763B0F">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第九条</w:t>
      </w:r>
      <w:r>
        <w:rPr>
          <w:rFonts w:hint="eastAsia" w:ascii="宋体" w:hAnsi="宋体" w:eastAsia="宋体" w:cs="宋体"/>
          <w:color w:val="000000"/>
          <w:kern w:val="0"/>
          <w:sz w:val="24"/>
          <w:shd w:val="clear" w:color="auto" w:fill="FFFFFF"/>
        </w:rPr>
        <w:t>　中央文化企业应当向资产评估机构如实提供有关情况和资料，并对所提供情况和资料的真实性、合法性和完整性负责，不得以任何形式干预其正常执业行为。</w:t>
      </w:r>
    </w:p>
    <w:p w14:paraId="46B83C31">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第十条</w:t>
      </w:r>
      <w:r>
        <w:rPr>
          <w:rFonts w:hint="eastAsia" w:ascii="宋体" w:hAnsi="宋体" w:eastAsia="宋体" w:cs="宋体"/>
          <w:color w:val="000000"/>
          <w:kern w:val="0"/>
          <w:sz w:val="24"/>
          <w:shd w:val="clear" w:color="auto" w:fill="FFFFFF"/>
        </w:rPr>
        <w:t>　委托的资产评估机构应当具备下列条件：</w:t>
      </w:r>
    </w:p>
    <w:p w14:paraId="0326BA2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（一）严格履行法定职责，近3年内没有违法、违规记录；</w:t>
      </w:r>
    </w:p>
    <w:p w14:paraId="2404B5A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（二）具有与评估对象相适应的资质条件；</w:t>
      </w:r>
    </w:p>
    <w:p w14:paraId="27E198F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（三）具有与评估对象相适应的专业人员和专业特长；</w:t>
      </w:r>
    </w:p>
    <w:p w14:paraId="4FD9D1B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（四）与企业负责人无经济利益关系；</w:t>
      </w:r>
    </w:p>
    <w:p w14:paraId="75F9941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（五）未向同一经济行为提供审计业务服务。</w:t>
      </w:r>
    </w:p>
    <w:p w14:paraId="2DE1EB66">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第十一条</w:t>
      </w:r>
      <w:r>
        <w:rPr>
          <w:rFonts w:hint="eastAsia" w:ascii="宋体" w:hAnsi="宋体" w:eastAsia="宋体" w:cs="宋体"/>
          <w:color w:val="000000"/>
          <w:kern w:val="0"/>
          <w:sz w:val="24"/>
          <w:shd w:val="clear" w:color="auto" w:fill="FFFFFF"/>
        </w:rPr>
        <w:t>　资产评估机构应当遵守国家有关法律、法规、规章以及资产评估准则和执业规范，对评估报告的合法性、真实性和评估结论的合理性负责，并承担相应的责任。</w:t>
      </w:r>
    </w:p>
    <w:p w14:paraId="66917F95">
      <w:pPr>
        <w:shd w:val="clear" w:color="auto" w:fill="FFFFFF"/>
        <w:spacing w:line="440" w:lineRule="atLeast"/>
        <w:jc w:val="center"/>
        <w:rPr>
          <w:rFonts w:ascii="黑体" w:hAnsi="黑体" w:eastAsia="黑体" w:cs="黑体"/>
          <w:color w:val="000000"/>
          <w:kern w:val="0"/>
          <w:sz w:val="28"/>
          <w:szCs w:val="28"/>
          <w:shd w:val="clear" w:color="auto" w:fill="FFFFFF"/>
        </w:rPr>
      </w:pPr>
      <w:r>
        <w:rPr>
          <w:rFonts w:hint="eastAsia" w:ascii="黑体" w:hAnsi="黑体" w:eastAsia="黑体" w:cs="黑体"/>
          <w:color w:val="000000"/>
          <w:kern w:val="0"/>
          <w:sz w:val="28"/>
          <w:szCs w:val="28"/>
          <w:shd w:val="clear" w:color="auto" w:fill="FFFFFF"/>
        </w:rPr>
        <w:t>第三章　资产评估核准</w:t>
      </w:r>
    </w:p>
    <w:p w14:paraId="36350437">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第十二条</w:t>
      </w:r>
      <w:r>
        <w:rPr>
          <w:rFonts w:hint="eastAsia" w:ascii="宋体" w:hAnsi="宋体" w:eastAsia="宋体" w:cs="宋体"/>
          <w:color w:val="000000"/>
          <w:kern w:val="0"/>
          <w:sz w:val="24"/>
          <w:shd w:val="clear" w:color="auto" w:fill="FFFFFF"/>
        </w:rPr>
        <w:t>　中央文化企业对需要核准的资产评估项目，在确定评估基准日前，应当向财政部书面报告下列有关事项：</w:t>
      </w:r>
    </w:p>
    <w:p w14:paraId="771E684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（一）经济行为的批准依据；</w:t>
      </w:r>
    </w:p>
    <w:p w14:paraId="2CE1940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（二）评估基准日的选择理由；</w:t>
      </w:r>
    </w:p>
    <w:p w14:paraId="10C5F40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（三）资产评估范围；</w:t>
      </w:r>
    </w:p>
    <w:p w14:paraId="3662F0D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（四）资产评估机构的选聘条件和程序；</w:t>
      </w:r>
    </w:p>
    <w:p w14:paraId="450B0E8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（五）资产评估的时间进度安排。</w:t>
      </w:r>
    </w:p>
    <w:p w14:paraId="633C8FFC">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第十三条</w:t>
      </w:r>
      <w:r>
        <w:rPr>
          <w:rFonts w:hint="eastAsia" w:ascii="宋体" w:hAnsi="宋体" w:eastAsia="宋体" w:cs="宋体"/>
          <w:color w:val="000000"/>
          <w:kern w:val="0"/>
          <w:sz w:val="24"/>
          <w:shd w:val="clear" w:color="auto" w:fill="FFFFFF"/>
        </w:rPr>
        <w:t>　中央文化企业应当及时报告资产评估项目工作进展情况。财政部认为必要时，可以对该项目进行跟踪指导和现场检查。</w:t>
      </w:r>
    </w:p>
    <w:p w14:paraId="0F67C737">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第十四条</w:t>
      </w:r>
      <w:r>
        <w:rPr>
          <w:rFonts w:hint="eastAsia" w:ascii="宋体" w:hAnsi="宋体" w:eastAsia="宋体" w:cs="宋体"/>
          <w:color w:val="000000"/>
          <w:kern w:val="0"/>
          <w:sz w:val="24"/>
          <w:shd w:val="clear" w:color="auto" w:fill="FFFFFF"/>
        </w:rPr>
        <w:t>　申请办理资产评估项目核准，应当报送下列文件和材料：</w:t>
      </w:r>
    </w:p>
    <w:p w14:paraId="1BDE376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（一）资产评估项目核准申请；</w:t>
      </w:r>
    </w:p>
    <w:p w14:paraId="7C6A7C1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（二）《国有资产评估项目核准申请表》或者《接受非国有资产评估项目核准申请表》；</w:t>
      </w:r>
    </w:p>
    <w:p w14:paraId="1758EF8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（三）经济行为决策或者批准文件；</w:t>
      </w:r>
    </w:p>
    <w:p w14:paraId="61738D5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（四）资产评估报告及其主要引用报告；</w:t>
      </w:r>
    </w:p>
    <w:p w14:paraId="0FE510D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（五）产权变动文件；</w:t>
      </w:r>
    </w:p>
    <w:p w14:paraId="3FF8A36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（六）与经济行为相对应的审计报告；</w:t>
      </w:r>
    </w:p>
    <w:p w14:paraId="2633F25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（七）上一会计年度和本年度截至评估基准日的审计报告，拟上市项目或已上市公司的重大资产置换与收购项目，需提供最近三个会计年度和本年度截至评估基准日的审计报告；</w:t>
      </w:r>
    </w:p>
    <w:p w14:paraId="2FE61FA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（八）资产评估各当事方按照评估准则出具的相关承诺函；</w:t>
      </w:r>
    </w:p>
    <w:p w14:paraId="0C3F9A9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（九）其他有关材料。</w:t>
      </w:r>
    </w:p>
    <w:p w14:paraId="57E1C5AB">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第十五条</w:t>
      </w:r>
      <w:r>
        <w:rPr>
          <w:rFonts w:hint="eastAsia" w:ascii="宋体" w:hAnsi="宋体" w:eastAsia="宋体" w:cs="宋体"/>
          <w:color w:val="000000"/>
          <w:kern w:val="0"/>
          <w:sz w:val="24"/>
          <w:shd w:val="clear" w:color="auto" w:fill="FFFFFF"/>
        </w:rPr>
        <w:t>　资产评估项目的核准程序如下：</w:t>
      </w:r>
    </w:p>
    <w:p w14:paraId="3DA83AF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（一）企业自评估基准日起8个月内向财政部提出核准申请，并将有关文件和材料逐级审核上报；</w:t>
      </w:r>
    </w:p>
    <w:p w14:paraId="579E16C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（二）财政部对申请资料合规的，及时组织召开专家评审会议，经两名以上专家独立审核提出意见，被审核企业及相关中介机构应当予以解释和说明，或者对评估报告进行修改、补充；</w:t>
      </w:r>
    </w:p>
    <w:p w14:paraId="28AB728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（三）财政部对符合核准要求的项目在20个工作日内予以核准，对不符合核准要求的，予以退回。</w:t>
      </w:r>
    </w:p>
    <w:p w14:paraId="7BF6482F">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第十六条</w:t>
      </w:r>
      <w:r>
        <w:rPr>
          <w:rFonts w:hint="eastAsia" w:ascii="宋体" w:hAnsi="宋体" w:eastAsia="宋体" w:cs="宋体"/>
          <w:color w:val="000000"/>
          <w:kern w:val="0"/>
          <w:sz w:val="24"/>
          <w:shd w:val="clear" w:color="auto" w:fill="FFFFFF"/>
        </w:rPr>
        <w:t>　中央文化企业应当组织中介机构向专家评审会议报告下列事项：</w:t>
      </w:r>
    </w:p>
    <w:p w14:paraId="704B48B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（一）企业有关工作情况。经营及财务状况，涉及项目经济行为基本情况，企业的战略规划和赢利模式，企业股权架构及产权变动情况。</w:t>
      </w:r>
    </w:p>
    <w:p w14:paraId="048ECAA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（二）资产评估工作情况。资产评估的组织及质量控制情况，著作权等主要无形资产情况，重要资产的运行或者使用情况，评估结论及增减值原因分析，评估报告的假设和特别事项说明。</w:t>
      </w:r>
    </w:p>
    <w:p w14:paraId="2370EF3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（三）拟上市项目或已上市公司的重大资产置换与收购项目有关情况。相关战略规划和工作方案，对同行业上市公司财务指标的比较分析，就同类评估对象不同价值类型的估值差异分析。</w:t>
      </w:r>
    </w:p>
    <w:p w14:paraId="7452B8C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（四）核准需要报告的其他重要事项。</w:t>
      </w:r>
    </w:p>
    <w:p w14:paraId="4B513250">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第十七条</w:t>
      </w:r>
      <w:r>
        <w:rPr>
          <w:rFonts w:hint="eastAsia" w:ascii="宋体" w:hAnsi="宋体" w:eastAsia="宋体" w:cs="宋体"/>
          <w:color w:val="000000"/>
          <w:kern w:val="0"/>
          <w:sz w:val="24"/>
          <w:shd w:val="clear" w:color="auto" w:fill="FFFFFF"/>
        </w:rPr>
        <w:t>　专家评审重点审核下列事项：</w:t>
      </w:r>
    </w:p>
    <w:p w14:paraId="795DC27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（一）经济行为是否获得批准；</w:t>
      </w:r>
    </w:p>
    <w:p w14:paraId="22B6CFF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（二）评估基准日、价值类型的选择是否适当，评估报告的使用有效期是否明示；</w:t>
      </w:r>
    </w:p>
    <w:p w14:paraId="499BF6A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（三）资产评估范围与经济行为批准文件是否一致；</w:t>
      </w:r>
    </w:p>
    <w:p w14:paraId="228B9AC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（四）资产评估机构是否具备相应评估资质，评估人员是否具备相应执业资格；</w:t>
      </w:r>
    </w:p>
    <w:p w14:paraId="441676D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（五）企业是否就所提供的资产权属证明文件、财务会计资料及生产经营管理资料的真实性、合法性和完整性作出承诺；</w:t>
      </w:r>
    </w:p>
    <w:p w14:paraId="1D11D74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（六）评估程序是否符合相关评估准则的规定；</w:t>
      </w:r>
    </w:p>
    <w:p w14:paraId="6652AD7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（七）评估方法是否合理，是否考虑了文化企业的经营和资产特点；</w:t>
      </w:r>
    </w:p>
    <w:p w14:paraId="6137D40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（八）评估依据是否适当；</w:t>
      </w:r>
    </w:p>
    <w:p w14:paraId="06A3888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（九）评估说明中是否分析了文化企业的经营特点、赢利模式，是否关注了无形资产的价值贡献等，收益法说明是否分析参数、依据及测算过程；</w:t>
      </w:r>
    </w:p>
    <w:p w14:paraId="306661C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（十）评估报告是否符合评估准则的规定。</w:t>
      </w:r>
    </w:p>
    <w:p w14:paraId="7294282F">
      <w:pPr>
        <w:shd w:val="clear" w:color="auto" w:fill="FFFFFF"/>
        <w:spacing w:line="440" w:lineRule="atLeast"/>
        <w:jc w:val="center"/>
        <w:rPr>
          <w:rFonts w:ascii="黑体" w:hAnsi="黑体" w:eastAsia="黑体" w:cs="黑体"/>
          <w:color w:val="000000"/>
          <w:kern w:val="0"/>
          <w:sz w:val="28"/>
          <w:szCs w:val="28"/>
          <w:shd w:val="clear" w:color="auto" w:fill="FFFFFF"/>
        </w:rPr>
      </w:pPr>
      <w:r>
        <w:rPr>
          <w:rFonts w:hint="eastAsia" w:ascii="黑体" w:hAnsi="黑体" w:eastAsia="黑体" w:cs="黑体"/>
          <w:color w:val="000000"/>
          <w:kern w:val="0"/>
          <w:sz w:val="28"/>
          <w:szCs w:val="28"/>
          <w:shd w:val="clear" w:color="auto" w:fill="FFFFFF"/>
        </w:rPr>
        <w:t>第四章　资产评估备案</w:t>
      </w:r>
    </w:p>
    <w:p w14:paraId="118E81F6">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第十八条</w:t>
      </w:r>
      <w:r>
        <w:rPr>
          <w:rFonts w:hint="eastAsia" w:ascii="宋体" w:hAnsi="宋体" w:eastAsia="宋体" w:cs="宋体"/>
          <w:color w:val="000000"/>
          <w:kern w:val="0"/>
          <w:sz w:val="24"/>
          <w:shd w:val="clear" w:color="auto" w:fill="FFFFFF"/>
        </w:rPr>
        <w:t>　申请办理资产评估项目备案，应当报送下列文件和材料：</w:t>
      </w:r>
    </w:p>
    <w:p w14:paraId="5FF4A89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（一）《国有资产评估项目备案表》或者《接受非国有资产评估项目备案表》；</w:t>
      </w:r>
    </w:p>
    <w:p w14:paraId="6828A54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（二）本办法第十四条第（三）项至第（八）项规定的有关文件和材料；</w:t>
      </w:r>
    </w:p>
    <w:p w14:paraId="7E74805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（三）其他有关材料。</w:t>
      </w:r>
    </w:p>
    <w:p w14:paraId="57E46D75">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第十九条</w:t>
      </w:r>
      <w:r>
        <w:rPr>
          <w:rFonts w:hint="eastAsia" w:ascii="宋体" w:hAnsi="宋体" w:eastAsia="宋体" w:cs="宋体"/>
          <w:color w:val="000000"/>
          <w:kern w:val="0"/>
          <w:sz w:val="24"/>
          <w:shd w:val="clear" w:color="auto" w:fill="FFFFFF"/>
        </w:rPr>
        <w:t>　资产评估项目备案程序如下：</w:t>
      </w:r>
    </w:p>
    <w:p w14:paraId="3A73A42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企业自评估基准日起9个月内将备案文件和材料逐级审核上报备案管理部门。资产和财务关系在财政部单列的中央文化企业及其子企业直接报财政部备案，其他中央文化企业及其子企业通过主管部门报财政部备案，子企业以下企业的资产评估项目逐级审核报中央文化企业备案。</w:t>
      </w:r>
    </w:p>
    <w:p w14:paraId="455946E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备案管理部门对备案资料进行审核，审核要求参照本办法第十七条第（一）项至第（六）项的规定，必要时可以组织有关专家参与审核。涉及拟上市项目的资产评估由财政部组织专家进行评审，审核要求参照本办法第十七条的规定。</w:t>
      </w:r>
    </w:p>
    <w:p w14:paraId="47AA6A1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（三）备案管理部门对符合要求的，在20个工作日内予以备案。</w:t>
      </w:r>
    </w:p>
    <w:p w14:paraId="11F8DFD9">
      <w:pPr>
        <w:shd w:val="clear" w:color="auto" w:fill="FFFFFF"/>
        <w:spacing w:line="440" w:lineRule="atLeast"/>
        <w:jc w:val="center"/>
        <w:rPr>
          <w:rFonts w:ascii="黑体" w:hAnsi="黑体" w:eastAsia="黑体" w:cs="黑体"/>
          <w:color w:val="000000"/>
          <w:kern w:val="0"/>
          <w:sz w:val="28"/>
          <w:szCs w:val="28"/>
          <w:shd w:val="clear" w:color="auto" w:fill="FFFFFF"/>
        </w:rPr>
      </w:pPr>
      <w:r>
        <w:rPr>
          <w:rFonts w:hint="eastAsia" w:ascii="黑体" w:hAnsi="黑体" w:eastAsia="黑体" w:cs="黑体"/>
          <w:color w:val="000000"/>
          <w:kern w:val="0"/>
          <w:sz w:val="28"/>
          <w:szCs w:val="28"/>
          <w:shd w:val="clear" w:color="auto" w:fill="FFFFFF"/>
        </w:rPr>
        <w:t>第五章　管理与监督</w:t>
      </w:r>
    </w:p>
    <w:p w14:paraId="15A76499">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第二十条</w:t>
      </w:r>
      <w:r>
        <w:rPr>
          <w:rFonts w:hint="eastAsia" w:ascii="宋体" w:hAnsi="宋体" w:eastAsia="宋体" w:cs="宋体"/>
          <w:color w:val="000000"/>
          <w:kern w:val="0"/>
          <w:sz w:val="24"/>
          <w:shd w:val="clear" w:color="auto" w:fill="FFFFFF"/>
        </w:rPr>
        <w:t>　资产评估项目核准文件和备案表是中央文化企业办理产权登记、股权设置和产权转让等相关手续的必备文件。</w:t>
      </w:r>
    </w:p>
    <w:p w14:paraId="0F23FAB6">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第二十一条</w:t>
      </w:r>
      <w:r>
        <w:rPr>
          <w:rFonts w:hint="eastAsia" w:ascii="宋体" w:hAnsi="宋体" w:eastAsia="宋体" w:cs="宋体"/>
          <w:color w:val="000000"/>
          <w:kern w:val="0"/>
          <w:sz w:val="24"/>
          <w:shd w:val="clear" w:color="auto" w:fill="FFFFFF"/>
        </w:rPr>
        <w:t>　由两个（含两个）以上国有资本出资人共同出资的中央文化企业发生资产评估事项，按照国有资本出资额最大的出资人产权归属关系办理核准或者备案手续；国有资本出资额最大的出资人存在多个的，由各出资人推举一个出资人办理核准或者备案手续，其余出资人出具资产评估事项委托书。</w:t>
      </w:r>
    </w:p>
    <w:p w14:paraId="2F9BED76">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第二十二条</w:t>
      </w:r>
      <w:r>
        <w:rPr>
          <w:rFonts w:hint="eastAsia" w:ascii="宋体" w:hAnsi="宋体" w:eastAsia="宋体" w:cs="宋体"/>
          <w:color w:val="000000"/>
          <w:kern w:val="0"/>
          <w:sz w:val="24"/>
          <w:shd w:val="clear" w:color="auto" w:fill="FFFFFF"/>
        </w:rPr>
        <w:t>　经核准或者备案的资产评估报告使用有效期为自评估基准日起1年。评估结论的使用必须与所对应的经济行为保持一致。中央文化企业改制设立股份有限公司的评估结论仅适用于其工商注册登记，不得用于引入战略投资者和首次公开发行上市。</w:t>
      </w:r>
    </w:p>
    <w:p w14:paraId="451959FD">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第二十三条</w:t>
      </w:r>
      <w:r>
        <w:rPr>
          <w:rFonts w:hint="eastAsia" w:ascii="宋体" w:hAnsi="宋体" w:eastAsia="宋体" w:cs="宋体"/>
          <w:color w:val="000000"/>
          <w:kern w:val="0"/>
          <w:sz w:val="24"/>
          <w:shd w:val="clear" w:color="auto" w:fill="FFFFFF"/>
        </w:rPr>
        <w:t>　中央文化企业发生与资产评估相应的经济行为时，应当以经核准或者备案的资产评估结论为作价参考依据；当交易价格低于评估结论的90%时，应当暂停交易，在获得原经济行为批准机构同意后方可继续交易。</w:t>
      </w:r>
    </w:p>
    <w:p w14:paraId="2DEC19C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中央文化企业发生本办法第五条所称同类型经济行为需要再次使用评估结论时，在资产评估报告使用有效期内，且与评估基准日时相比，未出现因资产状态、使用方式、市场环境以及评估假设等发生显著变化，导致资产价值发生重大变化的，可不再申请备案。</w:t>
      </w:r>
    </w:p>
    <w:p w14:paraId="0523DB46">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第二十四条</w:t>
      </w:r>
      <w:r>
        <w:rPr>
          <w:rFonts w:hint="eastAsia" w:ascii="宋体" w:hAnsi="宋体" w:eastAsia="宋体" w:cs="宋体"/>
          <w:color w:val="000000"/>
          <w:kern w:val="0"/>
          <w:sz w:val="24"/>
          <w:shd w:val="clear" w:color="auto" w:fill="FFFFFF"/>
        </w:rPr>
        <w:t>　财政部应当加强对中央文化企业国有资产评估工作的监督检查。有关主管部门和中央文化企业，应当按照管理权限开展对相关企业资产评估的监督检查工作。</w:t>
      </w:r>
    </w:p>
    <w:p w14:paraId="05529A32">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第二十五条</w:t>
      </w:r>
      <w:r>
        <w:rPr>
          <w:rFonts w:hint="eastAsia" w:ascii="宋体" w:hAnsi="宋体" w:eastAsia="宋体" w:cs="宋体"/>
          <w:color w:val="000000"/>
          <w:kern w:val="0"/>
          <w:sz w:val="24"/>
          <w:shd w:val="clear" w:color="auto" w:fill="FFFFFF"/>
        </w:rPr>
        <w:t>　财政部汇总资产评估项目的检查结果及总体情况，并通报相关部门。</w:t>
      </w:r>
    </w:p>
    <w:p w14:paraId="0684DECA">
      <w:pPr>
        <w:shd w:val="clear" w:color="auto" w:fill="FFFFFF"/>
        <w:spacing w:line="440" w:lineRule="atLeast"/>
        <w:jc w:val="center"/>
        <w:rPr>
          <w:rFonts w:ascii="黑体" w:hAnsi="黑体" w:eastAsia="黑体" w:cs="黑体"/>
          <w:color w:val="000000"/>
          <w:kern w:val="0"/>
          <w:sz w:val="28"/>
          <w:szCs w:val="28"/>
          <w:shd w:val="clear" w:color="auto" w:fill="FFFFFF"/>
        </w:rPr>
      </w:pPr>
      <w:r>
        <w:rPr>
          <w:rFonts w:hint="eastAsia" w:ascii="黑体" w:hAnsi="黑体" w:eastAsia="黑体" w:cs="黑体"/>
          <w:color w:val="000000"/>
          <w:kern w:val="0"/>
          <w:sz w:val="28"/>
          <w:szCs w:val="28"/>
          <w:shd w:val="clear" w:color="auto" w:fill="FFFFFF"/>
        </w:rPr>
        <w:t>第六章　法律责任</w:t>
      </w:r>
    </w:p>
    <w:p w14:paraId="731B8FCA">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第二十六条</w:t>
      </w:r>
      <w:r>
        <w:rPr>
          <w:rFonts w:hint="eastAsia" w:ascii="宋体" w:hAnsi="宋体" w:eastAsia="宋体" w:cs="宋体"/>
          <w:color w:val="000000"/>
          <w:kern w:val="0"/>
          <w:sz w:val="24"/>
          <w:shd w:val="clear" w:color="auto" w:fill="FFFFFF"/>
        </w:rPr>
        <w:t>　中央文化企业违反本办法，有下列情形之一的，由财政部通报批评并责令改正，必要时可依法确认其相应的经济行为无效：</w:t>
      </w:r>
    </w:p>
    <w:p w14:paraId="40E3BB4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（一）应当进行资产评估而未进行评估；</w:t>
      </w:r>
    </w:p>
    <w:p w14:paraId="397F8B7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（二）聘请不符合相应资质条件的资产评估机构进行国有资产评估；</w:t>
      </w:r>
    </w:p>
    <w:p w14:paraId="02000F1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（三）向资产评估机构提供虚假情况和资料，或者与资产评估机构串通作弊导致评估结论失实；</w:t>
      </w:r>
    </w:p>
    <w:p w14:paraId="5AF3114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（四）应当办理核准或者备案而未办理。</w:t>
      </w:r>
    </w:p>
    <w:p w14:paraId="738C979F">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第二十七条</w:t>
      </w:r>
      <w:r>
        <w:rPr>
          <w:rFonts w:hint="eastAsia" w:ascii="宋体" w:hAnsi="宋体" w:eastAsia="宋体" w:cs="宋体"/>
          <w:color w:val="000000"/>
          <w:kern w:val="0"/>
          <w:sz w:val="24"/>
          <w:shd w:val="clear" w:color="auto" w:fill="FFFFFF"/>
        </w:rPr>
        <w:t>　中央文化企业在国有资产评估中发生违法违规行为或者不正当使用评估报告的，对负有直接责任的主管人员和其他直接责任人员，依法给予处分。</w:t>
      </w:r>
    </w:p>
    <w:p w14:paraId="49647808">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第二十八条</w:t>
      </w:r>
      <w:r>
        <w:rPr>
          <w:rFonts w:hint="eastAsia" w:ascii="宋体" w:hAnsi="宋体" w:eastAsia="宋体" w:cs="宋体"/>
          <w:color w:val="000000"/>
          <w:kern w:val="0"/>
          <w:sz w:val="24"/>
          <w:shd w:val="clear" w:color="auto" w:fill="FFFFFF"/>
        </w:rPr>
        <w:t>　受托资产评估机构在资产评估过程中违规执业或者对资产评估项目检查工作不予配合的，由财政部将有关情况通报其行业主管部门，建议给予相应处理。</w:t>
      </w:r>
    </w:p>
    <w:p w14:paraId="7C2608D4">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第二十九条</w:t>
      </w:r>
      <w:r>
        <w:rPr>
          <w:rFonts w:hint="eastAsia" w:ascii="宋体" w:hAnsi="宋体" w:eastAsia="宋体" w:cs="宋体"/>
          <w:color w:val="000000"/>
          <w:kern w:val="0"/>
          <w:sz w:val="24"/>
          <w:shd w:val="clear" w:color="auto" w:fill="FFFFFF"/>
        </w:rPr>
        <w:t>　财政部、有关主管部门和中央文化企业在资产评估核准或者备案管理工作中，有关工作人员违反本规定，造成国有资产流失的，依法给予处分。</w:t>
      </w:r>
    </w:p>
    <w:p w14:paraId="6BC8215C">
      <w:pPr>
        <w:shd w:val="clear" w:color="auto" w:fill="FFFFFF"/>
        <w:spacing w:line="440" w:lineRule="atLeast"/>
        <w:jc w:val="center"/>
        <w:rPr>
          <w:rFonts w:ascii="黑体" w:hAnsi="黑体" w:eastAsia="黑体" w:cs="黑体"/>
          <w:color w:val="000000"/>
          <w:kern w:val="0"/>
          <w:sz w:val="28"/>
          <w:szCs w:val="28"/>
          <w:shd w:val="clear" w:color="auto" w:fill="FFFFFF"/>
        </w:rPr>
      </w:pPr>
      <w:r>
        <w:rPr>
          <w:rFonts w:hint="eastAsia" w:ascii="黑体" w:hAnsi="黑体" w:eastAsia="黑体" w:cs="黑体"/>
          <w:color w:val="000000"/>
          <w:kern w:val="0"/>
          <w:sz w:val="28"/>
          <w:szCs w:val="28"/>
          <w:shd w:val="clear" w:color="auto" w:fill="FFFFFF"/>
        </w:rPr>
        <w:t>第七章　附则</w:t>
      </w:r>
    </w:p>
    <w:p w14:paraId="55F0D6B0">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第三十条</w:t>
      </w:r>
      <w:r>
        <w:rPr>
          <w:rFonts w:hint="eastAsia" w:ascii="宋体" w:hAnsi="宋体" w:eastAsia="宋体" w:cs="宋体"/>
          <w:color w:val="000000"/>
          <w:kern w:val="0"/>
          <w:sz w:val="24"/>
          <w:shd w:val="clear" w:color="auto" w:fill="FFFFFF"/>
        </w:rPr>
        <w:t>　本办法自2013年1月1日起施行。</w:t>
      </w:r>
    </w:p>
    <w:p w14:paraId="0879BDE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附：1.国有资产评估项目核准申请表</w:t>
      </w:r>
    </w:p>
    <w:p w14:paraId="5B86698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　　2.接受非国有资产评估项目核准申请表</w:t>
      </w:r>
    </w:p>
    <w:p w14:paraId="30711E5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　　3.国有资产评估项目核准申请表、接受非国有资产评估项目核准申请表</w:t>
      </w:r>
    </w:p>
    <w:p w14:paraId="76FC695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　　4.国有资产评估项目备案表</w:t>
      </w:r>
    </w:p>
    <w:p w14:paraId="1F53F4F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　　5.接受非国有资产评估项目备案表</w:t>
      </w:r>
    </w:p>
    <w:p w14:paraId="59AC8D8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　　6.国有资产评估项目备案表、接受非国有资产评估项目备案表填报说明</w:t>
      </w:r>
    </w:p>
    <w:p w14:paraId="7B60017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（以上附件略，详情请登录财政部网站）</w:t>
      </w:r>
    </w:p>
    <w:p w14:paraId="1688D1B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br w:type="page"/>
      </w:r>
    </w:p>
    <w:p w14:paraId="6601004B">
      <w:pPr>
        <w:pStyle w:val="5"/>
        <w:spacing w:line="440" w:lineRule="atLeast"/>
        <w:jc w:val="center"/>
        <w:rPr>
          <w:rFonts w:ascii="宋体" w:hAnsi="宋体" w:eastAsia="宋体" w:cs="宋体"/>
        </w:rPr>
      </w:pPr>
      <w:bookmarkStart w:id="23" w:name="_Toc1752"/>
      <w:r>
        <w:rPr>
          <w:rFonts w:hint="eastAsia" w:ascii="宋体" w:hAnsi="宋体" w:eastAsia="宋体" w:cs="宋体"/>
        </w:rPr>
        <w:t>企业国有资产评估项目备案工作指引</w:t>
      </w:r>
      <w:bookmarkEnd w:id="23"/>
    </w:p>
    <w:p w14:paraId="26BE76DA">
      <w:pPr>
        <w:shd w:val="clear" w:color="auto" w:fill="FFFFFF"/>
        <w:spacing w:line="440" w:lineRule="atLeast"/>
        <w:ind w:firstLine="480" w:firstLineChars="200"/>
        <w:jc w:val="center"/>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2013年5月10日国务院国有资产监督管理委员会发布</w:t>
      </w:r>
    </w:p>
    <w:p w14:paraId="75D5C3EB">
      <w:pPr>
        <w:shd w:val="clear" w:color="auto" w:fill="FFFFFF"/>
        <w:spacing w:line="440" w:lineRule="atLeast"/>
        <w:ind w:firstLine="480" w:firstLineChars="200"/>
        <w:jc w:val="center"/>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国资发产权〔2013〕64号</w:t>
      </w:r>
    </w:p>
    <w:p w14:paraId="225C3BA4">
      <w:pPr>
        <w:shd w:val="clear" w:color="auto" w:fill="FFFFFF"/>
        <w:spacing w:line="440" w:lineRule="atLeast"/>
        <w:jc w:val="center"/>
        <w:rPr>
          <w:rFonts w:ascii="黑体" w:hAnsi="黑体" w:eastAsia="黑体" w:cs="黑体"/>
          <w:color w:val="000000"/>
          <w:kern w:val="0"/>
          <w:sz w:val="28"/>
          <w:szCs w:val="28"/>
          <w:shd w:val="clear" w:color="auto" w:fill="FFFFFF"/>
        </w:rPr>
      </w:pPr>
      <w:r>
        <w:rPr>
          <w:rFonts w:hint="eastAsia" w:ascii="黑体" w:hAnsi="黑体" w:eastAsia="黑体" w:cs="黑体"/>
          <w:color w:val="000000"/>
          <w:kern w:val="0"/>
          <w:sz w:val="28"/>
          <w:szCs w:val="28"/>
          <w:shd w:val="clear" w:color="auto" w:fill="FFFFFF"/>
        </w:rPr>
        <w:t>第一章　总则</w:t>
      </w:r>
    </w:p>
    <w:p w14:paraId="144B987A">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第一条</w:t>
      </w:r>
      <w:r>
        <w:rPr>
          <w:rFonts w:hint="eastAsia" w:ascii="宋体" w:hAnsi="宋体" w:eastAsia="宋体" w:cs="宋体"/>
          <w:color w:val="000000"/>
          <w:kern w:val="0"/>
          <w:sz w:val="24"/>
          <w:shd w:val="clear" w:color="auto" w:fill="FFFFFF"/>
        </w:rPr>
        <w:t>　为进一步规范中央企业及其各级子企业（以下简称企业）国有资产评估项目备案管理工作，确保企业改制重组、产权流转等工作顺利进行，依据《中华人民共和国企业国有资产法》、《企业国有资产评估管理暂行办法》（国资委令第12号，以下简称《评估管理办法》）等规定，制定本指引。</w:t>
      </w:r>
    </w:p>
    <w:p w14:paraId="13244801">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第二条</w:t>
      </w:r>
      <w:r>
        <w:rPr>
          <w:rFonts w:hint="eastAsia" w:ascii="宋体" w:hAnsi="宋体" w:eastAsia="宋体" w:cs="宋体"/>
          <w:color w:val="000000"/>
          <w:kern w:val="0"/>
          <w:sz w:val="24"/>
          <w:shd w:val="clear" w:color="auto" w:fill="FFFFFF"/>
        </w:rPr>
        <w:t>　国务院国有资产监督管理委员会和中央企业（以下简称备案管理单位），按照《评估管理办法》规定对应当备案的资产评估项目进行备案管理工作，适用本指引。</w:t>
      </w:r>
    </w:p>
    <w:p w14:paraId="6B0B238E">
      <w:pPr>
        <w:shd w:val="clear" w:color="auto" w:fill="FFFFFF"/>
        <w:spacing w:line="440" w:lineRule="atLeast"/>
        <w:jc w:val="center"/>
        <w:rPr>
          <w:rFonts w:ascii="黑体" w:hAnsi="黑体" w:eastAsia="黑体" w:cs="黑体"/>
          <w:color w:val="000000"/>
          <w:kern w:val="0"/>
          <w:sz w:val="28"/>
          <w:szCs w:val="28"/>
          <w:shd w:val="clear" w:color="auto" w:fill="FFFFFF"/>
        </w:rPr>
      </w:pPr>
      <w:r>
        <w:rPr>
          <w:rFonts w:hint="eastAsia" w:ascii="黑体" w:hAnsi="黑体" w:eastAsia="黑体" w:cs="黑体"/>
          <w:color w:val="000000"/>
          <w:kern w:val="0"/>
          <w:sz w:val="28"/>
          <w:szCs w:val="28"/>
          <w:shd w:val="clear" w:color="auto" w:fill="FFFFFF"/>
        </w:rPr>
        <w:t>第二章　备案工作程序</w:t>
      </w:r>
    </w:p>
    <w:p w14:paraId="05B8198B">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第三条</w:t>
      </w:r>
      <w:r>
        <w:rPr>
          <w:rFonts w:hint="eastAsia" w:ascii="宋体" w:hAnsi="宋体" w:eastAsia="宋体" w:cs="宋体"/>
          <w:color w:val="000000"/>
          <w:kern w:val="0"/>
          <w:sz w:val="24"/>
          <w:shd w:val="clear" w:color="auto" w:fill="FFFFFF"/>
        </w:rPr>
        <w:t>　企业发生需要进行资产评估的经济行为时，应当按照《关于规范中央企业选聘评估机构工作的指导意见》（国资发产权〔2011〕68号）等文件规定聘请具有相应资质的评估机构。</w:t>
      </w:r>
    </w:p>
    <w:p w14:paraId="78CF0CD5">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第四条</w:t>
      </w:r>
      <w:r>
        <w:rPr>
          <w:rFonts w:hint="eastAsia" w:ascii="宋体" w:hAnsi="宋体" w:eastAsia="宋体" w:cs="宋体"/>
          <w:color w:val="000000"/>
          <w:kern w:val="0"/>
          <w:sz w:val="24"/>
          <w:shd w:val="clear" w:color="auto" w:fill="FFFFFF"/>
        </w:rPr>
        <w:t>　在资产评估项目开展过程中，企业应当就工作情况及时通过中央企业资产评估管理信息系统向备案管理单位报告，包括评估基准日选定、资产评估、土地估价、矿业权评估和相关审计等情况。必要时，备案管理单位可对资产评估项目进行跟踪指导和现场检查。</w:t>
      </w:r>
    </w:p>
    <w:p w14:paraId="7F654360">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第五条</w:t>
      </w:r>
      <w:r>
        <w:rPr>
          <w:rFonts w:hint="eastAsia" w:ascii="宋体" w:hAnsi="宋体" w:eastAsia="宋体" w:cs="宋体"/>
          <w:color w:val="000000"/>
          <w:kern w:val="0"/>
          <w:sz w:val="24"/>
          <w:shd w:val="clear" w:color="auto" w:fill="FFFFFF"/>
        </w:rPr>
        <w:t>　企业收到评估机构出具的评估报告后，应当在评估基准日起9个月内将备案申请材料逐级报送备案管理单位。在报送备案管理单位之前，企业应当进行以下初步审核：</w:t>
      </w:r>
    </w:p>
    <w:p w14:paraId="3FF9CE6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（一）相关经济行为是否符合国家有关规定要求。</w:t>
      </w:r>
    </w:p>
    <w:p w14:paraId="7D9F4F7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（二）评估基准日的选择是否合理。</w:t>
      </w:r>
    </w:p>
    <w:p w14:paraId="38BDD5C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（三）执业评估机构及人员是否具备相应资质。</w:t>
      </w:r>
    </w:p>
    <w:p w14:paraId="1E0BAF4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（四）评估范围是否与经济行为批准文件或重组改制方案内容一致。</w:t>
      </w:r>
    </w:p>
    <w:p w14:paraId="544DED8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（五）纳入评估范围的房产、土地及矿产资源等资产权属要件是否齐全。</w:t>
      </w:r>
    </w:p>
    <w:p w14:paraId="3CFB86D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（六）被评估企业是否依法办理相关产权登记事宜。</w:t>
      </w:r>
    </w:p>
    <w:p w14:paraId="5E530C2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（七）评估报告、审计报告等资料要件是否齐全。</w:t>
      </w:r>
    </w:p>
    <w:p w14:paraId="59E25CA9">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第六条</w:t>
      </w:r>
      <w:r>
        <w:rPr>
          <w:rFonts w:hint="eastAsia" w:ascii="宋体" w:hAnsi="宋体" w:eastAsia="宋体" w:cs="宋体"/>
          <w:color w:val="000000"/>
          <w:kern w:val="0"/>
          <w:sz w:val="24"/>
          <w:shd w:val="clear" w:color="auto" w:fill="FFFFFF"/>
        </w:rPr>
        <w:t>　企业提出资产评估项目备案申请时，应当向备案管理单位报送下列文件材料：</w:t>
      </w:r>
    </w:p>
    <w:p w14:paraId="3EEC89A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（一）资产评估项目备案申请文件。</w:t>
      </w:r>
    </w:p>
    <w:p w14:paraId="0D204FB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（二）资产评估项目备案表（一式三份）。</w:t>
      </w:r>
    </w:p>
    <w:p w14:paraId="1951EE9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（三）与评估目的相对应的经济行为批准文件或其他有效文件，包括相关单位批复文件以及企业董事会决议或总经理办公会议纪要等。</w:t>
      </w:r>
    </w:p>
    <w:p w14:paraId="0C0126D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（四）评估所涉及的资产改制重组、产权流转方案或发起人协议等材料。</w:t>
      </w:r>
    </w:p>
    <w:p w14:paraId="79E2155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（五）评估机构提交的评估报告（包括评估报告书、评估说明、评估明细表及其电子文档等）及其主要引用报告（包括审计报告、土地估价报告、矿业权评估报告等）。</w:t>
      </w:r>
    </w:p>
    <w:p w14:paraId="6EC4BAA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（六）被评估资产权属证明文件。</w:t>
      </w:r>
    </w:p>
    <w:p w14:paraId="38E487E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（七）与经济行为相对应的无保留意见标准审计报告。如为非标准无保留意见的审计报告时，对其附加说明段、强调事项段或修正性用语，企业需提供对有关事项的书面说明及承诺。</w:t>
      </w:r>
    </w:p>
    <w:p w14:paraId="132DCD4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八）拟上市项目或已上市公司的重大资产重组项目，评估基准日在6月30日（含）之前的，需提供最近三个完整会计年度和本年度截至评估基准日的审计报告；评估基准日在6月30日之后的，需提供最近两个完整会计年度和本年度截至评估基准日的审计报告。其他经济行为需提供最近一个完整会计年度和本年度截至评估基准日的审计报告。</w:t>
      </w:r>
    </w:p>
    <w:p w14:paraId="7EFEDF2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（九）资产评估各当事方的相关承诺函。评估委托方、评估机构、被评估企业（产权持有单位）均应当按照评估准则的相关规定出具承诺函。</w:t>
      </w:r>
    </w:p>
    <w:p w14:paraId="333C958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（十）需要提供的其他材料。</w:t>
      </w:r>
    </w:p>
    <w:p w14:paraId="396DC98E">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第七条</w:t>
      </w:r>
      <w:r>
        <w:rPr>
          <w:rFonts w:hint="eastAsia" w:ascii="宋体" w:hAnsi="宋体" w:eastAsia="宋体" w:cs="宋体"/>
          <w:color w:val="000000"/>
          <w:kern w:val="0"/>
          <w:sz w:val="24"/>
          <w:shd w:val="clear" w:color="auto" w:fill="FFFFFF"/>
        </w:rPr>
        <w:t>　企业应当按照《关于启用中央企业资产评估管理信息系统有关事项的通知》（国资厅产权〔2012〕201号），及时将项目基本情况、评估报告等录入中央企业资产评估管理信息系统，并组织开展审核工作。必要时可组织有关专家参与评估项目评审工作。</w:t>
      </w:r>
    </w:p>
    <w:p w14:paraId="55A24843">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第八条</w:t>
      </w:r>
      <w:r>
        <w:rPr>
          <w:rFonts w:hint="eastAsia" w:ascii="宋体" w:hAnsi="宋体" w:eastAsia="宋体" w:cs="宋体"/>
          <w:color w:val="000000"/>
          <w:kern w:val="0"/>
          <w:sz w:val="24"/>
          <w:shd w:val="clear" w:color="auto" w:fill="FFFFFF"/>
        </w:rPr>
        <w:t>　备案管理单位收到备案申请材料后，应当在10个工作日内向企业出具审核意见。企业应当及时组织相关中介机构逐条答复审核意见，并根据审核要求对资产评估报告、土地估价报告、矿业权评估报告和相关审计报告等进行补充修改，并将调整完善后的备案申请材料和审核意见答复在10个工作日内报送备案管理单位，备案管理单位应当及时组织复审。经审核符合备案要求的，应当在10个工作日内办理完成备案手续。</w:t>
      </w:r>
    </w:p>
    <w:p w14:paraId="0B733AF8">
      <w:pPr>
        <w:shd w:val="clear" w:color="auto" w:fill="FFFFFF"/>
        <w:spacing w:line="440" w:lineRule="atLeast"/>
        <w:jc w:val="center"/>
        <w:rPr>
          <w:rFonts w:ascii="黑体" w:hAnsi="黑体" w:eastAsia="黑体" w:cs="黑体"/>
          <w:color w:val="000000"/>
          <w:kern w:val="0"/>
          <w:sz w:val="28"/>
          <w:szCs w:val="28"/>
          <w:shd w:val="clear" w:color="auto" w:fill="FFFFFF"/>
        </w:rPr>
      </w:pPr>
      <w:r>
        <w:rPr>
          <w:rFonts w:hint="eastAsia" w:ascii="黑体" w:hAnsi="黑体" w:eastAsia="黑体" w:cs="黑体"/>
          <w:color w:val="000000"/>
          <w:kern w:val="0"/>
          <w:sz w:val="28"/>
          <w:szCs w:val="28"/>
          <w:shd w:val="clear" w:color="auto" w:fill="FFFFFF"/>
        </w:rPr>
        <w:t>第三章　资产评估报告审核要点</w:t>
      </w:r>
    </w:p>
    <w:p w14:paraId="0D688939">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第九条</w:t>
      </w:r>
      <w:r>
        <w:rPr>
          <w:rFonts w:hint="eastAsia" w:ascii="宋体" w:hAnsi="宋体" w:eastAsia="宋体" w:cs="宋体"/>
          <w:color w:val="000000"/>
          <w:kern w:val="0"/>
          <w:sz w:val="24"/>
          <w:shd w:val="clear" w:color="auto" w:fill="FFFFFF"/>
        </w:rPr>
        <w:t>　备案管理单位应当严格按照《评估管理办法》、《企业国有资产评估报告指南》等企业国有资产评估管理法规和相关评估准则，对备案事项相关行为的合规性、评估结果的合理性等进行审核。</w:t>
      </w:r>
    </w:p>
    <w:p w14:paraId="75AE5BB8">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第十条</w:t>
      </w:r>
      <w:r>
        <w:rPr>
          <w:rFonts w:hint="eastAsia" w:ascii="宋体" w:hAnsi="宋体" w:eastAsia="宋体" w:cs="宋体"/>
          <w:color w:val="000000"/>
          <w:kern w:val="0"/>
          <w:sz w:val="24"/>
          <w:shd w:val="clear" w:color="auto" w:fill="FFFFFF"/>
        </w:rPr>
        <w:t>　备案管理单位应当对资产评估报告以下内容进行重点审核：</w:t>
      </w:r>
    </w:p>
    <w:p w14:paraId="52B8F65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（一）评估委托方、被评估企业（产权持有单位）概况。</w:t>
      </w:r>
    </w:p>
    <w:p w14:paraId="084579F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（二）评估目的。</w:t>
      </w:r>
    </w:p>
    <w:p w14:paraId="780482C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（三）评估对象和评估范围。</w:t>
      </w:r>
    </w:p>
    <w:p w14:paraId="0DA0621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（四）价值类型及其定义。</w:t>
      </w:r>
    </w:p>
    <w:p w14:paraId="45A5390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（五）评估基准日。</w:t>
      </w:r>
    </w:p>
    <w:p w14:paraId="4C1AA68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（六）评估依据。</w:t>
      </w:r>
    </w:p>
    <w:p w14:paraId="2A8E23B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（七）评估程序实施过程和情况。</w:t>
      </w:r>
    </w:p>
    <w:p w14:paraId="45B0521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（八）评估方法。</w:t>
      </w:r>
    </w:p>
    <w:p w14:paraId="571613C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（九）评估结论。</w:t>
      </w:r>
    </w:p>
    <w:p w14:paraId="47671EC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（十）特别事项说明。</w:t>
      </w:r>
    </w:p>
    <w:p w14:paraId="58B73B0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（十一）签字盖章。</w:t>
      </w:r>
    </w:p>
    <w:p w14:paraId="0239D23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（十二）评估报告附件。</w:t>
      </w:r>
    </w:p>
    <w:p w14:paraId="4BDD4782">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第十一条</w:t>
      </w:r>
      <w:r>
        <w:rPr>
          <w:rFonts w:hint="eastAsia" w:ascii="宋体" w:hAnsi="宋体" w:eastAsia="宋体" w:cs="宋体"/>
          <w:color w:val="000000"/>
          <w:kern w:val="0"/>
          <w:sz w:val="24"/>
          <w:shd w:val="clear" w:color="auto" w:fill="FFFFFF"/>
        </w:rPr>
        <w:t>　备案管理单位审核评估委托方、被评估企业（产权持有单位）概况，应当关注是否对被评估企业历史沿革、股权结构（图）、股权变更、经营管理等情况进行了必要说明，是否反映了近三年的资产、财务、经营状况。存在关联交易的，应当关注是否披露了关联方、交易方式等基本情况。</w:t>
      </w:r>
    </w:p>
    <w:p w14:paraId="69FD79ED">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第十二条</w:t>
      </w:r>
      <w:r>
        <w:rPr>
          <w:rFonts w:hint="eastAsia" w:ascii="宋体" w:hAnsi="宋体" w:eastAsia="宋体" w:cs="宋体"/>
          <w:color w:val="000000"/>
          <w:kern w:val="0"/>
          <w:sz w:val="24"/>
          <w:shd w:val="clear" w:color="auto" w:fill="FFFFFF"/>
        </w:rPr>
        <w:t>　备案管理单位审核评估目的，应当关注评估报告中是否清晰、明确地说明本次资产评估的经济行为目的；以及评估所对应的经济行为获得批准的情况或者其他经济行为依据。</w:t>
      </w:r>
    </w:p>
    <w:p w14:paraId="727D6B7C">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第十三条</w:t>
      </w:r>
      <w:r>
        <w:rPr>
          <w:rFonts w:hint="eastAsia" w:ascii="宋体" w:hAnsi="宋体" w:eastAsia="宋体" w:cs="宋体"/>
          <w:color w:val="000000"/>
          <w:kern w:val="0"/>
          <w:sz w:val="24"/>
          <w:shd w:val="clear" w:color="auto" w:fill="FFFFFF"/>
        </w:rPr>
        <w:t>　备案管理单位审核评估对象和评估范围，应当关注评估对象的基本情况，包括法律权属状况、经济状况和物理状况等；关注评估范围是否与经济行为批准文件、评估业务委托约定书等确定的资产范围一致。</w:t>
      </w:r>
    </w:p>
    <w:p w14:paraId="78F882D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企业价值评估中，备案管理单位应当关注评估范围是否包括了企业拥有的实物资产和专利技术、非专利技术、商标权等无形资产，以及明确的未来权利、义务（负债），特别是土地使用权、探矿权、采矿权等。对实际存在但未入账或已摊销完毕的无形资产、未来义务及或有事项等是否在《企业关于进行资产评估有关事项的说明》中进行了详细说明。</w:t>
      </w:r>
    </w:p>
    <w:p w14:paraId="12EDABA2">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第十四条</w:t>
      </w:r>
      <w:r>
        <w:rPr>
          <w:rFonts w:hint="eastAsia" w:ascii="宋体" w:hAnsi="宋体" w:eastAsia="宋体" w:cs="宋体"/>
          <w:color w:val="000000"/>
          <w:kern w:val="0"/>
          <w:sz w:val="24"/>
          <w:shd w:val="clear" w:color="auto" w:fill="FFFFFF"/>
        </w:rPr>
        <w:t>　备案管理单位审核价值类型及其定义，应当关注评估报告是否列明了所选择的价值类型及其定义。选择市场价值以外的价值类型，应当关注其选择理由和选取的合理性。</w:t>
      </w:r>
    </w:p>
    <w:p w14:paraId="403FE875">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第十五条</w:t>
      </w:r>
      <w:r>
        <w:rPr>
          <w:rFonts w:hint="eastAsia" w:ascii="宋体" w:hAnsi="宋体" w:eastAsia="宋体" w:cs="宋体"/>
          <w:color w:val="000000"/>
          <w:kern w:val="0"/>
          <w:sz w:val="24"/>
          <w:shd w:val="clear" w:color="auto" w:fill="FFFFFF"/>
        </w:rPr>
        <w:t>　备案管理单位审核评估基准日，应当关注评估基准日的选择是否接近评估目的对应的经济行为或特定事项的实施日期。企业在评估基准日后如遇重大事项，如汇率变动、国家重大政策调整、企业资产权属或数量、价值发生重大变化等，可能对评估结果产生重大影响时，应当关注评估基准日或评估结果是否进行了合理调整。</w:t>
      </w:r>
    </w:p>
    <w:p w14:paraId="009A814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备案管理单位审核涉及上市公司股份间接转让项目时，应当关注所选择的评估基准日是否符合《国有股东转让所持上市公司股份管理暂行办法》（国资委证监会令第19号）规定，即上市公司股份价格确定的基准日应与国有股东资产评估的基准日一致。国有股东资产评估的基准日与国有股东产权持有单位对该国有股东产权变动决议的日期相差不得超过一个月。</w:t>
      </w:r>
    </w:p>
    <w:p w14:paraId="4CCB483F">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第十六条</w:t>
      </w:r>
      <w:r>
        <w:rPr>
          <w:rFonts w:hint="eastAsia" w:ascii="宋体" w:hAnsi="宋体" w:eastAsia="宋体" w:cs="宋体"/>
          <w:color w:val="000000"/>
          <w:kern w:val="0"/>
          <w:sz w:val="24"/>
          <w:shd w:val="clear" w:color="auto" w:fill="FFFFFF"/>
        </w:rPr>
        <w:t>　备案管理单位审核评估依据，应当关注以下内容：</w:t>
      </w:r>
    </w:p>
    <w:p w14:paraId="51DB23C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（一）经济行为依据。</w:t>
      </w:r>
    </w:p>
    <w:p w14:paraId="31C2C14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重点关注经济行为依据的合规性和完整性。</w:t>
      </w:r>
    </w:p>
    <w:p w14:paraId="0E6858B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（二）法律法规、评估准则、权属、取价等依据。</w:t>
      </w:r>
    </w:p>
    <w:p w14:paraId="20DE1C1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1.重点关注评估工作过程中所引用的法律法规和技术参数资料等是否适当。评估依据是否明确、规范、具体，便于查阅和理解；评估依据是否具有代表性，且在评估基准日有效。</w:t>
      </w:r>
    </w:p>
    <w:p w14:paraId="290DC1A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2.收集的价格信息、工程定额标准等是否与评估对象具有较强的关联性。结合评估目的、业务性质和行业特点等，重点关注取价依据、法律法规依据的相关性及其对资产评估结果的影响。</w:t>
      </w:r>
    </w:p>
    <w:p w14:paraId="149309B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3.关注土地、房屋建筑物及无形资产等重要资产的权属和使用状况。被评估资产是否权属清晰、权属证明文件齐备。对重要资产权属资料不全面或存在瑕疵的，企业是否已经妥善解决。</w:t>
      </w:r>
    </w:p>
    <w:p w14:paraId="7F3E220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4．《企业国有资产评估报告指南》、国资委有关资产评估管理及评估报告审核相关规范文件等是否列示在评估依据文件中。</w:t>
      </w:r>
    </w:p>
    <w:p w14:paraId="284E630E">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第十七条</w:t>
      </w:r>
      <w:r>
        <w:rPr>
          <w:rFonts w:hint="eastAsia" w:ascii="宋体" w:hAnsi="宋体" w:eastAsia="宋体" w:cs="宋体"/>
          <w:color w:val="000000"/>
          <w:kern w:val="0"/>
          <w:sz w:val="24"/>
          <w:shd w:val="clear" w:color="auto" w:fill="FFFFFF"/>
        </w:rPr>
        <w:t>　备案管理单位审核评估程序实施过程和情况，应当重点关注评估机构在评估过程中是否履行了必要评估程序，评估过程是否完整，是否存在未履行评估准则规定的必要评估步骤的行为。</w:t>
      </w:r>
    </w:p>
    <w:p w14:paraId="6F7FFF6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备案管理单位应当重点关注资产清查情况。针对评估报告中关于资产清查情况的说明，应当结合特别事项说明、资产评估明细表和资产权属证明文件，以及改制方案、审计报告等资料，对评估范围进行核对，核实是否有账外资产、或有负债、资产（土地、车辆等）权利人与实际使用人不一致等情况。应当关注对企业资产状况的描述，尤其是房地产、无形资产、长期股权投资等重大资产，核实是否存在隐匿或遗漏。</w:t>
      </w:r>
    </w:p>
    <w:p w14:paraId="4AF951B7">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第十八条</w:t>
      </w:r>
      <w:r>
        <w:rPr>
          <w:rFonts w:hint="eastAsia" w:ascii="宋体" w:hAnsi="宋体" w:eastAsia="宋体" w:cs="宋体"/>
          <w:color w:val="000000"/>
          <w:kern w:val="0"/>
          <w:sz w:val="24"/>
          <w:shd w:val="clear" w:color="auto" w:fill="FFFFFF"/>
        </w:rPr>
        <w:t>　备案管理单位审核评估方法，应当重点关注评估方法选择是否合理，是否符合相关评估准则的规定要求，以及评估过程中评估参数选取是否合理等。以持续经营为前提进行企业价值评估时，对企业（含其拥有实际控制权的长期股权投资企业）是否采用了两种或两种以上方法进行评估，并分别说明了选取每种评估方法的理由和确定评估结论的依据。</w:t>
      </w:r>
    </w:p>
    <w:p w14:paraId="7CEE1A91">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第十九条</w:t>
      </w:r>
      <w:r>
        <w:rPr>
          <w:rFonts w:hint="eastAsia" w:ascii="宋体" w:hAnsi="宋体" w:eastAsia="宋体" w:cs="宋体"/>
          <w:color w:val="000000"/>
          <w:kern w:val="0"/>
          <w:sz w:val="24"/>
          <w:shd w:val="clear" w:color="auto" w:fill="FFFFFF"/>
        </w:rPr>
        <w:t>　对使用收益法评估的，备案管理单位审核时应当重点关注以下内容：</w:t>
      </w:r>
    </w:p>
    <w:p w14:paraId="6C7C7AE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对企业资产、财务情况的分析是否充分、合理。是否对被评估企业财务报表的编制基础、不具有代表性的收入和支出，如非正常和偶然性的收入和支出等进行了合理调整；是否对被评估企业的非经营性资产、负债和溢余资产进行单独分析，合理判断资产、债务、经营业务配置的有效性，划分与收益存在直接相关性的资产、债务情况。对于不能或不需归集的，是否单独进行评估。</w:t>
      </w:r>
    </w:p>
    <w:p w14:paraId="70136CE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收益预测是否合理。是否根据企业资本结构、经营模式、收益情况等选择了恰当的收益模型，对应的折现率确定过程和依据是否合理。在确定收益预测期间时，是否合理考虑被评估企业经营状况和发展前景，及其所在行业现状、发展前景，国家相关行业政策、企业经营期限及主要产品的经济寿命年限等，并恰当考虑预测期后的收益情况及相关终值的计算。</w:t>
      </w:r>
    </w:p>
    <w:p w14:paraId="5658680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是否合理预测了相关参数，如被评估企业的收入、成本及费用、折旧和摊销、营运资金、资本性支出、折现率、负债、溢余资产和非经营性资产等。关注相关参数确定的依据是否充分，测算过程是否完整，是否有完整的预测表及说明。</w:t>
      </w:r>
    </w:p>
    <w:p w14:paraId="7B1E0EDC">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第二十条</w:t>
      </w:r>
      <w:r>
        <w:rPr>
          <w:rFonts w:hint="eastAsia" w:ascii="宋体" w:hAnsi="宋体" w:eastAsia="宋体" w:cs="宋体"/>
          <w:color w:val="000000"/>
          <w:kern w:val="0"/>
          <w:sz w:val="24"/>
          <w:shd w:val="clear" w:color="auto" w:fill="FFFFFF"/>
        </w:rPr>
        <w:t>　对使用市场法评估的，备案管理单位审核时应当重点关注以下内容：</w:t>
      </w:r>
    </w:p>
    <w:p w14:paraId="088AAAB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（一）选择的可比案例是否与被评估企业具有可比性，是否处于同一行业或相近行业，或者是受共同因素决定或影响。是否对可比案例及被评估企业的数据进行了必要的分析调整，并消除了偶然性因素的影响。</w:t>
      </w:r>
    </w:p>
    <w:p w14:paraId="6199DB8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（二）选择的可比因素是否是企业价值的决定因素，选择的价值比率是否适当可靠，是否经过了必要的修正调整。是否选择了多种可比因素，对于不同可比因素得到的不同评估值是否能够合理的选择计算。</w:t>
      </w:r>
    </w:p>
    <w:p w14:paraId="6AF7910E">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第二十一条</w:t>
      </w:r>
      <w:r>
        <w:rPr>
          <w:rFonts w:hint="eastAsia" w:ascii="宋体" w:hAnsi="宋体" w:eastAsia="宋体" w:cs="宋体"/>
          <w:color w:val="000000"/>
          <w:kern w:val="0"/>
          <w:sz w:val="24"/>
          <w:shd w:val="clear" w:color="auto" w:fill="FFFFFF"/>
        </w:rPr>
        <w:t>　备案管理单位审核评估结论，应当关注评估结果是否涵盖了评估范围，及其与评估目的和经济行为的一致性和适用性。采用两种或两种以上方法进行企业价值评估时，应当关注不同评估方法结果的差异及其原因和最终确定评估结论的理由。</w:t>
      </w:r>
    </w:p>
    <w:p w14:paraId="72A59438">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第二十二条</w:t>
      </w:r>
      <w:r>
        <w:rPr>
          <w:rFonts w:hint="eastAsia" w:ascii="宋体" w:hAnsi="宋体" w:eastAsia="宋体" w:cs="宋体"/>
          <w:color w:val="000000"/>
          <w:kern w:val="0"/>
          <w:sz w:val="24"/>
          <w:shd w:val="clear" w:color="auto" w:fill="FFFFFF"/>
        </w:rPr>
        <w:t>　备案管理单位审核特别事项说明，应当关注以下内容：</w:t>
      </w:r>
    </w:p>
    <w:p w14:paraId="23685F0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（一）企业是否逐条分析特别事项说明中的披露事项，了解特别事项形成原因、性质及对评估结果影响程度，并分别对以下事项进行了处理：</w:t>
      </w:r>
    </w:p>
    <w:p w14:paraId="224036E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1.对权属资料不全面、评估资料不完整、经济行为有瑕疵等情形，企业是否已经补充完善。</w:t>
      </w:r>
    </w:p>
    <w:p w14:paraId="791204B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2.对评估机构未履行必要程序，通过特别事项说明披露大量问题，影响评估结论的，企业和评估机构是否已经妥善解决。</w:t>
      </w:r>
    </w:p>
    <w:p w14:paraId="55287D4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（二）企业是否通过内部审核论证，对未在评估报告中说明但可能对评估结论产生重大影响的事项，与评估机构沟通确定是否须在特别事项说明中披露；对于不宜在报告中披露的，企业是否形成了专项处理意见。</w:t>
      </w:r>
    </w:p>
    <w:p w14:paraId="0CACCD48">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第二十三条</w:t>
      </w:r>
      <w:r>
        <w:rPr>
          <w:rFonts w:hint="eastAsia" w:ascii="宋体" w:hAnsi="宋体" w:eastAsia="宋体" w:cs="宋体"/>
          <w:color w:val="000000"/>
          <w:kern w:val="0"/>
          <w:sz w:val="24"/>
          <w:shd w:val="clear" w:color="auto" w:fill="FFFFFF"/>
        </w:rPr>
        <w:t>　备案管理单位审核签字盖章，应当对照《企业国有资产评估报告指南》等规定，关注评估报告签字盖章是否齐全、规范、清晰。应当关注公司制评估机构的法定代表人或者合伙制评估机构负责该评估业务的合伙人是否在评估报告上签字。关注《企业关于进行资产评估有关事项的说明》是否已经由评估委托方单位负责人和被评估企业（产权持有单位）负责人签字，加盖相应单位公章并签署日期。</w:t>
      </w:r>
    </w:p>
    <w:p w14:paraId="022A4262">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第二十四条</w:t>
      </w:r>
      <w:r>
        <w:rPr>
          <w:rFonts w:hint="eastAsia" w:ascii="宋体" w:hAnsi="宋体" w:eastAsia="宋体" w:cs="宋体"/>
          <w:color w:val="000000"/>
          <w:kern w:val="0"/>
          <w:sz w:val="24"/>
          <w:shd w:val="clear" w:color="auto" w:fill="FFFFFF"/>
        </w:rPr>
        <w:t>　备案管理单位审核评估报告附件，应当关注附件是否齐全，评估报告附件内容及其所涉及的签章是否清晰、完整，相关内容是否与评估报告摘要、正文一致。附件为复印件的，评估机构是否与原件进行了核对。</w:t>
      </w:r>
    </w:p>
    <w:p w14:paraId="6922576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备案管理单位审核《评估业务约定书》，应当关注资产评估项目的评估委托方式是否合规，签署内容是否完整，经济行为与评估报告披露内容是否一致等。</w:t>
      </w:r>
    </w:p>
    <w:p w14:paraId="0E0CEDE6">
      <w:pPr>
        <w:shd w:val="clear" w:color="auto" w:fill="FFFFFF"/>
        <w:spacing w:line="440" w:lineRule="atLeast"/>
        <w:jc w:val="center"/>
        <w:rPr>
          <w:rFonts w:ascii="黑体" w:hAnsi="黑体" w:eastAsia="黑体" w:cs="黑体"/>
          <w:color w:val="000000"/>
          <w:kern w:val="0"/>
          <w:sz w:val="28"/>
          <w:szCs w:val="28"/>
          <w:shd w:val="clear" w:color="auto" w:fill="FFFFFF"/>
        </w:rPr>
      </w:pPr>
      <w:r>
        <w:rPr>
          <w:rFonts w:hint="eastAsia" w:ascii="黑体" w:hAnsi="黑体" w:eastAsia="黑体" w:cs="黑体"/>
          <w:color w:val="000000"/>
          <w:kern w:val="0"/>
          <w:sz w:val="28"/>
          <w:szCs w:val="28"/>
          <w:shd w:val="clear" w:color="auto" w:fill="FFFFFF"/>
        </w:rPr>
        <w:t>第四章　其他报告审核要点</w:t>
      </w:r>
    </w:p>
    <w:p w14:paraId="35B20044">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第二十五条</w:t>
      </w:r>
      <w:r>
        <w:rPr>
          <w:rFonts w:hint="eastAsia" w:ascii="宋体" w:hAnsi="宋体" w:eastAsia="宋体" w:cs="宋体"/>
          <w:color w:val="000000"/>
          <w:kern w:val="0"/>
          <w:sz w:val="24"/>
          <w:shd w:val="clear" w:color="auto" w:fill="FFFFFF"/>
        </w:rPr>
        <w:t>　备案管理单位应当关注审计报告中的以下内容：</w:t>
      </w:r>
    </w:p>
    <w:p w14:paraId="4694C71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（一）审计报告与评估报告之间数据勾稽关系是否合理一致；审计范围是否与经济行为批准文件、审计业务委托约定书等确定的资产范围一致，以及合并报表的合并范围是否合理。</w:t>
      </w:r>
    </w:p>
    <w:p w14:paraId="0ACCE8C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（二）审计报告报表与报表附注之间勾稽关系是否一致；主要会计政策是否合理，包括收入确认原则、成本核算原则等。</w:t>
      </w:r>
    </w:p>
    <w:p w14:paraId="62418E2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（三）企业整体改制涉及资产剥离时，剥离原则是否与改制方案一致，以及模拟的时点是否合理。</w:t>
      </w:r>
    </w:p>
    <w:p w14:paraId="6C12554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（四）涉及计提减值准备时，各项资产计提减值准备的依据和比例是否合理。</w:t>
      </w:r>
    </w:p>
    <w:p w14:paraId="5791933B">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第二十六条</w:t>
      </w:r>
      <w:r>
        <w:rPr>
          <w:rFonts w:hint="eastAsia" w:ascii="宋体" w:hAnsi="宋体" w:eastAsia="宋体" w:cs="宋体"/>
          <w:color w:val="000000"/>
          <w:kern w:val="0"/>
          <w:sz w:val="24"/>
          <w:shd w:val="clear" w:color="auto" w:fill="FFFFFF"/>
        </w:rPr>
        <w:t>　备案管理单位应当关注土地使用权估价报告中的以下内容：</w:t>
      </w:r>
    </w:p>
    <w:p w14:paraId="132EDE8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（一）土地估价范围、权属、土地资产处置审批与土地估价报告备案情况。如果评估基准日存在划拨土地，应当重点关注划拨土地的处置情况：</w:t>
      </w:r>
    </w:p>
    <w:p w14:paraId="6F5914D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1.关注是否有划拨土地处置审批文件，审批文件是否合法有效、审批内容是否与实际评估土地一致等；</w:t>
      </w:r>
    </w:p>
    <w:p w14:paraId="0FEB487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2.如果是未经处置的划拨土地，应当关注其未处置理由的合规性以及评估中处理方式的合理性等。</w:t>
      </w:r>
    </w:p>
    <w:p w14:paraId="11B8A99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（二）土地地价定义是否符合相关准则要求。关注估价方法选取的合理性；相关参数选取依据是否充分、计算过程是否完整及评估结果选取是否合理等。</w:t>
      </w:r>
    </w:p>
    <w:p w14:paraId="4D3AF7C0">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第二十七条</w:t>
      </w:r>
      <w:r>
        <w:rPr>
          <w:rFonts w:hint="eastAsia" w:ascii="宋体" w:hAnsi="宋体" w:eastAsia="宋体" w:cs="宋体"/>
          <w:color w:val="000000"/>
          <w:kern w:val="0"/>
          <w:sz w:val="24"/>
          <w:shd w:val="clear" w:color="auto" w:fill="FFFFFF"/>
        </w:rPr>
        <w:t>　备案管理单位应当关注矿业权评估报告中的以下内容：</w:t>
      </w:r>
    </w:p>
    <w:p w14:paraId="22C82C6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（一）矿业权评估范围、权属、矿业权价款缴纳情况、矿产资源储量评审备案情况。</w:t>
      </w:r>
    </w:p>
    <w:p w14:paraId="6D83353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（二）矿业权评估报告是否符合相关准则要求；评估方法选取是否合理；相关参数选取依据是否充分、计算过程是否完整、确定的结果是否合理。</w:t>
      </w:r>
    </w:p>
    <w:p w14:paraId="28A061C7">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第二十八条</w:t>
      </w:r>
      <w:r>
        <w:rPr>
          <w:rFonts w:hint="eastAsia" w:ascii="宋体" w:hAnsi="宋体" w:eastAsia="宋体" w:cs="宋体"/>
          <w:color w:val="000000"/>
          <w:kern w:val="0"/>
          <w:sz w:val="24"/>
          <w:shd w:val="clear" w:color="auto" w:fill="FFFFFF"/>
        </w:rPr>
        <w:t>　资产评估结果引用土地使用权、矿业权或者其他相关专业评估报告评估结论的，应当关注以下事项：</w:t>
      </w:r>
    </w:p>
    <w:p w14:paraId="5BB0BDA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（一）资产评估师是否对所引用报告进行了必要的专业判断，并声明其了解所引用报告结论的取得过程，承担引用报告结论的相关责任。</w:t>
      </w:r>
    </w:p>
    <w:p w14:paraId="23CEEED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所引用报告评估目的、价值类型是否一致；评估基准日、评估结论使用有效期是否一致；评估假设是否一致，资产评估引用结果是否与所引用报告披露的结果一致，所引用报告披露的相关事项说明是否与资产评估报告一致。</w:t>
      </w:r>
    </w:p>
    <w:p w14:paraId="11CC7CBC">
      <w:pPr>
        <w:shd w:val="clear" w:color="auto" w:fill="FFFFFF"/>
        <w:spacing w:line="440" w:lineRule="atLeast"/>
        <w:jc w:val="center"/>
        <w:rPr>
          <w:rFonts w:ascii="黑体" w:hAnsi="黑体" w:eastAsia="黑体" w:cs="黑体"/>
          <w:color w:val="000000"/>
          <w:kern w:val="0"/>
          <w:sz w:val="28"/>
          <w:szCs w:val="28"/>
          <w:shd w:val="clear" w:color="auto" w:fill="FFFFFF"/>
        </w:rPr>
      </w:pPr>
      <w:r>
        <w:rPr>
          <w:rFonts w:hint="eastAsia" w:ascii="黑体" w:hAnsi="黑体" w:eastAsia="黑体" w:cs="黑体"/>
          <w:color w:val="000000"/>
          <w:kern w:val="0"/>
          <w:sz w:val="28"/>
          <w:szCs w:val="28"/>
          <w:shd w:val="clear" w:color="auto" w:fill="FFFFFF"/>
        </w:rPr>
        <w:t>第五章　境外评估或估值报告审核要点</w:t>
      </w:r>
    </w:p>
    <w:p w14:paraId="3C3B5A3C">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第二十九条</w:t>
      </w:r>
      <w:r>
        <w:rPr>
          <w:rFonts w:hint="eastAsia" w:ascii="宋体" w:hAnsi="宋体" w:eastAsia="宋体" w:cs="宋体"/>
          <w:color w:val="000000"/>
          <w:kern w:val="0"/>
          <w:sz w:val="24"/>
          <w:shd w:val="clear" w:color="auto" w:fill="FFFFFF"/>
        </w:rPr>
        <w:t>　备案管理单位审核境外评估或估值报告，应当关注评估或估值机构的选聘是否符合《中央企业境外国有产权管理暂行办法》（国资委令第27号）和《关于加强中央企业境外国有产权管理有关工作的通知》（国资发产权〔2011〕144号）等规定。</w:t>
      </w:r>
    </w:p>
    <w:p w14:paraId="4DAB16CB">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第三十条</w:t>
      </w:r>
      <w:r>
        <w:rPr>
          <w:rFonts w:hint="eastAsia" w:ascii="宋体" w:hAnsi="宋体" w:eastAsia="宋体" w:cs="宋体"/>
          <w:color w:val="000000"/>
          <w:kern w:val="0"/>
          <w:sz w:val="24"/>
          <w:shd w:val="clear" w:color="auto" w:fill="FFFFFF"/>
        </w:rPr>
        <w:t>　对境外企业国有资产评估或估值项目，备案管理单位应当关注评估或估值机构是否协助企业进行尽职调查、询价，是否参与交易过程。经济行为涉及的交易对价是否以评估或估值结果为基础，确有差异的是否具有充足合理的理由。</w:t>
      </w:r>
    </w:p>
    <w:p w14:paraId="1A111ABD">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第三十一条</w:t>
      </w:r>
      <w:r>
        <w:rPr>
          <w:rFonts w:hint="eastAsia" w:ascii="宋体" w:hAnsi="宋体" w:eastAsia="宋体" w:cs="宋体"/>
          <w:color w:val="000000"/>
          <w:kern w:val="0"/>
          <w:sz w:val="24"/>
          <w:shd w:val="clear" w:color="auto" w:fill="FFFFFF"/>
        </w:rPr>
        <w:t>　审核境外评估及估值机构出具的评估或估值报告，应当关注其是否明示了所依据的评估准则，是否合理参考了境内评估准则及要求。评估或估值结果是否以人民币为计量币种。使用其他币种计量的，是否注明了该币种与人民币在评估基准日的汇率。如果评估或估值结果为区间值的，应关注是否在区间之内确定了一个最大可能值，并说明确定依据。</w:t>
      </w:r>
    </w:p>
    <w:p w14:paraId="065E7EF4">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第三十二条</w:t>
      </w:r>
      <w:r>
        <w:rPr>
          <w:rFonts w:hint="eastAsia" w:ascii="宋体" w:hAnsi="宋体" w:eastAsia="宋体" w:cs="宋体"/>
          <w:color w:val="000000"/>
          <w:kern w:val="0"/>
          <w:sz w:val="24"/>
          <w:shd w:val="clear" w:color="auto" w:fill="FFFFFF"/>
        </w:rPr>
        <w:t>　备案管理单位可以使用备案表或者备案确认函的方式对境外评估或估值机构出具的评估或者估值报告予以备案。备案确认函应当简要描述评估项目有关情况，包括评估行为各当事方及经济行为、评估基准日、评估结果使用有效期、评估对象账面价值等内容，明确评估结果区间值及最大可能值，明确评估行为各当事方的权、责、利等执行情况。</w:t>
      </w:r>
    </w:p>
    <w:p w14:paraId="6E731DB2">
      <w:pPr>
        <w:shd w:val="clear" w:color="auto" w:fill="FFFFFF"/>
        <w:spacing w:line="440" w:lineRule="atLeast"/>
        <w:jc w:val="center"/>
        <w:rPr>
          <w:rFonts w:ascii="黑体" w:hAnsi="黑体" w:eastAsia="黑体" w:cs="黑体"/>
          <w:color w:val="000000"/>
          <w:kern w:val="0"/>
          <w:sz w:val="28"/>
          <w:szCs w:val="28"/>
          <w:shd w:val="clear" w:color="auto" w:fill="FFFFFF"/>
        </w:rPr>
      </w:pPr>
      <w:r>
        <w:rPr>
          <w:rFonts w:hint="eastAsia" w:ascii="黑体" w:hAnsi="黑体" w:eastAsia="黑体" w:cs="黑体"/>
          <w:color w:val="000000"/>
          <w:kern w:val="0"/>
          <w:sz w:val="28"/>
          <w:szCs w:val="28"/>
          <w:shd w:val="clear" w:color="auto" w:fill="FFFFFF"/>
        </w:rPr>
        <w:t>第六章　附则</w:t>
      </w:r>
    </w:p>
    <w:p w14:paraId="02B4A224">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第三十三条</w:t>
      </w:r>
      <w:r>
        <w:rPr>
          <w:rFonts w:hint="eastAsia" w:ascii="宋体" w:hAnsi="宋体" w:eastAsia="宋体" w:cs="宋体"/>
          <w:color w:val="000000"/>
          <w:kern w:val="0"/>
          <w:sz w:val="24"/>
          <w:shd w:val="clear" w:color="auto" w:fill="FFFFFF"/>
        </w:rPr>
        <w:t>　地方各级国有资产监督管理机构可以参照本指引，根据当地国有资产产权管理实际情况，制定适合本地使用的国家出资企业资产评估项目备案工作指引。</w:t>
      </w:r>
    </w:p>
    <w:p w14:paraId="3CCE5322">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第三十四条</w:t>
      </w:r>
      <w:r>
        <w:rPr>
          <w:rFonts w:hint="eastAsia" w:ascii="宋体" w:hAnsi="宋体" w:eastAsia="宋体" w:cs="宋体"/>
          <w:color w:val="000000"/>
          <w:kern w:val="0"/>
          <w:sz w:val="24"/>
          <w:shd w:val="clear" w:color="auto" w:fill="FFFFFF"/>
        </w:rPr>
        <w:t>　本指引自印发之日起施行。</w:t>
      </w:r>
    </w:p>
    <w:p w14:paraId="44E1B5B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br w:type="page"/>
      </w:r>
    </w:p>
    <w:p w14:paraId="72C0830A">
      <w:pPr>
        <w:pStyle w:val="5"/>
        <w:spacing w:line="440" w:lineRule="atLeast"/>
        <w:jc w:val="center"/>
        <w:rPr>
          <w:rFonts w:ascii="宋体" w:hAnsi="宋体" w:eastAsia="宋体" w:cs="宋体"/>
        </w:rPr>
      </w:pPr>
      <w:bookmarkStart w:id="24" w:name="_Toc23618"/>
      <w:r>
        <w:rPr>
          <w:rFonts w:hint="eastAsia" w:ascii="宋体" w:hAnsi="宋体" w:eastAsia="宋体" w:cs="宋体"/>
        </w:rPr>
        <w:t>关于公布取消和调整行政审批项目等事项的通知</w:t>
      </w:r>
      <w:bookmarkEnd w:id="24"/>
    </w:p>
    <w:p w14:paraId="256D128D">
      <w:pPr>
        <w:shd w:val="clear" w:color="auto" w:fill="FFFFFF"/>
        <w:spacing w:line="440" w:lineRule="atLeast"/>
        <w:jc w:val="center"/>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2014年12月9日财政部发布　财法〔2014〕9号</w:t>
      </w:r>
    </w:p>
    <w:p w14:paraId="24D28397">
      <w:pPr>
        <w:shd w:val="clear" w:color="auto" w:fill="FFFFFF"/>
        <w:spacing w:line="440" w:lineRule="atLeast"/>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各省、自治区、直辖市、计划单列市财政厅（局），新疆生产建设兵团财务局，部内各单位，财政部驻各省、自治区、直辖市、计划单列市财政监察专员办事处：</w:t>
      </w:r>
    </w:p>
    <w:p w14:paraId="165C246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国务院关于取消和调整一批行政审批项目等事项的决定》（国发〔2014〕27号）决定取消我部“以折股方式缴纳探矿权采矿权价款审批”事项，取消“注册资产评估师”职业资格许可和认定事项；《国务院关于取消和调整一批行政审批项目等事项的决定》（国发〔2014〕50号）决定将省级人民政府财政部门实施的“资产评估机构设立审批”、“会计师事务所及其分支机构设立审批”、“中介机构从事会计代理记账业务审批”3项工商登记前置审批调整为后置审批。现予公布，请遵照执行。</w:t>
      </w:r>
    </w:p>
    <w:p w14:paraId="5F31C17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各地区、各单位要认真贯彻落实国务院决定精神，抓紧做好取消和调整事项的落实和衔接，加快配套改革和相关管理制度的制（修）订工作，确保各项工作平稳过渡。</w:t>
      </w:r>
    </w:p>
    <w:p w14:paraId="3020D2BD">
      <w:pPr>
        <w:shd w:val="clear" w:color="auto" w:fill="FFFFFF"/>
        <w:spacing w:line="440" w:lineRule="atLeast"/>
        <w:ind w:firstLine="480" w:firstLineChars="200"/>
        <w:rPr>
          <w:rFonts w:ascii="宋体" w:hAnsi="宋体" w:eastAsia="宋体" w:cs="宋体"/>
          <w:color w:val="000000"/>
          <w:kern w:val="0"/>
          <w:sz w:val="24"/>
          <w:shd w:val="clear" w:color="auto" w:fill="FFFFFF"/>
        </w:rPr>
      </w:pPr>
      <w:bookmarkStart w:id="25" w:name="_Toc2041"/>
    </w:p>
    <w:p w14:paraId="46E96F2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附件：1.财政部取消的行政审批事项</w:t>
      </w:r>
      <w:bookmarkEnd w:id="25"/>
    </w:p>
    <w:p w14:paraId="5C3ED0D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　　　2.财政部取消的职业资格许可和认定事项</w:t>
      </w:r>
    </w:p>
    <w:p w14:paraId="4248449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　　　3.财政部门调整为后置审批的工商登记前置审批事项</w:t>
      </w:r>
    </w:p>
    <w:p w14:paraId="4B11C9D0">
      <w:pPr>
        <w:shd w:val="clear" w:color="auto" w:fill="FFFFFF"/>
        <w:spacing w:line="440" w:lineRule="atLeast"/>
        <w:ind w:firstLine="480" w:firstLineChars="200"/>
        <w:jc w:val="right"/>
        <w:rPr>
          <w:rFonts w:ascii="宋体" w:hAnsi="宋体" w:eastAsia="宋体" w:cs="宋体"/>
          <w:color w:val="000000"/>
          <w:kern w:val="0"/>
          <w:sz w:val="24"/>
          <w:shd w:val="clear" w:color="auto" w:fill="FFFFFF"/>
        </w:rPr>
      </w:pPr>
    </w:p>
    <w:p w14:paraId="7B154FEE">
      <w:pPr>
        <w:shd w:val="clear" w:color="auto" w:fill="FFFFFF"/>
        <w:spacing w:line="440" w:lineRule="atLeast"/>
        <w:ind w:firstLine="480" w:firstLineChars="200"/>
        <w:jc w:val="right"/>
        <w:rPr>
          <w:rFonts w:ascii="宋体" w:hAnsi="宋体" w:eastAsia="宋体" w:cs="宋体"/>
          <w:color w:val="000000"/>
          <w:kern w:val="0"/>
          <w:sz w:val="24"/>
          <w:shd w:val="clear" w:color="auto" w:fill="FFFFFF"/>
        </w:rPr>
      </w:pPr>
    </w:p>
    <w:p w14:paraId="47DFA78B">
      <w:pPr>
        <w:shd w:val="clear" w:color="auto" w:fill="FFFFFF"/>
        <w:spacing w:line="440" w:lineRule="atLeast"/>
        <w:ind w:firstLine="480" w:firstLineChars="200"/>
        <w:jc w:val="right"/>
        <w:rPr>
          <w:rFonts w:ascii="宋体" w:hAnsi="宋体" w:eastAsia="宋体" w:cs="宋体"/>
          <w:color w:val="000000"/>
          <w:kern w:val="0"/>
          <w:sz w:val="24"/>
          <w:shd w:val="clear" w:color="auto" w:fill="FFFFFF"/>
        </w:rPr>
      </w:pPr>
    </w:p>
    <w:p w14:paraId="59A74B38">
      <w:pPr>
        <w:shd w:val="clear" w:color="auto" w:fill="FFFFFF"/>
        <w:wordWrap w:val="0"/>
        <w:spacing w:line="440" w:lineRule="atLeast"/>
        <w:ind w:firstLine="480" w:firstLineChars="200"/>
        <w:jc w:val="right"/>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 xml:space="preserve">财政部    </w:t>
      </w:r>
    </w:p>
    <w:p w14:paraId="4148E931">
      <w:pPr>
        <w:shd w:val="clear" w:color="auto" w:fill="FFFFFF"/>
        <w:spacing w:line="440" w:lineRule="atLeast"/>
        <w:ind w:firstLine="480" w:firstLineChars="200"/>
        <w:jc w:val="right"/>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2014年12月9日</w:t>
      </w:r>
    </w:p>
    <w:p w14:paraId="54FA815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br w:type="page"/>
      </w:r>
    </w:p>
    <w:p w14:paraId="455B7B37">
      <w:pPr>
        <w:shd w:val="clear" w:color="auto" w:fill="FFFFFF"/>
        <w:spacing w:line="440" w:lineRule="atLeast"/>
        <w:ind w:firstLine="480" w:firstLineChars="200"/>
        <w:rPr>
          <w:rFonts w:ascii="宋体" w:hAnsi="宋体" w:eastAsia="宋体" w:cs="宋体"/>
          <w:color w:val="000000"/>
          <w:kern w:val="0"/>
          <w:sz w:val="24"/>
          <w:shd w:val="clear" w:color="auto" w:fill="FFFFFF"/>
        </w:rPr>
      </w:pPr>
    </w:p>
    <w:tbl>
      <w:tblPr>
        <w:tblStyle w:val="24"/>
        <w:tblW w:w="9740" w:type="dxa"/>
        <w:jc w:val="center"/>
        <w:tblLayout w:type="autofit"/>
        <w:tblCellMar>
          <w:top w:w="0" w:type="dxa"/>
          <w:left w:w="0" w:type="dxa"/>
          <w:bottom w:w="0" w:type="dxa"/>
          <w:right w:w="0" w:type="dxa"/>
        </w:tblCellMar>
      </w:tblPr>
      <w:tblGrid>
        <w:gridCol w:w="400"/>
        <w:gridCol w:w="2320"/>
        <w:gridCol w:w="1360"/>
        <w:gridCol w:w="3640"/>
        <w:gridCol w:w="780"/>
        <w:gridCol w:w="1240"/>
      </w:tblGrid>
      <w:tr w14:paraId="22833377">
        <w:tblPrEx>
          <w:tblCellMar>
            <w:top w:w="0" w:type="dxa"/>
            <w:left w:w="0" w:type="dxa"/>
            <w:bottom w:w="0" w:type="dxa"/>
            <w:right w:w="0" w:type="dxa"/>
          </w:tblCellMar>
        </w:tblPrEx>
        <w:trPr>
          <w:trHeight w:val="675" w:hRule="atLeast"/>
          <w:jc w:val="center"/>
        </w:trPr>
        <w:tc>
          <w:tcPr>
            <w:tcW w:w="2720" w:type="dxa"/>
            <w:gridSpan w:val="2"/>
            <w:tcBorders>
              <w:top w:val="nil"/>
              <w:left w:val="nil"/>
              <w:bottom w:val="nil"/>
              <w:right w:val="nil"/>
            </w:tcBorders>
            <w:shd w:val="clear" w:color="auto" w:fill="auto"/>
            <w:tcMar>
              <w:top w:w="20" w:type="dxa"/>
              <w:left w:w="20" w:type="dxa"/>
              <w:right w:w="20" w:type="dxa"/>
            </w:tcMar>
            <w:vAlign w:val="center"/>
          </w:tcPr>
          <w:p w14:paraId="08AB7774">
            <w:pPr>
              <w:spacing w:line="440" w:lineRule="atLeast"/>
              <w:jc w:val="left"/>
              <w:textAlignment w:val="center"/>
              <w:rPr>
                <w:rFonts w:ascii="宋体" w:hAnsi="宋体" w:eastAsia="宋体" w:cs="宋体"/>
                <w:color w:val="000000"/>
                <w:sz w:val="24"/>
              </w:rPr>
            </w:pPr>
            <w:r>
              <w:rPr>
                <w:rFonts w:hint="eastAsia" w:ascii="宋体" w:hAnsi="宋体" w:eastAsia="宋体" w:cs="宋体"/>
                <w:color w:val="000000"/>
                <w:kern w:val="0"/>
                <w:sz w:val="24"/>
                <w:lang w:bidi="ar"/>
              </w:rPr>
              <w:t>附件1：</w:t>
            </w:r>
          </w:p>
        </w:tc>
        <w:tc>
          <w:tcPr>
            <w:tcW w:w="1360" w:type="dxa"/>
            <w:tcBorders>
              <w:top w:val="nil"/>
              <w:left w:val="nil"/>
              <w:bottom w:val="nil"/>
              <w:right w:val="nil"/>
            </w:tcBorders>
            <w:shd w:val="clear" w:color="auto" w:fill="auto"/>
            <w:noWrap/>
            <w:tcMar>
              <w:top w:w="20" w:type="dxa"/>
              <w:left w:w="20" w:type="dxa"/>
              <w:right w:w="20" w:type="dxa"/>
            </w:tcMar>
            <w:vAlign w:val="center"/>
          </w:tcPr>
          <w:p w14:paraId="50491385">
            <w:pPr>
              <w:spacing w:line="440" w:lineRule="atLeast"/>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 </w:t>
            </w:r>
          </w:p>
        </w:tc>
        <w:tc>
          <w:tcPr>
            <w:tcW w:w="3640" w:type="dxa"/>
            <w:tcBorders>
              <w:top w:val="nil"/>
              <w:left w:val="nil"/>
              <w:bottom w:val="nil"/>
              <w:right w:val="nil"/>
            </w:tcBorders>
            <w:shd w:val="clear" w:color="auto" w:fill="auto"/>
            <w:noWrap/>
            <w:tcMar>
              <w:top w:w="20" w:type="dxa"/>
              <w:left w:w="20" w:type="dxa"/>
              <w:right w:w="20" w:type="dxa"/>
            </w:tcMar>
            <w:vAlign w:val="center"/>
          </w:tcPr>
          <w:p w14:paraId="0C64CD09">
            <w:pPr>
              <w:spacing w:line="440" w:lineRule="atLeast"/>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 </w:t>
            </w:r>
          </w:p>
        </w:tc>
        <w:tc>
          <w:tcPr>
            <w:tcW w:w="780" w:type="dxa"/>
            <w:tcBorders>
              <w:top w:val="nil"/>
              <w:left w:val="nil"/>
              <w:bottom w:val="nil"/>
              <w:right w:val="nil"/>
            </w:tcBorders>
            <w:shd w:val="clear" w:color="auto" w:fill="auto"/>
            <w:noWrap/>
            <w:tcMar>
              <w:top w:w="20" w:type="dxa"/>
              <w:left w:w="20" w:type="dxa"/>
              <w:right w:w="20" w:type="dxa"/>
            </w:tcMar>
            <w:vAlign w:val="center"/>
          </w:tcPr>
          <w:p w14:paraId="208E99F8">
            <w:pPr>
              <w:spacing w:line="440" w:lineRule="atLeast"/>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 </w:t>
            </w:r>
          </w:p>
        </w:tc>
        <w:tc>
          <w:tcPr>
            <w:tcW w:w="1240" w:type="dxa"/>
            <w:tcBorders>
              <w:top w:val="nil"/>
              <w:left w:val="nil"/>
              <w:bottom w:val="nil"/>
              <w:right w:val="nil"/>
            </w:tcBorders>
            <w:shd w:val="clear" w:color="auto" w:fill="auto"/>
            <w:noWrap/>
            <w:tcMar>
              <w:top w:w="20" w:type="dxa"/>
              <w:left w:w="20" w:type="dxa"/>
              <w:right w:w="20" w:type="dxa"/>
            </w:tcMar>
            <w:vAlign w:val="center"/>
          </w:tcPr>
          <w:p w14:paraId="5C7AFF04">
            <w:pPr>
              <w:spacing w:line="440" w:lineRule="atLeast"/>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 </w:t>
            </w:r>
          </w:p>
        </w:tc>
      </w:tr>
      <w:tr w14:paraId="51C0FE49">
        <w:tblPrEx>
          <w:tblCellMar>
            <w:top w:w="0" w:type="dxa"/>
            <w:left w:w="0" w:type="dxa"/>
            <w:bottom w:w="0" w:type="dxa"/>
            <w:right w:w="0" w:type="dxa"/>
          </w:tblCellMar>
        </w:tblPrEx>
        <w:trPr>
          <w:trHeight w:val="645" w:hRule="atLeast"/>
          <w:jc w:val="center"/>
        </w:trPr>
        <w:tc>
          <w:tcPr>
            <w:tcW w:w="7720" w:type="dxa"/>
            <w:gridSpan w:val="6"/>
            <w:tcBorders>
              <w:top w:val="nil"/>
              <w:left w:val="nil"/>
              <w:bottom w:val="nil"/>
              <w:right w:val="nil"/>
            </w:tcBorders>
            <w:shd w:val="clear" w:color="auto" w:fill="auto"/>
            <w:tcMar>
              <w:top w:w="20" w:type="dxa"/>
              <w:left w:w="20" w:type="dxa"/>
              <w:right w:w="20" w:type="dxa"/>
            </w:tcMar>
            <w:vAlign w:val="center"/>
          </w:tcPr>
          <w:p w14:paraId="1273A8E0">
            <w:pPr>
              <w:pStyle w:val="21"/>
              <w:spacing w:beforeAutospacing="0" w:after="200" w:afterAutospacing="0" w:line="440" w:lineRule="atLeast"/>
              <w:jc w:val="center"/>
            </w:pPr>
            <w:r>
              <w:rPr>
                <w:rFonts w:hint="eastAsia"/>
                <w:b/>
                <w:sz w:val="32"/>
                <w:szCs w:val="32"/>
              </w:rPr>
              <w:t>财政部取消的行政审批事项</w:t>
            </w:r>
          </w:p>
        </w:tc>
      </w:tr>
      <w:tr w14:paraId="135847BC">
        <w:tblPrEx>
          <w:tblCellMar>
            <w:top w:w="0" w:type="dxa"/>
            <w:left w:w="0" w:type="dxa"/>
            <w:bottom w:w="0" w:type="dxa"/>
            <w:right w:w="0" w:type="dxa"/>
          </w:tblCellMar>
        </w:tblPrEx>
        <w:trPr>
          <w:trHeight w:val="90" w:hRule="atLeast"/>
          <w:jc w:val="center"/>
        </w:trPr>
        <w:tc>
          <w:tcPr>
            <w:tcW w:w="0" w:type="auto"/>
            <w:tcBorders>
              <w:top w:val="nil"/>
              <w:left w:val="nil"/>
              <w:bottom w:val="nil"/>
              <w:right w:val="nil"/>
            </w:tcBorders>
            <w:shd w:val="clear" w:color="auto" w:fill="auto"/>
            <w:noWrap/>
            <w:tcMar>
              <w:top w:w="20" w:type="dxa"/>
              <w:left w:w="20" w:type="dxa"/>
              <w:right w:w="20" w:type="dxa"/>
            </w:tcMar>
            <w:vAlign w:val="center"/>
          </w:tcPr>
          <w:p w14:paraId="3D74C1BD">
            <w:pPr>
              <w:spacing w:line="440" w:lineRule="atLeast"/>
              <w:jc w:val="center"/>
              <w:textAlignment w:val="center"/>
              <w:rPr>
                <w:rFonts w:ascii="宋体" w:hAnsi="宋体" w:eastAsia="宋体" w:cs="宋体"/>
                <w:b/>
                <w:sz w:val="28"/>
                <w:szCs w:val="28"/>
              </w:rPr>
            </w:pPr>
            <w:r>
              <w:rPr>
                <w:rFonts w:hint="eastAsia" w:ascii="宋体" w:hAnsi="宋体" w:eastAsia="宋体" w:cs="宋体"/>
                <w:b/>
                <w:kern w:val="0"/>
                <w:sz w:val="28"/>
                <w:szCs w:val="28"/>
                <w:lang w:bidi="ar"/>
              </w:rPr>
              <w:t> </w:t>
            </w:r>
          </w:p>
        </w:tc>
        <w:tc>
          <w:tcPr>
            <w:tcW w:w="0" w:type="auto"/>
            <w:tcBorders>
              <w:top w:val="nil"/>
              <w:left w:val="nil"/>
              <w:bottom w:val="nil"/>
              <w:right w:val="nil"/>
            </w:tcBorders>
            <w:shd w:val="clear" w:color="auto" w:fill="auto"/>
            <w:noWrap/>
            <w:tcMar>
              <w:top w:w="20" w:type="dxa"/>
              <w:left w:w="20" w:type="dxa"/>
              <w:right w:w="20" w:type="dxa"/>
            </w:tcMar>
            <w:vAlign w:val="center"/>
          </w:tcPr>
          <w:p w14:paraId="45A95F45">
            <w:pPr>
              <w:spacing w:line="440" w:lineRule="atLeast"/>
              <w:jc w:val="center"/>
              <w:textAlignment w:val="center"/>
              <w:rPr>
                <w:rFonts w:ascii="宋体" w:hAnsi="宋体" w:eastAsia="宋体" w:cs="宋体"/>
                <w:b/>
                <w:sz w:val="28"/>
                <w:szCs w:val="28"/>
              </w:rPr>
            </w:pPr>
            <w:r>
              <w:rPr>
                <w:rFonts w:hint="eastAsia" w:ascii="宋体" w:hAnsi="宋体" w:eastAsia="宋体" w:cs="宋体"/>
                <w:b/>
                <w:kern w:val="0"/>
                <w:sz w:val="28"/>
                <w:szCs w:val="28"/>
                <w:lang w:bidi="ar"/>
              </w:rPr>
              <w:t> </w:t>
            </w:r>
          </w:p>
        </w:tc>
        <w:tc>
          <w:tcPr>
            <w:tcW w:w="0" w:type="auto"/>
            <w:tcBorders>
              <w:top w:val="nil"/>
              <w:left w:val="nil"/>
              <w:bottom w:val="nil"/>
              <w:right w:val="nil"/>
            </w:tcBorders>
            <w:shd w:val="clear" w:color="auto" w:fill="auto"/>
            <w:noWrap/>
            <w:tcMar>
              <w:top w:w="20" w:type="dxa"/>
              <w:left w:w="20" w:type="dxa"/>
              <w:right w:w="20" w:type="dxa"/>
            </w:tcMar>
            <w:vAlign w:val="center"/>
          </w:tcPr>
          <w:p w14:paraId="7A76BB62">
            <w:pPr>
              <w:spacing w:line="440" w:lineRule="atLeast"/>
              <w:jc w:val="center"/>
              <w:textAlignment w:val="center"/>
              <w:rPr>
                <w:rFonts w:ascii="宋体" w:hAnsi="宋体" w:eastAsia="宋体" w:cs="宋体"/>
                <w:b/>
                <w:sz w:val="28"/>
                <w:szCs w:val="28"/>
              </w:rPr>
            </w:pPr>
            <w:r>
              <w:rPr>
                <w:rFonts w:hint="eastAsia" w:ascii="宋体" w:hAnsi="宋体" w:eastAsia="宋体" w:cs="宋体"/>
                <w:b/>
                <w:kern w:val="0"/>
                <w:sz w:val="28"/>
                <w:szCs w:val="28"/>
                <w:lang w:bidi="ar"/>
              </w:rPr>
              <w:t> </w:t>
            </w:r>
          </w:p>
        </w:tc>
        <w:tc>
          <w:tcPr>
            <w:tcW w:w="0" w:type="auto"/>
            <w:tcBorders>
              <w:top w:val="nil"/>
              <w:left w:val="nil"/>
              <w:bottom w:val="nil"/>
              <w:right w:val="nil"/>
            </w:tcBorders>
            <w:shd w:val="clear" w:color="auto" w:fill="auto"/>
            <w:noWrap/>
            <w:tcMar>
              <w:top w:w="20" w:type="dxa"/>
              <w:left w:w="20" w:type="dxa"/>
              <w:right w:w="20" w:type="dxa"/>
            </w:tcMar>
            <w:vAlign w:val="center"/>
          </w:tcPr>
          <w:p w14:paraId="5C7DC879">
            <w:pPr>
              <w:spacing w:line="440" w:lineRule="atLeast"/>
              <w:jc w:val="center"/>
              <w:textAlignment w:val="center"/>
              <w:rPr>
                <w:rFonts w:ascii="宋体" w:hAnsi="宋体" w:eastAsia="宋体" w:cs="宋体"/>
                <w:b/>
                <w:sz w:val="28"/>
                <w:szCs w:val="28"/>
              </w:rPr>
            </w:pPr>
            <w:r>
              <w:rPr>
                <w:rFonts w:hint="eastAsia" w:ascii="宋体" w:hAnsi="宋体" w:eastAsia="宋体" w:cs="宋体"/>
                <w:b/>
                <w:kern w:val="0"/>
                <w:sz w:val="28"/>
                <w:szCs w:val="28"/>
                <w:lang w:bidi="ar"/>
              </w:rPr>
              <w:t> </w:t>
            </w:r>
          </w:p>
        </w:tc>
        <w:tc>
          <w:tcPr>
            <w:tcW w:w="0" w:type="auto"/>
            <w:tcBorders>
              <w:top w:val="nil"/>
              <w:left w:val="nil"/>
              <w:bottom w:val="nil"/>
              <w:right w:val="nil"/>
            </w:tcBorders>
            <w:shd w:val="clear" w:color="auto" w:fill="auto"/>
            <w:noWrap/>
            <w:tcMar>
              <w:top w:w="20" w:type="dxa"/>
              <w:left w:w="20" w:type="dxa"/>
              <w:right w:w="20" w:type="dxa"/>
            </w:tcMar>
            <w:vAlign w:val="center"/>
          </w:tcPr>
          <w:p w14:paraId="2BCFBD30">
            <w:pPr>
              <w:spacing w:line="440" w:lineRule="atLeast"/>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 </w:t>
            </w:r>
          </w:p>
        </w:tc>
        <w:tc>
          <w:tcPr>
            <w:tcW w:w="0" w:type="auto"/>
            <w:tcBorders>
              <w:top w:val="nil"/>
              <w:left w:val="nil"/>
              <w:bottom w:val="nil"/>
              <w:right w:val="nil"/>
            </w:tcBorders>
            <w:shd w:val="clear" w:color="auto" w:fill="auto"/>
            <w:noWrap/>
            <w:tcMar>
              <w:top w:w="20" w:type="dxa"/>
              <w:left w:w="20" w:type="dxa"/>
              <w:right w:w="20" w:type="dxa"/>
            </w:tcMar>
            <w:vAlign w:val="center"/>
          </w:tcPr>
          <w:p w14:paraId="1BA79060">
            <w:pPr>
              <w:spacing w:line="440" w:lineRule="atLeast"/>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 </w:t>
            </w:r>
          </w:p>
        </w:tc>
      </w:tr>
      <w:tr w14:paraId="00CA7BF3">
        <w:tblPrEx>
          <w:tblCellMar>
            <w:top w:w="0" w:type="dxa"/>
            <w:left w:w="0" w:type="dxa"/>
            <w:bottom w:w="0" w:type="dxa"/>
            <w:right w:w="0" w:type="dxa"/>
          </w:tblCellMar>
        </w:tblPrEx>
        <w:trPr>
          <w:trHeight w:val="795" w:hRule="atLeast"/>
          <w:jc w:val="center"/>
        </w:trPr>
        <w:tc>
          <w:tcPr>
            <w:tcW w:w="400" w:type="dxa"/>
            <w:tcBorders>
              <w:top w:val="single" w:color="auto" w:sz="4" w:space="0"/>
              <w:left w:val="single" w:color="auto" w:sz="4" w:space="0"/>
              <w:bottom w:val="single" w:color="auto" w:sz="4" w:space="0"/>
              <w:right w:val="single" w:color="auto" w:sz="4" w:space="0"/>
            </w:tcBorders>
            <w:shd w:val="clear" w:color="auto" w:fill="auto"/>
            <w:tcMar>
              <w:top w:w="20" w:type="dxa"/>
              <w:left w:w="20" w:type="dxa"/>
              <w:right w:w="20" w:type="dxa"/>
            </w:tcMar>
            <w:vAlign w:val="center"/>
          </w:tcPr>
          <w:p w14:paraId="63AE2F2D">
            <w:pPr>
              <w:spacing w:line="440" w:lineRule="atLeast"/>
              <w:jc w:val="center"/>
              <w:textAlignment w:val="center"/>
              <w:rPr>
                <w:rFonts w:ascii="宋体" w:hAnsi="宋体" w:eastAsia="宋体" w:cs="宋体"/>
                <w:b/>
                <w:sz w:val="24"/>
              </w:rPr>
            </w:pPr>
            <w:r>
              <w:rPr>
                <w:rFonts w:hint="eastAsia" w:ascii="宋体" w:hAnsi="宋体" w:eastAsia="宋体" w:cs="宋体"/>
                <w:b/>
                <w:kern w:val="0"/>
                <w:sz w:val="24"/>
                <w:lang w:bidi="ar"/>
              </w:rPr>
              <w:t>序号</w:t>
            </w:r>
          </w:p>
        </w:tc>
        <w:tc>
          <w:tcPr>
            <w:tcW w:w="2320" w:type="dxa"/>
            <w:tcBorders>
              <w:top w:val="single" w:color="auto" w:sz="4" w:space="0"/>
              <w:left w:val="nil"/>
              <w:bottom w:val="single" w:color="auto" w:sz="4" w:space="0"/>
              <w:right w:val="single" w:color="auto" w:sz="4" w:space="0"/>
            </w:tcBorders>
            <w:shd w:val="clear" w:color="auto" w:fill="auto"/>
            <w:tcMar>
              <w:top w:w="20" w:type="dxa"/>
              <w:left w:w="20" w:type="dxa"/>
              <w:right w:w="20" w:type="dxa"/>
            </w:tcMar>
            <w:vAlign w:val="center"/>
          </w:tcPr>
          <w:p w14:paraId="6DDD000A">
            <w:pPr>
              <w:spacing w:line="440" w:lineRule="atLeast"/>
              <w:jc w:val="center"/>
              <w:textAlignment w:val="center"/>
              <w:rPr>
                <w:rFonts w:ascii="宋体" w:hAnsi="宋体" w:eastAsia="宋体" w:cs="宋体"/>
                <w:b/>
                <w:sz w:val="24"/>
              </w:rPr>
            </w:pPr>
            <w:r>
              <w:rPr>
                <w:rFonts w:hint="eastAsia" w:ascii="宋体" w:hAnsi="宋体" w:eastAsia="宋体" w:cs="宋体"/>
                <w:b/>
                <w:kern w:val="0"/>
                <w:sz w:val="24"/>
                <w:lang w:bidi="ar"/>
              </w:rPr>
              <w:t>项目名称</w:t>
            </w:r>
          </w:p>
        </w:tc>
        <w:tc>
          <w:tcPr>
            <w:tcW w:w="1360" w:type="dxa"/>
            <w:tcBorders>
              <w:top w:val="single" w:color="auto" w:sz="4" w:space="0"/>
              <w:left w:val="nil"/>
              <w:bottom w:val="single" w:color="auto" w:sz="4" w:space="0"/>
              <w:right w:val="single" w:color="auto" w:sz="4" w:space="0"/>
            </w:tcBorders>
            <w:shd w:val="clear" w:color="auto" w:fill="auto"/>
            <w:tcMar>
              <w:top w:w="20" w:type="dxa"/>
              <w:left w:w="20" w:type="dxa"/>
              <w:right w:w="20" w:type="dxa"/>
            </w:tcMar>
            <w:vAlign w:val="center"/>
          </w:tcPr>
          <w:p w14:paraId="53EADFA3">
            <w:pPr>
              <w:spacing w:line="440" w:lineRule="atLeast"/>
              <w:jc w:val="center"/>
              <w:textAlignment w:val="center"/>
              <w:rPr>
                <w:rFonts w:ascii="宋体" w:hAnsi="宋体" w:eastAsia="宋体" w:cs="宋体"/>
                <w:b/>
                <w:sz w:val="24"/>
              </w:rPr>
            </w:pPr>
            <w:r>
              <w:rPr>
                <w:rFonts w:hint="eastAsia" w:ascii="宋体" w:hAnsi="宋体" w:eastAsia="宋体" w:cs="宋体"/>
                <w:b/>
                <w:kern w:val="0"/>
                <w:sz w:val="24"/>
                <w:lang w:bidi="ar"/>
              </w:rPr>
              <w:t>其他共同审批部门</w:t>
            </w:r>
          </w:p>
        </w:tc>
        <w:tc>
          <w:tcPr>
            <w:tcW w:w="3640" w:type="dxa"/>
            <w:tcBorders>
              <w:top w:val="single" w:color="auto" w:sz="4" w:space="0"/>
              <w:left w:val="nil"/>
              <w:bottom w:val="single" w:color="auto" w:sz="4" w:space="0"/>
              <w:right w:val="single" w:color="auto" w:sz="4" w:space="0"/>
            </w:tcBorders>
            <w:shd w:val="clear" w:color="auto" w:fill="auto"/>
            <w:tcMar>
              <w:top w:w="20" w:type="dxa"/>
              <w:left w:w="20" w:type="dxa"/>
              <w:right w:w="20" w:type="dxa"/>
            </w:tcMar>
            <w:vAlign w:val="center"/>
          </w:tcPr>
          <w:p w14:paraId="79D8EC4A">
            <w:pPr>
              <w:spacing w:line="440" w:lineRule="atLeast"/>
              <w:jc w:val="center"/>
              <w:textAlignment w:val="center"/>
              <w:rPr>
                <w:rFonts w:ascii="宋体" w:hAnsi="宋体" w:eastAsia="宋体" w:cs="宋体"/>
                <w:b/>
                <w:sz w:val="24"/>
              </w:rPr>
            </w:pPr>
            <w:r>
              <w:rPr>
                <w:rFonts w:hint="eastAsia" w:ascii="宋体" w:hAnsi="宋体" w:eastAsia="宋体" w:cs="宋体"/>
                <w:b/>
                <w:kern w:val="0"/>
                <w:sz w:val="24"/>
                <w:lang w:bidi="ar"/>
              </w:rPr>
              <w:t>设定依据</w:t>
            </w:r>
          </w:p>
        </w:tc>
        <w:tc>
          <w:tcPr>
            <w:tcW w:w="780" w:type="dxa"/>
            <w:tcBorders>
              <w:top w:val="single" w:color="auto" w:sz="4" w:space="0"/>
              <w:left w:val="nil"/>
              <w:bottom w:val="single" w:color="auto" w:sz="4" w:space="0"/>
              <w:right w:val="single" w:color="auto" w:sz="4" w:space="0"/>
            </w:tcBorders>
            <w:shd w:val="clear" w:color="auto" w:fill="auto"/>
            <w:tcMar>
              <w:top w:w="20" w:type="dxa"/>
              <w:left w:w="20" w:type="dxa"/>
              <w:right w:w="20" w:type="dxa"/>
            </w:tcMar>
            <w:vAlign w:val="center"/>
          </w:tcPr>
          <w:p w14:paraId="3E4E8352">
            <w:pPr>
              <w:spacing w:line="440" w:lineRule="atLeast"/>
              <w:jc w:val="center"/>
              <w:textAlignment w:val="center"/>
              <w:rPr>
                <w:rFonts w:ascii="宋体" w:hAnsi="宋体" w:eastAsia="宋体" w:cs="宋体"/>
                <w:b/>
                <w:sz w:val="24"/>
              </w:rPr>
            </w:pPr>
            <w:r>
              <w:rPr>
                <w:rFonts w:hint="eastAsia" w:ascii="宋体" w:hAnsi="宋体" w:eastAsia="宋体" w:cs="宋体"/>
                <w:b/>
                <w:kern w:val="0"/>
                <w:sz w:val="24"/>
                <w:lang w:bidi="ar"/>
              </w:rPr>
              <w:t>处理决定</w:t>
            </w:r>
          </w:p>
        </w:tc>
        <w:tc>
          <w:tcPr>
            <w:tcW w:w="1240" w:type="dxa"/>
            <w:tcBorders>
              <w:top w:val="single" w:color="auto" w:sz="4" w:space="0"/>
              <w:left w:val="nil"/>
              <w:bottom w:val="single" w:color="auto" w:sz="4" w:space="0"/>
              <w:right w:val="single" w:color="auto" w:sz="4" w:space="0"/>
            </w:tcBorders>
            <w:shd w:val="clear" w:color="auto" w:fill="auto"/>
            <w:tcMar>
              <w:top w:w="20" w:type="dxa"/>
              <w:left w:w="20" w:type="dxa"/>
              <w:right w:w="20" w:type="dxa"/>
            </w:tcMar>
            <w:vAlign w:val="center"/>
          </w:tcPr>
          <w:p w14:paraId="2AC713D9">
            <w:pPr>
              <w:spacing w:line="440" w:lineRule="atLeast"/>
              <w:jc w:val="center"/>
              <w:textAlignment w:val="center"/>
              <w:rPr>
                <w:rFonts w:ascii="宋体" w:hAnsi="宋体" w:eastAsia="宋体" w:cs="宋体"/>
                <w:b/>
                <w:sz w:val="24"/>
              </w:rPr>
            </w:pPr>
            <w:r>
              <w:rPr>
                <w:rFonts w:hint="eastAsia" w:ascii="宋体" w:hAnsi="宋体" w:eastAsia="宋体" w:cs="宋体"/>
                <w:b/>
                <w:kern w:val="0"/>
                <w:sz w:val="24"/>
                <w:lang w:bidi="ar"/>
              </w:rPr>
              <w:t>备注</w:t>
            </w:r>
          </w:p>
        </w:tc>
      </w:tr>
      <w:tr w14:paraId="4AF73C08">
        <w:tblPrEx>
          <w:tblCellMar>
            <w:top w:w="0" w:type="dxa"/>
            <w:left w:w="0" w:type="dxa"/>
            <w:bottom w:w="0" w:type="dxa"/>
            <w:right w:w="0" w:type="dxa"/>
          </w:tblCellMar>
        </w:tblPrEx>
        <w:trPr>
          <w:trHeight w:val="2205" w:hRule="atLeast"/>
          <w:jc w:val="center"/>
        </w:trPr>
        <w:tc>
          <w:tcPr>
            <w:tcW w:w="0" w:type="auto"/>
            <w:tcBorders>
              <w:top w:val="nil"/>
              <w:left w:val="single" w:color="auto" w:sz="4" w:space="0"/>
              <w:bottom w:val="single" w:color="auto" w:sz="4" w:space="0"/>
              <w:right w:val="single" w:color="auto" w:sz="4" w:space="0"/>
            </w:tcBorders>
            <w:shd w:val="clear" w:color="auto" w:fill="auto"/>
            <w:noWrap/>
            <w:tcMar>
              <w:top w:w="20" w:type="dxa"/>
              <w:left w:w="20" w:type="dxa"/>
              <w:right w:w="20" w:type="dxa"/>
            </w:tcMar>
            <w:vAlign w:val="center"/>
          </w:tcPr>
          <w:p w14:paraId="0CEF1DB8">
            <w:pPr>
              <w:spacing w:line="440" w:lineRule="atLeas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1</w:t>
            </w:r>
          </w:p>
        </w:tc>
        <w:tc>
          <w:tcPr>
            <w:tcW w:w="2320" w:type="dxa"/>
            <w:tcBorders>
              <w:top w:val="nil"/>
              <w:left w:val="nil"/>
              <w:bottom w:val="single" w:color="auto" w:sz="4" w:space="0"/>
              <w:right w:val="single" w:color="auto" w:sz="4" w:space="0"/>
            </w:tcBorders>
            <w:shd w:val="clear" w:color="auto" w:fill="auto"/>
            <w:tcMar>
              <w:top w:w="20" w:type="dxa"/>
              <w:left w:w="20" w:type="dxa"/>
              <w:right w:w="20" w:type="dxa"/>
            </w:tcMar>
            <w:vAlign w:val="center"/>
          </w:tcPr>
          <w:p w14:paraId="0A94DDE2">
            <w:pPr>
              <w:spacing w:line="440" w:lineRule="atLeast"/>
              <w:jc w:val="left"/>
              <w:textAlignment w:val="center"/>
              <w:rPr>
                <w:rFonts w:ascii="宋体" w:hAnsi="宋体" w:eastAsia="宋体" w:cs="宋体"/>
                <w:sz w:val="24"/>
              </w:rPr>
            </w:pPr>
            <w:r>
              <w:rPr>
                <w:rFonts w:hint="eastAsia" w:ascii="宋体" w:hAnsi="宋体" w:eastAsia="宋体" w:cs="宋体"/>
                <w:kern w:val="0"/>
                <w:sz w:val="24"/>
                <w:lang w:bidi="ar"/>
              </w:rPr>
              <w:t>以折股方式缴纳探矿权采矿权价款审批</w:t>
            </w:r>
          </w:p>
        </w:tc>
        <w:tc>
          <w:tcPr>
            <w:tcW w:w="1360" w:type="dxa"/>
            <w:tcBorders>
              <w:top w:val="nil"/>
              <w:left w:val="nil"/>
              <w:bottom w:val="single" w:color="auto" w:sz="4" w:space="0"/>
              <w:right w:val="single" w:color="auto" w:sz="4" w:space="0"/>
            </w:tcBorders>
            <w:shd w:val="clear" w:color="auto" w:fill="auto"/>
            <w:tcMar>
              <w:top w:w="20" w:type="dxa"/>
              <w:left w:w="20" w:type="dxa"/>
              <w:right w:w="20" w:type="dxa"/>
            </w:tcMar>
            <w:vAlign w:val="center"/>
          </w:tcPr>
          <w:p w14:paraId="3C73C96D">
            <w:pPr>
              <w:spacing w:line="440" w:lineRule="atLeast"/>
              <w:jc w:val="left"/>
              <w:textAlignment w:val="center"/>
              <w:rPr>
                <w:rFonts w:ascii="宋体" w:hAnsi="宋体" w:eastAsia="宋体" w:cs="宋体"/>
                <w:sz w:val="24"/>
              </w:rPr>
            </w:pPr>
            <w:r>
              <w:rPr>
                <w:rFonts w:hint="eastAsia" w:ascii="宋体" w:hAnsi="宋体" w:eastAsia="宋体" w:cs="宋体"/>
                <w:kern w:val="0"/>
                <w:sz w:val="24"/>
                <w:lang w:bidi="ar"/>
              </w:rPr>
              <w:t>国土资源部</w:t>
            </w:r>
          </w:p>
        </w:tc>
        <w:tc>
          <w:tcPr>
            <w:tcW w:w="3640" w:type="dxa"/>
            <w:tcBorders>
              <w:top w:val="nil"/>
              <w:left w:val="nil"/>
              <w:bottom w:val="single" w:color="auto" w:sz="4" w:space="0"/>
              <w:right w:val="single" w:color="auto" w:sz="4" w:space="0"/>
            </w:tcBorders>
            <w:shd w:val="clear" w:color="auto" w:fill="auto"/>
            <w:tcMar>
              <w:top w:w="20" w:type="dxa"/>
              <w:left w:w="20" w:type="dxa"/>
              <w:right w:w="20" w:type="dxa"/>
            </w:tcMar>
            <w:vAlign w:val="center"/>
          </w:tcPr>
          <w:p w14:paraId="12C3B518">
            <w:pPr>
              <w:spacing w:line="440" w:lineRule="atLeast"/>
              <w:jc w:val="left"/>
              <w:textAlignment w:val="center"/>
              <w:rPr>
                <w:rFonts w:ascii="宋体" w:hAnsi="宋体" w:eastAsia="宋体" w:cs="宋体"/>
                <w:color w:val="000000"/>
                <w:kern w:val="0"/>
                <w:sz w:val="24"/>
                <w:lang w:bidi="ar"/>
              </w:rPr>
            </w:pPr>
            <w:r>
              <w:rPr>
                <w:rFonts w:hint="eastAsia" w:ascii="宋体" w:hAnsi="宋体" w:eastAsia="宋体" w:cs="宋体"/>
                <w:color w:val="000000"/>
                <w:kern w:val="0"/>
                <w:sz w:val="24"/>
                <w:lang w:bidi="ar"/>
              </w:rPr>
              <w:t>《以折股方式缴纳探矿权采矿权价款管理办法（试行）》（财建〔2006〕695号）</w:t>
            </w:r>
          </w:p>
          <w:p w14:paraId="32E05FCD">
            <w:pPr>
              <w:spacing w:line="440" w:lineRule="atLeast"/>
              <w:jc w:val="left"/>
              <w:textAlignment w:val="center"/>
              <w:rPr>
                <w:rFonts w:ascii="宋体" w:hAnsi="宋体" w:eastAsia="宋体" w:cs="宋体"/>
                <w:color w:val="000000"/>
                <w:sz w:val="24"/>
              </w:rPr>
            </w:pPr>
            <w:r>
              <w:rPr>
                <w:rFonts w:hint="eastAsia" w:ascii="宋体" w:hAnsi="宋体" w:eastAsia="宋体" w:cs="宋体"/>
                <w:color w:val="000000"/>
                <w:kern w:val="0"/>
                <w:sz w:val="24"/>
                <w:lang w:bidi="ar"/>
              </w:rPr>
              <w:t>《财政部、国土资源部关于探矿权采矿权有偿取得制度改革有关问题的补充通知》（财建〔2008〕22号）</w:t>
            </w:r>
          </w:p>
        </w:tc>
        <w:tc>
          <w:tcPr>
            <w:tcW w:w="780" w:type="dxa"/>
            <w:tcBorders>
              <w:top w:val="nil"/>
              <w:left w:val="nil"/>
              <w:bottom w:val="single" w:color="auto" w:sz="4" w:space="0"/>
              <w:right w:val="single" w:color="auto" w:sz="4" w:space="0"/>
            </w:tcBorders>
            <w:shd w:val="clear" w:color="auto" w:fill="auto"/>
            <w:tcMar>
              <w:top w:w="20" w:type="dxa"/>
              <w:left w:w="20" w:type="dxa"/>
              <w:right w:w="20" w:type="dxa"/>
            </w:tcMar>
            <w:vAlign w:val="center"/>
          </w:tcPr>
          <w:p w14:paraId="5543C470">
            <w:pPr>
              <w:spacing w:line="440" w:lineRule="atLeast"/>
              <w:jc w:val="left"/>
              <w:textAlignment w:val="center"/>
              <w:rPr>
                <w:rFonts w:ascii="宋体" w:hAnsi="宋体" w:eastAsia="宋体" w:cs="宋体"/>
                <w:sz w:val="24"/>
              </w:rPr>
            </w:pPr>
            <w:r>
              <w:rPr>
                <w:rFonts w:hint="eastAsia" w:ascii="宋体" w:hAnsi="宋体" w:eastAsia="宋体" w:cs="宋体"/>
                <w:kern w:val="0"/>
                <w:sz w:val="24"/>
                <w:lang w:bidi="ar"/>
              </w:rPr>
              <w:t>取消</w:t>
            </w:r>
          </w:p>
        </w:tc>
        <w:tc>
          <w:tcPr>
            <w:tcW w:w="1240" w:type="dxa"/>
            <w:tcBorders>
              <w:top w:val="nil"/>
              <w:left w:val="nil"/>
              <w:bottom w:val="single" w:color="auto" w:sz="4" w:space="0"/>
              <w:right w:val="single" w:color="auto" w:sz="4" w:space="0"/>
            </w:tcBorders>
            <w:shd w:val="clear" w:color="auto" w:fill="auto"/>
            <w:tcMar>
              <w:top w:w="20" w:type="dxa"/>
              <w:left w:w="20" w:type="dxa"/>
              <w:right w:w="20" w:type="dxa"/>
            </w:tcMar>
            <w:vAlign w:val="center"/>
          </w:tcPr>
          <w:p w14:paraId="7E9335B6">
            <w:pPr>
              <w:spacing w:line="440" w:lineRule="atLeast"/>
              <w:jc w:val="left"/>
              <w:textAlignment w:val="center"/>
              <w:rPr>
                <w:rFonts w:ascii="宋体" w:hAnsi="宋体" w:eastAsia="宋体" w:cs="宋体"/>
                <w:sz w:val="24"/>
              </w:rPr>
            </w:pPr>
            <w:r>
              <w:rPr>
                <w:rFonts w:hint="eastAsia" w:ascii="宋体" w:hAnsi="宋体" w:eastAsia="宋体" w:cs="宋体"/>
                <w:kern w:val="0"/>
                <w:sz w:val="24"/>
                <w:lang w:bidi="ar"/>
              </w:rPr>
              <w:t>今后不得以折股方式缴纳探矿权采矿权价款</w:t>
            </w:r>
          </w:p>
        </w:tc>
      </w:tr>
      <w:tr w14:paraId="47F068AA">
        <w:tblPrEx>
          <w:tblCellMar>
            <w:top w:w="0" w:type="dxa"/>
            <w:left w:w="0" w:type="dxa"/>
            <w:bottom w:w="0" w:type="dxa"/>
            <w:right w:w="0" w:type="dxa"/>
          </w:tblCellMar>
        </w:tblPrEx>
        <w:trPr>
          <w:trHeight w:val="540" w:hRule="atLeast"/>
          <w:jc w:val="center"/>
        </w:trPr>
        <w:tc>
          <w:tcPr>
            <w:tcW w:w="0" w:type="auto"/>
            <w:tcBorders>
              <w:top w:val="nil"/>
              <w:left w:val="nil"/>
              <w:bottom w:val="nil"/>
              <w:right w:val="nil"/>
            </w:tcBorders>
            <w:shd w:val="clear" w:color="auto" w:fill="auto"/>
            <w:noWrap/>
            <w:tcMar>
              <w:top w:w="20" w:type="dxa"/>
              <w:left w:w="20" w:type="dxa"/>
              <w:right w:w="20" w:type="dxa"/>
            </w:tcMar>
            <w:vAlign w:val="center"/>
          </w:tcPr>
          <w:p w14:paraId="3F251B61">
            <w:pPr>
              <w:spacing w:line="440" w:lineRule="atLeas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 </w:t>
            </w:r>
          </w:p>
        </w:tc>
        <w:tc>
          <w:tcPr>
            <w:tcW w:w="0" w:type="auto"/>
            <w:tcBorders>
              <w:top w:val="nil"/>
              <w:left w:val="nil"/>
              <w:bottom w:val="nil"/>
              <w:right w:val="nil"/>
            </w:tcBorders>
            <w:shd w:val="clear" w:color="auto" w:fill="auto"/>
            <w:noWrap/>
            <w:tcMar>
              <w:top w:w="20" w:type="dxa"/>
              <w:left w:w="20" w:type="dxa"/>
              <w:right w:w="20" w:type="dxa"/>
            </w:tcMar>
            <w:vAlign w:val="center"/>
          </w:tcPr>
          <w:p w14:paraId="4F044DDB">
            <w:pPr>
              <w:spacing w:line="440" w:lineRule="atLeast"/>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 </w:t>
            </w:r>
          </w:p>
        </w:tc>
        <w:tc>
          <w:tcPr>
            <w:tcW w:w="0" w:type="auto"/>
            <w:tcBorders>
              <w:top w:val="nil"/>
              <w:left w:val="nil"/>
              <w:bottom w:val="nil"/>
              <w:right w:val="nil"/>
            </w:tcBorders>
            <w:shd w:val="clear" w:color="auto" w:fill="auto"/>
            <w:noWrap/>
            <w:tcMar>
              <w:top w:w="20" w:type="dxa"/>
              <w:left w:w="20" w:type="dxa"/>
              <w:right w:w="20" w:type="dxa"/>
            </w:tcMar>
            <w:vAlign w:val="center"/>
          </w:tcPr>
          <w:p w14:paraId="3F0397F2">
            <w:pPr>
              <w:spacing w:line="440" w:lineRule="atLeast"/>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 </w:t>
            </w:r>
          </w:p>
        </w:tc>
        <w:tc>
          <w:tcPr>
            <w:tcW w:w="0" w:type="auto"/>
            <w:tcBorders>
              <w:top w:val="nil"/>
              <w:left w:val="nil"/>
              <w:bottom w:val="nil"/>
              <w:right w:val="nil"/>
            </w:tcBorders>
            <w:shd w:val="clear" w:color="auto" w:fill="auto"/>
            <w:noWrap/>
            <w:tcMar>
              <w:top w:w="20" w:type="dxa"/>
              <w:left w:w="20" w:type="dxa"/>
              <w:right w:w="20" w:type="dxa"/>
            </w:tcMar>
            <w:vAlign w:val="center"/>
          </w:tcPr>
          <w:p w14:paraId="3A3548EE">
            <w:pPr>
              <w:spacing w:line="440" w:lineRule="atLeast"/>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 </w:t>
            </w:r>
          </w:p>
        </w:tc>
        <w:tc>
          <w:tcPr>
            <w:tcW w:w="0" w:type="auto"/>
            <w:tcBorders>
              <w:top w:val="nil"/>
              <w:left w:val="nil"/>
              <w:bottom w:val="nil"/>
              <w:right w:val="nil"/>
            </w:tcBorders>
            <w:shd w:val="clear" w:color="auto" w:fill="auto"/>
            <w:noWrap/>
            <w:tcMar>
              <w:top w:w="20" w:type="dxa"/>
              <w:left w:w="20" w:type="dxa"/>
              <w:right w:w="20" w:type="dxa"/>
            </w:tcMar>
            <w:vAlign w:val="center"/>
          </w:tcPr>
          <w:p w14:paraId="3E2807BA">
            <w:pPr>
              <w:spacing w:line="440" w:lineRule="atLeast"/>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 </w:t>
            </w:r>
          </w:p>
        </w:tc>
        <w:tc>
          <w:tcPr>
            <w:tcW w:w="0" w:type="auto"/>
            <w:tcBorders>
              <w:top w:val="nil"/>
              <w:left w:val="nil"/>
              <w:bottom w:val="nil"/>
              <w:right w:val="nil"/>
            </w:tcBorders>
            <w:shd w:val="clear" w:color="auto" w:fill="auto"/>
            <w:noWrap/>
            <w:tcMar>
              <w:top w:w="20" w:type="dxa"/>
              <w:left w:w="20" w:type="dxa"/>
              <w:right w:w="20" w:type="dxa"/>
            </w:tcMar>
            <w:vAlign w:val="center"/>
          </w:tcPr>
          <w:p w14:paraId="06A8F848">
            <w:pPr>
              <w:spacing w:line="440" w:lineRule="atLeast"/>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 </w:t>
            </w:r>
          </w:p>
        </w:tc>
      </w:tr>
      <w:tr w14:paraId="01A2B3B0">
        <w:tblPrEx>
          <w:tblCellMar>
            <w:top w:w="0" w:type="dxa"/>
            <w:left w:w="0" w:type="dxa"/>
            <w:bottom w:w="0" w:type="dxa"/>
            <w:right w:w="0" w:type="dxa"/>
          </w:tblCellMar>
        </w:tblPrEx>
        <w:trPr>
          <w:trHeight w:val="285" w:hRule="atLeast"/>
          <w:jc w:val="center"/>
        </w:trPr>
        <w:tc>
          <w:tcPr>
            <w:tcW w:w="2720" w:type="dxa"/>
            <w:gridSpan w:val="2"/>
            <w:tcBorders>
              <w:top w:val="nil"/>
              <w:left w:val="nil"/>
              <w:bottom w:val="nil"/>
              <w:right w:val="nil"/>
            </w:tcBorders>
            <w:shd w:val="clear" w:color="auto" w:fill="auto"/>
            <w:tcMar>
              <w:top w:w="20" w:type="dxa"/>
              <w:left w:w="20" w:type="dxa"/>
              <w:right w:w="20" w:type="dxa"/>
            </w:tcMar>
            <w:vAlign w:val="center"/>
          </w:tcPr>
          <w:p w14:paraId="30F4BD31">
            <w:pPr>
              <w:pStyle w:val="21"/>
              <w:spacing w:beforeAutospacing="0" w:after="200" w:afterAutospacing="0" w:line="440" w:lineRule="atLeast"/>
              <w:rPr>
                <w:color w:val="000000"/>
              </w:rPr>
            </w:pPr>
            <w:r>
              <w:rPr>
                <w:rFonts w:hint="eastAsia"/>
                <w:color w:val="000000"/>
              </w:rPr>
              <w:t> </w:t>
            </w:r>
          </w:p>
          <w:p w14:paraId="35B062A8">
            <w:pPr>
              <w:pStyle w:val="21"/>
              <w:spacing w:beforeAutospacing="0" w:after="200" w:afterAutospacing="0" w:line="440" w:lineRule="atLeast"/>
              <w:rPr>
                <w:color w:val="000000"/>
              </w:rPr>
            </w:pPr>
          </w:p>
          <w:p w14:paraId="15B34DDC">
            <w:pPr>
              <w:pStyle w:val="21"/>
              <w:spacing w:beforeAutospacing="0" w:after="200" w:afterAutospacing="0" w:line="440" w:lineRule="atLeast"/>
              <w:rPr>
                <w:color w:val="000000"/>
              </w:rPr>
            </w:pPr>
          </w:p>
          <w:p w14:paraId="36925387">
            <w:pPr>
              <w:pStyle w:val="21"/>
              <w:spacing w:beforeAutospacing="0" w:after="200" w:afterAutospacing="0" w:line="440" w:lineRule="atLeast"/>
            </w:pPr>
            <w:r>
              <w:rPr>
                <w:rFonts w:hint="eastAsia"/>
                <w:color w:val="000000"/>
              </w:rPr>
              <w:t>附件2：</w:t>
            </w:r>
          </w:p>
        </w:tc>
        <w:tc>
          <w:tcPr>
            <w:tcW w:w="0" w:type="auto"/>
            <w:tcBorders>
              <w:top w:val="nil"/>
              <w:left w:val="nil"/>
              <w:bottom w:val="nil"/>
              <w:right w:val="nil"/>
            </w:tcBorders>
            <w:shd w:val="clear" w:color="auto" w:fill="auto"/>
            <w:noWrap/>
            <w:tcMar>
              <w:top w:w="20" w:type="dxa"/>
              <w:left w:w="20" w:type="dxa"/>
              <w:right w:w="20" w:type="dxa"/>
            </w:tcMar>
            <w:vAlign w:val="center"/>
          </w:tcPr>
          <w:p w14:paraId="4A0AF831">
            <w:pPr>
              <w:spacing w:line="440" w:lineRule="atLeast"/>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 </w:t>
            </w:r>
          </w:p>
        </w:tc>
        <w:tc>
          <w:tcPr>
            <w:tcW w:w="0" w:type="auto"/>
            <w:tcBorders>
              <w:top w:val="nil"/>
              <w:left w:val="nil"/>
              <w:bottom w:val="nil"/>
              <w:right w:val="nil"/>
            </w:tcBorders>
            <w:shd w:val="clear" w:color="auto" w:fill="auto"/>
            <w:noWrap/>
            <w:tcMar>
              <w:top w:w="20" w:type="dxa"/>
              <w:left w:w="20" w:type="dxa"/>
              <w:right w:w="20" w:type="dxa"/>
            </w:tcMar>
            <w:vAlign w:val="center"/>
          </w:tcPr>
          <w:p w14:paraId="316ABAD7">
            <w:pPr>
              <w:spacing w:line="440" w:lineRule="atLeast"/>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 </w:t>
            </w:r>
          </w:p>
        </w:tc>
        <w:tc>
          <w:tcPr>
            <w:tcW w:w="0" w:type="auto"/>
            <w:tcBorders>
              <w:top w:val="nil"/>
              <w:left w:val="nil"/>
              <w:bottom w:val="nil"/>
              <w:right w:val="nil"/>
            </w:tcBorders>
            <w:shd w:val="clear" w:color="auto" w:fill="auto"/>
            <w:noWrap/>
            <w:tcMar>
              <w:top w:w="20" w:type="dxa"/>
              <w:left w:w="20" w:type="dxa"/>
              <w:right w:w="20" w:type="dxa"/>
            </w:tcMar>
            <w:vAlign w:val="center"/>
          </w:tcPr>
          <w:p w14:paraId="632C980E">
            <w:pPr>
              <w:spacing w:line="440" w:lineRule="atLeast"/>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 </w:t>
            </w:r>
          </w:p>
        </w:tc>
        <w:tc>
          <w:tcPr>
            <w:tcW w:w="0" w:type="auto"/>
            <w:tcBorders>
              <w:top w:val="nil"/>
              <w:left w:val="nil"/>
              <w:bottom w:val="nil"/>
              <w:right w:val="nil"/>
            </w:tcBorders>
            <w:shd w:val="clear" w:color="auto" w:fill="auto"/>
            <w:noWrap/>
            <w:tcMar>
              <w:top w:w="20" w:type="dxa"/>
              <w:left w:w="20" w:type="dxa"/>
              <w:right w:w="20" w:type="dxa"/>
            </w:tcMar>
            <w:vAlign w:val="center"/>
          </w:tcPr>
          <w:p w14:paraId="30DAC17C">
            <w:pPr>
              <w:spacing w:line="440" w:lineRule="atLeast"/>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 </w:t>
            </w:r>
          </w:p>
        </w:tc>
      </w:tr>
      <w:tr w14:paraId="0C8FFF7B">
        <w:tblPrEx>
          <w:tblCellMar>
            <w:top w:w="0" w:type="dxa"/>
            <w:left w:w="0" w:type="dxa"/>
            <w:bottom w:w="0" w:type="dxa"/>
            <w:right w:w="0" w:type="dxa"/>
          </w:tblCellMar>
        </w:tblPrEx>
        <w:trPr>
          <w:trHeight w:val="405" w:hRule="atLeast"/>
          <w:jc w:val="center"/>
        </w:trPr>
        <w:tc>
          <w:tcPr>
            <w:tcW w:w="7720" w:type="dxa"/>
            <w:gridSpan w:val="6"/>
            <w:tcBorders>
              <w:top w:val="nil"/>
              <w:left w:val="nil"/>
              <w:bottom w:val="nil"/>
              <w:right w:val="nil"/>
            </w:tcBorders>
            <w:shd w:val="clear" w:color="auto" w:fill="auto"/>
            <w:tcMar>
              <w:top w:w="20" w:type="dxa"/>
              <w:left w:w="20" w:type="dxa"/>
              <w:right w:w="20" w:type="dxa"/>
            </w:tcMar>
            <w:vAlign w:val="center"/>
          </w:tcPr>
          <w:p w14:paraId="78D5AD79">
            <w:pPr>
              <w:pStyle w:val="21"/>
              <w:spacing w:beforeAutospacing="0" w:after="200" w:afterAutospacing="0" w:line="440" w:lineRule="atLeast"/>
              <w:jc w:val="center"/>
            </w:pPr>
            <w:r>
              <w:rPr>
                <w:rFonts w:hint="eastAsia"/>
                <w:b/>
                <w:sz w:val="32"/>
                <w:szCs w:val="32"/>
              </w:rPr>
              <w:t>财政部取消的职业资格许可和认定事项</w:t>
            </w:r>
          </w:p>
        </w:tc>
      </w:tr>
      <w:tr w14:paraId="7ED780BA">
        <w:tblPrEx>
          <w:tblCellMar>
            <w:top w:w="0" w:type="dxa"/>
            <w:left w:w="0" w:type="dxa"/>
            <w:bottom w:w="0" w:type="dxa"/>
            <w:right w:w="0" w:type="dxa"/>
          </w:tblCellMar>
        </w:tblPrEx>
        <w:trPr>
          <w:trHeight w:val="240" w:hRule="atLeast"/>
          <w:jc w:val="center"/>
        </w:trPr>
        <w:tc>
          <w:tcPr>
            <w:tcW w:w="0" w:type="auto"/>
            <w:tcBorders>
              <w:top w:val="nil"/>
              <w:left w:val="nil"/>
              <w:bottom w:val="nil"/>
              <w:right w:val="nil"/>
            </w:tcBorders>
            <w:shd w:val="clear" w:color="auto" w:fill="auto"/>
            <w:noWrap/>
            <w:tcMar>
              <w:top w:w="20" w:type="dxa"/>
              <w:left w:w="20" w:type="dxa"/>
              <w:right w:w="20" w:type="dxa"/>
            </w:tcMar>
            <w:vAlign w:val="center"/>
          </w:tcPr>
          <w:p w14:paraId="5459E917">
            <w:pPr>
              <w:spacing w:line="440" w:lineRule="atLeast"/>
              <w:jc w:val="center"/>
              <w:textAlignment w:val="center"/>
              <w:rPr>
                <w:rFonts w:ascii="宋体" w:hAnsi="宋体" w:eastAsia="宋体" w:cs="宋体"/>
                <w:b/>
                <w:sz w:val="28"/>
                <w:szCs w:val="28"/>
              </w:rPr>
            </w:pPr>
            <w:r>
              <w:rPr>
                <w:rFonts w:hint="eastAsia" w:ascii="宋体" w:hAnsi="宋体" w:eastAsia="宋体" w:cs="宋体"/>
                <w:b/>
                <w:kern w:val="0"/>
                <w:sz w:val="28"/>
                <w:szCs w:val="28"/>
                <w:lang w:bidi="ar"/>
              </w:rPr>
              <w:t> </w:t>
            </w:r>
          </w:p>
        </w:tc>
        <w:tc>
          <w:tcPr>
            <w:tcW w:w="0" w:type="auto"/>
            <w:tcBorders>
              <w:top w:val="nil"/>
              <w:left w:val="nil"/>
              <w:bottom w:val="nil"/>
              <w:right w:val="nil"/>
            </w:tcBorders>
            <w:shd w:val="clear" w:color="auto" w:fill="auto"/>
            <w:noWrap/>
            <w:tcMar>
              <w:top w:w="20" w:type="dxa"/>
              <w:left w:w="20" w:type="dxa"/>
              <w:right w:w="20" w:type="dxa"/>
            </w:tcMar>
            <w:vAlign w:val="center"/>
          </w:tcPr>
          <w:p w14:paraId="5CFD1C39">
            <w:pPr>
              <w:spacing w:line="440" w:lineRule="atLeast"/>
              <w:jc w:val="center"/>
              <w:textAlignment w:val="center"/>
              <w:rPr>
                <w:rFonts w:ascii="宋体" w:hAnsi="宋体" w:eastAsia="宋体" w:cs="宋体"/>
                <w:b/>
                <w:sz w:val="28"/>
                <w:szCs w:val="28"/>
              </w:rPr>
            </w:pPr>
            <w:r>
              <w:rPr>
                <w:rFonts w:hint="eastAsia" w:ascii="宋体" w:hAnsi="宋体" w:eastAsia="宋体" w:cs="宋体"/>
                <w:b/>
                <w:kern w:val="0"/>
                <w:sz w:val="28"/>
                <w:szCs w:val="28"/>
                <w:lang w:bidi="ar"/>
              </w:rPr>
              <w:t> </w:t>
            </w:r>
          </w:p>
        </w:tc>
        <w:tc>
          <w:tcPr>
            <w:tcW w:w="0" w:type="auto"/>
            <w:tcBorders>
              <w:top w:val="nil"/>
              <w:left w:val="nil"/>
              <w:bottom w:val="nil"/>
              <w:right w:val="nil"/>
            </w:tcBorders>
            <w:shd w:val="clear" w:color="auto" w:fill="auto"/>
            <w:noWrap/>
            <w:tcMar>
              <w:top w:w="20" w:type="dxa"/>
              <w:left w:w="20" w:type="dxa"/>
              <w:right w:w="20" w:type="dxa"/>
            </w:tcMar>
            <w:vAlign w:val="center"/>
          </w:tcPr>
          <w:p w14:paraId="1DA6E9D5">
            <w:pPr>
              <w:spacing w:line="440" w:lineRule="atLeast"/>
              <w:jc w:val="center"/>
              <w:textAlignment w:val="center"/>
              <w:rPr>
                <w:rFonts w:ascii="宋体" w:hAnsi="宋体" w:eastAsia="宋体" w:cs="宋体"/>
                <w:b/>
                <w:sz w:val="28"/>
                <w:szCs w:val="28"/>
              </w:rPr>
            </w:pPr>
            <w:r>
              <w:rPr>
                <w:rFonts w:hint="eastAsia" w:ascii="宋体" w:hAnsi="宋体" w:eastAsia="宋体" w:cs="宋体"/>
                <w:b/>
                <w:kern w:val="0"/>
                <w:sz w:val="28"/>
                <w:szCs w:val="28"/>
                <w:lang w:bidi="ar"/>
              </w:rPr>
              <w:t> </w:t>
            </w:r>
          </w:p>
        </w:tc>
        <w:tc>
          <w:tcPr>
            <w:tcW w:w="0" w:type="auto"/>
            <w:tcBorders>
              <w:top w:val="nil"/>
              <w:left w:val="nil"/>
              <w:bottom w:val="nil"/>
              <w:right w:val="nil"/>
            </w:tcBorders>
            <w:shd w:val="clear" w:color="auto" w:fill="auto"/>
            <w:noWrap/>
            <w:tcMar>
              <w:top w:w="20" w:type="dxa"/>
              <w:left w:w="20" w:type="dxa"/>
              <w:right w:w="20" w:type="dxa"/>
            </w:tcMar>
            <w:vAlign w:val="center"/>
          </w:tcPr>
          <w:p w14:paraId="7BE52481">
            <w:pPr>
              <w:spacing w:line="440" w:lineRule="atLeast"/>
              <w:jc w:val="center"/>
              <w:textAlignment w:val="center"/>
              <w:rPr>
                <w:rFonts w:ascii="宋体" w:hAnsi="宋体" w:eastAsia="宋体" w:cs="宋体"/>
                <w:b/>
                <w:sz w:val="28"/>
                <w:szCs w:val="28"/>
              </w:rPr>
            </w:pPr>
            <w:r>
              <w:rPr>
                <w:rFonts w:hint="eastAsia" w:ascii="宋体" w:hAnsi="宋体" w:eastAsia="宋体" w:cs="宋体"/>
                <w:b/>
                <w:kern w:val="0"/>
                <w:sz w:val="28"/>
                <w:szCs w:val="28"/>
                <w:lang w:bidi="ar"/>
              </w:rPr>
              <w:t> </w:t>
            </w:r>
          </w:p>
        </w:tc>
        <w:tc>
          <w:tcPr>
            <w:tcW w:w="0" w:type="auto"/>
            <w:tcBorders>
              <w:top w:val="nil"/>
              <w:left w:val="nil"/>
              <w:bottom w:val="nil"/>
              <w:right w:val="nil"/>
            </w:tcBorders>
            <w:shd w:val="clear" w:color="auto" w:fill="auto"/>
            <w:noWrap/>
            <w:tcMar>
              <w:top w:w="20" w:type="dxa"/>
              <w:left w:w="20" w:type="dxa"/>
              <w:right w:w="20" w:type="dxa"/>
            </w:tcMar>
            <w:vAlign w:val="center"/>
          </w:tcPr>
          <w:p w14:paraId="7A7322F5">
            <w:pPr>
              <w:spacing w:line="440" w:lineRule="atLeast"/>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 </w:t>
            </w:r>
          </w:p>
        </w:tc>
        <w:tc>
          <w:tcPr>
            <w:tcW w:w="0" w:type="auto"/>
            <w:tcBorders>
              <w:top w:val="nil"/>
              <w:left w:val="nil"/>
              <w:bottom w:val="nil"/>
              <w:right w:val="nil"/>
            </w:tcBorders>
            <w:shd w:val="clear" w:color="auto" w:fill="auto"/>
            <w:noWrap/>
            <w:tcMar>
              <w:top w:w="20" w:type="dxa"/>
              <w:left w:w="20" w:type="dxa"/>
              <w:right w:w="20" w:type="dxa"/>
            </w:tcMar>
            <w:vAlign w:val="center"/>
          </w:tcPr>
          <w:p w14:paraId="4021D71C">
            <w:pPr>
              <w:spacing w:line="440" w:lineRule="atLeast"/>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 </w:t>
            </w:r>
          </w:p>
        </w:tc>
      </w:tr>
      <w:tr w14:paraId="48C6CC78">
        <w:tblPrEx>
          <w:tblCellMar>
            <w:top w:w="0" w:type="dxa"/>
            <w:left w:w="0" w:type="dxa"/>
            <w:bottom w:w="0" w:type="dxa"/>
            <w:right w:w="0" w:type="dxa"/>
          </w:tblCellMar>
        </w:tblPrEx>
        <w:trPr>
          <w:trHeight w:val="795" w:hRule="atLeast"/>
          <w:jc w:val="center"/>
        </w:trPr>
        <w:tc>
          <w:tcPr>
            <w:tcW w:w="400" w:type="dxa"/>
            <w:tcBorders>
              <w:top w:val="single" w:color="auto" w:sz="4" w:space="0"/>
              <w:left w:val="single" w:color="auto" w:sz="4" w:space="0"/>
              <w:bottom w:val="single" w:color="auto" w:sz="4" w:space="0"/>
              <w:right w:val="single" w:color="auto" w:sz="4" w:space="0"/>
            </w:tcBorders>
            <w:shd w:val="clear" w:color="auto" w:fill="auto"/>
            <w:tcMar>
              <w:top w:w="20" w:type="dxa"/>
              <w:left w:w="20" w:type="dxa"/>
              <w:right w:w="20" w:type="dxa"/>
            </w:tcMar>
            <w:vAlign w:val="center"/>
          </w:tcPr>
          <w:p w14:paraId="72E463A0">
            <w:pPr>
              <w:spacing w:line="440" w:lineRule="atLeast"/>
              <w:jc w:val="center"/>
              <w:textAlignment w:val="center"/>
              <w:rPr>
                <w:rFonts w:ascii="宋体" w:hAnsi="宋体" w:eastAsia="宋体" w:cs="宋体"/>
                <w:b/>
                <w:sz w:val="24"/>
              </w:rPr>
            </w:pPr>
            <w:r>
              <w:rPr>
                <w:rFonts w:hint="eastAsia" w:ascii="宋体" w:hAnsi="宋体" w:eastAsia="宋体" w:cs="宋体"/>
                <w:b/>
                <w:kern w:val="0"/>
                <w:sz w:val="24"/>
                <w:lang w:bidi="ar"/>
              </w:rPr>
              <w:t>序号</w:t>
            </w:r>
          </w:p>
        </w:tc>
        <w:tc>
          <w:tcPr>
            <w:tcW w:w="2320" w:type="dxa"/>
            <w:tcBorders>
              <w:top w:val="single" w:color="auto" w:sz="4" w:space="0"/>
              <w:left w:val="nil"/>
              <w:bottom w:val="single" w:color="auto" w:sz="4" w:space="0"/>
              <w:right w:val="single" w:color="auto" w:sz="4" w:space="0"/>
            </w:tcBorders>
            <w:shd w:val="clear" w:color="auto" w:fill="auto"/>
            <w:tcMar>
              <w:top w:w="20" w:type="dxa"/>
              <w:left w:w="20" w:type="dxa"/>
              <w:right w:w="20" w:type="dxa"/>
            </w:tcMar>
            <w:vAlign w:val="center"/>
          </w:tcPr>
          <w:p w14:paraId="7714D7E5">
            <w:pPr>
              <w:spacing w:line="440" w:lineRule="atLeast"/>
              <w:jc w:val="center"/>
              <w:textAlignment w:val="center"/>
              <w:rPr>
                <w:rFonts w:ascii="宋体" w:hAnsi="宋体" w:eastAsia="宋体" w:cs="宋体"/>
                <w:b/>
                <w:sz w:val="24"/>
              </w:rPr>
            </w:pPr>
            <w:r>
              <w:rPr>
                <w:rFonts w:hint="eastAsia" w:ascii="宋体" w:hAnsi="宋体" w:eastAsia="宋体" w:cs="宋体"/>
                <w:b/>
                <w:kern w:val="0"/>
                <w:sz w:val="24"/>
                <w:lang w:bidi="ar"/>
              </w:rPr>
              <w:t>项目名称</w:t>
            </w:r>
          </w:p>
        </w:tc>
        <w:tc>
          <w:tcPr>
            <w:tcW w:w="1360" w:type="dxa"/>
            <w:tcBorders>
              <w:top w:val="single" w:color="auto" w:sz="4" w:space="0"/>
              <w:left w:val="nil"/>
              <w:bottom w:val="single" w:color="auto" w:sz="4" w:space="0"/>
              <w:right w:val="single" w:color="auto" w:sz="4" w:space="0"/>
            </w:tcBorders>
            <w:shd w:val="clear" w:color="auto" w:fill="auto"/>
            <w:tcMar>
              <w:top w:w="20" w:type="dxa"/>
              <w:left w:w="20" w:type="dxa"/>
              <w:right w:w="20" w:type="dxa"/>
            </w:tcMar>
            <w:vAlign w:val="center"/>
          </w:tcPr>
          <w:p w14:paraId="494B3153">
            <w:pPr>
              <w:spacing w:line="440" w:lineRule="atLeast"/>
              <w:jc w:val="center"/>
              <w:textAlignment w:val="center"/>
              <w:rPr>
                <w:rFonts w:ascii="宋体" w:hAnsi="宋体" w:eastAsia="宋体" w:cs="宋体"/>
                <w:b/>
                <w:sz w:val="24"/>
              </w:rPr>
            </w:pPr>
            <w:r>
              <w:rPr>
                <w:rFonts w:hint="eastAsia" w:ascii="宋体" w:hAnsi="宋体" w:eastAsia="宋体" w:cs="宋体"/>
                <w:b/>
                <w:kern w:val="0"/>
                <w:sz w:val="24"/>
                <w:lang w:bidi="ar"/>
              </w:rPr>
              <w:t>其他共同实施部门</w:t>
            </w:r>
          </w:p>
        </w:tc>
        <w:tc>
          <w:tcPr>
            <w:tcW w:w="3640" w:type="dxa"/>
            <w:gridSpan w:val="2"/>
            <w:tcBorders>
              <w:top w:val="single" w:color="auto" w:sz="4" w:space="0"/>
              <w:left w:val="nil"/>
              <w:bottom w:val="single" w:color="auto" w:sz="4" w:space="0"/>
              <w:right w:val="single" w:color="auto" w:sz="4" w:space="0"/>
            </w:tcBorders>
            <w:shd w:val="clear" w:color="auto" w:fill="auto"/>
            <w:tcMar>
              <w:top w:w="20" w:type="dxa"/>
              <w:left w:w="20" w:type="dxa"/>
              <w:right w:w="20" w:type="dxa"/>
            </w:tcMar>
            <w:vAlign w:val="center"/>
          </w:tcPr>
          <w:p w14:paraId="3B4FAA8B">
            <w:pPr>
              <w:spacing w:line="440" w:lineRule="atLeast"/>
              <w:jc w:val="center"/>
              <w:textAlignment w:val="center"/>
              <w:rPr>
                <w:rFonts w:ascii="宋体" w:hAnsi="宋体" w:eastAsia="宋体" w:cs="宋体"/>
                <w:b/>
                <w:sz w:val="24"/>
              </w:rPr>
            </w:pPr>
            <w:r>
              <w:rPr>
                <w:rFonts w:hint="eastAsia" w:ascii="宋体" w:hAnsi="宋体" w:eastAsia="宋体" w:cs="宋体"/>
                <w:b/>
                <w:kern w:val="0"/>
                <w:sz w:val="24"/>
                <w:lang w:bidi="ar"/>
              </w:rPr>
              <w:t>设定依据</w:t>
            </w:r>
          </w:p>
        </w:tc>
        <w:tc>
          <w:tcPr>
            <w:tcW w:w="1240" w:type="dxa"/>
            <w:tcBorders>
              <w:top w:val="single" w:color="auto" w:sz="4" w:space="0"/>
              <w:left w:val="nil"/>
              <w:bottom w:val="single" w:color="auto" w:sz="4" w:space="0"/>
              <w:right w:val="single" w:color="auto" w:sz="4" w:space="0"/>
            </w:tcBorders>
            <w:shd w:val="clear" w:color="auto" w:fill="auto"/>
            <w:tcMar>
              <w:top w:w="20" w:type="dxa"/>
              <w:left w:w="20" w:type="dxa"/>
              <w:right w:w="20" w:type="dxa"/>
            </w:tcMar>
            <w:vAlign w:val="center"/>
          </w:tcPr>
          <w:p w14:paraId="53F6529F">
            <w:pPr>
              <w:spacing w:line="440" w:lineRule="atLeast"/>
              <w:jc w:val="center"/>
              <w:textAlignment w:val="center"/>
              <w:rPr>
                <w:rFonts w:ascii="宋体" w:hAnsi="宋体" w:eastAsia="宋体" w:cs="宋体"/>
                <w:b/>
                <w:sz w:val="24"/>
              </w:rPr>
            </w:pPr>
            <w:r>
              <w:rPr>
                <w:rFonts w:hint="eastAsia" w:ascii="宋体" w:hAnsi="宋体" w:eastAsia="宋体" w:cs="宋体"/>
                <w:b/>
                <w:kern w:val="0"/>
                <w:sz w:val="24"/>
                <w:lang w:bidi="ar"/>
              </w:rPr>
              <w:t>处理决定</w:t>
            </w:r>
          </w:p>
        </w:tc>
      </w:tr>
      <w:tr w14:paraId="51A6E753">
        <w:tblPrEx>
          <w:tblCellMar>
            <w:top w:w="0" w:type="dxa"/>
            <w:left w:w="0" w:type="dxa"/>
            <w:bottom w:w="0" w:type="dxa"/>
            <w:right w:w="0" w:type="dxa"/>
          </w:tblCellMar>
        </w:tblPrEx>
        <w:trPr>
          <w:trHeight w:val="900" w:hRule="atLeast"/>
          <w:jc w:val="center"/>
        </w:trPr>
        <w:tc>
          <w:tcPr>
            <w:tcW w:w="0" w:type="auto"/>
            <w:tcBorders>
              <w:top w:val="nil"/>
              <w:left w:val="single" w:color="auto" w:sz="4" w:space="0"/>
              <w:bottom w:val="single" w:color="auto" w:sz="4" w:space="0"/>
              <w:right w:val="single" w:color="auto" w:sz="4" w:space="0"/>
            </w:tcBorders>
            <w:shd w:val="clear" w:color="auto" w:fill="auto"/>
            <w:noWrap/>
            <w:tcMar>
              <w:top w:w="20" w:type="dxa"/>
              <w:left w:w="20" w:type="dxa"/>
              <w:right w:w="20" w:type="dxa"/>
            </w:tcMar>
            <w:vAlign w:val="center"/>
          </w:tcPr>
          <w:p w14:paraId="346C3AA3">
            <w:pPr>
              <w:spacing w:line="440" w:lineRule="atLeas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1</w:t>
            </w:r>
          </w:p>
        </w:tc>
        <w:tc>
          <w:tcPr>
            <w:tcW w:w="2320" w:type="dxa"/>
            <w:tcBorders>
              <w:top w:val="nil"/>
              <w:left w:val="nil"/>
              <w:bottom w:val="single" w:color="auto" w:sz="4" w:space="0"/>
              <w:right w:val="single" w:color="auto" w:sz="4" w:space="0"/>
            </w:tcBorders>
            <w:shd w:val="clear" w:color="auto" w:fill="auto"/>
            <w:tcMar>
              <w:top w:w="20" w:type="dxa"/>
              <w:left w:w="20" w:type="dxa"/>
              <w:right w:w="20" w:type="dxa"/>
            </w:tcMar>
            <w:vAlign w:val="center"/>
          </w:tcPr>
          <w:p w14:paraId="3FDFD447">
            <w:pPr>
              <w:spacing w:line="440" w:lineRule="atLeast"/>
              <w:jc w:val="left"/>
              <w:textAlignment w:val="center"/>
              <w:rPr>
                <w:rFonts w:ascii="宋体" w:hAnsi="宋体" w:eastAsia="宋体" w:cs="宋体"/>
                <w:sz w:val="24"/>
              </w:rPr>
            </w:pPr>
            <w:r>
              <w:rPr>
                <w:rFonts w:hint="eastAsia" w:ascii="宋体" w:hAnsi="宋体" w:eastAsia="宋体" w:cs="宋体"/>
                <w:kern w:val="0"/>
                <w:sz w:val="24"/>
                <w:lang w:bidi="ar"/>
              </w:rPr>
              <w:t>注册资产评估师</w:t>
            </w:r>
          </w:p>
        </w:tc>
        <w:tc>
          <w:tcPr>
            <w:tcW w:w="1360" w:type="dxa"/>
            <w:tcBorders>
              <w:top w:val="nil"/>
              <w:left w:val="nil"/>
              <w:bottom w:val="single" w:color="auto" w:sz="4" w:space="0"/>
              <w:right w:val="single" w:color="auto" w:sz="4" w:space="0"/>
            </w:tcBorders>
            <w:shd w:val="clear" w:color="auto" w:fill="auto"/>
            <w:tcMar>
              <w:top w:w="20" w:type="dxa"/>
              <w:left w:w="20" w:type="dxa"/>
              <w:right w:w="20" w:type="dxa"/>
            </w:tcMar>
            <w:vAlign w:val="center"/>
          </w:tcPr>
          <w:p w14:paraId="2724969F">
            <w:pPr>
              <w:spacing w:line="440" w:lineRule="atLeast"/>
              <w:jc w:val="left"/>
              <w:textAlignment w:val="center"/>
              <w:rPr>
                <w:rFonts w:ascii="宋体" w:hAnsi="宋体" w:eastAsia="宋体" w:cs="宋体"/>
                <w:sz w:val="24"/>
              </w:rPr>
            </w:pPr>
            <w:r>
              <w:rPr>
                <w:rFonts w:hint="eastAsia" w:ascii="宋体" w:hAnsi="宋体" w:eastAsia="宋体" w:cs="宋体"/>
                <w:kern w:val="0"/>
                <w:sz w:val="24"/>
                <w:lang w:bidi="ar"/>
              </w:rPr>
              <w:t>人力资源社会保障部</w:t>
            </w:r>
          </w:p>
        </w:tc>
        <w:tc>
          <w:tcPr>
            <w:tcW w:w="3640" w:type="dxa"/>
            <w:gridSpan w:val="2"/>
            <w:tcBorders>
              <w:top w:val="single" w:color="auto" w:sz="4" w:space="0"/>
              <w:left w:val="nil"/>
              <w:bottom w:val="single" w:color="auto" w:sz="4" w:space="0"/>
              <w:right w:val="single" w:color="auto" w:sz="4" w:space="0"/>
            </w:tcBorders>
            <w:shd w:val="clear" w:color="auto" w:fill="auto"/>
            <w:tcMar>
              <w:top w:w="20" w:type="dxa"/>
              <w:left w:w="20" w:type="dxa"/>
              <w:right w:w="20" w:type="dxa"/>
            </w:tcMar>
            <w:vAlign w:val="center"/>
          </w:tcPr>
          <w:p w14:paraId="65144456">
            <w:pPr>
              <w:spacing w:line="440" w:lineRule="atLeast"/>
              <w:jc w:val="left"/>
              <w:textAlignment w:val="center"/>
              <w:rPr>
                <w:rFonts w:ascii="宋体" w:hAnsi="宋体" w:eastAsia="宋体" w:cs="宋体"/>
                <w:color w:val="000000"/>
                <w:sz w:val="24"/>
              </w:rPr>
            </w:pPr>
            <w:r>
              <w:rPr>
                <w:rFonts w:hint="eastAsia" w:ascii="宋体" w:hAnsi="宋体" w:eastAsia="宋体" w:cs="宋体"/>
                <w:color w:val="000000"/>
                <w:kern w:val="0"/>
                <w:sz w:val="24"/>
                <w:lang w:bidi="ar"/>
              </w:rPr>
              <w:t>《注册资产评估师执业资格制度暂行规定》（人职发〔1995〕54号）</w:t>
            </w:r>
          </w:p>
        </w:tc>
        <w:tc>
          <w:tcPr>
            <w:tcW w:w="1240" w:type="dxa"/>
            <w:tcBorders>
              <w:top w:val="nil"/>
              <w:left w:val="nil"/>
              <w:bottom w:val="single" w:color="auto" w:sz="4" w:space="0"/>
              <w:right w:val="single" w:color="auto" w:sz="4" w:space="0"/>
            </w:tcBorders>
            <w:shd w:val="clear" w:color="auto" w:fill="auto"/>
            <w:tcMar>
              <w:top w:w="20" w:type="dxa"/>
              <w:left w:w="20" w:type="dxa"/>
              <w:right w:w="20" w:type="dxa"/>
            </w:tcMar>
            <w:vAlign w:val="center"/>
          </w:tcPr>
          <w:p w14:paraId="53D46261">
            <w:pPr>
              <w:spacing w:line="440" w:lineRule="atLeast"/>
              <w:jc w:val="left"/>
              <w:textAlignment w:val="center"/>
              <w:rPr>
                <w:rFonts w:ascii="宋体" w:hAnsi="宋体" w:eastAsia="宋体" w:cs="宋体"/>
                <w:sz w:val="24"/>
              </w:rPr>
            </w:pPr>
            <w:r>
              <w:rPr>
                <w:rFonts w:hint="eastAsia" w:ascii="宋体" w:hAnsi="宋体" w:eastAsia="宋体" w:cs="宋体"/>
                <w:kern w:val="0"/>
                <w:sz w:val="24"/>
                <w:lang w:bidi="ar"/>
              </w:rPr>
              <w:t>取消</w:t>
            </w:r>
          </w:p>
        </w:tc>
      </w:tr>
      <w:tr w14:paraId="0D353A34">
        <w:tblPrEx>
          <w:tblCellMar>
            <w:top w:w="0" w:type="dxa"/>
            <w:left w:w="0" w:type="dxa"/>
            <w:bottom w:w="0" w:type="dxa"/>
            <w:right w:w="0" w:type="dxa"/>
          </w:tblCellMar>
        </w:tblPrEx>
        <w:trPr>
          <w:trHeight w:val="510" w:hRule="atLeast"/>
          <w:jc w:val="center"/>
        </w:trPr>
        <w:tc>
          <w:tcPr>
            <w:tcW w:w="0" w:type="auto"/>
            <w:tcBorders>
              <w:top w:val="nil"/>
              <w:left w:val="nil"/>
              <w:bottom w:val="nil"/>
              <w:right w:val="nil"/>
            </w:tcBorders>
            <w:shd w:val="clear" w:color="auto" w:fill="auto"/>
            <w:noWrap/>
            <w:tcMar>
              <w:top w:w="20" w:type="dxa"/>
              <w:left w:w="20" w:type="dxa"/>
              <w:right w:w="20" w:type="dxa"/>
            </w:tcMar>
            <w:vAlign w:val="center"/>
          </w:tcPr>
          <w:p w14:paraId="65EBE53B">
            <w:pPr>
              <w:spacing w:line="440" w:lineRule="atLeas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 </w:t>
            </w:r>
          </w:p>
        </w:tc>
        <w:tc>
          <w:tcPr>
            <w:tcW w:w="0" w:type="auto"/>
            <w:tcBorders>
              <w:top w:val="nil"/>
              <w:left w:val="nil"/>
              <w:bottom w:val="nil"/>
              <w:right w:val="nil"/>
            </w:tcBorders>
            <w:shd w:val="clear" w:color="auto" w:fill="auto"/>
            <w:noWrap/>
            <w:tcMar>
              <w:top w:w="20" w:type="dxa"/>
              <w:left w:w="20" w:type="dxa"/>
              <w:right w:w="20" w:type="dxa"/>
            </w:tcMar>
            <w:vAlign w:val="center"/>
          </w:tcPr>
          <w:p w14:paraId="049AE410">
            <w:pPr>
              <w:spacing w:line="440" w:lineRule="atLeast"/>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 </w:t>
            </w:r>
          </w:p>
        </w:tc>
        <w:tc>
          <w:tcPr>
            <w:tcW w:w="0" w:type="auto"/>
            <w:tcBorders>
              <w:top w:val="nil"/>
              <w:left w:val="nil"/>
              <w:bottom w:val="nil"/>
              <w:right w:val="nil"/>
            </w:tcBorders>
            <w:shd w:val="clear" w:color="auto" w:fill="auto"/>
            <w:noWrap/>
            <w:tcMar>
              <w:top w:w="20" w:type="dxa"/>
              <w:left w:w="20" w:type="dxa"/>
              <w:right w:w="20" w:type="dxa"/>
            </w:tcMar>
            <w:vAlign w:val="center"/>
          </w:tcPr>
          <w:p w14:paraId="32993F78">
            <w:pPr>
              <w:spacing w:line="440" w:lineRule="atLeast"/>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 </w:t>
            </w:r>
          </w:p>
        </w:tc>
        <w:tc>
          <w:tcPr>
            <w:tcW w:w="0" w:type="auto"/>
            <w:tcBorders>
              <w:top w:val="nil"/>
              <w:left w:val="nil"/>
              <w:bottom w:val="nil"/>
              <w:right w:val="nil"/>
            </w:tcBorders>
            <w:shd w:val="clear" w:color="auto" w:fill="auto"/>
            <w:noWrap/>
            <w:tcMar>
              <w:top w:w="20" w:type="dxa"/>
              <w:left w:w="20" w:type="dxa"/>
              <w:right w:w="20" w:type="dxa"/>
            </w:tcMar>
            <w:vAlign w:val="center"/>
          </w:tcPr>
          <w:p w14:paraId="195D9587">
            <w:pPr>
              <w:spacing w:line="440" w:lineRule="atLeast"/>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 </w:t>
            </w:r>
          </w:p>
        </w:tc>
        <w:tc>
          <w:tcPr>
            <w:tcW w:w="0" w:type="auto"/>
            <w:tcBorders>
              <w:top w:val="nil"/>
              <w:left w:val="nil"/>
              <w:bottom w:val="nil"/>
              <w:right w:val="nil"/>
            </w:tcBorders>
            <w:shd w:val="clear" w:color="auto" w:fill="auto"/>
            <w:noWrap/>
            <w:tcMar>
              <w:top w:w="20" w:type="dxa"/>
              <w:left w:w="20" w:type="dxa"/>
              <w:right w:w="20" w:type="dxa"/>
            </w:tcMar>
            <w:vAlign w:val="center"/>
          </w:tcPr>
          <w:p w14:paraId="3FB4B8FF">
            <w:pPr>
              <w:spacing w:line="440" w:lineRule="atLeast"/>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 </w:t>
            </w:r>
          </w:p>
        </w:tc>
        <w:tc>
          <w:tcPr>
            <w:tcW w:w="0" w:type="auto"/>
            <w:tcBorders>
              <w:top w:val="nil"/>
              <w:left w:val="nil"/>
              <w:bottom w:val="nil"/>
              <w:right w:val="nil"/>
            </w:tcBorders>
            <w:shd w:val="clear" w:color="auto" w:fill="auto"/>
            <w:noWrap/>
            <w:tcMar>
              <w:top w:w="20" w:type="dxa"/>
              <w:left w:w="20" w:type="dxa"/>
              <w:right w:w="20" w:type="dxa"/>
            </w:tcMar>
            <w:vAlign w:val="center"/>
          </w:tcPr>
          <w:p w14:paraId="51C2C365">
            <w:pPr>
              <w:spacing w:line="440" w:lineRule="atLeast"/>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 </w:t>
            </w:r>
          </w:p>
        </w:tc>
      </w:tr>
      <w:tr w14:paraId="7D43485B">
        <w:tblPrEx>
          <w:tblCellMar>
            <w:top w:w="0" w:type="dxa"/>
            <w:left w:w="0" w:type="dxa"/>
            <w:bottom w:w="0" w:type="dxa"/>
            <w:right w:w="0" w:type="dxa"/>
          </w:tblCellMar>
        </w:tblPrEx>
        <w:trPr>
          <w:trHeight w:val="285" w:hRule="atLeast"/>
          <w:jc w:val="center"/>
        </w:trPr>
        <w:tc>
          <w:tcPr>
            <w:tcW w:w="2720" w:type="dxa"/>
            <w:gridSpan w:val="2"/>
            <w:tcBorders>
              <w:top w:val="nil"/>
              <w:left w:val="nil"/>
              <w:bottom w:val="nil"/>
              <w:right w:val="nil"/>
            </w:tcBorders>
            <w:shd w:val="clear" w:color="auto" w:fill="auto"/>
            <w:tcMar>
              <w:top w:w="20" w:type="dxa"/>
              <w:left w:w="20" w:type="dxa"/>
              <w:right w:w="20" w:type="dxa"/>
            </w:tcMar>
            <w:vAlign w:val="center"/>
          </w:tcPr>
          <w:p w14:paraId="740F63DE">
            <w:pPr>
              <w:pStyle w:val="21"/>
              <w:spacing w:beforeAutospacing="0" w:after="200" w:afterAutospacing="0" w:line="440" w:lineRule="atLeast"/>
              <w:rPr>
                <w:color w:val="000000"/>
              </w:rPr>
            </w:pPr>
          </w:p>
          <w:p w14:paraId="273E738E">
            <w:pPr>
              <w:pStyle w:val="21"/>
              <w:spacing w:beforeAutospacing="0" w:after="200" w:afterAutospacing="0" w:line="440" w:lineRule="atLeast"/>
              <w:rPr>
                <w:color w:val="000000"/>
              </w:rPr>
            </w:pPr>
          </w:p>
          <w:p w14:paraId="5265EE6F">
            <w:pPr>
              <w:pStyle w:val="21"/>
              <w:spacing w:beforeAutospacing="0" w:after="200" w:afterAutospacing="0" w:line="440" w:lineRule="atLeast"/>
              <w:rPr>
                <w:color w:val="000000"/>
              </w:rPr>
            </w:pPr>
          </w:p>
          <w:p w14:paraId="71E292E8">
            <w:pPr>
              <w:pStyle w:val="21"/>
              <w:spacing w:beforeAutospacing="0" w:after="200" w:afterAutospacing="0" w:line="440" w:lineRule="atLeast"/>
            </w:pPr>
            <w:r>
              <w:rPr>
                <w:rFonts w:hint="eastAsia"/>
                <w:color w:val="000000"/>
              </w:rPr>
              <w:t>附件3：</w:t>
            </w:r>
          </w:p>
        </w:tc>
        <w:tc>
          <w:tcPr>
            <w:tcW w:w="0" w:type="auto"/>
            <w:tcBorders>
              <w:top w:val="nil"/>
              <w:left w:val="nil"/>
              <w:bottom w:val="nil"/>
              <w:right w:val="nil"/>
            </w:tcBorders>
            <w:shd w:val="clear" w:color="auto" w:fill="auto"/>
            <w:noWrap/>
            <w:tcMar>
              <w:top w:w="20" w:type="dxa"/>
              <w:left w:w="20" w:type="dxa"/>
              <w:right w:w="20" w:type="dxa"/>
            </w:tcMar>
            <w:vAlign w:val="center"/>
          </w:tcPr>
          <w:p w14:paraId="0C459D26">
            <w:pPr>
              <w:spacing w:line="440" w:lineRule="atLeast"/>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 </w:t>
            </w:r>
          </w:p>
        </w:tc>
        <w:tc>
          <w:tcPr>
            <w:tcW w:w="0" w:type="auto"/>
            <w:tcBorders>
              <w:top w:val="nil"/>
              <w:left w:val="nil"/>
              <w:bottom w:val="nil"/>
              <w:right w:val="nil"/>
            </w:tcBorders>
            <w:shd w:val="clear" w:color="auto" w:fill="auto"/>
            <w:noWrap/>
            <w:tcMar>
              <w:top w:w="20" w:type="dxa"/>
              <w:left w:w="20" w:type="dxa"/>
              <w:right w:w="20" w:type="dxa"/>
            </w:tcMar>
            <w:vAlign w:val="center"/>
          </w:tcPr>
          <w:p w14:paraId="38944FA7">
            <w:pPr>
              <w:spacing w:line="440" w:lineRule="atLeast"/>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 </w:t>
            </w:r>
          </w:p>
        </w:tc>
        <w:tc>
          <w:tcPr>
            <w:tcW w:w="0" w:type="auto"/>
            <w:tcBorders>
              <w:top w:val="nil"/>
              <w:left w:val="nil"/>
              <w:bottom w:val="nil"/>
              <w:right w:val="nil"/>
            </w:tcBorders>
            <w:shd w:val="clear" w:color="auto" w:fill="auto"/>
            <w:noWrap/>
            <w:tcMar>
              <w:top w:w="20" w:type="dxa"/>
              <w:left w:w="20" w:type="dxa"/>
              <w:right w:w="20" w:type="dxa"/>
            </w:tcMar>
            <w:vAlign w:val="center"/>
          </w:tcPr>
          <w:p w14:paraId="12F11B96">
            <w:pPr>
              <w:spacing w:line="440" w:lineRule="atLeast"/>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 </w:t>
            </w:r>
          </w:p>
        </w:tc>
        <w:tc>
          <w:tcPr>
            <w:tcW w:w="0" w:type="auto"/>
            <w:tcBorders>
              <w:top w:val="nil"/>
              <w:left w:val="nil"/>
              <w:bottom w:val="nil"/>
              <w:right w:val="nil"/>
            </w:tcBorders>
            <w:shd w:val="clear" w:color="auto" w:fill="auto"/>
            <w:noWrap/>
            <w:tcMar>
              <w:top w:w="20" w:type="dxa"/>
              <w:left w:w="20" w:type="dxa"/>
              <w:right w:w="20" w:type="dxa"/>
            </w:tcMar>
            <w:vAlign w:val="center"/>
          </w:tcPr>
          <w:p w14:paraId="4B3FE6BD">
            <w:pPr>
              <w:spacing w:line="440" w:lineRule="atLeast"/>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 </w:t>
            </w:r>
          </w:p>
        </w:tc>
      </w:tr>
      <w:tr w14:paraId="0ACDAE39">
        <w:tblPrEx>
          <w:tblCellMar>
            <w:top w:w="0" w:type="dxa"/>
            <w:left w:w="0" w:type="dxa"/>
            <w:bottom w:w="0" w:type="dxa"/>
            <w:right w:w="0" w:type="dxa"/>
          </w:tblCellMar>
        </w:tblPrEx>
        <w:trPr>
          <w:trHeight w:val="405" w:hRule="atLeast"/>
          <w:jc w:val="center"/>
        </w:trPr>
        <w:tc>
          <w:tcPr>
            <w:tcW w:w="7720" w:type="dxa"/>
            <w:gridSpan w:val="6"/>
            <w:tcBorders>
              <w:top w:val="nil"/>
              <w:left w:val="nil"/>
              <w:bottom w:val="nil"/>
              <w:right w:val="nil"/>
            </w:tcBorders>
            <w:shd w:val="clear" w:color="auto" w:fill="auto"/>
            <w:tcMar>
              <w:top w:w="20" w:type="dxa"/>
              <w:left w:w="20" w:type="dxa"/>
              <w:right w:w="20" w:type="dxa"/>
            </w:tcMar>
            <w:vAlign w:val="center"/>
          </w:tcPr>
          <w:p w14:paraId="629685B7">
            <w:pPr>
              <w:pStyle w:val="21"/>
              <w:spacing w:beforeAutospacing="0" w:after="200" w:afterAutospacing="0" w:line="440" w:lineRule="atLeast"/>
              <w:jc w:val="center"/>
            </w:pPr>
            <w:r>
              <w:rPr>
                <w:rFonts w:hint="eastAsia"/>
                <w:b/>
                <w:sz w:val="32"/>
                <w:szCs w:val="32"/>
              </w:rPr>
              <w:t>财政部门调整为后置审批的工商登记前置审批事项</w:t>
            </w:r>
          </w:p>
        </w:tc>
      </w:tr>
      <w:tr w14:paraId="720950DD">
        <w:tblPrEx>
          <w:tblCellMar>
            <w:top w:w="0" w:type="dxa"/>
            <w:left w:w="0" w:type="dxa"/>
            <w:bottom w:w="0" w:type="dxa"/>
            <w:right w:w="0" w:type="dxa"/>
          </w:tblCellMar>
        </w:tblPrEx>
        <w:trPr>
          <w:trHeight w:val="240" w:hRule="atLeast"/>
          <w:jc w:val="center"/>
        </w:trPr>
        <w:tc>
          <w:tcPr>
            <w:tcW w:w="0" w:type="auto"/>
            <w:tcBorders>
              <w:top w:val="nil"/>
              <w:left w:val="nil"/>
              <w:bottom w:val="nil"/>
              <w:right w:val="nil"/>
            </w:tcBorders>
            <w:shd w:val="clear" w:color="auto" w:fill="auto"/>
            <w:noWrap/>
            <w:tcMar>
              <w:top w:w="20" w:type="dxa"/>
              <w:left w:w="20" w:type="dxa"/>
              <w:right w:w="20" w:type="dxa"/>
            </w:tcMar>
            <w:vAlign w:val="center"/>
          </w:tcPr>
          <w:p w14:paraId="5E0BA8B6">
            <w:pPr>
              <w:spacing w:line="440" w:lineRule="atLeast"/>
              <w:jc w:val="center"/>
              <w:textAlignment w:val="center"/>
              <w:rPr>
                <w:rFonts w:ascii="宋体" w:hAnsi="宋体" w:eastAsia="宋体" w:cs="宋体"/>
                <w:b/>
                <w:sz w:val="28"/>
                <w:szCs w:val="28"/>
              </w:rPr>
            </w:pPr>
            <w:r>
              <w:rPr>
                <w:rFonts w:hint="eastAsia" w:ascii="宋体" w:hAnsi="宋体" w:eastAsia="宋体" w:cs="宋体"/>
                <w:b/>
                <w:kern w:val="0"/>
                <w:sz w:val="28"/>
                <w:szCs w:val="28"/>
                <w:lang w:bidi="ar"/>
              </w:rPr>
              <w:t> </w:t>
            </w:r>
          </w:p>
        </w:tc>
        <w:tc>
          <w:tcPr>
            <w:tcW w:w="0" w:type="auto"/>
            <w:tcBorders>
              <w:top w:val="nil"/>
              <w:left w:val="nil"/>
              <w:bottom w:val="nil"/>
              <w:right w:val="nil"/>
            </w:tcBorders>
            <w:shd w:val="clear" w:color="auto" w:fill="auto"/>
            <w:noWrap/>
            <w:tcMar>
              <w:top w:w="20" w:type="dxa"/>
              <w:left w:w="20" w:type="dxa"/>
              <w:right w:w="20" w:type="dxa"/>
            </w:tcMar>
            <w:vAlign w:val="center"/>
          </w:tcPr>
          <w:p w14:paraId="728CE66C">
            <w:pPr>
              <w:spacing w:line="440" w:lineRule="atLeast"/>
              <w:jc w:val="center"/>
              <w:textAlignment w:val="center"/>
              <w:rPr>
                <w:rFonts w:ascii="宋体" w:hAnsi="宋体" w:eastAsia="宋体" w:cs="宋体"/>
                <w:b/>
                <w:sz w:val="28"/>
                <w:szCs w:val="28"/>
              </w:rPr>
            </w:pPr>
            <w:r>
              <w:rPr>
                <w:rFonts w:hint="eastAsia" w:ascii="宋体" w:hAnsi="宋体" w:eastAsia="宋体" w:cs="宋体"/>
                <w:b/>
                <w:kern w:val="0"/>
                <w:sz w:val="28"/>
                <w:szCs w:val="28"/>
                <w:lang w:bidi="ar"/>
              </w:rPr>
              <w:t> </w:t>
            </w:r>
          </w:p>
        </w:tc>
        <w:tc>
          <w:tcPr>
            <w:tcW w:w="0" w:type="auto"/>
            <w:tcBorders>
              <w:top w:val="nil"/>
              <w:left w:val="nil"/>
              <w:bottom w:val="nil"/>
              <w:right w:val="nil"/>
            </w:tcBorders>
            <w:shd w:val="clear" w:color="auto" w:fill="auto"/>
            <w:noWrap/>
            <w:tcMar>
              <w:top w:w="20" w:type="dxa"/>
              <w:left w:w="20" w:type="dxa"/>
              <w:right w:w="20" w:type="dxa"/>
            </w:tcMar>
            <w:vAlign w:val="center"/>
          </w:tcPr>
          <w:p w14:paraId="0FDA016B">
            <w:pPr>
              <w:spacing w:line="440" w:lineRule="atLeast"/>
              <w:jc w:val="center"/>
              <w:textAlignment w:val="center"/>
              <w:rPr>
                <w:rFonts w:ascii="宋体" w:hAnsi="宋体" w:eastAsia="宋体" w:cs="宋体"/>
                <w:b/>
                <w:sz w:val="28"/>
                <w:szCs w:val="28"/>
              </w:rPr>
            </w:pPr>
            <w:r>
              <w:rPr>
                <w:rFonts w:hint="eastAsia" w:ascii="宋体" w:hAnsi="宋体" w:eastAsia="宋体" w:cs="宋体"/>
                <w:b/>
                <w:kern w:val="0"/>
                <w:sz w:val="28"/>
                <w:szCs w:val="28"/>
                <w:lang w:bidi="ar"/>
              </w:rPr>
              <w:t> </w:t>
            </w:r>
          </w:p>
        </w:tc>
        <w:tc>
          <w:tcPr>
            <w:tcW w:w="0" w:type="auto"/>
            <w:tcBorders>
              <w:top w:val="nil"/>
              <w:left w:val="nil"/>
              <w:bottom w:val="nil"/>
              <w:right w:val="nil"/>
            </w:tcBorders>
            <w:shd w:val="clear" w:color="auto" w:fill="auto"/>
            <w:noWrap/>
            <w:tcMar>
              <w:top w:w="20" w:type="dxa"/>
              <w:left w:w="20" w:type="dxa"/>
              <w:right w:w="20" w:type="dxa"/>
            </w:tcMar>
            <w:vAlign w:val="center"/>
          </w:tcPr>
          <w:p w14:paraId="3D3E03A9">
            <w:pPr>
              <w:spacing w:line="440" w:lineRule="atLeast"/>
              <w:jc w:val="center"/>
              <w:textAlignment w:val="center"/>
              <w:rPr>
                <w:rFonts w:ascii="宋体" w:hAnsi="宋体" w:eastAsia="宋体" w:cs="宋体"/>
                <w:b/>
                <w:sz w:val="28"/>
                <w:szCs w:val="28"/>
              </w:rPr>
            </w:pPr>
            <w:r>
              <w:rPr>
                <w:rFonts w:hint="eastAsia" w:ascii="宋体" w:hAnsi="宋体" w:eastAsia="宋体" w:cs="宋体"/>
                <w:b/>
                <w:kern w:val="0"/>
                <w:sz w:val="28"/>
                <w:szCs w:val="28"/>
                <w:lang w:bidi="ar"/>
              </w:rPr>
              <w:t> </w:t>
            </w:r>
          </w:p>
        </w:tc>
        <w:tc>
          <w:tcPr>
            <w:tcW w:w="0" w:type="auto"/>
            <w:tcBorders>
              <w:top w:val="nil"/>
              <w:left w:val="nil"/>
              <w:bottom w:val="nil"/>
              <w:right w:val="nil"/>
            </w:tcBorders>
            <w:shd w:val="clear" w:color="auto" w:fill="auto"/>
            <w:noWrap/>
            <w:tcMar>
              <w:top w:w="20" w:type="dxa"/>
              <w:left w:w="20" w:type="dxa"/>
              <w:right w:w="20" w:type="dxa"/>
            </w:tcMar>
            <w:vAlign w:val="center"/>
          </w:tcPr>
          <w:p w14:paraId="47D8A5D2">
            <w:pPr>
              <w:spacing w:line="440" w:lineRule="atLeast"/>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 </w:t>
            </w:r>
          </w:p>
        </w:tc>
        <w:tc>
          <w:tcPr>
            <w:tcW w:w="0" w:type="auto"/>
            <w:tcBorders>
              <w:top w:val="nil"/>
              <w:left w:val="nil"/>
              <w:bottom w:val="nil"/>
              <w:right w:val="nil"/>
            </w:tcBorders>
            <w:shd w:val="clear" w:color="auto" w:fill="auto"/>
            <w:noWrap/>
            <w:tcMar>
              <w:top w:w="20" w:type="dxa"/>
              <w:left w:w="20" w:type="dxa"/>
              <w:right w:w="20" w:type="dxa"/>
            </w:tcMar>
            <w:vAlign w:val="center"/>
          </w:tcPr>
          <w:p w14:paraId="0A23D9F4">
            <w:pPr>
              <w:spacing w:line="440" w:lineRule="atLeast"/>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 </w:t>
            </w:r>
          </w:p>
        </w:tc>
      </w:tr>
      <w:tr w14:paraId="2DCEB27B">
        <w:tblPrEx>
          <w:tblCellMar>
            <w:top w:w="0" w:type="dxa"/>
            <w:left w:w="0" w:type="dxa"/>
            <w:bottom w:w="0" w:type="dxa"/>
            <w:right w:w="0" w:type="dxa"/>
          </w:tblCellMar>
        </w:tblPrEx>
        <w:trPr>
          <w:trHeight w:val="930" w:hRule="atLeast"/>
          <w:jc w:val="center"/>
        </w:trPr>
        <w:tc>
          <w:tcPr>
            <w:tcW w:w="400" w:type="dxa"/>
            <w:tcBorders>
              <w:top w:val="single" w:color="auto" w:sz="4" w:space="0"/>
              <w:left w:val="single" w:color="auto" w:sz="4" w:space="0"/>
              <w:bottom w:val="single" w:color="auto" w:sz="4" w:space="0"/>
              <w:right w:val="single" w:color="auto" w:sz="4" w:space="0"/>
            </w:tcBorders>
            <w:shd w:val="clear" w:color="auto" w:fill="auto"/>
            <w:tcMar>
              <w:top w:w="20" w:type="dxa"/>
              <w:left w:w="20" w:type="dxa"/>
              <w:right w:w="20" w:type="dxa"/>
            </w:tcMar>
            <w:vAlign w:val="center"/>
          </w:tcPr>
          <w:p w14:paraId="3A79A4DB">
            <w:pPr>
              <w:spacing w:line="440" w:lineRule="atLeast"/>
              <w:jc w:val="center"/>
              <w:textAlignment w:val="center"/>
              <w:rPr>
                <w:rFonts w:ascii="宋体" w:hAnsi="宋体" w:eastAsia="宋体" w:cs="宋体"/>
                <w:b/>
                <w:sz w:val="24"/>
              </w:rPr>
            </w:pPr>
            <w:r>
              <w:rPr>
                <w:rFonts w:hint="eastAsia" w:ascii="宋体" w:hAnsi="宋体" w:eastAsia="宋体" w:cs="宋体"/>
                <w:b/>
                <w:kern w:val="0"/>
                <w:sz w:val="24"/>
                <w:lang w:bidi="ar"/>
              </w:rPr>
              <w:t>序号</w:t>
            </w:r>
          </w:p>
        </w:tc>
        <w:tc>
          <w:tcPr>
            <w:tcW w:w="2320" w:type="dxa"/>
            <w:tcBorders>
              <w:top w:val="single" w:color="auto" w:sz="4" w:space="0"/>
              <w:left w:val="nil"/>
              <w:bottom w:val="single" w:color="auto" w:sz="4" w:space="0"/>
              <w:right w:val="single" w:color="auto" w:sz="4" w:space="0"/>
            </w:tcBorders>
            <w:shd w:val="clear" w:color="auto" w:fill="auto"/>
            <w:tcMar>
              <w:top w:w="20" w:type="dxa"/>
              <w:left w:w="20" w:type="dxa"/>
              <w:right w:w="20" w:type="dxa"/>
            </w:tcMar>
            <w:vAlign w:val="center"/>
          </w:tcPr>
          <w:p w14:paraId="62B32A05">
            <w:pPr>
              <w:spacing w:line="440" w:lineRule="atLeast"/>
              <w:jc w:val="center"/>
              <w:textAlignment w:val="center"/>
              <w:rPr>
                <w:rFonts w:ascii="宋体" w:hAnsi="宋体" w:eastAsia="宋体" w:cs="宋体"/>
                <w:b/>
                <w:sz w:val="24"/>
              </w:rPr>
            </w:pPr>
            <w:r>
              <w:rPr>
                <w:rFonts w:hint="eastAsia" w:ascii="宋体" w:hAnsi="宋体" w:eastAsia="宋体" w:cs="宋体"/>
                <w:b/>
                <w:kern w:val="0"/>
                <w:sz w:val="24"/>
                <w:lang w:bidi="ar"/>
              </w:rPr>
              <w:t>项目名称</w:t>
            </w:r>
          </w:p>
        </w:tc>
        <w:tc>
          <w:tcPr>
            <w:tcW w:w="1360" w:type="dxa"/>
            <w:tcBorders>
              <w:top w:val="single" w:color="auto" w:sz="4" w:space="0"/>
              <w:left w:val="nil"/>
              <w:bottom w:val="single" w:color="auto" w:sz="4" w:space="0"/>
              <w:right w:val="single" w:color="auto" w:sz="4" w:space="0"/>
            </w:tcBorders>
            <w:shd w:val="clear" w:color="auto" w:fill="auto"/>
            <w:tcMar>
              <w:top w:w="20" w:type="dxa"/>
              <w:left w:w="20" w:type="dxa"/>
              <w:right w:w="20" w:type="dxa"/>
            </w:tcMar>
            <w:vAlign w:val="center"/>
          </w:tcPr>
          <w:p w14:paraId="6F156A3C">
            <w:pPr>
              <w:spacing w:line="440" w:lineRule="atLeast"/>
              <w:jc w:val="center"/>
              <w:textAlignment w:val="center"/>
              <w:rPr>
                <w:rFonts w:ascii="宋体" w:hAnsi="宋体" w:eastAsia="宋体" w:cs="宋体"/>
                <w:b/>
                <w:sz w:val="24"/>
              </w:rPr>
            </w:pPr>
            <w:r>
              <w:rPr>
                <w:rFonts w:hint="eastAsia" w:ascii="宋体" w:hAnsi="宋体" w:eastAsia="宋体" w:cs="宋体"/>
                <w:b/>
                <w:kern w:val="0"/>
                <w:sz w:val="24"/>
                <w:lang w:bidi="ar"/>
              </w:rPr>
              <w:t>实施机关</w:t>
            </w:r>
          </w:p>
        </w:tc>
        <w:tc>
          <w:tcPr>
            <w:tcW w:w="3640" w:type="dxa"/>
            <w:gridSpan w:val="2"/>
            <w:tcBorders>
              <w:top w:val="single" w:color="auto" w:sz="4" w:space="0"/>
              <w:left w:val="nil"/>
              <w:bottom w:val="single" w:color="auto" w:sz="4" w:space="0"/>
              <w:right w:val="single" w:color="auto" w:sz="4" w:space="0"/>
            </w:tcBorders>
            <w:shd w:val="clear" w:color="auto" w:fill="auto"/>
            <w:tcMar>
              <w:top w:w="20" w:type="dxa"/>
              <w:left w:w="20" w:type="dxa"/>
              <w:right w:w="20" w:type="dxa"/>
            </w:tcMar>
            <w:vAlign w:val="center"/>
          </w:tcPr>
          <w:p w14:paraId="74972B0C">
            <w:pPr>
              <w:spacing w:line="440" w:lineRule="atLeast"/>
              <w:jc w:val="center"/>
              <w:textAlignment w:val="center"/>
              <w:rPr>
                <w:rFonts w:ascii="宋体" w:hAnsi="宋体" w:eastAsia="宋体" w:cs="宋体"/>
                <w:b/>
                <w:sz w:val="24"/>
              </w:rPr>
            </w:pPr>
            <w:r>
              <w:rPr>
                <w:rFonts w:hint="eastAsia" w:ascii="宋体" w:hAnsi="宋体" w:eastAsia="宋体" w:cs="宋体"/>
                <w:b/>
                <w:kern w:val="0"/>
                <w:sz w:val="24"/>
                <w:lang w:bidi="ar"/>
              </w:rPr>
              <w:t>设定依据</w:t>
            </w:r>
          </w:p>
        </w:tc>
        <w:tc>
          <w:tcPr>
            <w:tcW w:w="1240" w:type="dxa"/>
            <w:tcBorders>
              <w:top w:val="single" w:color="auto" w:sz="4" w:space="0"/>
              <w:left w:val="nil"/>
              <w:bottom w:val="single" w:color="auto" w:sz="4" w:space="0"/>
              <w:right w:val="single" w:color="auto" w:sz="4" w:space="0"/>
            </w:tcBorders>
            <w:shd w:val="clear" w:color="auto" w:fill="auto"/>
            <w:tcMar>
              <w:top w:w="20" w:type="dxa"/>
              <w:left w:w="20" w:type="dxa"/>
              <w:right w:w="20" w:type="dxa"/>
            </w:tcMar>
            <w:vAlign w:val="center"/>
          </w:tcPr>
          <w:p w14:paraId="65C3F0F1">
            <w:pPr>
              <w:spacing w:line="440" w:lineRule="atLeast"/>
              <w:jc w:val="center"/>
              <w:textAlignment w:val="center"/>
              <w:rPr>
                <w:rFonts w:ascii="宋体" w:hAnsi="宋体" w:eastAsia="宋体" w:cs="宋体"/>
                <w:b/>
                <w:sz w:val="24"/>
              </w:rPr>
            </w:pPr>
            <w:r>
              <w:rPr>
                <w:rFonts w:hint="eastAsia" w:ascii="宋体" w:hAnsi="宋体" w:eastAsia="宋体" w:cs="宋体"/>
                <w:b/>
                <w:kern w:val="0"/>
                <w:sz w:val="24"/>
                <w:lang w:bidi="ar"/>
              </w:rPr>
              <w:t>处理决定</w:t>
            </w:r>
          </w:p>
        </w:tc>
      </w:tr>
      <w:tr w14:paraId="3366C7E7">
        <w:tblPrEx>
          <w:tblCellMar>
            <w:top w:w="0" w:type="dxa"/>
            <w:left w:w="0" w:type="dxa"/>
            <w:bottom w:w="0" w:type="dxa"/>
            <w:right w:w="0" w:type="dxa"/>
          </w:tblCellMar>
        </w:tblPrEx>
        <w:trPr>
          <w:trHeight w:val="1965" w:hRule="atLeast"/>
          <w:jc w:val="center"/>
        </w:trPr>
        <w:tc>
          <w:tcPr>
            <w:tcW w:w="0" w:type="auto"/>
            <w:tcBorders>
              <w:top w:val="nil"/>
              <w:left w:val="single" w:color="auto" w:sz="4" w:space="0"/>
              <w:bottom w:val="single" w:color="auto" w:sz="4" w:space="0"/>
              <w:right w:val="single" w:color="auto" w:sz="4" w:space="0"/>
            </w:tcBorders>
            <w:shd w:val="clear" w:color="auto" w:fill="auto"/>
            <w:noWrap/>
            <w:tcMar>
              <w:top w:w="20" w:type="dxa"/>
              <w:left w:w="20" w:type="dxa"/>
              <w:right w:w="20" w:type="dxa"/>
            </w:tcMar>
            <w:vAlign w:val="center"/>
          </w:tcPr>
          <w:p w14:paraId="5F43BF51">
            <w:pPr>
              <w:spacing w:line="440" w:lineRule="atLeast"/>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1</w:t>
            </w:r>
          </w:p>
        </w:tc>
        <w:tc>
          <w:tcPr>
            <w:tcW w:w="2320" w:type="dxa"/>
            <w:tcBorders>
              <w:top w:val="nil"/>
              <w:left w:val="nil"/>
              <w:bottom w:val="single" w:color="auto" w:sz="4" w:space="0"/>
              <w:right w:val="single" w:color="auto" w:sz="4" w:space="0"/>
            </w:tcBorders>
            <w:shd w:val="clear" w:color="auto" w:fill="auto"/>
            <w:tcMar>
              <w:top w:w="20" w:type="dxa"/>
              <w:left w:w="20" w:type="dxa"/>
              <w:right w:w="20" w:type="dxa"/>
            </w:tcMar>
            <w:vAlign w:val="center"/>
          </w:tcPr>
          <w:p w14:paraId="06E473B4">
            <w:pPr>
              <w:spacing w:line="440" w:lineRule="atLeast"/>
              <w:jc w:val="left"/>
              <w:textAlignment w:val="center"/>
              <w:rPr>
                <w:rFonts w:ascii="宋体" w:hAnsi="宋体" w:eastAsia="宋体" w:cs="宋体"/>
                <w:sz w:val="24"/>
              </w:rPr>
            </w:pPr>
            <w:r>
              <w:rPr>
                <w:rFonts w:hint="eastAsia" w:ascii="宋体" w:hAnsi="宋体" w:eastAsia="宋体" w:cs="宋体"/>
                <w:kern w:val="0"/>
                <w:sz w:val="24"/>
                <w:lang w:bidi="ar"/>
              </w:rPr>
              <w:t>资产评估机构设立审批</w:t>
            </w:r>
          </w:p>
        </w:tc>
        <w:tc>
          <w:tcPr>
            <w:tcW w:w="1360" w:type="dxa"/>
            <w:tcBorders>
              <w:top w:val="nil"/>
              <w:left w:val="nil"/>
              <w:bottom w:val="single" w:color="auto" w:sz="4" w:space="0"/>
              <w:right w:val="single" w:color="auto" w:sz="4" w:space="0"/>
            </w:tcBorders>
            <w:shd w:val="clear" w:color="auto" w:fill="auto"/>
            <w:tcMar>
              <w:top w:w="20" w:type="dxa"/>
              <w:left w:w="20" w:type="dxa"/>
              <w:right w:w="20" w:type="dxa"/>
            </w:tcMar>
            <w:vAlign w:val="center"/>
          </w:tcPr>
          <w:p w14:paraId="2E28A92C">
            <w:pPr>
              <w:spacing w:line="440" w:lineRule="atLeast"/>
              <w:jc w:val="left"/>
              <w:textAlignment w:val="center"/>
              <w:rPr>
                <w:rFonts w:ascii="宋体" w:hAnsi="宋体" w:eastAsia="宋体" w:cs="宋体"/>
                <w:sz w:val="24"/>
              </w:rPr>
            </w:pPr>
            <w:r>
              <w:rPr>
                <w:rFonts w:hint="eastAsia" w:ascii="宋体" w:hAnsi="宋体" w:eastAsia="宋体" w:cs="宋体"/>
                <w:kern w:val="0"/>
                <w:sz w:val="24"/>
                <w:lang w:bidi="ar"/>
              </w:rPr>
              <w:t>省级人民政府财政部门</w:t>
            </w:r>
          </w:p>
        </w:tc>
        <w:tc>
          <w:tcPr>
            <w:tcW w:w="3640" w:type="dxa"/>
            <w:gridSpan w:val="2"/>
            <w:tcBorders>
              <w:top w:val="single" w:color="auto" w:sz="4" w:space="0"/>
              <w:left w:val="nil"/>
              <w:bottom w:val="single" w:color="auto" w:sz="4" w:space="0"/>
              <w:right w:val="single" w:color="auto" w:sz="4" w:space="0"/>
            </w:tcBorders>
            <w:shd w:val="clear" w:color="auto" w:fill="auto"/>
            <w:tcMar>
              <w:top w:w="20" w:type="dxa"/>
              <w:left w:w="20" w:type="dxa"/>
              <w:right w:w="20" w:type="dxa"/>
            </w:tcMar>
            <w:vAlign w:val="center"/>
          </w:tcPr>
          <w:p w14:paraId="4BC4CA5B">
            <w:pPr>
              <w:spacing w:line="440" w:lineRule="atLeast"/>
              <w:jc w:val="left"/>
              <w:textAlignment w:val="center"/>
              <w:rPr>
                <w:rFonts w:ascii="宋体" w:hAnsi="宋体" w:eastAsia="宋体" w:cs="宋体"/>
                <w:color w:val="000000"/>
                <w:kern w:val="0"/>
                <w:sz w:val="24"/>
                <w:lang w:bidi="ar"/>
              </w:rPr>
            </w:pPr>
            <w:r>
              <w:rPr>
                <w:rFonts w:hint="eastAsia" w:ascii="宋体" w:hAnsi="宋体" w:eastAsia="宋体" w:cs="宋体"/>
                <w:color w:val="000000"/>
                <w:kern w:val="0"/>
                <w:sz w:val="24"/>
                <w:lang w:bidi="ar"/>
              </w:rPr>
              <w:t>《国有资产评估管理办法》（国务院令第91号）</w:t>
            </w:r>
          </w:p>
          <w:p w14:paraId="49A70329">
            <w:pPr>
              <w:spacing w:line="440" w:lineRule="atLeast"/>
              <w:jc w:val="left"/>
              <w:textAlignment w:val="center"/>
              <w:rPr>
                <w:rFonts w:ascii="宋体" w:hAnsi="宋体" w:eastAsia="宋体" w:cs="宋体"/>
                <w:color w:val="000000"/>
                <w:kern w:val="0"/>
                <w:sz w:val="24"/>
                <w:lang w:bidi="ar"/>
              </w:rPr>
            </w:pPr>
            <w:r>
              <w:rPr>
                <w:rFonts w:hint="eastAsia" w:ascii="宋体" w:hAnsi="宋体" w:eastAsia="宋体" w:cs="宋体"/>
                <w:color w:val="000000"/>
                <w:kern w:val="0"/>
                <w:sz w:val="24"/>
                <w:lang w:bidi="ar"/>
              </w:rPr>
              <w:t>《国务院关于第三批取消和调整行政审批项目的决定》（国发〔2004〕16号）</w:t>
            </w:r>
          </w:p>
          <w:p w14:paraId="7E47B2BB">
            <w:pPr>
              <w:spacing w:line="440" w:lineRule="atLeast"/>
              <w:jc w:val="left"/>
              <w:textAlignment w:val="center"/>
              <w:rPr>
                <w:rFonts w:ascii="宋体" w:hAnsi="宋体" w:eastAsia="宋体" w:cs="宋体"/>
                <w:color w:val="000000"/>
                <w:sz w:val="24"/>
              </w:rPr>
            </w:pPr>
            <w:r>
              <w:rPr>
                <w:rFonts w:hint="eastAsia" w:ascii="宋体" w:hAnsi="宋体" w:eastAsia="宋体" w:cs="宋体"/>
                <w:color w:val="000000"/>
                <w:kern w:val="0"/>
                <w:sz w:val="24"/>
                <w:lang w:bidi="ar"/>
              </w:rPr>
              <w:t>《资产评估机构审批和监督管理办法》（财政部令第64号）</w:t>
            </w:r>
          </w:p>
        </w:tc>
        <w:tc>
          <w:tcPr>
            <w:tcW w:w="1240" w:type="dxa"/>
            <w:tcBorders>
              <w:top w:val="nil"/>
              <w:left w:val="nil"/>
              <w:bottom w:val="single" w:color="auto" w:sz="4" w:space="0"/>
              <w:right w:val="single" w:color="auto" w:sz="4" w:space="0"/>
            </w:tcBorders>
            <w:shd w:val="clear" w:color="auto" w:fill="auto"/>
            <w:tcMar>
              <w:top w:w="20" w:type="dxa"/>
              <w:left w:w="20" w:type="dxa"/>
              <w:right w:w="20" w:type="dxa"/>
            </w:tcMar>
            <w:vAlign w:val="center"/>
          </w:tcPr>
          <w:p w14:paraId="7F512CC4">
            <w:pPr>
              <w:spacing w:line="440" w:lineRule="atLeast"/>
              <w:jc w:val="left"/>
              <w:textAlignment w:val="center"/>
              <w:rPr>
                <w:rFonts w:ascii="宋体" w:hAnsi="宋体" w:eastAsia="宋体" w:cs="宋体"/>
                <w:sz w:val="24"/>
              </w:rPr>
            </w:pPr>
            <w:r>
              <w:rPr>
                <w:rFonts w:hint="eastAsia" w:ascii="宋体" w:hAnsi="宋体" w:eastAsia="宋体" w:cs="宋体"/>
                <w:kern w:val="0"/>
                <w:sz w:val="24"/>
                <w:lang w:bidi="ar"/>
              </w:rPr>
              <w:t>改为后置审批</w:t>
            </w:r>
          </w:p>
        </w:tc>
      </w:tr>
      <w:tr w14:paraId="5BF82841">
        <w:tblPrEx>
          <w:tblCellMar>
            <w:top w:w="0" w:type="dxa"/>
            <w:left w:w="0" w:type="dxa"/>
            <w:bottom w:w="0" w:type="dxa"/>
            <w:right w:w="0" w:type="dxa"/>
          </w:tblCellMar>
        </w:tblPrEx>
        <w:trPr>
          <w:trHeight w:val="1635" w:hRule="atLeast"/>
          <w:jc w:val="center"/>
        </w:trPr>
        <w:tc>
          <w:tcPr>
            <w:tcW w:w="0" w:type="auto"/>
            <w:tcBorders>
              <w:top w:val="nil"/>
              <w:left w:val="single" w:color="auto" w:sz="4" w:space="0"/>
              <w:bottom w:val="single" w:color="auto" w:sz="4" w:space="0"/>
              <w:right w:val="single" w:color="auto" w:sz="4" w:space="0"/>
            </w:tcBorders>
            <w:shd w:val="clear" w:color="auto" w:fill="auto"/>
            <w:noWrap/>
            <w:tcMar>
              <w:top w:w="20" w:type="dxa"/>
              <w:left w:w="20" w:type="dxa"/>
              <w:right w:w="20" w:type="dxa"/>
            </w:tcMar>
            <w:vAlign w:val="center"/>
          </w:tcPr>
          <w:p w14:paraId="669391A3">
            <w:pPr>
              <w:spacing w:line="440" w:lineRule="atLeas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w:t>
            </w:r>
          </w:p>
        </w:tc>
        <w:tc>
          <w:tcPr>
            <w:tcW w:w="2320" w:type="dxa"/>
            <w:tcBorders>
              <w:top w:val="nil"/>
              <w:left w:val="nil"/>
              <w:bottom w:val="single" w:color="auto" w:sz="4" w:space="0"/>
              <w:right w:val="single" w:color="auto" w:sz="4" w:space="0"/>
            </w:tcBorders>
            <w:shd w:val="clear" w:color="auto" w:fill="auto"/>
            <w:tcMar>
              <w:top w:w="20" w:type="dxa"/>
              <w:left w:w="20" w:type="dxa"/>
              <w:right w:w="20" w:type="dxa"/>
            </w:tcMar>
            <w:vAlign w:val="center"/>
          </w:tcPr>
          <w:p w14:paraId="22375684">
            <w:pPr>
              <w:spacing w:line="440" w:lineRule="atLeast"/>
              <w:jc w:val="left"/>
              <w:textAlignment w:val="center"/>
              <w:rPr>
                <w:rFonts w:ascii="宋体" w:hAnsi="宋体" w:eastAsia="宋体" w:cs="宋体"/>
                <w:sz w:val="24"/>
              </w:rPr>
            </w:pPr>
            <w:r>
              <w:rPr>
                <w:rFonts w:hint="eastAsia" w:ascii="宋体" w:hAnsi="宋体" w:eastAsia="宋体" w:cs="宋体"/>
                <w:kern w:val="0"/>
                <w:sz w:val="24"/>
                <w:lang w:bidi="ar"/>
              </w:rPr>
              <w:t>会计师事务所及其分支机构设立审批</w:t>
            </w:r>
          </w:p>
        </w:tc>
        <w:tc>
          <w:tcPr>
            <w:tcW w:w="1360" w:type="dxa"/>
            <w:tcBorders>
              <w:top w:val="nil"/>
              <w:left w:val="nil"/>
              <w:bottom w:val="single" w:color="auto" w:sz="4" w:space="0"/>
              <w:right w:val="single" w:color="auto" w:sz="4" w:space="0"/>
            </w:tcBorders>
            <w:shd w:val="clear" w:color="auto" w:fill="auto"/>
            <w:tcMar>
              <w:top w:w="20" w:type="dxa"/>
              <w:left w:w="20" w:type="dxa"/>
              <w:right w:w="20" w:type="dxa"/>
            </w:tcMar>
            <w:vAlign w:val="center"/>
          </w:tcPr>
          <w:p w14:paraId="40E340C2">
            <w:pPr>
              <w:spacing w:line="440" w:lineRule="atLeast"/>
              <w:jc w:val="left"/>
              <w:textAlignment w:val="center"/>
              <w:rPr>
                <w:rFonts w:ascii="宋体" w:hAnsi="宋体" w:eastAsia="宋体" w:cs="宋体"/>
                <w:sz w:val="24"/>
              </w:rPr>
            </w:pPr>
            <w:r>
              <w:rPr>
                <w:rFonts w:hint="eastAsia" w:ascii="宋体" w:hAnsi="宋体" w:eastAsia="宋体" w:cs="宋体"/>
                <w:kern w:val="0"/>
                <w:sz w:val="24"/>
                <w:lang w:bidi="ar"/>
              </w:rPr>
              <w:t>省级人民政府财政部门</w:t>
            </w:r>
          </w:p>
        </w:tc>
        <w:tc>
          <w:tcPr>
            <w:tcW w:w="3640" w:type="dxa"/>
            <w:gridSpan w:val="2"/>
            <w:tcBorders>
              <w:top w:val="single" w:color="auto" w:sz="4" w:space="0"/>
              <w:left w:val="nil"/>
              <w:bottom w:val="single" w:color="auto" w:sz="4" w:space="0"/>
              <w:right w:val="single" w:color="auto" w:sz="4" w:space="0"/>
            </w:tcBorders>
            <w:shd w:val="clear" w:color="auto" w:fill="auto"/>
            <w:tcMar>
              <w:top w:w="20" w:type="dxa"/>
              <w:left w:w="20" w:type="dxa"/>
              <w:right w:w="20" w:type="dxa"/>
            </w:tcMar>
            <w:vAlign w:val="center"/>
          </w:tcPr>
          <w:p w14:paraId="409576EC">
            <w:pPr>
              <w:spacing w:line="440" w:lineRule="atLeast"/>
              <w:jc w:val="left"/>
              <w:textAlignment w:val="center"/>
              <w:rPr>
                <w:rFonts w:ascii="宋体" w:hAnsi="宋体" w:eastAsia="宋体" w:cs="宋体"/>
                <w:color w:val="000000"/>
                <w:kern w:val="0"/>
                <w:sz w:val="24"/>
                <w:lang w:bidi="ar"/>
              </w:rPr>
            </w:pPr>
            <w:r>
              <w:rPr>
                <w:rFonts w:hint="eastAsia" w:ascii="宋体" w:hAnsi="宋体" w:eastAsia="宋体" w:cs="宋体"/>
                <w:color w:val="000000"/>
                <w:kern w:val="0"/>
                <w:sz w:val="24"/>
                <w:lang w:bidi="ar"/>
              </w:rPr>
              <w:t>《中华人民共和国注册会计师法》</w:t>
            </w:r>
          </w:p>
          <w:p w14:paraId="1D9640FD">
            <w:pPr>
              <w:spacing w:line="440" w:lineRule="atLeast"/>
              <w:jc w:val="left"/>
              <w:textAlignment w:val="center"/>
              <w:rPr>
                <w:rStyle w:val="39"/>
                <w:rFonts w:ascii="宋体" w:hAnsi="宋体" w:eastAsia="宋体" w:cs="宋体"/>
                <w:color w:val="000000"/>
                <w:kern w:val="0"/>
                <w:sz w:val="24"/>
                <w:lang w:bidi="ar"/>
              </w:rPr>
            </w:pPr>
            <w:r>
              <w:rPr>
                <w:rFonts w:hint="eastAsia" w:ascii="宋体" w:hAnsi="宋体" w:eastAsia="宋体" w:cs="宋体"/>
                <w:color w:val="000000"/>
                <w:kern w:val="0"/>
                <w:sz w:val="24"/>
                <w:lang w:bidi="ar"/>
              </w:rPr>
              <w:t>《国务院关于取消和下放一批行政审批项目的决定》（国发〔2013〕44号）           </w:t>
            </w:r>
            <w:r>
              <w:rPr>
                <w:rStyle w:val="39"/>
                <w:rFonts w:hint="eastAsia" w:ascii="宋体" w:hAnsi="宋体" w:eastAsia="宋体" w:cs="宋体"/>
                <w:color w:val="000000"/>
                <w:kern w:val="0"/>
                <w:sz w:val="24"/>
                <w:lang w:bidi="ar"/>
              </w:rPr>
              <w:t> </w:t>
            </w:r>
          </w:p>
          <w:p w14:paraId="496A4A5F">
            <w:pPr>
              <w:spacing w:line="440" w:lineRule="atLeast"/>
              <w:jc w:val="left"/>
              <w:textAlignment w:val="center"/>
              <w:rPr>
                <w:rFonts w:ascii="宋体" w:hAnsi="宋体" w:eastAsia="宋体" w:cs="宋体"/>
                <w:color w:val="000000"/>
                <w:sz w:val="24"/>
              </w:rPr>
            </w:pPr>
            <w:r>
              <w:rPr>
                <w:rFonts w:hint="eastAsia" w:ascii="宋体" w:hAnsi="宋体" w:eastAsia="宋体" w:cs="宋体"/>
                <w:color w:val="000000"/>
                <w:kern w:val="0"/>
                <w:sz w:val="24"/>
                <w:lang w:bidi="ar"/>
              </w:rPr>
              <w:t>《会计师事务所审批和监督暂行办法》（财政部令第24号）</w:t>
            </w:r>
          </w:p>
        </w:tc>
        <w:tc>
          <w:tcPr>
            <w:tcW w:w="1240" w:type="dxa"/>
            <w:tcBorders>
              <w:top w:val="nil"/>
              <w:left w:val="nil"/>
              <w:bottom w:val="single" w:color="auto" w:sz="4" w:space="0"/>
              <w:right w:val="single" w:color="auto" w:sz="4" w:space="0"/>
            </w:tcBorders>
            <w:shd w:val="clear" w:color="auto" w:fill="auto"/>
            <w:tcMar>
              <w:top w:w="20" w:type="dxa"/>
              <w:left w:w="20" w:type="dxa"/>
              <w:right w:w="20" w:type="dxa"/>
            </w:tcMar>
            <w:vAlign w:val="center"/>
          </w:tcPr>
          <w:p w14:paraId="5F88940A">
            <w:pPr>
              <w:spacing w:line="440" w:lineRule="atLeast"/>
              <w:jc w:val="left"/>
              <w:textAlignment w:val="center"/>
              <w:rPr>
                <w:rFonts w:ascii="宋体" w:hAnsi="宋体" w:eastAsia="宋体" w:cs="宋体"/>
                <w:sz w:val="24"/>
              </w:rPr>
            </w:pPr>
            <w:r>
              <w:rPr>
                <w:rFonts w:hint="eastAsia" w:ascii="宋体" w:hAnsi="宋体" w:eastAsia="宋体" w:cs="宋体"/>
                <w:kern w:val="0"/>
                <w:sz w:val="24"/>
                <w:lang w:bidi="ar"/>
              </w:rPr>
              <w:t>改为后置审批</w:t>
            </w:r>
          </w:p>
        </w:tc>
      </w:tr>
      <w:tr w14:paraId="3B093926">
        <w:tblPrEx>
          <w:tblCellMar>
            <w:top w:w="0" w:type="dxa"/>
            <w:left w:w="0" w:type="dxa"/>
            <w:bottom w:w="0" w:type="dxa"/>
            <w:right w:w="0" w:type="dxa"/>
          </w:tblCellMar>
        </w:tblPrEx>
        <w:trPr>
          <w:trHeight w:val="1200" w:hRule="atLeast"/>
          <w:jc w:val="center"/>
        </w:trPr>
        <w:tc>
          <w:tcPr>
            <w:tcW w:w="0" w:type="auto"/>
            <w:tcBorders>
              <w:top w:val="nil"/>
              <w:left w:val="single" w:color="auto" w:sz="4" w:space="0"/>
              <w:bottom w:val="single" w:color="auto" w:sz="4" w:space="0"/>
              <w:right w:val="single" w:color="auto" w:sz="4" w:space="0"/>
            </w:tcBorders>
            <w:shd w:val="clear" w:color="auto" w:fill="auto"/>
            <w:noWrap/>
            <w:tcMar>
              <w:top w:w="20" w:type="dxa"/>
              <w:left w:w="20" w:type="dxa"/>
              <w:right w:w="20" w:type="dxa"/>
            </w:tcMar>
            <w:vAlign w:val="center"/>
          </w:tcPr>
          <w:p w14:paraId="7FAA8B10">
            <w:pPr>
              <w:spacing w:line="440" w:lineRule="atLeast"/>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w:t>
            </w:r>
          </w:p>
        </w:tc>
        <w:tc>
          <w:tcPr>
            <w:tcW w:w="2320" w:type="dxa"/>
            <w:tcBorders>
              <w:top w:val="nil"/>
              <w:left w:val="nil"/>
              <w:bottom w:val="single" w:color="auto" w:sz="4" w:space="0"/>
              <w:right w:val="single" w:color="auto" w:sz="4" w:space="0"/>
            </w:tcBorders>
            <w:shd w:val="clear" w:color="auto" w:fill="auto"/>
            <w:tcMar>
              <w:top w:w="20" w:type="dxa"/>
              <w:left w:w="20" w:type="dxa"/>
              <w:right w:w="20" w:type="dxa"/>
            </w:tcMar>
            <w:vAlign w:val="center"/>
          </w:tcPr>
          <w:p w14:paraId="6E35C86A">
            <w:pPr>
              <w:spacing w:line="440" w:lineRule="atLeast"/>
              <w:jc w:val="left"/>
              <w:textAlignment w:val="center"/>
              <w:rPr>
                <w:rFonts w:ascii="宋体" w:hAnsi="宋体" w:eastAsia="宋体" w:cs="宋体"/>
                <w:sz w:val="24"/>
              </w:rPr>
            </w:pPr>
            <w:r>
              <w:rPr>
                <w:rFonts w:hint="eastAsia" w:ascii="宋体" w:hAnsi="宋体" w:eastAsia="宋体" w:cs="宋体"/>
                <w:kern w:val="0"/>
                <w:sz w:val="24"/>
                <w:lang w:bidi="ar"/>
              </w:rPr>
              <w:t>中介机构从事会计代理记账业务审批</w:t>
            </w:r>
          </w:p>
        </w:tc>
        <w:tc>
          <w:tcPr>
            <w:tcW w:w="1360" w:type="dxa"/>
            <w:tcBorders>
              <w:top w:val="nil"/>
              <w:left w:val="nil"/>
              <w:bottom w:val="single" w:color="auto" w:sz="4" w:space="0"/>
              <w:right w:val="single" w:color="auto" w:sz="4" w:space="0"/>
            </w:tcBorders>
            <w:shd w:val="clear" w:color="auto" w:fill="auto"/>
            <w:tcMar>
              <w:top w:w="20" w:type="dxa"/>
              <w:left w:w="20" w:type="dxa"/>
              <w:right w:w="20" w:type="dxa"/>
            </w:tcMar>
            <w:vAlign w:val="center"/>
          </w:tcPr>
          <w:p w14:paraId="6366C094">
            <w:pPr>
              <w:spacing w:line="440" w:lineRule="atLeast"/>
              <w:jc w:val="left"/>
              <w:textAlignment w:val="center"/>
              <w:rPr>
                <w:rFonts w:ascii="宋体" w:hAnsi="宋体" w:eastAsia="宋体" w:cs="宋体"/>
                <w:sz w:val="24"/>
              </w:rPr>
            </w:pPr>
            <w:r>
              <w:rPr>
                <w:rFonts w:hint="eastAsia" w:ascii="宋体" w:hAnsi="宋体" w:eastAsia="宋体" w:cs="宋体"/>
                <w:kern w:val="0"/>
                <w:sz w:val="24"/>
                <w:lang w:bidi="ar"/>
              </w:rPr>
              <w:t>省级人民政府财政部门</w:t>
            </w:r>
          </w:p>
        </w:tc>
        <w:tc>
          <w:tcPr>
            <w:tcW w:w="3640" w:type="dxa"/>
            <w:gridSpan w:val="2"/>
            <w:tcBorders>
              <w:top w:val="single" w:color="auto" w:sz="4" w:space="0"/>
              <w:left w:val="nil"/>
              <w:bottom w:val="single" w:color="auto" w:sz="4" w:space="0"/>
              <w:right w:val="single" w:color="auto" w:sz="4" w:space="0"/>
            </w:tcBorders>
            <w:shd w:val="clear" w:color="auto" w:fill="auto"/>
            <w:tcMar>
              <w:top w:w="20" w:type="dxa"/>
              <w:left w:w="20" w:type="dxa"/>
              <w:right w:w="20" w:type="dxa"/>
            </w:tcMar>
            <w:vAlign w:val="center"/>
          </w:tcPr>
          <w:p w14:paraId="13117805">
            <w:pPr>
              <w:spacing w:line="440" w:lineRule="atLeast"/>
              <w:jc w:val="left"/>
              <w:textAlignment w:val="center"/>
              <w:rPr>
                <w:rFonts w:ascii="宋体" w:hAnsi="宋体" w:eastAsia="宋体" w:cs="宋体"/>
                <w:color w:val="000000"/>
                <w:kern w:val="0"/>
                <w:sz w:val="24"/>
                <w:lang w:bidi="ar"/>
              </w:rPr>
            </w:pPr>
            <w:r>
              <w:rPr>
                <w:rFonts w:hint="eastAsia" w:ascii="宋体" w:hAnsi="宋体" w:eastAsia="宋体" w:cs="宋体"/>
                <w:color w:val="000000"/>
                <w:kern w:val="0"/>
                <w:sz w:val="24"/>
                <w:lang w:bidi="ar"/>
              </w:rPr>
              <w:t>《中华人民共和国会计法》</w:t>
            </w:r>
          </w:p>
          <w:p w14:paraId="0FD5FC61">
            <w:pPr>
              <w:spacing w:line="440" w:lineRule="atLeast"/>
              <w:jc w:val="left"/>
              <w:textAlignment w:val="center"/>
              <w:rPr>
                <w:rFonts w:ascii="宋体" w:hAnsi="宋体" w:eastAsia="宋体" w:cs="宋体"/>
                <w:color w:val="000000"/>
                <w:sz w:val="24"/>
              </w:rPr>
            </w:pPr>
            <w:r>
              <w:rPr>
                <w:rFonts w:hint="eastAsia" w:ascii="宋体" w:hAnsi="宋体" w:eastAsia="宋体" w:cs="宋体"/>
                <w:color w:val="000000"/>
                <w:kern w:val="0"/>
                <w:sz w:val="24"/>
                <w:lang w:bidi="ar"/>
              </w:rPr>
              <w:t>《代理记账管理办法》（财政部令第27号）</w:t>
            </w:r>
          </w:p>
        </w:tc>
        <w:tc>
          <w:tcPr>
            <w:tcW w:w="1240" w:type="dxa"/>
            <w:tcBorders>
              <w:top w:val="nil"/>
              <w:left w:val="nil"/>
              <w:bottom w:val="single" w:color="auto" w:sz="4" w:space="0"/>
              <w:right w:val="single" w:color="auto" w:sz="4" w:space="0"/>
            </w:tcBorders>
            <w:shd w:val="clear" w:color="auto" w:fill="auto"/>
            <w:tcMar>
              <w:top w:w="20" w:type="dxa"/>
              <w:left w:w="20" w:type="dxa"/>
              <w:right w:w="20" w:type="dxa"/>
            </w:tcMar>
            <w:vAlign w:val="center"/>
          </w:tcPr>
          <w:p w14:paraId="576EA22D">
            <w:pPr>
              <w:spacing w:line="440" w:lineRule="atLeast"/>
              <w:jc w:val="left"/>
              <w:textAlignment w:val="center"/>
              <w:rPr>
                <w:rFonts w:ascii="宋体" w:hAnsi="宋体" w:eastAsia="宋体" w:cs="宋体"/>
                <w:sz w:val="24"/>
              </w:rPr>
            </w:pPr>
            <w:r>
              <w:rPr>
                <w:rFonts w:hint="eastAsia" w:ascii="宋体" w:hAnsi="宋体" w:eastAsia="宋体" w:cs="宋体"/>
                <w:kern w:val="0"/>
                <w:sz w:val="24"/>
                <w:lang w:bidi="ar"/>
              </w:rPr>
              <w:t>改为后置审批</w:t>
            </w:r>
          </w:p>
        </w:tc>
      </w:tr>
    </w:tbl>
    <w:p w14:paraId="60A8E88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br w:type="page"/>
      </w:r>
    </w:p>
    <w:p w14:paraId="65B1DC78">
      <w:pPr>
        <w:pStyle w:val="5"/>
        <w:spacing w:line="440" w:lineRule="atLeast"/>
        <w:jc w:val="center"/>
        <w:rPr>
          <w:rFonts w:ascii="宋体" w:hAnsi="宋体" w:eastAsia="宋体" w:cs="宋体"/>
        </w:rPr>
      </w:pPr>
      <w:bookmarkStart w:id="26" w:name="_Toc27137"/>
      <w:r>
        <w:rPr>
          <w:rFonts w:hint="eastAsia" w:ascii="宋体" w:hAnsi="宋体" w:eastAsia="宋体" w:cs="宋体"/>
        </w:rPr>
        <w:t>行政事业单位资产清查核实管理办法</w:t>
      </w:r>
      <w:bookmarkEnd w:id="26"/>
    </w:p>
    <w:p w14:paraId="388F63F3">
      <w:pPr>
        <w:shd w:val="clear" w:color="auto" w:fill="FFFFFF"/>
        <w:spacing w:line="440" w:lineRule="atLeast"/>
        <w:jc w:val="center"/>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2016年2月3日财政部发布　财资〔2016〕1号</w:t>
      </w:r>
    </w:p>
    <w:p w14:paraId="179729EB">
      <w:pPr>
        <w:shd w:val="clear" w:color="auto" w:fill="FFFFFF"/>
        <w:spacing w:line="440" w:lineRule="atLeast"/>
        <w:jc w:val="center"/>
        <w:rPr>
          <w:rFonts w:ascii="黑体" w:hAnsi="黑体" w:eastAsia="黑体" w:cs="黑体"/>
          <w:color w:val="000000"/>
          <w:kern w:val="0"/>
          <w:sz w:val="28"/>
          <w:szCs w:val="28"/>
          <w:shd w:val="clear" w:color="auto" w:fill="FFFFFF"/>
        </w:rPr>
      </w:pPr>
      <w:r>
        <w:rPr>
          <w:rFonts w:hint="eastAsia" w:ascii="黑体" w:hAnsi="黑体" w:eastAsia="黑体" w:cs="黑体"/>
          <w:color w:val="000000"/>
          <w:kern w:val="0"/>
          <w:sz w:val="28"/>
          <w:szCs w:val="28"/>
          <w:shd w:val="clear" w:color="auto" w:fill="FFFFFF"/>
        </w:rPr>
        <w:t>第一章　总则</w:t>
      </w:r>
    </w:p>
    <w:p w14:paraId="11524D03">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第一条</w:t>
      </w:r>
      <w:r>
        <w:rPr>
          <w:rFonts w:hint="eastAsia" w:ascii="宋体" w:hAnsi="宋体" w:eastAsia="宋体" w:cs="宋体"/>
          <w:color w:val="000000"/>
          <w:kern w:val="0"/>
          <w:sz w:val="24"/>
          <w:shd w:val="clear" w:color="auto" w:fill="FFFFFF"/>
        </w:rPr>
        <w:t>　为了加强行政事业单位国有资产管理，规范行政事业单位资产清查核实工作（以下简称清查核实），真实反映行政事业单位的资产及财务状况，保障行政事业单位国有资产的安全完整，根据《行政单位国有资产管理暂行办法》（财政部令第35号）、《事业单位国有资产管理暂行办法》（财政部令第36号）和国家有关规定，制定本办法。</w:t>
      </w:r>
    </w:p>
    <w:p w14:paraId="75BD6068">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第二条</w:t>
      </w:r>
      <w:r>
        <w:rPr>
          <w:rFonts w:hint="eastAsia" w:ascii="宋体" w:hAnsi="宋体" w:eastAsia="宋体" w:cs="宋体"/>
          <w:color w:val="000000"/>
          <w:kern w:val="0"/>
          <w:sz w:val="24"/>
          <w:shd w:val="clear" w:color="auto" w:fill="FFFFFF"/>
        </w:rPr>
        <w:t>　本办法所称行政事业单位资产清查，是指各级政府及其财政部门、主管部门和行政事业单位，根据专项工作要求或者特定经济行为需要，按照规定的政策、工作程序和方法，对行政事业单位进行账务清理、财产清查，依法认定各项资产损溢和资金挂账，真实反映行政事业单位国有资产占有使用状况的工作。</w:t>
      </w:r>
    </w:p>
    <w:p w14:paraId="3BB3C84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行政事业单位有下列情形之一的，应当进行资产清查：　</w:t>
      </w:r>
    </w:p>
    <w:p w14:paraId="7B6D597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（一）根据国家专项工作要求或者本级政府及其财政部门实际工作需要，被纳入统一组织的资产清查范围的。</w:t>
      </w:r>
    </w:p>
    <w:p w14:paraId="456B3FF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（二）进行重大改革或者改制的。</w:t>
      </w:r>
    </w:p>
    <w:p w14:paraId="3F39F08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（三）遭受重大自然灾害等不可抗力造成资产严重损失的。</w:t>
      </w:r>
    </w:p>
    <w:p w14:paraId="6897C9D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（四）会计信息严重失真或者国有资产出现重大流失的。</w:t>
      </w:r>
    </w:p>
    <w:p w14:paraId="7FF10EC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（五）会计政策发生重大变更，涉及资产核算方法发生重要变化的。</w:t>
      </w:r>
    </w:p>
    <w:p w14:paraId="3F46903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（六）财政部门、主管部门认为应当进行资产清查的其他情形。</w:t>
      </w:r>
    </w:p>
    <w:p w14:paraId="71023BAE">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第三条</w:t>
      </w:r>
      <w:r>
        <w:rPr>
          <w:rFonts w:hint="eastAsia" w:ascii="宋体" w:hAnsi="宋体" w:eastAsia="宋体" w:cs="宋体"/>
          <w:color w:val="000000"/>
          <w:kern w:val="0"/>
          <w:sz w:val="24"/>
          <w:shd w:val="clear" w:color="auto" w:fill="FFFFFF"/>
        </w:rPr>
        <w:t>　本办法所称行政事业单位资产核实，是指财政部门和主管部门根据国家资产清查核实政策和有关财务、会计制度，对行政事业单位资产清查工作中认定的资产盘盈、资产损失和资金挂账等进行认定批复，并对资产总额进行确认的工作。</w:t>
      </w:r>
    </w:p>
    <w:p w14:paraId="1E3C63BE">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第四条</w:t>
      </w:r>
      <w:r>
        <w:rPr>
          <w:rFonts w:hint="eastAsia" w:ascii="宋体" w:hAnsi="宋体" w:eastAsia="宋体" w:cs="宋体"/>
          <w:color w:val="000000"/>
          <w:kern w:val="0"/>
          <w:sz w:val="24"/>
          <w:shd w:val="clear" w:color="auto" w:fill="FFFFFF"/>
        </w:rPr>
        <w:t>　执行行政或者事业单位财务、会计制度的各级各类行政事业单位和社会团体的清查核实适用本办法。</w:t>
      </w:r>
    </w:p>
    <w:p w14:paraId="4DC13CF4">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第五条</w:t>
      </w:r>
      <w:r>
        <w:rPr>
          <w:rFonts w:hint="eastAsia" w:ascii="宋体" w:hAnsi="宋体" w:eastAsia="宋体" w:cs="宋体"/>
          <w:color w:val="000000"/>
          <w:kern w:val="0"/>
          <w:sz w:val="24"/>
          <w:shd w:val="clear" w:color="auto" w:fill="FFFFFF"/>
        </w:rPr>
        <w:t>　清查核实由财政部门、主管部门和行政事业单位按照“统一政策、分级管理”的原则组织实施。财政部门、主管部门和行政事业单位在规定权限内对资产盘盈、资产损失和资金挂账等事项进行处理，国家另有规定的，依照其规定。</w:t>
      </w:r>
    </w:p>
    <w:p w14:paraId="40806C4C">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第六条</w:t>
      </w:r>
      <w:r>
        <w:rPr>
          <w:rFonts w:hint="eastAsia" w:ascii="宋体" w:hAnsi="宋体" w:eastAsia="宋体" w:cs="宋体"/>
          <w:color w:val="000000"/>
          <w:kern w:val="0"/>
          <w:sz w:val="24"/>
          <w:shd w:val="clear" w:color="auto" w:fill="FFFFFF"/>
        </w:rPr>
        <w:t>　清查核实应当依托行政事业单位资产管理信息系统（以下简称信息系统）开展。</w:t>
      </w:r>
    </w:p>
    <w:p w14:paraId="0C6076B1">
      <w:pPr>
        <w:shd w:val="clear" w:color="auto" w:fill="FFFFFF"/>
        <w:spacing w:line="440" w:lineRule="atLeast"/>
        <w:jc w:val="center"/>
        <w:rPr>
          <w:rFonts w:ascii="黑体" w:hAnsi="黑体" w:eastAsia="黑体" w:cs="黑体"/>
          <w:color w:val="000000"/>
          <w:kern w:val="0"/>
          <w:sz w:val="28"/>
          <w:szCs w:val="28"/>
          <w:shd w:val="clear" w:color="auto" w:fill="FFFFFF"/>
        </w:rPr>
      </w:pPr>
      <w:r>
        <w:rPr>
          <w:rFonts w:hint="eastAsia" w:ascii="黑体" w:hAnsi="黑体" w:eastAsia="黑体" w:cs="黑体"/>
          <w:color w:val="000000"/>
          <w:kern w:val="0"/>
          <w:sz w:val="28"/>
          <w:szCs w:val="28"/>
          <w:shd w:val="clear" w:color="auto" w:fill="FFFFFF"/>
        </w:rPr>
        <w:t>第二章　管理职责</w:t>
      </w:r>
    </w:p>
    <w:p w14:paraId="12A9780F">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第七条</w:t>
      </w:r>
      <w:r>
        <w:rPr>
          <w:rFonts w:hint="eastAsia" w:ascii="宋体" w:hAnsi="宋体" w:eastAsia="宋体" w:cs="宋体"/>
          <w:color w:val="000000"/>
          <w:kern w:val="0"/>
          <w:sz w:val="24"/>
          <w:shd w:val="clear" w:color="auto" w:fill="FFFFFF"/>
        </w:rPr>
        <w:t>　财政部的主要职责是：</w:t>
      </w:r>
    </w:p>
    <w:p w14:paraId="661355E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（一）制定全国行政事业单位资产清查核实制度，并组织实施和监督检查。</w:t>
      </w:r>
    </w:p>
    <w:p w14:paraId="7664E20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（二）负责中央级行政事业单位资产清查立项申请的批复（备案）。</w:t>
      </w:r>
    </w:p>
    <w:p w14:paraId="758F5B3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（三）负责审核中央级行政事业单位资产清查结果，并汇总全国（含本级）行政事业单位资产清查结果。</w:t>
      </w:r>
    </w:p>
    <w:p w14:paraId="5BF0938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（四）按照规定权限审批中央级行政事业单位资产盘盈、资产损失和资金挂账等事项。</w:t>
      </w:r>
    </w:p>
    <w:p w14:paraId="3BCBEE6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（五）指导地方财政部门开展行政事业单位清查核实工作。</w:t>
      </w:r>
    </w:p>
    <w:p w14:paraId="54A58EC9">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第八条</w:t>
      </w:r>
      <w:r>
        <w:rPr>
          <w:rFonts w:hint="eastAsia" w:ascii="宋体" w:hAnsi="宋体" w:eastAsia="宋体" w:cs="宋体"/>
          <w:color w:val="000000"/>
          <w:kern w:val="0"/>
          <w:sz w:val="24"/>
          <w:shd w:val="clear" w:color="auto" w:fill="FFFFFF"/>
        </w:rPr>
        <w:t>　地方各级财政部门的主要职责是：</w:t>
      </w:r>
    </w:p>
    <w:p w14:paraId="67916C8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根据国家及上级财政部门有关行政事业单位资产清查核实的规定和工作需要，制定本地区和本级行政事业单位资产清查核实规章制度，组织开展本地区和本级行政事业单位资产清查核实工作，并负责监督检查。</w:t>
      </w:r>
    </w:p>
    <w:p w14:paraId="6AAFC83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（二）负责本级行政事业单位资产清查立项申请的批复（备案）。</w:t>
      </w:r>
    </w:p>
    <w:p w14:paraId="7AA2941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（三）负责审核本级行政事业单位资产清查结果，并汇总本地区（含本级）行政事业单位资产清查结果，及时向上级财政部门报告工作情况。</w:t>
      </w:r>
    </w:p>
    <w:p w14:paraId="723C42B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（四）按照规定权限审批本级行政事业单位资产盘盈、资产损失和资金挂账等事项。</w:t>
      </w:r>
    </w:p>
    <w:p w14:paraId="1BF6F65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（五）指导下级财政部门开展行政事业单位清查核实工作。</w:t>
      </w:r>
    </w:p>
    <w:p w14:paraId="013D554D">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第九条</w:t>
      </w:r>
      <w:r>
        <w:rPr>
          <w:rFonts w:hint="eastAsia" w:ascii="宋体" w:hAnsi="宋体" w:eastAsia="宋体" w:cs="宋体"/>
          <w:color w:val="000000"/>
          <w:kern w:val="0"/>
          <w:sz w:val="24"/>
          <w:shd w:val="clear" w:color="auto" w:fill="FFFFFF"/>
        </w:rPr>
        <w:t>　主管部门的主要职责是：</w:t>
      </w:r>
    </w:p>
    <w:p w14:paraId="3E3F3C2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（一）负责审批或者提出本部门所属行政事业单位的资产清查立项申请。</w:t>
      </w:r>
    </w:p>
    <w:p w14:paraId="6E158A5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（二）负责指导本部门所属行政事业单位制定资产清查实施方案，并对所属行政事业单位资产清查工作进行监督检查。</w:t>
      </w:r>
    </w:p>
    <w:p w14:paraId="02DF3B0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（三）按照规定权限审核或者审批本部门行政事业单位资产盘盈、资产损失和资金挂账等事项。</w:t>
      </w:r>
    </w:p>
    <w:p w14:paraId="72C8217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（四）负责审核汇总本部门所属行政事业单位资产清查结果，并向同级财政部门报送资产清查报告。</w:t>
      </w:r>
    </w:p>
    <w:p w14:paraId="72AF8AC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（五）根据有关部门出具的资产核实批复文件，指导和监督本部门所属行政事业单位调整信息系统相关数据并进行账务处理。</w:t>
      </w:r>
    </w:p>
    <w:p w14:paraId="570A7F68">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第十条</w:t>
      </w:r>
      <w:r>
        <w:rPr>
          <w:rFonts w:hint="eastAsia" w:ascii="宋体" w:hAnsi="宋体" w:eastAsia="宋体" w:cs="宋体"/>
          <w:color w:val="000000"/>
          <w:kern w:val="0"/>
          <w:sz w:val="24"/>
          <w:shd w:val="clear" w:color="auto" w:fill="FFFFFF"/>
        </w:rPr>
        <w:t>　行政事业单位的主要职责是：</w:t>
      </w:r>
    </w:p>
    <w:p w14:paraId="11E6BB0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（一）向主管部门提出资产清查立项申请。</w:t>
      </w:r>
    </w:p>
    <w:p w14:paraId="3A3E251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（二）负责制定本单位资产清查实施方案，具体组织开展资产清查工作，并向主管部门报送资产清查结果。</w:t>
      </w:r>
    </w:p>
    <w:p w14:paraId="60A1EAC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（三）根据有关部门出具的资产核实批复文件，调整信息系统相关数据，进行账务处理，并报主管部门备案。</w:t>
      </w:r>
    </w:p>
    <w:p w14:paraId="1F8C728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（四）负责办理相关资产管理手续。</w:t>
      </w:r>
    </w:p>
    <w:p w14:paraId="7F4D1C58">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第十一条</w:t>
      </w:r>
      <w:r>
        <w:rPr>
          <w:rFonts w:hint="eastAsia" w:ascii="宋体" w:hAnsi="宋体" w:eastAsia="宋体" w:cs="宋体"/>
          <w:color w:val="000000"/>
          <w:kern w:val="0"/>
          <w:sz w:val="24"/>
          <w:shd w:val="clear" w:color="auto" w:fill="FFFFFF"/>
        </w:rPr>
        <w:t>　财政部门、主管部门或行政事业单位组织开展行政事业单位资产清查核实，应当明确内部工作机构。</w:t>
      </w:r>
    </w:p>
    <w:p w14:paraId="0D17C074">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第十二条</w:t>
      </w:r>
      <w:r>
        <w:rPr>
          <w:rFonts w:hint="eastAsia" w:ascii="宋体" w:hAnsi="宋体" w:eastAsia="宋体" w:cs="宋体"/>
          <w:color w:val="000000"/>
          <w:kern w:val="0"/>
          <w:sz w:val="24"/>
          <w:shd w:val="clear" w:color="auto" w:fill="FFFFFF"/>
        </w:rPr>
        <w:t>　行政事业单位因自身工作需要，定期或者不定期对资产进行的清查盘点，不需要报经财政部门或者主管部门审批。</w:t>
      </w:r>
    </w:p>
    <w:p w14:paraId="608301D4">
      <w:pPr>
        <w:shd w:val="clear" w:color="auto" w:fill="FFFFFF"/>
        <w:spacing w:line="440" w:lineRule="atLeast"/>
        <w:jc w:val="center"/>
        <w:rPr>
          <w:rFonts w:ascii="黑体" w:hAnsi="黑体" w:eastAsia="黑体" w:cs="黑体"/>
          <w:color w:val="000000"/>
          <w:kern w:val="0"/>
          <w:sz w:val="28"/>
          <w:szCs w:val="28"/>
          <w:shd w:val="clear" w:color="auto" w:fill="FFFFFF"/>
        </w:rPr>
      </w:pPr>
      <w:r>
        <w:rPr>
          <w:rFonts w:hint="eastAsia" w:ascii="黑体" w:hAnsi="黑体" w:eastAsia="黑体" w:cs="黑体"/>
          <w:color w:val="000000"/>
          <w:kern w:val="0"/>
          <w:sz w:val="28"/>
          <w:szCs w:val="28"/>
          <w:shd w:val="clear" w:color="auto" w:fill="FFFFFF"/>
        </w:rPr>
        <w:t>第三章　资产清查的程序、内容</w:t>
      </w:r>
    </w:p>
    <w:p w14:paraId="67506D00">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第十三条</w:t>
      </w:r>
      <w:r>
        <w:rPr>
          <w:rFonts w:hint="eastAsia" w:ascii="宋体" w:hAnsi="宋体" w:eastAsia="宋体" w:cs="宋体"/>
          <w:color w:val="000000"/>
          <w:kern w:val="0"/>
          <w:sz w:val="24"/>
          <w:shd w:val="clear" w:color="auto" w:fill="FFFFFF"/>
        </w:rPr>
        <w:t>　资产清查工作根据组织主体不同，分别按照以下程序进行：</w:t>
      </w:r>
    </w:p>
    <w:p w14:paraId="15E36C9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由各级政府及其财政部门组织开展的资产清查工作。由各级政府及其财政部门统一部署，明确清查范围、基准日等。行政事业单位在主管部门、同级财政部门的监督指导下明确本单位资产清查工作机构，制定资产清查工作实施方案，根据方案组织清查，必要时可委托社会中介机构对清查结果进行专项审计，并形成资产清查报告按规定逐级上报。财政部门和主管部门对报送的资产清查结果进行审核确认。</w:t>
      </w:r>
    </w:p>
    <w:p w14:paraId="612643B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由各主管部门组织开展的资产清查工作。主管部门应当向同级财政部门提出资产清查立项申请，说明资产清查的原因，明确清查范围和基准日等内容，经同级财政部门同意立项后按照本条第一项规定程序组织实施。</w:t>
      </w:r>
    </w:p>
    <w:p w14:paraId="0917866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由行政事业单位组织开展的资产清查工作。行政事业单位应当向主管部门提出资产清查立项申请，说明资产清查的原因，明确清查范围和基准日等内容，经主管部门同意立项后，在主管部门的监督指导下明确本单位资产清查工作机构，制定实施方案，根据方案组织清查，必要时可委托社会中介机构对清查结果进行专项审计，并形成资产清查报告按规定逐级上报至主管部门审核确认。</w:t>
      </w:r>
    </w:p>
    <w:p w14:paraId="502C6F9D">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第十四条</w:t>
      </w:r>
      <w:r>
        <w:rPr>
          <w:rFonts w:hint="eastAsia" w:ascii="宋体" w:hAnsi="宋体" w:eastAsia="宋体" w:cs="宋体"/>
          <w:color w:val="000000"/>
          <w:kern w:val="0"/>
          <w:sz w:val="24"/>
          <w:shd w:val="clear" w:color="auto" w:fill="FFFFFF"/>
        </w:rPr>
        <w:t>　行政事业单位可以委托依法设立的，具备与所承担工作相适应的专业人员和专业胜任能力的会计师事务所等社会中介机构对资产清查结果进行专项审计。财政部门或者主管部门认为必要时，可以直接委托社会中介机构对资产清查结果进行专项审计或复核。</w:t>
      </w:r>
    </w:p>
    <w:p w14:paraId="2027F41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资产清查工作专项审计费用，按照“谁委托，谁付费”的原则，由委托方承担。</w:t>
      </w:r>
    </w:p>
    <w:p w14:paraId="7AFFF2A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涉密单位资产清查结果可由内审机构开展审计。如确需社会中介机构进行专项审计的，应当按照国家保密管理的规定做好保密工作。</w:t>
      </w:r>
    </w:p>
    <w:p w14:paraId="1C20555F">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第十五条</w:t>
      </w:r>
      <w:r>
        <w:rPr>
          <w:rFonts w:hint="eastAsia" w:ascii="宋体" w:hAnsi="宋体" w:eastAsia="宋体" w:cs="宋体"/>
          <w:color w:val="000000"/>
          <w:kern w:val="0"/>
          <w:sz w:val="24"/>
          <w:shd w:val="clear" w:color="auto" w:fill="FFFFFF"/>
        </w:rPr>
        <w:t>　资产清查工作内容主要包括单位基本情况清理、账务清理、财产清查和完善制度等。</w:t>
      </w:r>
    </w:p>
    <w:p w14:paraId="044239C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单位基本情况清理是指对应当纳入资产清查工作范围的所属单位户数、机构及人员状况等基本情况进行全面清理。</w:t>
      </w:r>
    </w:p>
    <w:p w14:paraId="130FA0F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账务清理是指对行政事业单位的各种银行账户、各类库存现金、有价证券、各项资金往来和会计核算科目等基本账务情况进行全面核对和清理。</w:t>
      </w:r>
    </w:p>
    <w:p w14:paraId="45FF9C4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财产清查是指对行政事业单位的各项资产进行全面的清理、核对和查实。行政事业单位对清查出的各种资产盘盈、损失和资金挂账应当按照资产清查要求进行分类，提出相关处理建议。</w:t>
      </w:r>
    </w:p>
    <w:p w14:paraId="443E4A7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完善制度是指针对资产清查工作中发现的问题，进行全面总结、认真分析，提出相应整改措施和实施计划，建立健全资产管理制度。</w:t>
      </w:r>
    </w:p>
    <w:p w14:paraId="3B95F8BD">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第十六条</w:t>
      </w:r>
      <w:r>
        <w:rPr>
          <w:rFonts w:hint="eastAsia" w:ascii="宋体" w:hAnsi="宋体" w:eastAsia="宋体" w:cs="宋体"/>
          <w:color w:val="000000"/>
          <w:kern w:val="0"/>
          <w:sz w:val="24"/>
          <w:shd w:val="clear" w:color="auto" w:fill="FFFFFF"/>
        </w:rPr>
        <w:t>　行政事业单位资产清查报告主要包括下列内容：</w:t>
      </w:r>
    </w:p>
    <w:p w14:paraId="414F833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（一）工作报告。主要反映本单位的资产清查工作基本情况和结果，应当包括本单位资产清查的基准日、范围、内容、结果，基准日资产及财务状况，对清查中发现的问题的整改措施和实施计划。</w:t>
      </w:r>
    </w:p>
    <w:p w14:paraId="270D5D9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（二）清查报表。按照规定在信息系统中填报的资产清查报表及相关纸质报表。</w:t>
      </w:r>
    </w:p>
    <w:p w14:paraId="3AF1A15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（三）专项审计报告。社会中介机构对行政事业单位资产清查结果出具的经注册会计师签字的专项审计报告。</w:t>
      </w:r>
    </w:p>
    <w:p w14:paraId="2A4E3CF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（四）证明材料。清查出的资产盘盈、资产损失和资金挂账等的相关凭证资料和具有法律效力的证明材料。</w:t>
      </w:r>
    </w:p>
    <w:p w14:paraId="361BB1C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（五）其他需要提供的备查材料。</w:t>
      </w:r>
    </w:p>
    <w:p w14:paraId="2DBAF82A">
      <w:pPr>
        <w:shd w:val="clear" w:color="auto" w:fill="FFFFFF"/>
        <w:spacing w:line="440" w:lineRule="atLeast"/>
        <w:jc w:val="center"/>
        <w:rPr>
          <w:rFonts w:ascii="黑体" w:hAnsi="黑体" w:eastAsia="黑体" w:cs="黑体"/>
          <w:color w:val="000000"/>
          <w:kern w:val="0"/>
          <w:sz w:val="28"/>
          <w:szCs w:val="28"/>
          <w:shd w:val="clear" w:color="auto" w:fill="FFFFFF"/>
        </w:rPr>
      </w:pPr>
      <w:r>
        <w:rPr>
          <w:rFonts w:hint="eastAsia" w:ascii="黑体" w:hAnsi="黑体" w:eastAsia="黑体" w:cs="黑体"/>
          <w:color w:val="000000"/>
          <w:kern w:val="0"/>
          <w:sz w:val="28"/>
          <w:szCs w:val="28"/>
          <w:shd w:val="clear" w:color="auto" w:fill="FFFFFF"/>
        </w:rPr>
        <w:t>第四章　资产盘盈</w:t>
      </w:r>
    </w:p>
    <w:p w14:paraId="01FA48FD">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第十七条</w:t>
      </w:r>
      <w:r>
        <w:rPr>
          <w:rFonts w:hint="eastAsia" w:ascii="宋体" w:hAnsi="宋体" w:eastAsia="宋体" w:cs="宋体"/>
          <w:color w:val="000000"/>
          <w:kern w:val="0"/>
          <w:sz w:val="24"/>
          <w:shd w:val="clear" w:color="auto" w:fill="FFFFFF"/>
        </w:rPr>
        <w:t>　资产盘盈是指行政事业单位在资产清查基准日无账面记载，但单位实际占有使用的能以货币计量的经济资源，包括货币资金盘盈、存货盘盈、对外投资盘盈、固定资产盘盈、无形资产盘盈、往来款项盘盈等。</w:t>
      </w:r>
    </w:p>
    <w:p w14:paraId="32A8E4FD">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第十八条</w:t>
      </w:r>
      <w:r>
        <w:rPr>
          <w:rFonts w:hint="eastAsia" w:ascii="宋体" w:hAnsi="宋体" w:eastAsia="宋体" w:cs="宋体"/>
          <w:color w:val="000000"/>
          <w:kern w:val="0"/>
          <w:sz w:val="24"/>
          <w:shd w:val="clear" w:color="auto" w:fill="FFFFFF"/>
        </w:rPr>
        <w:t>　货币资金盘盈是指行政事业单位清查出的无账面记载或者反映的现金和各类存款等，具体按照以下方式认定：</w:t>
      </w:r>
    </w:p>
    <w:p w14:paraId="43BB868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（一）现金盘盈，根据现金保管人确认的现金盘点情况（包括倒推至基准日的记录）和现金保管人对于现金盘盈的说明等进行认定。</w:t>
      </w:r>
    </w:p>
    <w:p w14:paraId="2E65B94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（二）存款盘盈，根据银行对账单和银行存款余额调节表进行认定。</w:t>
      </w:r>
    </w:p>
    <w:p w14:paraId="7B92490E">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第十九条</w:t>
      </w:r>
      <w:r>
        <w:rPr>
          <w:rFonts w:hint="eastAsia" w:ascii="宋体" w:hAnsi="宋体" w:eastAsia="宋体" w:cs="宋体"/>
          <w:color w:val="000000"/>
          <w:kern w:val="0"/>
          <w:sz w:val="24"/>
          <w:shd w:val="clear" w:color="auto" w:fill="FFFFFF"/>
        </w:rPr>
        <w:t>　存货盘盈是指行政事业单位清查出的无账面记载或者反映的材料、燃料、包装物、低值易耗品及达不到固定资产标准的用具、装具、动植物等。</w:t>
      </w:r>
    </w:p>
    <w:p w14:paraId="5CC5F70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存货盘盈根据存货明细表和保管人对于盘盈的情况说明、价值确定依据等进行认定。</w:t>
      </w:r>
    </w:p>
    <w:p w14:paraId="2389AD4F">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第二十条</w:t>
      </w:r>
      <w:r>
        <w:rPr>
          <w:rFonts w:hint="eastAsia" w:ascii="宋体" w:hAnsi="宋体" w:eastAsia="宋体" w:cs="宋体"/>
          <w:color w:val="000000"/>
          <w:kern w:val="0"/>
          <w:sz w:val="24"/>
          <w:shd w:val="clear" w:color="auto" w:fill="FFFFFF"/>
        </w:rPr>
        <w:t>　对外投资盘盈是指行政事业单位清查出的无账面记载或者反映的单位对外投资。</w:t>
      </w:r>
    </w:p>
    <w:p w14:paraId="5013971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对外投资盘盈，根据对外投资合同（协议）、价值确定依据、情况说明等进行认定。</w:t>
      </w:r>
    </w:p>
    <w:p w14:paraId="4A62F38E">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第二十一条</w:t>
      </w:r>
      <w:r>
        <w:rPr>
          <w:rFonts w:hint="eastAsia" w:ascii="宋体" w:hAnsi="宋体" w:eastAsia="宋体" w:cs="宋体"/>
          <w:color w:val="000000"/>
          <w:kern w:val="0"/>
          <w:sz w:val="24"/>
          <w:shd w:val="clear" w:color="auto" w:fill="FFFFFF"/>
        </w:rPr>
        <w:t>　固定资产盘盈是指行政事业单位清查出的无账面记载或者反映的固定资产。</w:t>
      </w:r>
    </w:p>
    <w:p w14:paraId="769A24F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固定资产盘盈根据固定资产盘点单、盘盈情况说明、盘盈价值确定依据（同类资产的市场价格、类似资产的购买合同、发票或竣工决算资料）等进行认定。</w:t>
      </w:r>
    </w:p>
    <w:p w14:paraId="2DB94E05">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第二十二条</w:t>
      </w:r>
      <w:r>
        <w:rPr>
          <w:rFonts w:hint="eastAsia" w:ascii="宋体" w:hAnsi="宋体" w:eastAsia="宋体" w:cs="宋体"/>
          <w:color w:val="000000"/>
          <w:kern w:val="0"/>
          <w:sz w:val="24"/>
          <w:shd w:val="clear" w:color="auto" w:fill="FFFFFF"/>
        </w:rPr>
        <w:t>　固定资产盘盈按照以下方式处理：</w:t>
      </w:r>
    </w:p>
    <w:p w14:paraId="05848A3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行政事业单位清理出不属于纪检、监察部门规定清退范围的账外固定资产，且长期无偿占有使用的，若产权属于其他行政事业单位的，在当事双方协商一致的基础上，可以按照国家行政事业单位国有资产管理的相关规定办理无偿划拨；若产权属于其他国有企业的，在当事双方协商一致的基础上，可以按照国家国有企业资产管理的相关规定办理无偿划拨；若产权属于其他单位的，应当在尊重产权单位意见的基础上，由当事双方协商解决。如行政事业单位需要收购或租赁该资产的，应当按照市场价值签订转让或租赁合同，并按照规定程序上报。</w:t>
      </w:r>
    </w:p>
    <w:p w14:paraId="7ED90F9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（二）清查出的因历史原因而无法入账的无主财产，依法确认为国有资产的，应当及时入账，纳入国有资产管理范围。</w:t>
      </w:r>
    </w:p>
    <w:p w14:paraId="0578EFE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（三）清查出的已投入使用但尚未办理决算手续的固定资产，按照估计价值入账，待确定实际成本后再进行调整。</w:t>
      </w:r>
    </w:p>
    <w:p w14:paraId="56326DD9">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第二十三条</w:t>
      </w:r>
      <w:r>
        <w:rPr>
          <w:rFonts w:hint="eastAsia" w:ascii="宋体" w:hAnsi="宋体" w:eastAsia="宋体" w:cs="宋体"/>
          <w:color w:val="000000"/>
          <w:kern w:val="0"/>
          <w:sz w:val="24"/>
          <w:shd w:val="clear" w:color="auto" w:fill="FFFFFF"/>
        </w:rPr>
        <w:t>　无形资产盘盈是指行政事业单位清查出的无账面记载或者反映的无形资产。</w:t>
      </w:r>
    </w:p>
    <w:p w14:paraId="2AF222F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无形资产盘盈根据无形资产盘点单、盘盈情况说明、盘盈价值确定依据（同类资产的市场价格、类似资产的购买合同、发票或自行开发资料）等进行认定。</w:t>
      </w:r>
    </w:p>
    <w:p w14:paraId="493E2D27">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第二十四条</w:t>
      </w:r>
      <w:r>
        <w:rPr>
          <w:rFonts w:hint="eastAsia" w:ascii="宋体" w:hAnsi="宋体" w:eastAsia="宋体" w:cs="宋体"/>
          <w:color w:val="000000"/>
          <w:kern w:val="0"/>
          <w:sz w:val="24"/>
          <w:shd w:val="clear" w:color="auto" w:fill="FFFFFF"/>
        </w:rPr>
        <w:t>　应收票据、应收账款和预付账款等往来款项盘盈是指行政事业单位清查出的无账面记载或者反映的应收票据、应收账款和预付账款等往来款项。</w:t>
      </w:r>
    </w:p>
    <w:p w14:paraId="48F86B1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应收票据、应收账款和预付账款等往来款项盘盈，根据清查明细表、盘盈情况说明、与对方单位的对账单或询证函等进行认定。</w:t>
      </w:r>
    </w:p>
    <w:p w14:paraId="38499CCC">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第二十五条</w:t>
      </w:r>
      <w:r>
        <w:rPr>
          <w:rFonts w:hint="eastAsia" w:ascii="宋体" w:hAnsi="宋体" w:eastAsia="宋体" w:cs="宋体"/>
          <w:color w:val="000000"/>
          <w:kern w:val="0"/>
          <w:sz w:val="24"/>
          <w:shd w:val="clear" w:color="auto" w:fill="FFFFFF"/>
        </w:rPr>
        <w:t>　对于清查出来的缺乏价值确定依据的盘盈资产，可以委托具有专业胜任能力的资产评估机构进行资产评估，以评估值作为价值确定依据，没有相关凭据也未经评估的，应当按照名义金额（即人民币1元）入账。</w:t>
      </w:r>
    </w:p>
    <w:p w14:paraId="7C6390A3">
      <w:pPr>
        <w:shd w:val="clear" w:color="auto" w:fill="FFFFFF"/>
        <w:spacing w:line="440" w:lineRule="atLeast"/>
        <w:jc w:val="center"/>
        <w:rPr>
          <w:rFonts w:ascii="黑体" w:hAnsi="黑体" w:eastAsia="黑体" w:cs="黑体"/>
          <w:color w:val="000000"/>
          <w:kern w:val="0"/>
          <w:sz w:val="28"/>
          <w:szCs w:val="28"/>
          <w:shd w:val="clear" w:color="auto" w:fill="FFFFFF"/>
        </w:rPr>
      </w:pPr>
      <w:r>
        <w:rPr>
          <w:rFonts w:hint="eastAsia" w:ascii="黑体" w:hAnsi="黑体" w:eastAsia="黑体" w:cs="黑体"/>
          <w:color w:val="000000"/>
          <w:kern w:val="0"/>
          <w:sz w:val="28"/>
          <w:szCs w:val="28"/>
          <w:shd w:val="clear" w:color="auto" w:fill="FFFFFF"/>
        </w:rPr>
        <w:t>第五章　资产损失</w:t>
      </w:r>
    </w:p>
    <w:p w14:paraId="177D4E63">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第二十六条</w:t>
      </w:r>
      <w:r>
        <w:rPr>
          <w:rFonts w:hint="eastAsia" w:ascii="宋体" w:hAnsi="宋体" w:eastAsia="宋体" w:cs="宋体"/>
          <w:color w:val="000000"/>
          <w:kern w:val="0"/>
          <w:sz w:val="24"/>
          <w:shd w:val="clear" w:color="auto" w:fill="FFFFFF"/>
        </w:rPr>
        <w:t>　资产损失是指行政事业单位在资产清查基准日有账面记载，但实际发生的短少、毁损、被盗或者丧失使用价值的，能以货币计量的经济资源，包括货币资金损失、坏账损失、存货损失、对外投资损失、固定资产损失、无形资产损失等。</w:t>
      </w:r>
    </w:p>
    <w:p w14:paraId="50DB5CD7">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第二十七条</w:t>
      </w:r>
      <w:r>
        <w:rPr>
          <w:rFonts w:hint="eastAsia" w:ascii="宋体" w:hAnsi="宋体" w:eastAsia="宋体" w:cs="宋体"/>
          <w:color w:val="000000"/>
          <w:kern w:val="0"/>
          <w:sz w:val="24"/>
          <w:shd w:val="clear" w:color="auto" w:fill="FFFFFF"/>
        </w:rPr>
        <w:t>　行政事业单位清查出的资产损失应当逐项清理，取得合法证据后，对损失项目及金额按照规定进行认定。对已取得具有法律效力的外部证据，而无法确定损失金额的，根据社会中介机构出具的经济鉴证证明进行认定。</w:t>
      </w:r>
    </w:p>
    <w:p w14:paraId="7310E4BB">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第二十八条</w:t>
      </w:r>
      <w:r>
        <w:rPr>
          <w:rFonts w:hint="eastAsia" w:ascii="宋体" w:hAnsi="宋体" w:eastAsia="宋体" w:cs="宋体"/>
          <w:color w:val="000000"/>
          <w:kern w:val="0"/>
          <w:sz w:val="24"/>
          <w:shd w:val="clear" w:color="auto" w:fill="FFFFFF"/>
        </w:rPr>
        <w:t>　货币资金损失是指行政事业单位清查出的现金短缺和各类存款损失等。</w:t>
      </w:r>
    </w:p>
    <w:p w14:paraId="394D0BE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现金短缺，在扣除责任人赔偿后，根据现金盘点情况（包括倒推至基准日的记录）、社会中介机构出具的经济鉴证证明、短款说明及核准文件、赔偿责任认定及说明、司法涉案材料等进行认定。各类存款损失的认定比照执行。</w:t>
      </w:r>
    </w:p>
    <w:p w14:paraId="4BE02A92">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第二十九条</w:t>
      </w:r>
      <w:r>
        <w:rPr>
          <w:rFonts w:hint="eastAsia" w:ascii="宋体" w:hAnsi="宋体" w:eastAsia="宋体" w:cs="宋体"/>
          <w:color w:val="000000"/>
          <w:kern w:val="0"/>
          <w:sz w:val="24"/>
          <w:shd w:val="clear" w:color="auto" w:fill="FFFFFF"/>
        </w:rPr>
        <w:t>　坏账损失是指行政事业单位清查出的不能收回的各项应收款项造成的损失。清查出的各项坏账，应当分析原因，对有合法证据证明确实不能收回的应收款项，按照以下方式处理：</w:t>
      </w:r>
    </w:p>
    <w:p w14:paraId="207C943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因债务人被宣告破产、撤销注销工商登记或者被政府责令关闭等导致无法收回的应收款项，应当根据法院的破产公告、破产清算文件、工商部门的撤销注销证明、政府部门有关文件等进行认定。已经清算的，应当对扣除清偿部分后不能收回的款项认定为损失。</w:t>
      </w:r>
    </w:p>
    <w:p w14:paraId="475B82B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（二）债务人死亡或者依法被宣告失踪、死亡，其财产或者遗产不足清偿且没有继承人的应收款项，应当在取得相关法律文件后认定为损失。</w:t>
      </w:r>
    </w:p>
    <w:p w14:paraId="77FAB4C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（三）因不可抗力因素（自然灾害、意外事故）无法收回的应收款项，由单位做出专项说明，可以根据社会中介机构出具的经济鉴证证明认定损失。　</w:t>
      </w:r>
    </w:p>
    <w:p w14:paraId="3D22188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（四）涉诉的应收款项，已生效的人民法院判决书、裁定书判定、裁定其败诉的，或者虽然胜诉但因无法执行被裁定终止执行的，认定为损失。</w:t>
      </w:r>
    </w:p>
    <w:p w14:paraId="59B1718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逾期3年的应收款项，具有依法催收磋商记录，并且能够确认3年内没有任何业务往来的，应当根据社会中介机构出具的经济鉴证证明，在扣除应付该债务人的各种款项和有关责任人员的赔偿后的余额，认定为损失。</w:t>
      </w:r>
    </w:p>
    <w:p w14:paraId="6CD2562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六）逾期3年的应收款项，债务人在国外及我国香港、澳门、台湾地区的，经依法催收仍未收回，且在3年内没有任何业务往来的，在取得境外社会中介机构出具的终止收款意见书，或者取得我国驻外使（领）馆商务机构出具的债务人逃亡、破产证明后，认定为损失。</w:t>
      </w:r>
    </w:p>
    <w:p w14:paraId="4F2C172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（七）逾期3年以上、单笔数额较小、不足以弥补清收成本的，由单位作出专项说明，根据社会中介机构出具的经济鉴证证明认定损失。</w:t>
      </w:r>
    </w:p>
    <w:p w14:paraId="25E5A269">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第三十条</w:t>
      </w:r>
      <w:r>
        <w:rPr>
          <w:rFonts w:hint="eastAsia" w:ascii="宋体" w:hAnsi="宋体" w:eastAsia="宋体" w:cs="宋体"/>
          <w:color w:val="000000"/>
          <w:kern w:val="0"/>
          <w:sz w:val="24"/>
          <w:shd w:val="clear" w:color="auto" w:fill="FFFFFF"/>
        </w:rPr>
        <w:t>　存货损失是指行政事业单位材料、燃料、包装物、低值易耗品及达不到固定资产标准的用具、装具、动植物等因盘亏、毁损、报废、被盗等原因造成的损失。具体按以下方式认定：</w:t>
      </w:r>
    </w:p>
    <w:p w14:paraId="78144B1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（一）盘亏的存货，扣除责任人赔偿后的部分，可以根据存货盘点单、社会中介机构出具的经济鉴证证明、盘亏情况说明、盘亏的价值确定依据、赔偿责任认定说明和内部核批文件等认定损失。</w:t>
      </w:r>
    </w:p>
    <w:p w14:paraId="5F61FB0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毁损、报废的存货，扣除残值及保险赔偿或责任人赔偿后的部分，可以根据国家有关技术鉴定部门或具有技术鉴定资格的社会中介机构出具的技术鉴定证明（涉及保险索赔的应当有保险公司理赔情况说明）、毁损报废说明、赔偿责任认定说明和内部核批文件等认定损失。</w:t>
      </w:r>
    </w:p>
    <w:p w14:paraId="112D490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（三）被盗的存货，扣除保险理赔及责任人赔偿后的部分，可以根据公安机关案件受理证明或结案证明、责任认定及赔偿情况说明（涉及保险索赔的应当有保险公司理赔情况说明）认定损失。</w:t>
      </w:r>
    </w:p>
    <w:p w14:paraId="193697DC">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第三十一条</w:t>
      </w:r>
      <w:r>
        <w:rPr>
          <w:rFonts w:hint="eastAsia" w:ascii="宋体" w:hAnsi="宋体" w:eastAsia="宋体" w:cs="宋体"/>
          <w:color w:val="000000"/>
          <w:kern w:val="0"/>
          <w:sz w:val="24"/>
          <w:shd w:val="clear" w:color="auto" w:fill="FFFFFF"/>
        </w:rPr>
        <w:t>　对外投资损失，应当分析原因，有合法证据证明确实不能收回的，区分以下情况可以认定损失：</w:t>
      </w:r>
    </w:p>
    <w:p w14:paraId="097E006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因被投资单位已宣告破产、被撤销注销工商登记或者被政府责令关闭等情况造成难以收回的对外投资，可以根据法院的破产公告或者破产清算的清偿文件、工商部门的撤销注销文件、政府有关部门的行政决定等认定损失。</w:t>
      </w:r>
    </w:p>
    <w:p w14:paraId="6DB70EA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已经清算的，扣除清算资产清偿后的差额部分，可以认定为损失。</w:t>
      </w:r>
    </w:p>
    <w:p w14:paraId="430FDB1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尚未清算的，被投资单位剩余资产确实不足清偿投资的差额部分，根据社会中介机构出具的经济鉴证证明，认定为损失。</w:t>
      </w:r>
    </w:p>
    <w:p w14:paraId="2C0FD9E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（二）对事业单位参股投资、金额较小、不具有控制权的对外投资，被投资单位已资不抵债且连续停止经营3年以上的，根据社会中介机构出具的经济鉴证证明，对确实不能收回的部分，认定为损失。</w:t>
      </w:r>
    </w:p>
    <w:p w14:paraId="7404099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（三）债券等短期投资，未进行交割或清理的，不能认定为损失。</w:t>
      </w:r>
    </w:p>
    <w:p w14:paraId="2C9D9022">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第三十二条</w:t>
      </w:r>
      <w:r>
        <w:rPr>
          <w:rFonts w:hint="eastAsia" w:ascii="宋体" w:hAnsi="宋体" w:eastAsia="宋体" w:cs="宋体"/>
          <w:color w:val="000000"/>
          <w:kern w:val="0"/>
          <w:sz w:val="24"/>
          <w:shd w:val="clear" w:color="auto" w:fill="FFFFFF"/>
        </w:rPr>
        <w:t>　固定资产损失是指行政事业单位房屋及构筑物、通用设备、专用设备、文物和陈列品、图书档案、家具用具装具及动植物等因盘亏、毁损、报废、被盗等原因造成的损失。具体按以下方式认定：</w:t>
      </w:r>
    </w:p>
    <w:p w14:paraId="48C37DC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（一）盘亏的固定资产，扣除责任人赔偿后的差额部分，可以根据固定资产盘点单、盘亏情况说明、盘亏的价值确定依据、社会中介机构出具的经济鉴证证明、赔偿责任认定说明和内部核批文件等认定。</w:t>
      </w:r>
    </w:p>
    <w:p w14:paraId="02DF66C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毁损、报废的固定资产，扣除残值、保险赔偿和责任人赔偿后的差额部分，可以根据国家有关技术鉴定部门或具有技术鉴定资格的社会中介机构出具的技术鉴定证明（涉及保险索赔的应当有保险公司的出险调查单和理赔计算单、保险公司理赔情况说明）、毁损报废说明、赔偿责任认定说明和内部核批文件等认定。</w:t>
      </w:r>
    </w:p>
    <w:p w14:paraId="4F3AAF1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因不可抗力因素（自然灾害、意外事故）造成固定资产毁损、报废的，应当依据相关部门出具的事故处理报告、车辆报损证明、房屋拆除证明、受灾证明等鉴定报告认定。</w:t>
      </w:r>
    </w:p>
    <w:p w14:paraId="259292A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被盗的固定资产，扣除保险理赔及责任人赔偿后的部分，可以根据公安机关案件受理证明或结案证明、责任认定及赔偿情况说明（涉及保险索赔的应当有保险公司的出险调查单和理赔计算单、保险公司理赔情况说明）认定。</w:t>
      </w:r>
    </w:p>
    <w:p w14:paraId="232CE300">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第三十三条</w:t>
      </w:r>
      <w:r>
        <w:rPr>
          <w:rFonts w:hint="eastAsia" w:ascii="宋体" w:hAnsi="宋体" w:eastAsia="宋体" w:cs="宋体"/>
          <w:color w:val="000000"/>
          <w:kern w:val="0"/>
          <w:sz w:val="24"/>
          <w:shd w:val="clear" w:color="auto" w:fill="FFFFFF"/>
        </w:rPr>
        <w:t>　无形资产损失是指无形资产因被其他新技术所代替或者已经超过了法律保护的期限、丧失了使用价值和转让价值等所造成的损失。</w:t>
      </w:r>
    </w:p>
    <w:p w14:paraId="106AF03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无形资产损失，可以根据有关技术部门的鉴定材料，或者已经超过了法律保护期限的证明文件等认定。</w:t>
      </w:r>
    </w:p>
    <w:p w14:paraId="7FAE045F">
      <w:pPr>
        <w:shd w:val="clear" w:color="auto" w:fill="FFFFFF"/>
        <w:spacing w:line="440" w:lineRule="atLeast"/>
        <w:jc w:val="center"/>
        <w:rPr>
          <w:rFonts w:ascii="黑体" w:hAnsi="黑体" w:eastAsia="黑体" w:cs="黑体"/>
          <w:color w:val="000000"/>
          <w:kern w:val="0"/>
          <w:sz w:val="28"/>
          <w:szCs w:val="28"/>
          <w:shd w:val="clear" w:color="auto" w:fill="FFFFFF"/>
        </w:rPr>
      </w:pPr>
      <w:r>
        <w:rPr>
          <w:rFonts w:hint="eastAsia" w:ascii="黑体" w:hAnsi="黑体" w:eastAsia="黑体" w:cs="黑体"/>
          <w:color w:val="000000"/>
          <w:kern w:val="0"/>
          <w:sz w:val="28"/>
          <w:szCs w:val="28"/>
          <w:shd w:val="clear" w:color="auto" w:fill="FFFFFF"/>
        </w:rPr>
        <w:t>第六章　资金挂账</w:t>
      </w:r>
    </w:p>
    <w:p w14:paraId="0C5FEBF4">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第三十四条</w:t>
      </w:r>
      <w:r>
        <w:rPr>
          <w:rFonts w:hint="eastAsia" w:ascii="宋体" w:hAnsi="宋体" w:eastAsia="宋体" w:cs="宋体"/>
          <w:color w:val="000000"/>
          <w:kern w:val="0"/>
          <w:sz w:val="24"/>
          <w:shd w:val="clear" w:color="auto" w:fill="FFFFFF"/>
        </w:rPr>
        <w:t>　资金挂账是指行政事业单位在资产清查基准日应当按照损益、收支进行确认处理，但挂账未确认的资金（资产）数额。对于清查出的资金挂账，按照真实客观反映经济状况的原则进行认定。</w:t>
      </w:r>
    </w:p>
    <w:p w14:paraId="01459D14">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第三十五条</w:t>
      </w:r>
      <w:r>
        <w:rPr>
          <w:rFonts w:hint="eastAsia" w:ascii="宋体" w:hAnsi="宋体" w:eastAsia="宋体" w:cs="宋体"/>
          <w:color w:val="000000"/>
          <w:kern w:val="0"/>
          <w:sz w:val="24"/>
          <w:shd w:val="clear" w:color="auto" w:fill="FFFFFF"/>
        </w:rPr>
        <w:t>　特殊资金挂账按照以下方式处理：</w:t>
      </w:r>
    </w:p>
    <w:p w14:paraId="4072909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（一）属于按照国家规定组织实施住房制度改革，职工住房账面价值、资产基金（非流动资产基金）应当冲减而未冲减的挂账，在按照国家规定办理房改有关合法手续、移交产权后，按照规定核销。</w:t>
      </w:r>
    </w:p>
    <w:p w14:paraId="10DED7A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（二）属于对外投资中由于所办企业按照国家要求脱钩等政策性因素造成的损失挂账，在取得国家关于企业脱钩的文件和产权划转文件后，可在办理资产核实手续时申报核销处理。</w:t>
      </w:r>
    </w:p>
    <w:p w14:paraId="5AF2C386">
      <w:pPr>
        <w:shd w:val="clear" w:color="auto" w:fill="FFFFFF"/>
        <w:spacing w:line="440" w:lineRule="atLeast"/>
        <w:jc w:val="center"/>
        <w:rPr>
          <w:rFonts w:ascii="黑体" w:hAnsi="黑体" w:eastAsia="黑体" w:cs="黑体"/>
          <w:color w:val="000000"/>
          <w:kern w:val="0"/>
          <w:sz w:val="28"/>
          <w:szCs w:val="28"/>
          <w:shd w:val="clear" w:color="auto" w:fill="FFFFFF"/>
        </w:rPr>
      </w:pPr>
      <w:r>
        <w:rPr>
          <w:rFonts w:hint="eastAsia" w:ascii="黑体" w:hAnsi="黑体" w:eastAsia="黑体" w:cs="黑体"/>
          <w:color w:val="000000"/>
          <w:kern w:val="0"/>
          <w:sz w:val="28"/>
          <w:szCs w:val="28"/>
          <w:shd w:val="clear" w:color="auto" w:fill="FFFFFF"/>
        </w:rPr>
        <w:t>第七章　资产核实的程序、管理权限和申报内容</w:t>
      </w:r>
    </w:p>
    <w:p w14:paraId="29C46212">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第三十六条</w:t>
      </w:r>
      <w:r>
        <w:rPr>
          <w:rFonts w:hint="eastAsia" w:ascii="宋体" w:hAnsi="宋体" w:eastAsia="宋体" w:cs="宋体"/>
          <w:color w:val="000000"/>
          <w:kern w:val="0"/>
          <w:sz w:val="24"/>
          <w:shd w:val="clear" w:color="auto" w:fill="FFFFFF"/>
        </w:rPr>
        <w:t>　行政事业单位资产核实的一般程序：</w:t>
      </w:r>
    </w:p>
    <w:p w14:paraId="5D838AD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行政事业单位应当依据资产清查出的资产盘盈、资产损失和资金挂账等事项，搜集整理相关证明材料，提出处理意见并逐级向主管部门提出资产核实的申请报告。各单位应当对所报送材料的真实性、合规性和完整性负责。</w:t>
      </w:r>
    </w:p>
    <w:p w14:paraId="6ACCF7B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（二）主管部门按照规定权限进行合规性和完整性审核（审批）同意后，报同级财政部门审批（备案）。</w:t>
      </w:r>
    </w:p>
    <w:p w14:paraId="3D7947C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（三）财政部门按照规定权限进行审批（备案）。</w:t>
      </w:r>
    </w:p>
    <w:p w14:paraId="562D3AC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（四）行政事业单位依据有关部门对资产盘盈、资产损失和资金挂账的批复,调整信息系统相关数据并进行账务处理。</w:t>
      </w:r>
    </w:p>
    <w:p w14:paraId="54B59D4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（五）财政部门、主管部门和行政事业单位结合清查核实中发现的问题完善相关制度。</w:t>
      </w:r>
    </w:p>
    <w:p w14:paraId="3DF1CC4F">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第三十七条</w:t>
      </w:r>
      <w:r>
        <w:rPr>
          <w:rFonts w:hint="eastAsia" w:ascii="宋体" w:hAnsi="宋体" w:eastAsia="宋体" w:cs="宋体"/>
          <w:color w:val="000000"/>
          <w:kern w:val="0"/>
          <w:sz w:val="24"/>
          <w:shd w:val="clear" w:color="auto" w:fill="FFFFFF"/>
        </w:rPr>
        <w:t>　　行政事业单位资产核实的管理权限按照本办法第三十八条、第三十九条规定执行。根据各级政府及其财政部门专项工作要求开展的资产清查工作，有关资产核实的审批权限，可以根据资产清查工作的实际需要另行确定。</w:t>
      </w:r>
    </w:p>
    <w:p w14:paraId="46488AD2">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第三十八条</w:t>
      </w:r>
      <w:r>
        <w:rPr>
          <w:rFonts w:hint="eastAsia" w:ascii="宋体" w:hAnsi="宋体" w:eastAsia="宋体" w:cs="宋体"/>
          <w:color w:val="000000"/>
          <w:kern w:val="0"/>
          <w:sz w:val="24"/>
          <w:shd w:val="clear" w:color="auto" w:fill="FFFFFF"/>
        </w:rPr>
        <w:t>　中央级行政事业单位资产核实的管理权限：</w:t>
      </w:r>
    </w:p>
    <w:p w14:paraId="14DE14F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（一）资产盘盈。单位应当按照财务、会计制度的有关规定确定价值，并在资产清查工作报告中予以说明，报经主管部门批准，并报财政部备案后调整有关账目。</w:t>
      </w:r>
    </w:p>
    <w:p w14:paraId="3614063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资产损失。货币性资产损失核销、对外投资损失，单位应当逐级上报，经财政部批准后调整有关账目。行政单位的固定资产、无形资产和存货损失，按照现行管理制度中规定的资产处置权限进行审批。事业单位房屋构筑物、土地和车辆损失，单位应当逐级上报，经财政部批准后核销。其他固定资产、无形资产和存货的损失，按照现行管理制度中规定的资产处置权限进行审批。</w:t>
      </w:r>
    </w:p>
    <w:p w14:paraId="39DACD3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（三）资金挂账，单位应当逐级上报，经财政部批准后调整有关账目。</w:t>
      </w:r>
    </w:p>
    <w:p w14:paraId="15FF6D1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中央级行政事业单位申请的资产核实事项中，既包括财政部审批权限内资产的，也包括主管部门审批权限内资产的，应当统一报送财政部。</w:t>
      </w:r>
    </w:p>
    <w:p w14:paraId="1266014D">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第三十九条</w:t>
      </w:r>
      <w:r>
        <w:rPr>
          <w:rFonts w:hint="eastAsia" w:ascii="宋体" w:hAnsi="宋体" w:eastAsia="宋体" w:cs="宋体"/>
          <w:color w:val="000000"/>
          <w:kern w:val="0"/>
          <w:sz w:val="24"/>
          <w:shd w:val="clear" w:color="auto" w:fill="FFFFFF"/>
        </w:rPr>
        <w:t>　地方行政事业单位资产核实管理权限，由地方各级财政部门根据实际情况自行确定。</w:t>
      </w:r>
    </w:p>
    <w:p w14:paraId="5CFE26F9">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第四十条</w:t>
      </w:r>
      <w:r>
        <w:rPr>
          <w:rFonts w:hint="eastAsia" w:ascii="宋体" w:hAnsi="宋体" w:eastAsia="宋体" w:cs="宋体"/>
          <w:color w:val="000000"/>
          <w:kern w:val="0"/>
          <w:sz w:val="24"/>
          <w:shd w:val="clear" w:color="auto" w:fill="FFFFFF"/>
        </w:rPr>
        <w:t>　行政事业单位的资产核实申报事项应当提交以下材料：</w:t>
      </w:r>
    </w:p>
    <w:p w14:paraId="03E6206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（一）资产损溢、资金挂账核实申请文件。</w:t>
      </w:r>
    </w:p>
    <w:p w14:paraId="57F16D6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（二）信息系统生成打印的行政事业单位国有资产清查报表。</w:t>
      </w:r>
    </w:p>
    <w:p w14:paraId="5D08CA5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（三）信息系统生成打印的行政事业单位国有资产损溢、资金挂账核实申请表。</w:t>
      </w:r>
    </w:p>
    <w:p w14:paraId="77C54E8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（四）申报处理资产盘盈、资产损失和资金挂账的专项说明，逐笔写明发生日期、损失原因、政策依据、处理方式，并分类列示。</w:t>
      </w:r>
    </w:p>
    <w:p w14:paraId="67C4F1D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（五）根据申报核实的事项，提供相应的具有法律效力的外部证据、社会中介机构出具的经济鉴证证明、特定事项的单位内部证据等证明材料。</w:t>
      </w:r>
    </w:p>
    <w:p w14:paraId="651CF17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具有法律效力的外部证据是指行政事业单位收集到的与本单位资产损溢相关的具有法律效力的书面文件，包括单位的撤销、合并公告及清偿文件；政府部门有关文件；司法机关的判决或者裁定；公安机关的案件受理证明或结案证明；工商行政管理部门的注销证明；专业技术部门的鉴定报告；保险公司的出险调查单和理赔计算单；企业的破产公告及破产清算的清偿文件；符合法律规定的其他证明等。</w:t>
      </w:r>
    </w:p>
    <w:p w14:paraId="2E56025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社会中介机构的经济鉴证证明是指具备与所承担工作相适应的专业人员和专业胜任能力的会计师事务所、资产评估机构、律师事务所、专业鉴定机构等社会中介机构按照独立、客观、公正的原则，对单位的某项经济事项出具的专项经济鉴证证明或鉴证意见书。资产损失和资金挂账应当委托社会中介机构出具经济鉴证证明，涉及国家安全的特殊单位、特殊事项和已取得具有法律效力的外部证据的事项除外。</w:t>
      </w:r>
    </w:p>
    <w:p w14:paraId="02E9622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特定事项的单位内部证据是指行政事业单位对涉及资产盘盈、资产损失和资金挂账等情况的内部证明和内部鉴定意见书等，包括有关会计核算资料和原始凭证；行政事业单位的内部核批文件及情况说明；资产盘点单和明细表；行政事业单位内部鉴定技术小组或内部专业技术部门的鉴定文件或资料；因经营管理责任造成的损失的责任认定意见及赔偿情况说明；相关经济行为的业务合同等；符合法律规定的其他证明等。</w:t>
      </w:r>
    </w:p>
    <w:p w14:paraId="09B6B44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（六）其他需要提供的材料。</w:t>
      </w:r>
    </w:p>
    <w:p w14:paraId="565AB546">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第四十一条</w:t>
      </w:r>
      <w:r>
        <w:rPr>
          <w:rFonts w:hint="eastAsia" w:ascii="宋体" w:hAnsi="宋体" w:eastAsia="宋体" w:cs="宋体"/>
          <w:color w:val="000000"/>
          <w:kern w:val="0"/>
          <w:sz w:val="24"/>
          <w:shd w:val="clear" w:color="auto" w:fill="FFFFFF"/>
        </w:rPr>
        <w:t>　行政事业单位经批准核销的不良债权、对外投资等损失，实行“账销案存”管理，相关资料、凭证应当专项登记，并继续进行清理和追索。经批准核销的实物资产损失应当分类清理，对有利用价值或残值的，应当积极处理，降低损失。</w:t>
      </w:r>
    </w:p>
    <w:p w14:paraId="3BFC8B40">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第四十二条</w:t>
      </w:r>
      <w:r>
        <w:rPr>
          <w:rFonts w:hint="eastAsia" w:ascii="宋体" w:hAnsi="宋体" w:eastAsia="宋体" w:cs="宋体"/>
          <w:color w:val="000000"/>
          <w:kern w:val="0"/>
          <w:sz w:val="24"/>
          <w:shd w:val="clear" w:color="auto" w:fill="FFFFFF"/>
        </w:rPr>
        <w:t>　行政事业单位清查出的由于会计技术差错造成的资产不实，不属于资产盘盈、资产损失和资金挂账的认定范围，应当依据单位财务、会计制度有关规定处理。</w:t>
      </w:r>
    </w:p>
    <w:p w14:paraId="1986816D">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第四十三条</w:t>
      </w:r>
      <w:r>
        <w:rPr>
          <w:rFonts w:hint="eastAsia" w:ascii="宋体" w:hAnsi="宋体" w:eastAsia="宋体" w:cs="宋体"/>
          <w:color w:val="000000"/>
          <w:kern w:val="0"/>
          <w:sz w:val="24"/>
          <w:shd w:val="clear" w:color="auto" w:fill="FFFFFF"/>
        </w:rPr>
        <w:t>　申报不合规，证据不齐全、不真实，或者不符合相关制度规定的资产盘盈、资产损失、资金挂账事项，主管部门和财政部门不予核实。</w:t>
      </w:r>
    </w:p>
    <w:p w14:paraId="4709664C">
      <w:pPr>
        <w:shd w:val="clear" w:color="auto" w:fill="FFFFFF"/>
        <w:spacing w:line="440" w:lineRule="atLeast"/>
        <w:jc w:val="center"/>
        <w:rPr>
          <w:rFonts w:ascii="黑体" w:hAnsi="黑体" w:eastAsia="黑体" w:cs="黑体"/>
          <w:color w:val="000000"/>
          <w:kern w:val="0"/>
          <w:sz w:val="28"/>
          <w:szCs w:val="28"/>
          <w:shd w:val="clear" w:color="auto" w:fill="FFFFFF"/>
        </w:rPr>
      </w:pPr>
      <w:r>
        <w:rPr>
          <w:rFonts w:hint="eastAsia" w:ascii="黑体" w:hAnsi="黑体" w:eastAsia="黑体" w:cs="黑体"/>
          <w:color w:val="000000"/>
          <w:kern w:val="0"/>
          <w:sz w:val="28"/>
          <w:szCs w:val="28"/>
          <w:shd w:val="clear" w:color="auto" w:fill="FFFFFF"/>
        </w:rPr>
        <w:t>第八章　账务处理</w:t>
      </w:r>
    </w:p>
    <w:p w14:paraId="7792D8F1">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第四十四条</w:t>
      </w:r>
      <w:r>
        <w:rPr>
          <w:rFonts w:hint="eastAsia" w:ascii="宋体" w:hAnsi="宋体" w:eastAsia="宋体" w:cs="宋体"/>
          <w:color w:val="000000"/>
          <w:kern w:val="0"/>
          <w:sz w:val="24"/>
          <w:shd w:val="clear" w:color="auto" w:fill="FFFFFF"/>
        </w:rPr>
        <w:t>　资产盘盈、资产损失和资金挂账批复前，行政事业单位应当按照以下原则进行账务处理：</w:t>
      </w:r>
    </w:p>
    <w:p w14:paraId="5C0309E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（一）财政部门批复（备案）前的资产盘盈（含账外资产）可以按照财务、会计制度的有关规定暂行入账。待财政部门批复（备案）后，进行账务调整和处理。</w:t>
      </w:r>
    </w:p>
    <w:p w14:paraId="5897A54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（二）财政部门批复（备案）前的资产损失和资金挂账，单位不得自行进行账务处理。待财政部门批复（备案）后，进行账务处理。</w:t>
      </w:r>
    </w:p>
    <w:p w14:paraId="687E5CF5">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第四十五条</w:t>
      </w:r>
      <w:r>
        <w:rPr>
          <w:rFonts w:hint="eastAsia" w:ascii="宋体" w:hAnsi="宋体" w:eastAsia="宋体" w:cs="宋体"/>
          <w:color w:val="000000"/>
          <w:kern w:val="0"/>
          <w:sz w:val="24"/>
          <w:shd w:val="clear" w:color="auto" w:fill="FFFFFF"/>
        </w:rPr>
        <w:t>　资产盘盈、资产损失和资金挂账批复后，行政事业单位按照国家统一的财务、会计制度进行账务处理，并在批复之日起30个工作日内将账务处理结果报主管部门备案。未按照规定调账的，应当详细说明情况并附相关证明材料。</w:t>
      </w:r>
    </w:p>
    <w:p w14:paraId="54FCCF1F">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第四十六条</w:t>
      </w:r>
      <w:r>
        <w:rPr>
          <w:rFonts w:hint="eastAsia" w:ascii="宋体" w:hAnsi="宋体" w:eastAsia="宋体" w:cs="宋体"/>
          <w:color w:val="000000"/>
          <w:kern w:val="0"/>
          <w:sz w:val="24"/>
          <w:shd w:val="clear" w:color="auto" w:fill="FFFFFF"/>
        </w:rPr>
        <w:t>　行政事业单位需要办理产权变动登记手续的，在资产核实审批后，按照有关规定办理相关手续。</w:t>
      </w:r>
    </w:p>
    <w:p w14:paraId="52D1EBFF">
      <w:pPr>
        <w:shd w:val="clear" w:color="auto" w:fill="FFFFFF"/>
        <w:spacing w:line="440" w:lineRule="atLeast"/>
        <w:jc w:val="center"/>
        <w:rPr>
          <w:rFonts w:ascii="黑体" w:hAnsi="黑体" w:eastAsia="黑体" w:cs="黑体"/>
          <w:color w:val="000000"/>
          <w:kern w:val="0"/>
          <w:sz w:val="28"/>
          <w:szCs w:val="28"/>
          <w:shd w:val="clear" w:color="auto" w:fill="FFFFFF"/>
        </w:rPr>
      </w:pPr>
      <w:r>
        <w:rPr>
          <w:rFonts w:hint="eastAsia" w:ascii="黑体" w:hAnsi="黑体" w:eastAsia="黑体" w:cs="黑体"/>
          <w:color w:val="000000"/>
          <w:kern w:val="0"/>
          <w:sz w:val="28"/>
          <w:szCs w:val="28"/>
          <w:shd w:val="clear" w:color="auto" w:fill="FFFFFF"/>
        </w:rPr>
        <w:t>第九章　监督和管理</w:t>
      </w:r>
    </w:p>
    <w:p w14:paraId="1CA1AAD0">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第四十七条</w:t>
      </w:r>
      <w:r>
        <w:rPr>
          <w:rFonts w:hint="eastAsia" w:ascii="宋体" w:hAnsi="宋体" w:eastAsia="宋体" w:cs="宋体"/>
          <w:color w:val="000000"/>
          <w:kern w:val="0"/>
          <w:sz w:val="24"/>
          <w:shd w:val="clear" w:color="auto" w:fill="FFFFFF"/>
        </w:rPr>
        <w:t>　财政部门、主管部门应当加强对行政事业单位清查核实的组织指导和监督检查，可以结合工作需要组织相关专业人员或委托社会中介机构，对单位资产清查核实结果进行检查或抽查。</w:t>
      </w:r>
    </w:p>
    <w:p w14:paraId="70FF8757">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第四十八条</w:t>
      </w:r>
      <w:r>
        <w:rPr>
          <w:rFonts w:hint="eastAsia" w:ascii="宋体" w:hAnsi="宋体" w:eastAsia="宋体" w:cs="宋体"/>
          <w:color w:val="000000"/>
          <w:kern w:val="0"/>
          <w:sz w:val="24"/>
          <w:shd w:val="clear" w:color="auto" w:fill="FFFFFF"/>
        </w:rPr>
        <w:t>　财政部门、主管部门对行政事业单位有关资产清查结果的审核和资产损溢、资金挂账的认定，应当严格执行国家有关法律、法规、规章和有关财务、会计制度规定，依法办事，严格把关，严肃工作纪律。</w:t>
      </w:r>
    </w:p>
    <w:p w14:paraId="526478F2">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第四十九条</w:t>
      </w:r>
      <w:r>
        <w:rPr>
          <w:rFonts w:hint="eastAsia" w:ascii="宋体" w:hAnsi="宋体" w:eastAsia="宋体" w:cs="宋体"/>
          <w:color w:val="000000"/>
          <w:kern w:val="0"/>
          <w:sz w:val="24"/>
          <w:shd w:val="clear" w:color="auto" w:fill="FFFFFF"/>
        </w:rPr>
        <w:t>　主管部门应当对行政事业单位资产清查结果进行认真复核，保证资产清查结果的全面、准确和合规。</w:t>
      </w:r>
    </w:p>
    <w:p w14:paraId="586C1E1E">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第五十条</w:t>
      </w:r>
      <w:r>
        <w:rPr>
          <w:rFonts w:hint="eastAsia" w:ascii="宋体" w:hAnsi="宋体" w:eastAsia="宋体" w:cs="宋体"/>
          <w:color w:val="000000"/>
          <w:kern w:val="0"/>
          <w:sz w:val="24"/>
          <w:shd w:val="clear" w:color="auto" w:fill="FFFFFF"/>
        </w:rPr>
        <w:t>　行政事业单位进行资产清查，应当做到账表、账账、账卡、账实相符，不重不漏，查清资产来源、去向和管理情况，找出管理中存在的问题，完善制度、堵塞管理漏洞。</w:t>
      </w:r>
    </w:p>
    <w:p w14:paraId="6D6F301D">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第五十一条</w:t>
      </w:r>
      <w:r>
        <w:rPr>
          <w:rFonts w:hint="eastAsia" w:ascii="宋体" w:hAnsi="宋体" w:eastAsia="宋体" w:cs="宋体"/>
          <w:color w:val="000000"/>
          <w:kern w:val="0"/>
          <w:sz w:val="24"/>
          <w:shd w:val="clear" w:color="auto" w:fill="FFFFFF"/>
        </w:rPr>
        <w:t>　行政事业单位聘请社会中介机构参与清查核实，应当要求社会中介机构按照独立、客观、公正的原则，履行必要的程序，认真核实单位各项资产清查材料，并按照规定进行实物盘点和账务核对，对资产清查结果出具专项审计报告。对需要出具经济鉴证证明的资产核实事项，应当要求社会中介机构按照国家资产清查核实政策和有关财务、会计制度的相关规定，在充分调查论证的基础上进行职业推断和客观评判，出具鉴证意见。</w:t>
      </w:r>
    </w:p>
    <w:p w14:paraId="654DE3E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社会中介机构应当对行政事业单位资产清查专项审计报告、经济鉴证证明的真实性、准确性、完整性承担责任，严格履行保密义务。</w:t>
      </w:r>
    </w:p>
    <w:p w14:paraId="4CA58BD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行政事业单位应当配合社会中介机构的工作，提供进行专项审计及相关工作必需的资料和线索。任何单位和个人不得干预社会中介机构的正常执业。</w:t>
      </w:r>
    </w:p>
    <w:p w14:paraId="545E17A9">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第五十二条</w:t>
      </w:r>
      <w:r>
        <w:rPr>
          <w:rFonts w:hint="eastAsia" w:ascii="宋体" w:hAnsi="宋体" w:eastAsia="宋体" w:cs="宋体"/>
          <w:color w:val="000000"/>
          <w:kern w:val="0"/>
          <w:sz w:val="24"/>
          <w:shd w:val="clear" w:color="auto" w:fill="FFFFFF"/>
        </w:rPr>
        <w:t>　行政事业单位对在资产清查中新形成的资料，要分类整理形成档案，按照国家有关会计档案管理的规定进行管理，并接受国家有关部门的监督。</w:t>
      </w:r>
    </w:p>
    <w:p w14:paraId="1B18EA67">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第五十三条</w:t>
      </w:r>
      <w:r>
        <w:rPr>
          <w:rFonts w:hint="eastAsia" w:ascii="宋体" w:hAnsi="宋体" w:eastAsia="宋体" w:cs="宋体"/>
          <w:color w:val="000000"/>
          <w:kern w:val="0"/>
          <w:sz w:val="24"/>
          <w:shd w:val="clear" w:color="auto" w:fill="FFFFFF"/>
        </w:rPr>
        <w:t>　行政事业单位应当对资产清查中发现的资产盘盈、资产损失和资金挂账事项提供合法证据，单位主要负责人应当对申报的资产清查结果的真实性、完整性承担责任。</w:t>
      </w:r>
    </w:p>
    <w:p w14:paraId="379E44E8">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第五十四条</w:t>
      </w:r>
      <w:r>
        <w:rPr>
          <w:rFonts w:hint="eastAsia" w:ascii="宋体" w:hAnsi="宋体" w:eastAsia="宋体" w:cs="宋体"/>
          <w:color w:val="000000"/>
          <w:kern w:val="0"/>
          <w:sz w:val="24"/>
          <w:shd w:val="clear" w:color="auto" w:fill="FFFFFF"/>
        </w:rPr>
        <w:t>　财政部门和主管部门工作人员在对单位清查核实进行审核过程中徇私舞弊，造成严重后果的，由有关部门依法给予行政处分或纪律处分。</w:t>
      </w:r>
    </w:p>
    <w:p w14:paraId="5533292E">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第五十五条</w:t>
      </w:r>
      <w:r>
        <w:rPr>
          <w:rFonts w:hint="eastAsia" w:ascii="宋体" w:hAnsi="宋体" w:eastAsia="宋体" w:cs="宋体"/>
          <w:color w:val="000000"/>
          <w:kern w:val="0"/>
          <w:sz w:val="24"/>
          <w:shd w:val="clear" w:color="auto" w:fill="FFFFFF"/>
        </w:rPr>
        <w:t>　行政事业单位和主管部门在清查核实中违反本办法规定程序的，不组织或不积极组织，未按照时限完成清查核实的，由财政部门责令其限期完成；对清查核实质量不符合规定要求的，由财政部门责令其重新组织开展清查核实；对清查出的问题不及时处理或者拒不完成清查核实的单位，财政部门予以通报。</w:t>
      </w:r>
    </w:p>
    <w:p w14:paraId="7E124EDB">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第五十六条</w:t>
      </w:r>
      <w:r>
        <w:rPr>
          <w:rFonts w:hint="eastAsia" w:ascii="宋体" w:hAnsi="宋体" w:eastAsia="宋体" w:cs="宋体"/>
          <w:color w:val="000000"/>
          <w:kern w:val="0"/>
          <w:sz w:val="24"/>
          <w:shd w:val="clear" w:color="auto" w:fill="FFFFFF"/>
        </w:rPr>
        <w:t>　行政事业单位在资产清查核实中有意瞒报、弄虚作假、提供虚假会计资料的，由财政部门责令其改正，并依据《中华人民共和国会计法》等法律、法规规定进行处理。</w:t>
      </w:r>
    </w:p>
    <w:p w14:paraId="2EB68879">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第五十七条</w:t>
      </w:r>
      <w:r>
        <w:rPr>
          <w:rFonts w:hint="eastAsia" w:ascii="宋体" w:hAnsi="宋体" w:eastAsia="宋体" w:cs="宋体"/>
          <w:color w:val="000000"/>
          <w:kern w:val="0"/>
          <w:sz w:val="24"/>
          <w:shd w:val="clear" w:color="auto" w:fill="FFFFFF"/>
        </w:rPr>
        <w:t>　行政事业单位负责人和有关工作人员在资产清查核实中，采取私分、低价变卖、虚报损失等手段侵吞、转移国有资产的，由财政部门会同有关部门进行处理。</w:t>
      </w:r>
    </w:p>
    <w:p w14:paraId="72800678">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第五十八条</w:t>
      </w:r>
      <w:r>
        <w:rPr>
          <w:rFonts w:hint="eastAsia" w:ascii="宋体" w:hAnsi="宋体" w:eastAsia="宋体" w:cs="宋体"/>
          <w:color w:val="000000"/>
          <w:kern w:val="0"/>
          <w:sz w:val="24"/>
          <w:shd w:val="clear" w:color="auto" w:fill="FFFFFF"/>
        </w:rPr>
        <w:t>　社会中介机构及有关当事人在清查核实中与单位相互串通，弄虚作假、提供虚假鉴证材料的，由财政部门会同有关部门依法查处。</w:t>
      </w:r>
    </w:p>
    <w:p w14:paraId="371E1F80">
      <w:pPr>
        <w:shd w:val="clear" w:color="auto" w:fill="FFFFFF"/>
        <w:spacing w:line="440" w:lineRule="atLeast"/>
        <w:jc w:val="center"/>
        <w:rPr>
          <w:rFonts w:ascii="黑体" w:hAnsi="黑体" w:eastAsia="黑体" w:cs="黑体"/>
          <w:color w:val="000000"/>
          <w:kern w:val="0"/>
          <w:sz w:val="28"/>
          <w:szCs w:val="28"/>
          <w:shd w:val="clear" w:color="auto" w:fill="FFFFFF"/>
        </w:rPr>
      </w:pPr>
      <w:r>
        <w:rPr>
          <w:rFonts w:hint="eastAsia" w:ascii="黑体" w:hAnsi="黑体" w:eastAsia="黑体" w:cs="黑体"/>
          <w:color w:val="000000"/>
          <w:kern w:val="0"/>
          <w:sz w:val="28"/>
          <w:szCs w:val="28"/>
          <w:shd w:val="clear" w:color="auto" w:fill="FFFFFF"/>
        </w:rPr>
        <w:t>第十章　附则</w:t>
      </w:r>
    </w:p>
    <w:p w14:paraId="7ACD56CC">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第五十九条</w:t>
      </w:r>
      <w:r>
        <w:rPr>
          <w:rFonts w:hint="eastAsia" w:ascii="宋体" w:hAnsi="宋体" w:eastAsia="宋体" w:cs="宋体"/>
          <w:color w:val="000000"/>
          <w:kern w:val="0"/>
          <w:sz w:val="24"/>
          <w:shd w:val="clear" w:color="auto" w:fill="FFFFFF"/>
        </w:rPr>
        <w:t>　执行《民间非营利组织会计制度》的社会团体及民办非企业单位中占有、使用国有资产的，参照本制度执行。</w:t>
      </w:r>
    </w:p>
    <w:p w14:paraId="4D03EAF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行政单位所属未脱钩企业，实行企业化管理并执行企业财务和会计制度的事业单位，以及事业单位所办的全资企业和控股企业，其国有资产的清查核实工作按照企业清产核资的有关规定执行。</w:t>
      </w:r>
    </w:p>
    <w:p w14:paraId="173F98F3">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第六十条</w:t>
      </w:r>
      <w:r>
        <w:rPr>
          <w:rFonts w:hint="eastAsia" w:ascii="宋体" w:hAnsi="宋体" w:eastAsia="宋体" w:cs="宋体"/>
          <w:color w:val="000000"/>
          <w:kern w:val="0"/>
          <w:sz w:val="24"/>
          <w:shd w:val="clear" w:color="auto" w:fill="FFFFFF"/>
        </w:rPr>
        <w:t>　事业单位代表政府管理的，未纳入本单位核算的政府储备物资、公共基础设施等资产的清查核实办法另行制定。</w:t>
      </w:r>
    </w:p>
    <w:p w14:paraId="67EA46BC">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第六十一条</w:t>
      </w:r>
      <w:r>
        <w:rPr>
          <w:rFonts w:hint="eastAsia" w:ascii="宋体" w:hAnsi="宋体" w:eastAsia="宋体" w:cs="宋体"/>
          <w:color w:val="000000"/>
          <w:kern w:val="0"/>
          <w:sz w:val="24"/>
          <w:shd w:val="clear" w:color="auto" w:fill="FFFFFF"/>
        </w:rPr>
        <w:t>　各省、自治区、直辖市和计划单列市财政部门可根据本办法，结合本地区实际，制定具体的实施办法，并报财政部备案。</w:t>
      </w:r>
    </w:p>
    <w:p w14:paraId="2EAFDCB0">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第六十二条</w:t>
      </w:r>
      <w:r>
        <w:rPr>
          <w:rFonts w:hint="eastAsia" w:ascii="宋体" w:hAnsi="宋体" w:eastAsia="宋体" w:cs="宋体"/>
          <w:color w:val="000000"/>
          <w:kern w:val="0"/>
          <w:sz w:val="24"/>
          <w:shd w:val="clear" w:color="auto" w:fill="FFFFFF"/>
        </w:rPr>
        <w:t>　本办法由财政部负责解释。</w:t>
      </w:r>
    </w:p>
    <w:p w14:paraId="5052DC2E">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第六十三条</w:t>
      </w:r>
      <w:r>
        <w:rPr>
          <w:rFonts w:hint="eastAsia" w:ascii="宋体" w:hAnsi="宋体" w:eastAsia="宋体" w:cs="宋体"/>
          <w:color w:val="000000"/>
          <w:kern w:val="0"/>
          <w:sz w:val="24"/>
          <w:shd w:val="clear" w:color="auto" w:fill="FFFFFF"/>
        </w:rPr>
        <w:t>　本办法自2016年3月1日起施行。《行政事业单位资产清查暂行办法》（财办〔2006〕52号）、《行政事业单位资产核实暂行办法》（财办〔2007〕19号）同时废止。</w:t>
      </w:r>
    </w:p>
    <w:p w14:paraId="1D1F242F">
      <w:pPr>
        <w:shd w:val="clear" w:color="auto" w:fill="FFFFFF"/>
        <w:spacing w:line="440" w:lineRule="atLeast"/>
        <w:ind w:firstLine="480" w:firstLineChars="200"/>
        <w:rPr>
          <w:rFonts w:ascii="宋体" w:hAnsi="宋体" w:eastAsia="宋体" w:cs="宋体"/>
          <w:color w:val="000000"/>
          <w:kern w:val="0"/>
          <w:sz w:val="24"/>
          <w:shd w:val="clear" w:color="auto" w:fill="FFFFFF"/>
        </w:rPr>
      </w:pPr>
      <w:bookmarkStart w:id="27" w:name="_Toc9281"/>
      <w:r>
        <w:rPr>
          <w:rFonts w:hint="eastAsia" w:ascii="宋体" w:hAnsi="宋体" w:eastAsia="宋体" w:cs="宋体"/>
          <w:color w:val="000000"/>
          <w:kern w:val="0"/>
          <w:sz w:val="24"/>
          <w:shd w:val="clear" w:color="auto" w:fill="FFFFFF"/>
        </w:rPr>
        <w:t>附1.行政事业单位国有资产损溢、资金挂账核实申请表</w:t>
      </w:r>
      <w:bookmarkEnd w:id="27"/>
    </w:p>
    <w:p w14:paraId="6499D75F">
      <w:pPr>
        <w:shd w:val="clear" w:color="auto" w:fill="FFFFFF"/>
        <w:spacing w:line="440" w:lineRule="atLeast"/>
        <w:ind w:firstLine="480" w:firstLineChars="200"/>
        <w:rPr>
          <w:rFonts w:ascii="宋体" w:hAnsi="宋体" w:eastAsia="宋体" w:cs="宋体"/>
          <w:color w:val="000000"/>
          <w:kern w:val="0"/>
          <w:sz w:val="24"/>
          <w:shd w:val="clear" w:color="auto" w:fill="FFFFFF"/>
        </w:rPr>
      </w:pPr>
      <w:bookmarkStart w:id="28" w:name="_Toc4911"/>
      <w:r>
        <w:rPr>
          <w:rFonts w:hint="eastAsia" w:ascii="宋体" w:hAnsi="宋体" w:eastAsia="宋体" w:cs="宋体"/>
          <w:color w:val="000000"/>
          <w:kern w:val="0"/>
          <w:sz w:val="24"/>
          <w:shd w:val="clear" w:color="auto" w:fill="FFFFFF"/>
        </w:rPr>
        <w:t>附2.XX单位资产清查工作报告</w:t>
      </w:r>
      <w:bookmarkEnd w:id="28"/>
    </w:p>
    <w:p w14:paraId="5D734631">
      <w:pPr>
        <w:shd w:val="clear" w:color="auto" w:fill="FFFFFF"/>
        <w:spacing w:line="440" w:lineRule="atLeast"/>
        <w:ind w:firstLine="480" w:firstLineChars="200"/>
        <w:rPr>
          <w:rFonts w:ascii="宋体" w:hAnsi="宋体" w:eastAsia="宋体" w:cs="宋体"/>
          <w:color w:val="000000"/>
          <w:kern w:val="0"/>
          <w:sz w:val="24"/>
          <w:shd w:val="clear" w:color="auto" w:fill="FFFFFF"/>
        </w:rPr>
      </w:pPr>
      <w:bookmarkStart w:id="29" w:name="_Toc28980"/>
      <w:r>
        <w:rPr>
          <w:rFonts w:hint="eastAsia" w:ascii="宋体" w:hAnsi="宋体" w:eastAsia="宋体" w:cs="宋体"/>
          <w:color w:val="000000"/>
          <w:kern w:val="0"/>
          <w:sz w:val="24"/>
          <w:shd w:val="clear" w:color="auto" w:fill="FFFFFF"/>
        </w:rPr>
        <w:t>附3.XX地区/部门资产清查工作报告</w:t>
      </w:r>
      <w:bookmarkEnd w:id="29"/>
    </w:p>
    <w:p w14:paraId="5C516CB2">
      <w:pPr>
        <w:shd w:val="clear" w:color="auto" w:fill="FFFFFF"/>
        <w:spacing w:line="440" w:lineRule="atLeast"/>
        <w:ind w:firstLine="480" w:firstLineChars="200"/>
        <w:rPr>
          <w:rFonts w:ascii="宋体" w:hAnsi="宋体" w:eastAsia="宋体" w:cs="宋体"/>
          <w:color w:val="000000"/>
          <w:kern w:val="0"/>
          <w:sz w:val="24"/>
          <w:shd w:val="clear" w:color="auto" w:fill="FFFFFF"/>
        </w:rPr>
        <w:sectPr>
          <w:footerReference r:id="rId8" w:type="first"/>
          <w:headerReference r:id="rId5" w:type="default"/>
          <w:footerReference r:id="rId7" w:type="default"/>
          <w:headerReference r:id="rId6" w:type="even"/>
          <w:pgSz w:w="11906" w:h="16838"/>
          <w:pgMar w:top="1440" w:right="1531" w:bottom="1440" w:left="1531" w:header="851" w:footer="992" w:gutter="0"/>
          <w:cols w:space="720" w:num="1"/>
          <w:titlePg/>
          <w:docGrid w:linePitch="312" w:charSpace="0"/>
        </w:sectPr>
      </w:pPr>
    </w:p>
    <w:tbl>
      <w:tblPr>
        <w:tblStyle w:val="24"/>
        <w:tblW w:w="13834" w:type="dxa"/>
        <w:tblInd w:w="95" w:type="dxa"/>
        <w:tblLayout w:type="autofit"/>
        <w:tblCellMar>
          <w:top w:w="0" w:type="dxa"/>
          <w:left w:w="108" w:type="dxa"/>
          <w:bottom w:w="0" w:type="dxa"/>
          <w:right w:w="108" w:type="dxa"/>
        </w:tblCellMar>
      </w:tblPr>
      <w:tblGrid>
        <w:gridCol w:w="456"/>
        <w:gridCol w:w="164"/>
        <w:gridCol w:w="392"/>
        <w:gridCol w:w="135"/>
        <w:gridCol w:w="343"/>
        <w:gridCol w:w="557"/>
        <w:gridCol w:w="557"/>
        <w:gridCol w:w="386"/>
        <w:gridCol w:w="249"/>
        <w:gridCol w:w="596"/>
        <w:gridCol w:w="289"/>
        <w:gridCol w:w="216"/>
        <w:gridCol w:w="404"/>
        <w:gridCol w:w="514"/>
        <w:gridCol w:w="414"/>
        <w:gridCol w:w="720"/>
        <w:gridCol w:w="291"/>
        <w:gridCol w:w="733"/>
        <w:gridCol w:w="78"/>
        <w:gridCol w:w="850"/>
        <w:gridCol w:w="110"/>
        <w:gridCol w:w="206"/>
        <w:gridCol w:w="692"/>
        <w:gridCol w:w="62"/>
        <w:gridCol w:w="344"/>
        <w:gridCol w:w="616"/>
        <w:gridCol w:w="28"/>
        <w:gridCol w:w="384"/>
        <w:gridCol w:w="556"/>
        <w:gridCol w:w="72"/>
        <w:gridCol w:w="506"/>
        <w:gridCol w:w="292"/>
        <w:gridCol w:w="162"/>
        <w:gridCol w:w="680"/>
        <w:gridCol w:w="131"/>
        <w:gridCol w:w="635"/>
        <w:gridCol w:w="14"/>
      </w:tblGrid>
      <w:tr w14:paraId="73DDD9F0">
        <w:tblPrEx>
          <w:tblCellMar>
            <w:top w:w="0" w:type="dxa"/>
            <w:left w:w="108" w:type="dxa"/>
            <w:bottom w:w="0" w:type="dxa"/>
            <w:right w:w="108" w:type="dxa"/>
          </w:tblCellMar>
        </w:tblPrEx>
        <w:trPr>
          <w:trHeight w:val="735" w:hRule="atLeast"/>
        </w:trPr>
        <w:tc>
          <w:tcPr>
            <w:tcW w:w="13834" w:type="dxa"/>
            <w:gridSpan w:val="37"/>
            <w:tcBorders>
              <w:top w:val="nil"/>
              <w:left w:val="nil"/>
              <w:bottom w:val="nil"/>
              <w:right w:val="nil"/>
            </w:tcBorders>
            <w:vAlign w:val="center"/>
          </w:tcPr>
          <w:p w14:paraId="4AA6101B">
            <w:pPr>
              <w:spacing w:line="440" w:lineRule="atLeast"/>
              <w:jc w:val="left"/>
              <w:rPr>
                <w:rFonts w:ascii="宋体" w:hAnsi="宋体" w:eastAsia="宋体" w:cs="宋体"/>
                <w:bCs/>
                <w:kern w:val="0"/>
                <w:sz w:val="24"/>
              </w:rPr>
            </w:pPr>
            <w:r>
              <w:rPr>
                <w:rFonts w:hint="eastAsia" w:ascii="宋体" w:hAnsi="宋体" w:eastAsia="宋体" w:cs="宋体"/>
                <w:bCs/>
                <w:kern w:val="0"/>
                <w:sz w:val="24"/>
              </w:rPr>
              <w:t>附1：</w:t>
            </w:r>
          </w:p>
          <w:p w14:paraId="5F6891CF">
            <w:pPr>
              <w:spacing w:line="440" w:lineRule="atLeast"/>
              <w:jc w:val="center"/>
              <w:rPr>
                <w:rFonts w:ascii="宋体" w:hAnsi="宋体" w:cs="宋体"/>
                <w:b/>
                <w:bCs/>
                <w:kern w:val="0"/>
                <w:sz w:val="32"/>
                <w:szCs w:val="32"/>
              </w:rPr>
            </w:pPr>
            <w:r>
              <w:rPr>
                <w:rFonts w:hint="eastAsia" w:ascii="宋体" w:hAnsi="宋体" w:cs="宋体"/>
                <w:b/>
                <w:bCs/>
                <w:kern w:val="0"/>
                <w:sz w:val="32"/>
                <w:szCs w:val="32"/>
              </w:rPr>
              <w:t>行政事业单位国有资产损溢、资金挂账核实申请表</w:t>
            </w:r>
          </w:p>
        </w:tc>
      </w:tr>
      <w:tr w14:paraId="5055FAEB">
        <w:tblPrEx>
          <w:tblCellMar>
            <w:top w:w="0" w:type="dxa"/>
            <w:left w:w="108" w:type="dxa"/>
            <w:bottom w:w="0" w:type="dxa"/>
            <w:right w:w="108" w:type="dxa"/>
          </w:tblCellMar>
        </w:tblPrEx>
        <w:trPr>
          <w:trHeight w:val="405" w:hRule="atLeast"/>
        </w:trPr>
        <w:tc>
          <w:tcPr>
            <w:tcW w:w="4340" w:type="dxa"/>
            <w:gridSpan w:val="12"/>
            <w:tcBorders>
              <w:top w:val="nil"/>
              <w:left w:val="nil"/>
              <w:bottom w:val="single" w:color="auto" w:sz="4" w:space="0"/>
              <w:right w:val="nil"/>
            </w:tcBorders>
            <w:vAlign w:val="center"/>
          </w:tcPr>
          <w:p w14:paraId="23FB55B2">
            <w:pPr>
              <w:spacing w:line="440" w:lineRule="atLeast"/>
              <w:jc w:val="left"/>
              <w:rPr>
                <w:rFonts w:ascii="宋体" w:hAnsi="宋体" w:cs="宋体"/>
                <w:kern w:val="0"/>
                <w:sz w:val="18"/>
                <w:szCs w:val="18"/>
              </w:rPr>
            </w:pPr>
            <w:r>
              <w:rPr>
                <w:rFonts w:hint="eastAsia" w:ascii="宋体" w:hAnsi="宋体" w:cs="宋体"/>
                <w:kern w:val="0"/>
                <w:sz w:val="18"/>
                <w:szCs w:val="18"/>
              </w:rPr>
              <w:t>申报单位（盖章）：</w:t>
            </w:r>
          </w:p>
        </w:tc>
        <w:tc>
          <w:tcPr>
            <w:tcW w:w="3154" w:type="dxa"/>
            <w:gridSpan w:val="7"/>
            <w:tcBorders>
              <w:top w:val="nil"/>
              <w:left w:val="nil"/>
              <w:bottom w:val="single" w:color="auto" w:sz="4" w:space="0"/>
              <w:right w:val="nil"/>
            </w:tcBorders>
            <w:vAlign w:val="center"/>
          </w:tcPr>
          <w:p w14:paraId="6BAE468D">
            <w:pPr>
              <w:spacing w:line="440" w:lineRule="atLeast"/>
              <w:jc w:val="left"/>
              <w:rPr>
                <w:rFonts w:ascii="宋体" w:hAnsi="宋体" w:cs="宋体"/>
                <w:kern w:val="0"/>
                <w:sz w:val="18"/>
                <w:szCs w:val="18"/>
              </w:rPr>
            </w:pPr>
          </w:p>
        </w:tc>
        <w:tc>
          <w:tcPr>
            <w:tcW w:w="2264" w:type="dxa"/>
            <w:gridSpan w:val="6"/>
            <w:tcBorders>
              <w:top w:val="nil"/>
              <w:left w:val="nil"/>
              <w:bottom w:val="single" w:color="auto" w:sz="4" w:space="0"/>
              <w:right w:val="nil"/>
            </w:tcBorders>
            <w:vAlign w:val="center"/>
          </w:tcPr>
          <w:p w14:paraId="2D681C16">
            <w:pPr>
              <w:spacing w:line="440" w:lineRule="atLeast"/>
              <w:jc w:val="left"/>
              <w:rPr>
                <w:rFonts w:ascii="宋体" w:hAnsi="宋体" w:cs="宋体"/>
                <w:kern w:val="0"/>
                <w:sz w:val="18"/>
                <w:szCs w:val="18"/>
              </w:rPr>
            </w:pPr>
            <w:r>
              <w:rPr>
                <w:rFonts w:hint="eastAsia" w:ascii="宋体" w:hAnsi="宋体" w:cs="宋体"/>
                <w:kern w:val="0"/>
                <w:sz w:val="18"/>
                <w:szCs w:val="18"/>
              </w:rPr>
              <w:t>申报单号：</w:t>
            </w:r>
          </w:p>
        </w:tc>
        <w:tc>
          <w:tcPr>
            <w:tcW w:w="4076" w:type="dxa"/>
            <w:gridSpan w:val="12"/>
            <w:tcBorders>
              <w:top w:val="nil"/>
              <w:left w:val="nil"/>
              <w:bottom w:val="single" w:color="auto" w:sz="4" w:space="0"/>
              <w:right w:val="nil"/>
            </w:tcBorders>
            <w:vAlign w:val="center"/>
          </w:tcPr>
          <w:p w14:paraId="19EC4754">
            <w:pPr>
              <w:spacing w:line="440" w:lineRule="atLeast"/>
              <w:jc w:val="right"/>
              <w:rPr>
                <w:rFonts w:ascii="宋体" w:hAnsi="宋体" w:cs="宋体"/>
                <w:kern w:val="0"/>
                <w:sz w:val="20"/>
                <w:szCs w:val="20"/>
              </w:rPr>
            </w:pPr>
            <w:r>
              <w:rPr>
                <w:rFonts w:hint="eastAsia" w:ascii="宋体" w:hAnsi="宋体" w:cs="宋体"/>
                <w:kern w:val="0"/>
                <w:sz w:val="20"/>
                <w:szCs w:val="20"/>
              </w:rPr>
              <w:t>金额单位：万元</w:t>
            </w:r>
          </w:p>
        </w:tc>
      </w:tr>
      <w:tr w14:paraId="749E7E9F">
        <w:tblPrEx>
          <w:tblCellMar>
            <w:top w:w="0" w:type="dxa"/>
            <w:left w:w="108" w:type="dxa"/>
            <w:bottom w:w="0" w:type="dxa"/>
            <w:right w:w="108" w:type="dxa"/>
          </w:tblCellMar>
        </w:tblPrEx>
        <w:trPr>
          <w:trHeight w:val="402" w:hRule="atLeast"/>
        </w:trPr>
        <w:tc>
          <w:tcPr>
            <w:tcW w:w="1147" w:type="dxa"/>
            <w:gridSpan w:val="4"/>
            <w:vMerge w:val="restart"/>
            <w:tcBorders>
              <w:top w:val="single" w:color="auto" w:sz="4" w:space="0"/>
              <w:left w:val="single" w:color="auto" w:sz="4" w:space="0"/>
              <w:bottom w:val="single" w:color="auto" w:sz="4" w:space="0"/>
              <w:right w:val="single" w:color="auto" w:sz="4" w:space="0"/>
            </w:tcBorders>
            <w:vAlign w:val="center"/>
          </w:tcPr>
          <w:p w14:paraId="71BAC0BD">
            <w:pPr>
              <w:spacing w:line="440" w:lineRule="atLeast"/>
              <w:jc w:val="center"/>
              <w:rPr>
                <w:rFonts w:ascii="宋体" w:hAnsi="宋体" w:cs="宋体"/>
                <w:kern w:val="0"/>
                <w:sz w:val="20"/>
                <w:szCs w:val="20"/>
              </w:rPr>
            </w:pPr>
            <w:r>
              <w:rPr>
                <w:rFonts w:hint="eastAsia" w:ascii="宋体" w:hAnsi="宋体" w:cs="宋体"/>
                <w:kern w:val="0"/>
                <w:sz w:val="20"/>
                <w:szCs w:val="20"/>
              </w:rPr>
              <w:t>申请核实</w:t>
            </w:r>
          </w:p>
          <w:p w14:paraId="1B6433A6">
            <w:pPr>
              <w:spacing w:line="440" w:lineRule="atLeast"/>
              <w:jc w:val="center"/>
              <w:rPr>
                <w:rFonts w:ascii="宋体" w:hAnsi="宋体" w:cs="宋体"/>
                <w:kern w:val="0"/>
                <w:sz w:val="20"/>
                <w:szCs w:val="20"/>
              </w:rPr>
            </w:pPr>
            <w:r>
              <w:rPr>
                <w:rFonts w:hint="eastAsia" w:ascii="宋体" w:hAnsi="宋体" w:cs="宋体"/>
                <w:kern w:val="0"/>
                <w:sz w:val="20"/>
                <w:szCs w:val="20"/>
              </w:rPr>
              <w:t>资产</w:t>
            </w:r>
          </w:p>
        </w:tc>
        <w:tc>
          <w:tcPr>
            <w:tcW w:w="1843" w:type="dxa"/>
            <w:gridSpan w:val="4"/>
            <w:vMerge w:val="restart"/>
            <w:tcBorders>
              <w:top w:val="single" w:color="auto" w:sz="4" w:space="0"/>
              <w:left w:val="single" w:color="auto" w:sz="4" w:space="0"/>
              <w:bottom w:val="single" w:color="auto" w:sz="4" w:space="0"/>
              <w:right w:val="single" w:color="auto" w:sz="4" w:space="0"/>
            </w:tcBorders>
            <w:vAlign w:val="center"/>
          </w:tcPr>
          <w:p w14:paraId="502C99A4">
            <w:pPr>
              <w:spacing w:line="440" w:lineRule="atLeast"/>
              <w:jc w:val="center"/>
              <w:rPr>
                <w:rFonts w:ascii="宋体" w:hAnsi="宋体" w:cs="宋体"/>
                <w:kern w:val="0"/>
                <w:sz w:val="20"/>
                <w:szCs w:val="20"/>
              </w:rPr>
            </w:pPr>
            <w:r>
              <w:rPr>
                <w:rFonts w:hint="eastAsia" w:ascii="宋体" w:hAnsi="宋体" w:cs="宋体"/>
                <w:kern w:val="0"/>
                <w:sz w:val="20"/>
                <w:szCs w:val="20"/>
              </w:rPr>
              <w:t>项目</w:t>
            </w:r>
          </w:p>
        </w:tc>
        <w:tc>
          <w:tcPr>
            <w:tcW w:w="3402" w:type="dxa"/>
            <w:gridSpan w:val="8"/>
            <w:tcBorders>
              <w:top w:val="single" w:color="auto" w:sz="4" w:space="0"/>
              <w:left w:val="nil"/>
              <w:bottom w:val="single" w:color="auto" w:sz="4" w:space="0"/>
              <w:right w:val="single" w:color="auto" w:sz="4" w:space="0"/>
            </w:tcBorders>
            <w:vAlign w:val="center"/>
          </w:tcPr>
          <w:p w14:paraId="49436870">
            <w:pPr>
              <w:spacing w:line="440" w:lineRule="atLeast"/>
              <w:jc w:val="center"/>
              <w:rPr>
                <w:rFonts w:ascii="宋体" w:hAnsi="宋体" w:cs="宋体"/>
                <w:kern w:val="0"/>
                <w:sz w:val="20"/>
                <w:szCs w:val="20"/>
              </w:rPr>
            </w:pPr>
            <w:r>
              <w:rPr>
                <w:rFonts w:hint="eastAsia" w:ascii="宋体" w:hAnsi="宋体" w:cs="宋体"/>
                <w:kern w:val="0"/>
                <w:sz w:val="20"/>
                <w:szCs w:val="20"/>
              </w:rPr>
              <w:t>资产盘盈</w:t>
            </w:r>
          </w:p>
        </w:tc>
        <w:tc>
          <w:tcPr>
            <w:tcW w:w="3366" w:type="dxa"/>
            <w:gridSpan w:val="9"/>
            <w:tcBorders>
              <w:top w:val="single" w:color="auto" w:sz="4" w:space="0"/>
              <w:left w:val="nil"/>
              <w:bottom w:val="single" w:color="auto" w:sz="4" w:space="0"/>
              <w:right w:val="single" w:color="auto" w:sz="4" w:space="0"/>
            </w:tcBorders>
            <w:vAlign w:val="center"/>
          </w:tcPr>
          <w:p w14:paraId="516FE8DF">
            <w:pPr>
              <w:spacing w:line="440" w:lineRule="atLeast"/>
              <w:jc w:val="center"/>
              <w:rPr>
                <w:rFonts w:ascii="宋体" w:hAnsi="宋体" w:cs="宋体"/>
                <w:kern w:val="0"/>
                <w:sz w:val="20"/>
                <w:szCs w:val="20"/>
              </w:rPr>
            </w:pPr>
            <w:r>
              <w:rPr>
                <w:rFonts w:hint="eastAsia" w:ascii="宋体" w:hAnsi="宋体" w:cs="宋体"/>
                <w:kern w:val="0"/>
                <w:sz w:val="20"/>
                <w:szCs w:val="20"/>
              </w:rPr>
              <w:t>资产损失</w:t>
            </w:r>
          </w:p>
        </w:tc>
        <w:tc>
          <w:tcPr>
            <w:tcW w:w="3296" w:type="dxa"/>
            <w:gridSpan w:val="9"/>
            <w:tcBorders>
              <w:top w:val="single" w:color="auto" w:sz="4" w:space="0"/>
              <w:left w:val="nil"/>
              <w:bottom w:val="single" w:color="auto" w:sz="4" w:space="0"/>
              <w:right w:val="nil"/>
            </w:tcBorders>
            <w:vAlign w:val="center"/>
          </w:tcPr>
          <w:p w14:paraId="5626C197">
            <w:pPr>
              <w:spacing w:line="440" w:lineRule="atLeast"/>
              <w:jc w:val="center"/>
              <w:rPr>
                <w:rFonts w:ascii="宋体" w:hAnsi="宋体" w:cs="宋体"/>
                <w:kern w:val="0"/>
                <w:sz w:val="20"/>
                <w:szCs w:val="20"/>
              </w:rPr>
            </w:pPr>
            <w:r>
              <w:rPr>
                <w:rFonts w:hint="eastAsia" w:ascii="宋体" w:hAnsi="宋体" w:cs="宋体"/>
                <w:kern w:val="0"/>
                <w:sz w:val="20"/>
                <w:szCs w:val="20"/>
              </w:rPr>
              <w:t>资金挂账</w:t>
            </w:r>
          </w:p>
        </w:tc>
        <w:tc>
          <w:tcPr>
            <w:tcW w:w="780" w:type="dxa"/>
            <w:gridSpan w:val="3"/>
            <w:tcBorders>
              <w:top w:val="nil"/>
              <w:left w:val="single" w:color="auto" w:sz="4" w:space="0"/>
              <w:bottom w:val="single" w:color="auto" w:sz="4" w:space="0"/>
              <w:right w:val="single" w:color="auto" w:sz="4" w:space="0"/>
            </w:tcBorders>
            <w:vAlign w:val="center"/>
          </w:tcPr>
          <w:p w14:paraId="1C53FDDD">
            <w:pPr>
              <w:spacing w:line="440" w:lineRule="atLeast"/>
              <w:jc w:val="center"/>
              <w:rPr>
                <w:rFonts w:ascii="宋体" w:hAnsi="宋体" w:cs="宋体"/>
                <w:kern w:val="0"/>
                <w:sz w:val="20"/>
                <w:szCs w:val="20"/>
              </w:rPr>
            </w:pPr>
            <w:r>
              <w:rPr>
                <w:rFonts w:hint="eastAsia" w:ascii="宋体" w:hAnsi="宋体" w:cs="宋体"/>
                <w:kern w:val="0"/>
                <w:sz w:val="20"/>
                <w:szCs w:val="20"/>
              </w:rPr>
              <w:t>说明</w:t>
            </w:r>
          </w:p>
        </w:tc>
      </w:tr>
      <w:tr w14:paraId="24B3C8BE">
        <w:tblPrEx>
          <w:tblCellMar>
            <w:top w:w="0" w:type="dxa"/>
            <w:left w:w="108" w:type="dxa"/>
            <w:bottom w:w="0" w:type="dxa"/>
            <w:right w:w="108" w:type="dxa"/>
          </w:tblCellMar>
        </w:tblPrEx>
        <w:trPr>
          <w:trHeight w:val="402" w:hRule="atLeast"/>
        </w:trPr>
        <w:tc>
          <w:tcPr>
            <w:tcW w:w="1147" w:type="dxa"/>
            <w:gridSpan w:val="4"/>
            <w:vMerge w:val="continue"/>
            <w:tcBorders>
              <w:top w:val="single" w:color="auto" w:sz="4" w:space="0"/>
              <w:left w:val="single" w:color="auto" w:sz="4" w:space="0"/>
              <w:bottom w:val="single" w:color="auto" w:sz="4" w:space="0"/>
              <w:right w:val="single" w:color="auto" w:sz="4" w:space="0"/>
            </w:tcBorders>
            <w:vAlign w:val="center"/>
          </w:tcPr>
          <w:p w14:paraId="459490F3">
            <w:pPr>
              <w:spacing w:line="440" w:lineRule="atLeast"/>
              <w:jc w:val="left"/>
              <w:rPr>
                <w:rFonts w:ascii="宋体" w:hAnsi="宋体" w:cs="宋体"/>
                <w:kern w:val="0"/>
                <w:sz w:val="20"/>
                <w:szCs w:val="20"/>
              </w:rPr>
            </w:pPr>
          </w:p>
        </w:tc>
        <w:tc>
          <w:tcPr>
            <w:tcW w:w="1843" w:type="dxa"/>
            <w:gridSpan w:val="4"/>
            <w:vMerge w:val="continue"/>
            <w:tcBorders>
              <w:top w:val="single" w:color="auto" w:sz="4" w:space="0"/>
              <w:left w:val="single" w:color="auto" w:sz="4" w:space="0"/>
              <w:bottom w:val="single" w:color="auto" w:sz="4" w:space="0"/>
              <w:right w:val="single" w:color="auto" w:sz="4" w:space="0"/>
            </w:tcBorders>
            <w:vAlign w:val="center"/>
          </w:tcPr>
          <w:p w14:paraId="1D0DA6B2">
            <w:pPr>
              <w:spacing w:line="440" w:lineRule="atLeast"/>
              <w:jc w:val="left"/>
              <w:rPr>
                <w:rFonts w:ascii="宋体" w:hAnsi="宋体" w:cs="宋体"/>
                <w:kern w:val="0"/>
                <w:sz w:val="20"/>
                <w:szCs w:val="20"/>
              </w:rPr>
            </w:pPr>
          </w:p>
        </w:tc>
        <w:tc>
          <w:tcPr>
            <w:tcW w:w="1134" w:type="dxa"/>
            <w:gridSpan w:val="3"/>
            <w:tcBorders>
              <w:top w:val="nil"/>
              <w:left w:val="nil"/>
              <w:bottom w:val="single" w:color="auto" w:sz="4" w:space="0"/>
              <w:right w:val="single" w:color="auto" w:sz="4" w:space="0"/>
            </w:tcBorders>
            <w:vAlign w:val="center"/>
          </w:tcPr>
          <w:p w14:paraId="7C194838">
            <w:pPr>
              <w:spacing w:line="440" w:lineRule="atLeast"/>
              <w:jc w:val="center"/>
              <w:rPr>
                <w:rFonts w:ascii="宋体" w:hAnsi="宋体" w:cs="宋体"/>
                <w:kern w:val="0"/>
                <w:sz w:val="20"/>
                <w:szCs w:val="20"/>
              </w:rPr>
            </w:pPr>
            <w:r>
              <w:rPr>
                <w:rFonts w:hint="eastAsia" w:ascii="宋体" w:hAnsi="宋体" w:cs="宋体"/>
                <w:kern w:val="0"/>
                <w:sz w:val="20"/>
                <w:szCs w:val="20"/>
              </w:rPr>
              <w:t>账面价值</w:t>
            </w:r>
          </w:p>
        </w:tc>
        <w:tc>
          <w:tcPr>
            <w:tcW w:w="1134" w:type="dxa"/>
            <w:gridSpan w:val="3"/>
            <w:tcBorders>
              <w:top w:val="nil"/>
              <w:left w:val="nil"/>
              <w:bottom w:val="single" w:color="auto" w:sz="4" w:space="0"/>
              <w:right w:val="single" w:color="auto" w:sz="4" w:space="0"/>
            </w:tcBorders>
            <w:vAlign w:val="center"/>
          </w:tcPr>
          <w:p w14:paraId="52A75AC2">
            <w:pPr>
              <w:spacing w:line="440" w:lineRule="atLeast"/>
              <w:jc w:val="left"/>
              <w:rPr>
                <w:rFonts w:ascii="宋体" w:hAnsi="宋体" w:cs="宋体"/>
                <w:kern w:val="0"/>
                <w:sz w:val="20"/>
                <w:szCs w:val="20"/>
              </w:rPr>
            </w:pPr>
            <w:r>
              <w:rPr>
                <w:rFonts w:hint="eastAsia" w:ascii="宋体" w:hAnsi="宋体" w:cs="宋体"/>
                <w:kern w:val="0"/>
                <w:sz w:val="20"/>
                <w:szCs w:val="20"/>
              </w:rPr>
              <w:t>清查价值</w:t>
            </w:r>
          </w:p>
        </w:tc>
        <w:tc>
          <w:tcPr>
            <w:tcW w:w="1134" w:type="dxa"/>
            <w:gridSpan w:val="2"/>
            <w:tcBorders>
              <w:top w:val="nil"/>
              <w:left w:val="nil"/>
              <w:bottom w:val="single" w:color="auto" w:sz="4" w:space="0"/>
              <w:right w:val="single" w:color="auto" w:sz="4" w:space="0"/>
            </w:tcBorders>
            <w:vAlign w:val="center"/>
          </w:tcPr>
          <w:p w14:paraId="5EC6815F">
            <w:pPr>
              <w:spacing w:line="440" w:lineRule="atLeast"/>
              <w:jc w:val="left"/>
              <w:rPr>
                <w:rFonts w:ascii="宋体" w:hAnsi="宋体" w:cs="宋体"/>
                <w:kern w:val="0"/>
                <w:sz w:val="20"/>
                <w:szCs w:val="20"/>
              </w:rPr>
            </w:pPr>
            <w:r>
              <w:rPr>
                <w:rFonts w:hint="eastAsia" w:ascii="宋体" w:hAnsi="宋体" w:cs="宋体"/>
                <w:kern w:val="0"/>
                <w:sz w:val="20"/>
                <w:szCs w:val="20"/>
              </w:rPr>
              <w:t>申报价值</w:t>
            </w:r>
          </w:p>
        </w:tc>
        <w:tc>
          <w:tcPr>
            <w:tcW w:w="1102" w:type="dxa"/>
            <w:gridSpan w:val="3"/>
            <w:tcBorders>
              <w:top w:val="nil"/>
              <w:left w:val="nil"/>
              <w:bottom w:val="single" w:color="auto" w:sz="4" w:space="0"/>
              <w:right w:val="single" w:color="auto" w:sz="4" w:space="0"/>
            </w:tcBorders>
            <w:vAlign w:val="center"/>
          </w:tcPr>
          <w:p w14:paraId="69B6DDF1">
            <w:pPr>
              <w:spacing w:line="440" w:lineRule="atLeast"/>
              <w:jc w:val="center"/>
              <w:rPr>
                <w:rFonts w:ascii="宋体" w:hAnsi="宋体" w:cs="宋体"/>
                <w:kern w:val="0"/>
                <w:sz w:val="20"/>
                <w:szCs w:val="20"/>
              </w:rPr>
            </w:pPr>
            <w:r>
              <w:rPr>
                <w:rFonts w:hint="eastAsia" w:ascii="宋体" w:hAnsi="宋体" w:cs="宋体"/>
                <w:kern w:val="0"/>
                <w:sz w:val="20"/>
                <w:szCs w:val="20"/>
              </w:rPr>
              <w:t>账面价值</w:t>
            </w:r>
          </w:p>
        </w:tc>
        <w:tc>
          <w:tcPr>
            <w:tcW w:w="1166" w:type="dxa"/>
            <w:gridSpan w:val="3"/>
            <w:tcBorders>
              <w:top w:val="nil"/>
              <w:left w:val="nil"/>
              <w:bottom w:val="single" w:color="auto" w:sz="4" w:space="0"/>
              <w:right w:val="single" w:color="auto" w:sz="4" w:space="0"/>
            </w:tcBorders>
            <w:vAlign w:val="center"/>
          </w:tcPr>
          <w:p w14:paraId="0F5F55EA">
            <w:pPr>
              <w:spacing w:line="440" w:lineRule="atLeast"/>
              <w:jc w:val="left"/>
              <w:rPr>
                <w:rFonts w:ascii="宋体" w:hAnsi="宋体" w:cs="宋体"/>
                <w:kern w:val="0"/>
                <w:sz w:val="20"/>
                <w:szCs w:val="20"/>
              </w:rPr>
            </w:pPr>
            <w:r>
              <w:rPr>
                <w:rFonts w:hint="eastAsia" w:ascii="宋体" w:hAnsi="宋体" w:cs="宋体"/>
                <w:kern w:val="0"/>
                <w:sz w:val="20"/>
                <w:szCs w:val="20"/>
              </w:rPr>
              <w:t>清查价值</w:t>
            </w:r>
          </w:p>
        </w:tc>
        <w:tc>
          <w:tcPr>
            <w:tcW w:w="1098" w:type="dxa"/>
            <w:gridSpan w:val="3"/>
            <w:tcBorders>
              <w:top w:val="nil"/>
              <w:left w:val="nil"/>
              <w:bottom w:val="single" w:color="auto" w:sz="4" w:space="0"/>
              <w:right w:val="single" w:color="auto" w:sz="4" w:space="0"/>
            </w:tcBorders>
            <w:vAlign w:val="center"/>
          </w:tcPr>
          <w:p w14:paraId="2F47D35D">
            <w:pPr>
              <w:spacing w:line="440" w:lineRule="atLeast"/>
              <w:jc w:val="left"/>
              <w:rPr>
                <w:rFonts w:ascii="宋体" w:hAnsi="宋体" w:cs="宋体"/>
                <w:kern w:val="0"/>
                <w:sz w:val="20"/>
                <w:szCs w:val="20"/>
              </w:rPr>
            </w:pPr>
            <w:r>
              <w:rPr>
                <w:rFonts w:hint="eastAsia" w:ascii="宋体" w:hAnsi="宋体" w:cs="宋体"/>
                <w:kern w:val="0"/>
                <w:sz w:val="20"/>
                <w:szCs w:val="20"/>
              </w:rPr>
              <w:t>申报价值</w:t>
            </w:r>
          </w:p>
        </w:tc>
        <w:tc>
          <w:tcPr>
            <w:tcW w:w="1028" w:type="dxa"/>
            <w:gridSpan w:val="3"/>
            <w:tcBorders>
              <w:top w:val="nil"/>
              <w:left w:val="nil"/>
              <w:bottom w:val="single" w:color="auto" w:sz="4" w:space="0"/>
              <w:right w:val="single" w:color="auto" w:sz="4" w:space="0"/>
            </w:tcBorders>
            <w:vAlign w:val="center"/>
          </w:tcPr>
          <w:p w14:paraId="11578AB3">
            <w:pPr>
              <w:spacing w:line="440" w:lineRule="atLeast"/>
              <w:jc w:val="center"/>
              <w:rPr>
                <w:rFonts w:ascii="宋体" w:hAnsi="宋体" w:cs="宋体"/>
                <w:kern w:val="0"/>
                <w:sz w:val="20"/>
                <w:szCs w:val="20"/>
              </w:rPr>
            </w:pPr>
            <w:r>
              <w:rPr>
                <w:rFonts w:hint="eastAsia" w:ascii="宋体" w:hAnsi="宋体" w:cs="宋体"/>
                <w:kern w:val="0"/>
                <w:sz w:val="20"/>
                <w:szCs w:val="20"/>
              </w:rPr>
              <w:t>账面价值</w:t>
            </w:r>
          </w:p>
        </w:tc>
        <w:tc>
          <w:tcPr>
            <w:tcW w:w="1134" w:type="dxa"/>
            <w:gridSpan w:val="3"/>
            <w:tcBorders>
              <w:top w:val="nil"/>
              <w:left w:val="nil"/>
              <w:bottom w:val="single" w:color="auto" w:sz="4" w:space="0"/>
              <w:right w:val="single" w:color="auto" w:sz="4" w:space="0"/>
            </w:tcBorders>
            <w:vAlign w:val="center"/>
          </w:tcPr>
          <w:p w14:paraId="55A7490E">
            <w:pPr>
              <w:spacing w:line="440" w:lineRule="atLeast"/>
              <w:jc w:val="left"/>
              <w:rPr>
                <w:rFonts w:ascii="宋体" w:hAnsi="宋体" w:cs="宋体"/>
                <w:kern w:val="0"/>
                <w:sz w:val="20"/>
                <w:szCs w:val="20"/>
              </w:rPr>
            </w:pPr>
            <w:r>
              <w:rPr>
                <w:rFonts w:hint="eastAsia" w:ascii="宋体" w:hAnsi="宋体" w:cs="宋体"/>
                <w:kern w:val="0"/>
                <w:sz w:val="20"/>
                <w:szCs w:val="20"/>
              </w:rPr>
              <w:t>清查价值</w:t>
            </w:r>
          </w:p>
        </w:tc>
        <w:tc>
          <w:tcPr>
            <w:tcW w:w="1134" w:type="dxa"/>
            <w:gridSpan w:val="3"/>
            <w:tcBorders>
              <w:top w:val="nil"/>
              <w:left w:val="nil"/>
              <w:bottom w:val="single" w:color="auto" w:sz="4" w:space="0"/>
              <w:right w:val="single" w:color="auto" w:sz="4" w:space="0"/>
            </w:tcBorders>
            <w:vAlign w:val="center"/>
          </w:tcPr>
          <w:p w14:paraId="430A378D">
            <w:pPr>
              <w:spacing w:line="440" w:lineRule="atLeast"/>
              <w:jc w:val="left"/>
              <w:rPr>
                <w:rFonts w:ascii="宋体" w:hAnsi="宋体" w:cs="宋体"/>
                <w:kern w:val="0"/>
                <w:sz w:val="20"/>
                <w:szCs w:val="20"/>
              </w:rPr>
            </w:pPr>
            <w:r>
              <w:rPr>
                <w:rFonts w:hint="eastAsia" w:ascii="宋体" w:hAnsi="宋体" w:cs="宋体"/>
                <w:kern w:val="0"/>
                <w:sz w:val="20"/>
                <w:szCs w:val="20"/>
              </w:rPr>
              <w:t>申报价值</w:t>
            </w:r>
          </w:p>
        </w:tc>
        <w:tc>
          <w:tcPr>
            <w:tcW w:w="780" w:type="dxa"/>
            <w:gridSpan w:val="3"/>
            <w:vMerge w:val="restart"/>
            <w:tcBorders>
              <w:top w:val="nil"/>
              <w:left w:val="single" w:color="auto" w:sz="4" w:space="0"/>
              <w:bottom w:val="single" w:color="auto" w:sz="4" w:space="0"/>
              <w:right w:val="single" w:color="auto" w:sz="4" w:space="0"/>
            </w:tcBorders>
            <w:vAlign w:val="center"/>
          </w:tcPr>
          <w:p w14:paraId="03C64952">
            <w:pPr>
              <w:spacing w:line="440" w:lineRule="atLeast"/>
              <w:jc w:val="center"/>
              <w:rPr>
                <w:rFonts w:ascii="宋体" w:hAnsi="宋体" w:cs="宋体"/>
                <w:kern w:val="0"/>
                <w:sz w:val="20"/>
                <w:szCs w:val="20"/>
              </w:rPr>
            </w:pPr>
          </w:p>
        </w:tc>
      </w:tr>
      <w:tr w14:paraId="0CDC8242">
        <w:tblPrEx>
          <w:tblCellMar>
            <w:top w:w="0" w:type="dxa"/>
            <w:left w:w="108" w:type="dxa"/>
            <w:bottom w:w="0" w:type="dxa"/>
            <w:right w:w="108" w:type="dxa"/>
          </w:tblCellMar>
        </w:tblPrEx>
        <w:trPr>
          <w:trHeight w:val="402" w:hRule="atLeast"/>
        </w:trPr>
        <w:tc>
          <w:tcPr>
            <w:tcW w:w="1147" w:type="dxa"/>
            <w:gridSpan w:val="4"/>
            <w:vMerge w:val="continue"/>
            <w:tcBorders>
              <w:top w:val="single" w:color="auto" w:sz="4" w:space="0"/>
              <w:left w:val="single" w:color="auto" w:sz="4" w:space="0"/>
              <w:bottom w:val="single" w:color="auto" w:sz="4" w:space="0"/>
              <w:right w:val="single" w:color="auto" w:sz="4" w:space="0"/>
            </w:tcBorders>
            <w:vAlign w:val="center"/>
          </w:tcPr>
          <w:p w14:paraId="3B4EC5D9">
            <w:pPr>
              <w:spacing w:line="440" w:lineRule="atLeast"/>
              <w:jc w:val="left"/>
              <w:rPr>
                <w:rFonts w:ascii="宋体" w:hAnsi="宋体" w:cs="宋体"/>
                <w:kern w:val="0"/>
                <w:sz w:val="20"/>
                <w:szCs w:val="20"/>
              </w:rPr>
            </w:pPr>
          </w:p>
        </w:tc>
        <w:tc>
          <w:tcPr>
            <w:tcW w:w="1843" w:type="dxa"/>
            <w:gridSpan w:val="4"/>
            <w:tcBorders>
              <w:top w:val="single" w:color="auto" w:sz="4" w:space="0"/>
              <w:left w:val="nil"/>
              <w:bottom w:val="single" w:color="auto" w:sz="4" w:space="0"/>
              <w:right w:val="single" w:color="auto" w:sz="4" w:space="0"/>
            </w:tcBorders>
            <w:vAlign w:val="center"/>
          </w:tcPr>
          <w:p w14:paraId="2A4EB1FA">
            <w:pPr>
              <w:spacing w:line="440" w:lineRule="atLeast"/>
              <w:jc w:val="center"/>
              <w:rPr>
                <w:rFonts w:ascii="宋体" w:hAnsi="宋体" w:cs="宋体"/>
                <w:kern w:val="0"/>
                <w:sz w:val="20"/>
                <w:szCs w:val="20"/>
              </w:rPr>
            </w:pPr>
            <w:r>
              <w:rPr>
                <w:rFonts w:hint="eastAsia" w:ascii="宋体" w:hAnsi="宋体" w:cs="宋体"/>
                <w:kern w:val="0"/>
                <w:sz w:val="20"/>
                <w:szCs w:val="20"/>
              </w:rPr>
              <w:t>资产总额</w:t>
            </w:r>
          </w:p>
        </w:tc>
        <w:tc>
          <w:tcPr>
            <w:tcW w:w="1134" w:type="dxa"/>
            <w:gridSpan w:val="3"/>
            <w:tcBorders>
              <w:top w:val="nil"/>
              <w:left w:val="nil"/>
              <w:bottom w:val="single" w:color="auto" w:sz="4" w:space="0"/>
              <w:right w:val="single" w:color="auto" w:sz="4" w:space="0"/>
            </w:tcBorders>
            <w:vAlign w:val="center"/>
          </w:tcPr>
          <w:p w14:paraId="7A7504B3">
            <w:pPr>
              <w:spacing w:line="440" w:lineRule="atLeast"/>
              <w:jc w:val="center"/>
              <w:rPr>
                <w:rFonts w:ascii="宋体" w:hAnsi="宋体" w:cs="宋体"/>
                <w:kern w:val="0"/>
                <w:sz w:val="20"/>
                <w:szCs w:val="20"/>
              </w:rPr>
            </w:pPr>
          </w:p>
        </w:tc>
        <w:tc>
          <w:tcPr>
            <w:tcW w:w="1134" w:type="dxa"/>
            <w:gridSpan w:val="3"/>
            <w:tcBorders>
              <w:top w:val="nil"/>
              <w:left w:val="nil"/>
              <w:bottom w:val="single" w:color="auto" w:sz="4" w:space="0"/>
              <w:right w:val="nil"/>
            </w:tcBorders>
            <w:vAlign w:val="center"/>
          </w:tcPr>
          <w:p w14:paraId="3EFE8C54">
            <w:pPr>
              <w:spacing w:line="440" w:lineRule="atLeast"/>
              <w:jc w:val="left"/>
              <w:rPr>
                <w:rFonts w:ascii="宋体" w:hAnsi="宋体" w:cs="宋体"/>
                <w:kern w:val="0"/>
                <w:sz w:val="20"/>
                <w:szCs w:val="20"/>
              </w:rPr>
            </w:pPr>
          </w:p>
        </w:tc>
        <w:tc>
          <w:tcPr>
            <w:tcW w:w="1134" w:type="dxa"/>
            <w:gridSpan w:val="2"/>
            <w:tcBorders>
              <w:top w:val="nil"/>
              <w:left w:val="single" w:color="auto" w:sz="4" w:space="0"/>
              <w:bottom w:val="single" w:color="auto" w:sz="4" w:space="0"/>
              <w:right w:val="single" w:color="auto" w:sz="4" w:space="0"/>
            </w:tcBorders>
            <w:vAlign w:val="center"/>
          </w:tcPr>
          <w:p w14:paraId="59B836E2">
            <w:pPr>
              <w:spacing w:line="440" w:lineRule="atLeast"/>
              <w:jc w:val="left"/>
              <w:rPr>
                <w:rFonts w:ascii="宋体" w:hAnsi="宋体" w:cs="宋体"/>
                <w:kern w:val="0"/>
                <w:sz w:val="20"/>
                <w:szCs w:val="20"/>
              </w:rPr>
            </w:pPr>
          </w:p>
        </w:tc>
        <w:tc>
          <w:tcPr>
            <w:tcW w:w="1102" w:type="dxa"/>
            <w:gridSpan w:val="3"/>
            <w:tcBorders>
              <w:top w:val="nil"/>
              <w:left w:val="nil"/>
              <w:bottom w:val="single" w:color="auto" w:sz="4" w:space="0"/>
              <w:right w:val="single" w:color="auto" w:sz="4" w:space="0"/>
            </w:tcBorders>
            <w:vAlign w:val="center"/>
          </w:tcPr>
          <w:p w14:paraId="3AD7170B">
            <w:pPr>
              <w:spacing w:line="440" w:lineRule="atLeast"/>
              <w:jc w:val="center"/>
              <w:rPr>
                <w:rFonts w:ascii="宋体" w:hAnsi="宋体" w:cs="宋体"/>
                <w:kern w:val="0"/>
                <w:sz w:val="20"/>
                <w:szCs w:val="20"/>
              </w:rPr>
            </w:pPr>
          </w:p>
        </w:tc>
        <w:tc>
          <w:tcPr>
            <w:tcW w:w="1166" w:type="dxa"/>
            <w:gridSpan w:val="3"/>
            <w:tcBorders>
              <w:top w:val="nil"/>
              <w:left w:val="nil"/>
              <w:bottom w:val="single" w:color="auto" w:sz="4" w:space="0"/>
              <w:right w:val="single" w:color="auto" w:sz="4" w:space="0"/>
            </w:tcBorders>
            <w:vAlign w:val="center"/>
          </w:tcPr>
          <w:p w14:paraId="08ABCA80">
            <w:pPr>
              <w:spacing w:line="440" w:lineRule="atLeast"/>
              <w:jc w:val="left"/>
              <w:rPr>
                <w:rFonts w:ascii="宋体" w:hAnsi="宋体" w:cs="宋体"/>
                <w:kern w:val="0"/>
                <w:sz w:val="20"/>
                <w:szCs w:val="20"/>
              </w:rPr>
            </w:pPr>
          </w:p>
        </w:tc>
        <w:tc>
          <w:tcPr>
            <w:tcW w:w="1098" w:type="dxa"/>
            <w:gridSpan w:val="3"/>
            <w:tcBorders>
              <w:top w:val="nil"/>
              <w:left w:val="nil"/>
              <w:bottom w:val="single" w:color="auto" w:sz="4" w:space="0"/>
              <w:right w:val="single" w:color="auto" w:sz="4" w:space="0"/>
            </w:tcBorders>
            <w:vAlign w:val="center"/>
          </w:tcPr>
          <w:p w14:paraId="7784E555">
            <w:pPr>
              <w:spacing w:line="440" w:lineRule="atLeast"/>
              <w:jc w:val="left"/>
              <w:rPr>
                <w:rFonts w:ascii="宋体" w:hAnsi="宋体" w:cs="宋体"/>
                <w:kern w:val="0"/>
                <w:sz w:val="20"/>
                <w:szCs w:val="20"/>
              </w:rPr>
            </w:pPr>
          </w:p>
        </w:tc>
        <w:tc>
          <w:tcPr>
            <w:tcW w:w="1028" w:type="dxa"/>
            <w:gridSpan w:val="3"/>
            <w:tcBorders>
              <w:top w:val="nil"/>
              <w:left w:val="nil"/>
              <w:bottom w:val="single" w:color="auto" w:sz="4" w:space="0"/>
              <w:right w:val="single" w:color="auto" w:sz="4" w:space="0"/>
            </w:tcBorders>
            <w:vAlign w:val="center"/>
          </w:tcPr>
          <w:p w14:paraId="14ADEA5B">
            <w:pPr>
              <w:spacing w:line="440" w:lineRule="atLeast"/>
              <w:jc w:val="center"/>
              <w:rPr>
                <w:rFonts w:ascii="宋体" w:hAnsi="宋体" w:cs="宋体"/>
                <w:kern w:val="0"/>
                <w:sz w:val="20"/>
                <w:szCs w:val="20"/>
              </w:rPr>
            </w:pPr>
          </w:p>
        </w:tc>
        <w:tc>
          <w:tcPr>
            <w:tcW w:w="1134" w:type="dxa"/>
            <w:gridSpan w:val="3"/>
            <w:tcBorders>
              <w:top w:val="nil"/>
              <w:left w:val="nil"/>
              <w:bottom w:val="single" w:color="auto" w:sz="4" w:space="0"/>
              <w:right w:val="single" w:color="auto" w:sz="4" w:space="0"/>
            </w:tcBorders>
            <w:vAlign w:val="center"/>
          </w:tcPr>
          <w:p w14:paraId="544DC8E3">
            <w:pPr>
              <w:spacing w:line="440" w:lineRule="atLeast"/>
              <w:jc w:val="left"/>
              <w:rPr>
                <w:rFonts w:ascii="宋体" w:hAnsi="宋体" w:cs="宋体"/>
                <w:kern w:val="0"/>
                <w:sz w:val="20"/>
                <w:szCs w:val="20"/>
              </w:rPr>
            </w:pPr>
          </w:p>
        </w:tc>
        <w:tc>
          <w:tcPr>
            <w:tcW w:w="1134" w:type="dxa"/>
            <w:gridSpan w:val="3"/>
            <w:tcBorders>
              <w:top w:val="nil"/>
              <w:left w:val="nil"/>
              <w:bottom w:val="single" w:color="auto" w:sz="4" w:space="0"/>
              <w:right w:val="single" w:color="auto" w:sz="4" w:space="0"/>
            </w:tcBorders>
            <w:vAlign w:val="center"/>
          </w:tcPr>
          <w:p w14:paraId="4782313F">
            <w:pPr>
              <w:spacing w:line="440" w:lineRule="atLeast"/>
              <w:jc w:val="left"/>
              <w:rPr>
                <w:rFonts w:ascii="宋体" w:hAnsi="宋体" w:cs="宋体"/>
                <w:kern w:val="0"/>
                <w:sz w:val="20"/>
                <w:szCs w:val="20"/>
              </w:rPr>
            </w:pPr>
          </w:p>
        </w:tc>
        <w:tc>
          <w:tcPr>
            <w:tcW w:w="780" w:type="dxa"/>
            <w:gridSpan w:val="3"/>
            <w:vMerge w:val="continue"/>
            <w:tcBorders>
              <w:top w:val="nil"/>
              <w:left w:val="single" w:color="auto" w:sz="4" w:space="0"/>
              <w:bottom w:val="single" w:color="auto" w:sz="4" w:space="0"/>
              <w:right w:val="single" w:color="auto" w:sz="4" w:space="0"/>
            </w:tcBorders>
            <w:vAlign w:val="center"/>
          </w:tcPr>
          <w:p w14:paraId="678B1841">
            <w:pPr>
              <w:spacing w:line="440" w:lineRule="atLeast"/>
              <w:jc w:val="left"/>
              <w:rPr>
                <w:rFonts w:ascii="宋体" w:hAnsi="宋体" w:cs="宋体"/>
                <w:kern w:val="0"/>
                <w:sz w:val="20"/>
                <w:szCs w:val="20"/>
              </w:rPr>
            </w:pPr>
          </w:p>
        </w:tc>
      </w:tr>
      <w:tr w14:paraId="4E28D991">
        <w:tblPrEx>
          <w:tblCellMar>
            <w:top w:w="0" w:type="dxa"/>
            <w:left w:w="108" w:type="dxa"/>
            <w:bottom w:w="0" w:type="dxa"/>
            <w:right w:w="108" w:type="dxa"/>
          </w:tblCellMar>
        </w:tblPrEx>
        <w:trPr>
          <w:trHeight w:val="402" w:hRule="atLeast"/>
        </w:trPr>
        <w:tc>
          <w:tcPr>
            <w:tcW w:w="1147" w:type="dxa"/>
            <w:gridSpan w:val="4"/>
            <w:vMerge w:val="continue"/>
            <w:tcBorders>
              <w:top w:val="single" w:color="auto" w:sz="4" w:space="0"/>
              <w:left w:val="single" w:color="auto" w:sz="4" w:space="0"/>
              <w:bottom w:val="single" w:color="auto" w:sz="4" w:space="0"/>
              <w:right w:val="single" w:color="auto" w:sz="4" w:space="0"/>
            </w:tcBorders>
            <w:vAlign w:val="center"/>
          </w:tcPr>
          <w:p w14:paraId="7AD05E08">
            <w:pPr>
              <w:spacing w:line="440" w:lineRule="atLeast"/>
              <w:jc w:val="left"/>
              <w:rPr>
                <w:rFonts w:ascii="宋体" w:hAnsi="宋体" w:cs="宋体"/>
                <w:kern w:val="0"/>
                <w:sz w:val="20"/>
                <w:szCs w:val="20"/>
              </w:rPr>
            </w:pPr>
          </w:p>
        </w:tc>
        <w:tc>
          <w:tcPr>
            <w:tcW w:w="1843" w:type="dxa"/>
            <w:gridSpan w:val="4"/>
            <w:tcBorders>
              <w:top w:val="single" w:color="auto" w:sz="4" w:space="0"/>
              <w:left w:val="nil"/>
              <w:bottom w:val="single" w:color="auto" w:sz="4" w:space="0"/>
              <w:right w:val="single" w:color="auto" w:sz="4" w:space="0"/>
            </w:tcBorders>
            <w:vAlign w:val="center"/>
          </w:tcPr>
          <w:p w14:paraId="44352432">
            <w:pPr>
              <w:spacing w:line="440" w:lineRule="atLeast"/>
              <w:jc w:val="center"/>
              <w:rPr>
                <w:rFonts w:ascii="宋体" w:hAnsi="宋体" w:cs="宋体"/>
                <w:kern w:val="0"/>
                <w:sz w:val="20"/>
                <w:szCs w:val="20"/>
              </w:rPr>
            </w:pPr>
            <w:r>
              <w:rPr>
                <w:rFonts w:hint="eastAsia" w:ascii="宋体" w:hAnsi="宋体" w:cs="宋体"/>
                <w:kern w:val="0"/>
                <w:sz w:val="20"/>
                <w:szCs w:val="20"/>
              </w:rPr>
              <w:t>流动资产</w:t>
            </w:r>
          </w:p>
        </w:tc>
        <w:tc>
          <w:tcPr>
            <w:tcW w:w="1134" w:type="dxa"/>
            <w:gridSpan w:val="3"/>
            <w:tcBorders>
              <w:top w:val="nil"/>
              <w:left w:val="nil"/>
              <w:bottom w:val="single" w:color="auto" w:sz="4" w:space="0"/>
              <w:right w:val="single" w:color="auto" w:sz="4" w:space="0"/>
            </w:tcBorders>
            <w:vAlign w:val="center"/>
          </w:tcPr>
          <w:p w14:paraId="2DF63AC1">
            <w:pPr>
              <w:spacing w:line="440" w:lineRule="atLeast"/>
              <w:jc w:val="center"/>
              <w:rPr>
                <w:rFonts w:ascii="宋体" w:hAnsi="宋体" w:cs="宋体"/>
                <w:kern w:val="0"/>
                <w:sz w:val="20"/>
                <w:szCs w:val="20"/>
              </w:rPr>
            </w:pPr>
          </w:p>
        </w:tc>
        <w:tc>
          <w:tcPr>
            <w:tcW w:w="1134" w:type="dxa"/>
            <w:gridSpan w:val="3"/>
            <w:tcBorders>
              <w:top w:val="nil"/>
              <w:left w:val="nil"/>
              <w:bottom w:val="single" w:color="auto" w:sz="4" w:space="0"/>
              <w:right w:val="nil"/>
            </w:tcBorders>
            <w:vAlign w:val="center"/>
          </w:tcPr>
          <w:p w14:paraId="3C69B920">
            <w:pPr>
              <w:spacing w:line="440" w:lineRule="atLeast"/>
              <w:jc w:val="left"/>
              <w:rPr>
                <w:rFonts w:ascii="宋体" w:hAnsi="宋体" w:cs="宋体"/>
                <w:kern w:val="0"/>
                <w:sz w:val="20"/>
                <w:szCs w:val="20"/>
              </w:rPr>
            </w:pPr>
          </w:p>
        </w:tc>
        <w:tc>
          <w:tcPr>
            <w:tcW w:w="1134" w:type="dxa"/>
            <w:gridSpan w:val="2"/>
            <w:tcBorders>
              <w:top w:val="nil"/>
              <w:left w:val="single" w:color="auto" w:sz="4" w:space="0"/>
              <w:bottom w:val="single" w:color="auto" w:sz="4" w:space="0"/>
              <w:right w:val="single" w:color="auto" w:sz="4" w:space="0"/>
            </w:tcBorders>
            <w:vAlign w:val="center"/>
          </w:tcPr>
          <w:p w14:paraId="0EEF0C13">
            <w:pPr>
              <w:spacing w:line="440" w:lineRule="atLeast"/>
              <w:jc w:val="left"/>
              <w:rPr>
                <w:rFonts w:ascii="宋体" w:hAnsi="宋体" w:cs="宋体"/>
                <w:kern w:val="0"/>
                <w:sz w:val="20"/>
                <w:szCs w:val="20"/>
              </w:rPr>
            </w:pPr>
          </w:p>
        </w:tc>
        <w:tc>
          <w:tcPr>
            <w:tcW w:w="1102" w:type="dxa"/>
            <w:gridSpan w:val="3"/>
            <w:tcBorders>
              <w:top w:val="nil"/>
              <w:left w:val="nil"/>
              <w:bottom w:val="single" w:color="auto" w:sz="4" w:space="0"/>
              <w:right w:val="single" w:color="auto" w:sz="4" w:space="0"/>
            </w:tcBorders>
            <w:vAlign w:val="center"/>
          </w:tcPr>
          <w:p w14:paraId="4A8CAC92">
            <w:pPr>
              <w:spacing w:line="440" w:lineRule="atLeast"/>
              <w:jc w:val="center"/>
              <w:rPr>
                <w:rFonts w:ascii="宋体" w:hAnsi="宋体" w:cs="宋体"/>
                <w:kern w:val="0"/>
                <w:sz w:val="20"/>
                <w:szCs w:val="20"/>
              </w:rPr>
            </w:pPr>
          </w:p>
        </w:tc>
        <w:tc>
          <w:tcPr>
            <w:tcW w:w="1166" w:type="dxa"/>
            <w:gridSpan w:val="3"/>
            <w:tcBorders>
              <w:top w:val="nil"/>
              <w:left w:val="nil"/>
              <w:bottom w:val="single" w:color="auto" w:sz="4" w:space="0"/>
              <w:right w:val="single" w:color="auto" w:sz="4" w:space="0"/>
            </w:tcBorders>
            <w:vAlign w:val="center"/>
          </w:tcPr>
          <w:p w14:paraId="4DD3F444">
            <w:pPr>
              <w:spacing w:line="440" w:lineRule="atLeast"/>
              <w:jc w:val="left"/>
              <w:rPr>
                <w:rFonts w:ascii="宋体" w:hAnsi="宋体" w:cs="宋体"/>
                <w:kern w:val="0"/>
                <w:sz w:val="20"/>
                <w:szCs w:val="20"/>
              </w:rPr>
            </w:pPr>
          </w:p>
        </w:tc>
        <w:tc>
          <w:tcPr>
            <w:tcW w:w="1098" w:type="dxa"/>
            <w:gridSpan w:val="3"/>
            <w:tcBorders>
              <w:top w:val="nil"/>
              <w:left w:val="nil"/>
              <w:bottom w:val="single" w:color="auto" w:sz="4" w:space="0"/>
              <w:right w:val="single" w:color="auto" w:sz="4" w:space="0"/>
            </w:tcBorders>
            <w:vAlign w:val="center"/>
          </w:tcPr>
          <w:p w14:paraId="2907D804">
            <w:pPr>
              <w:spacing w:line="440" w:lineRule="atLeast"/>
              <w:jc w:val="left"/>
              <w:rPr>
                <w:rFonts w:ascii="宋体" w:hAnsi="宋体" w:cs="宋体"/>
                <w:kern w:val="0"/>
                <w:sz w:val="20"/>
                <w:szCs w:val="20"/>
              </w:rPr>
            </w:pPr>
          </w:p>
        </w:tc>
        <w:tc>
          <w:tcPr>
            <w:tcW w:w="1028" w:type="dxa"/>
            <w:gridSpan w:val="3"/>
            <w:tcBorders>
              <w:top w:val="nil"/>
              <w:left w:val="nil"/>
              <w:bottom w:val="single" w:color="auto" w:sz="4" w:space="0"/>
              <w:right w:val="single" w:color="auto" w:sz="4" w:space="0"/>
            </w:tcBorders>
            <w:vAlign w:val="center"/>
          </w:tcPr>
          <w:p w14:paraId="3B377B06">
            <w:pPr>
              <w:spacing w:line="440" w:lineRule="atLeast"/>
              <w:jc w:val="center"/>
              <w:rPr>
                <w:rFonts w:ascii="宋体" w:hAnsi="宋体" w:cs="宋体"/>
                <w:kern w:val="0"/>
                <w:sz w:val="20"/>
                <w:szCs w:val="20"/>
              </w:rPr>
            </w:pPr>
          </w:p>
        </w:tc>
        <w:tc>
          <w:tcPr>
            <w:tcW w:w="1134" w:type="dxa"/>
            <w:gridSpan w:val="3"/>
            <w:tcBorders>
              <w:top w:val="nil"/>
              <w:left w:val="nil"/>
              <w:bottom w:val="single" w:color="auto" w:sz="4" w:space="0"/>
              <w:right w:val="single" w:color="auto" w:sz="4" w:space="0"/>
            </w:tcBorders>
            <w:vAlign w:val="center"/>
          </w:tcPr>
          <w:p w14:paraId="23EB0CFF">
            <w:pPr>
              <w:spacing w:line="440" w:lineRule="atLeast"/>
              <w:jc w:val="left"/>
              <w:rPr>
                <w:rFonts w:ascii="宋体" w:hAnsi="宋体" w:cs="宋体"/>
                <w:kern w:val="0"/>
                <w:sz w:val="20"/>
                <w:szCs w:val="20"/>
              </w:rPr>
            </w:pPr>
          </w:p>
        </w:tc>
        <w:tc>
          <w:tcPr>
            <w:tcW w:w="1134" w:type="dxa"/>
            <w:gridSpan w:val="3"/>
            <w:tcBorders>
              <w:top w:val="nil"/>
              <w:left w:val="nil"/>
              <w:bottom w:val="single" w:color="auto" w:sz="4" w:space="0"/>
              <w:right w:val="single" w:color="auto" w:sz="4" w:space="0"/>
            </w:tcBorders>
            <w:vAlign w:val="center"/>
          </w:tcPr>
          <w:p w14:paraId="3E4F5962">
            <w:pPr>
              <w:spacing w:line="440" w:lineRule="atLeast"/>
              <w:jc w:val="left"/>
              <w:rPr>
                <w:rFonts w:ascii="宋体" w:hAnsi="宋体" w:cs="宋体"/>
                <w:kern w:val="0"/>
                <w:sz w:val="20"/>
                <w:szCs w:val="20"/>
              </w:rPr>
            </w:pPr>
          </w:p>
        </w:tc>
        <w:tc>
          <w:tcPr>
            <w:tcW w:w="780" w:type="dxa"/>
            <w:gridSpan w:val="3"/>
            <w:vMerge w:val="continue"/>
            <w:tcBorders>
              <w:top w:val="nil"/>
              <w:left w:val="single" w:color="auto" w:sz="4" w:space="0"/>
              <w:bottom w:val="single" w:color="auto" w:sz="4" w:space="0"/>
              <w:right w:val="single" w:color="auto" w:sz="4" w:space="0"/>
            </w:tcBorders>
            <w:vAlign w:val="center"/>
          </w:tcPr>
          <w:p w14:paraId="1DB4BC79">
            <w:pPr>
              <w:spacing w:line="440" w:lineRule="atLeast"/>
              <w:jc w:val="left"/>
              <w:rPr>
                <w:rFonts w:ascii="宋体" w:hAnsi="宋体" w:cs="宋体"/>
                <w:kern w:val="0"/>
                <w:sz w:val="20"/>
                <w:szCs w:val="20"/>
              </w:rPr>
            </w:pPr>
          </w:p>
        </w:tc>
      </w:tr>
      <w:tr w14:paraId="4F848896">
        <w:tblPrEx>
          <w:tblCellMar>
            <w:top w:w="0" w:type="dxa"/>
            <w:left w:w="108" w:type="dxa"/>
            <w:bottom w:w="0" w:type="dxa"/>
            <w:right w:w="108" w:type="dxa"/>
          </w:tblCellMar>
        </w:tblPrEx>
        <w:trPr>
          <w:trHeight w:val="402" w:hRule="atLeast"/>
        </w:trPr>
        <w:tc>
          <w:tcPr>
            <w:tcW w:w="1147" w:type="dxa"/>
            <w:gridSpan w:val="4"/>
            <w:vMerge w:val="continue"/>
            <w:tcBorders>
              <w:top w:val="single" w:color="auto" w:sz="4" w:space="0"/>
              <w:left w:val="single" w:color="auto" w:sz="4" w:space="0"/>
              <w:bottom w:val="single" w:color="auto" w:sz="4" w:space="0"/>
              <w:right w:val="single" w:color="auto" w:sz="4" w:space="0"/>
            </w:tcBorders>
            <w:vAlign w:val="center"/>
          </w:tcPr>
          <w:p w14:paraId="7EA2FB32">
            <w:pPr>
              <w:spacing w:line="440" w:lineRule="atLeast"/>
              <w:jc w:val="left"/>
              <w:rPr>
                <w:rFonts w:ascii="宋体" w:hAnsi="宋体" w:cs="宋体"/>
                <w:kern w:val="0"/>
                <w:sz w:val="20"/>
                <w:szCs w:val="20"/>
              </w:rPr>
            </w:pPr>
          </w:p>
        </w:tc>
        <w:tc>
          <w:tcPr>
            <w:tcW w:w="1843" w:type="dxa"/>
            <w:gridSpan w:val="4"/>
            <w:tcBorders>
              <w:top w:val="single" w:color="auto" w:sz="4" w:space="0"/>
              <w:left w:val="nil"/>
              <w:bottom w:val="single" w:color="auto" w:sz="4" w:space="0"/>
              <w:right w:val="single" w:color="auto" w:sz="4" w:space="0"/>
            </w:tcBorders>
            <w:vAlign w:val="center"/>
          </w:tcPr>
          <w:p w14:paraId="763652A2">
            <w:pPr>
              <w:spacing w:line="440" w:lineRule="atLeast"/>
              <w:jc w:val="center"/>
              <w:rPr>
                <w:rFonts w:ascii="宋体" w:hAnsi="宋体" w:cs="宋体"/>
                <w:kern w:val="0"/>
                <w:sz w:val="20"/>
                <w:szCs w:val="20"/>
              </w:rPr>
            </w:pPr>
            <w:r>
              <w:rPr>
                <w:rFonts w:hint="eastAsia" w:ascii="宋体" w:hAnsi="宋体" w:cs="宋体"/>
                <w:kern w:val="0"/>
                <w:sz w:val="20"/>
                <w:szCs w:val="20"/>
              </w:rPr>
              <w:t>其中：存货</w:t>
            </w:r>
          </w:p>
        </w:tc>
        <w:tc>
          <w:tcPr>
            <w:tcW w:w="1134" w:type="dxa"/>
            <w:gridSpan w:val="3"/>
            <w:tcBorders>
              <w:top w:val="nil"/>
              <w:left w:val="nil"/>
              <w:bottom w:val="single" w:color="auto" w:sz="4" w:space="0"/>
              <w:right w:val="single" w:color="auto" w:sz="4" w:space="0"/>
            </w:tcBorders>
            <w:vAlign w:val="center"/>
          </w:tcPr>
          <w:p w14:paraId="02F00193">
            <w:pPr>
              <w:spacing w:line="440" w:lineRule="atLeast"/>
              <w:jc w:val="center"/>
              <w:rPr>
                <w:rFonts w:ascii="宋体" w:hAnsi="宋体" w:cs="宋体"/>
                <w:kern w:val="0"/>
                <w:sz w:val="20"/>
                <w:szCs w:val="20"/>
              </w:rPr>
            </w:pPr>
          </w:p>
        </w:tc>
        <w:tc>
          <w:tcPr>
            <w:tcW w:w="1134" w:type="dxa"/>
            <w:gridSpan w:val="3"/>
            <w:tcBorders>
              <w:top w:val="nil"/>
              <w:left w:val="nil"/>
              <w:bottom w:val="single" w:color="auto" w:sz="4" w:space="0"/>
              <w:right w:val="nil"/>
            </w:tcBorders>
            <w:vAlign w:val="center"/>
          </w:tcPr>
          <w:p w14:paraId="53F6915A">
            <w:pPr>
              <w:spacing w:line="440" w:lineRule="atLeast"/>
              <w:jc w:val="left"/>
              <w:rPr>
                <w:rFonts w:ascii="宋体" w:hAnsi="宋体" w:cs="宋体"/>
                <w:kern w:val="0"/>
                <w:sz w:val="20"/>
                <w:szCs w:val="20"/>
              </w:rPr>
            </w:pPr>
          </w:p>
        </w:tc>
        <w:tc>
          <w:tcPr>
            <w:tcW w:w="1134" w:type="dxa"/>
            <w:gridSpan w:val="2"/>
            <w:tcBorders>
              <w:top w:val="nil"/>
              <w:left w:val="single" w:color="auto" w:sz="4" w:space="0"/>
              <w:bottom w:val="single" w:color="auto" w:sz="4" w:space="0"/>
              <w:right w:val="single" w:color="auto" w:sz="4" w:space="0"/>
            </w:tcBorders>
            <w:vAlign w:val="center"/>
          </w:tcPr>
          <w:p w14:paraId="624EC542">
            <w:pPr>
              <w:spacing w:line="440" w:lineRule="atLeast"/>
              <w:jc w:val="left"/>
              <w:rPr>
                <w:rFonts w:ascii="宋体" w:hAnsi="宋体" w:cs="宋体"/>
                <w:kern w:val="0"/>
                <w:sz w:val="20"/>
                <w:szCs w:val="20"/>
              </w:rPr>
            </w:pPr>
          </w:p>
        </w:tc>
        <w:tc>
          <w:tcPr>
            <w:tcW w:w="1102" w:type="dxa"/>
            <w:gridSpan w:val="3"/>
            <w:tcBorders>
              <w:top w:val="nil"/>
              <w:left w:val="nil"/>
              <w:bottom w:val="single" w:color="auto" w:sz="4" w:space="0"/>
              <w:right w:val="single" w:color="auto" w:sz="4" w:space="0"/>
            </w:tcBorders>
            <w:vAlign w:val="center"/>
          </w:tcPr>
          <w:p w14:paraId="75C45A14">
            <w:pPr>
              <w:spacing w:line="440" w:lineRule="atLeast"/>
              <w:jc w:val="center"/>
              <w:rPr>
                <w:rFonts w:ascii="宋体" w:hAnsi="宋体" w:cs="宋体"/>
                <w:kern w:val="0"/>
                <w:sz w:val="20"/>
                <w:szCs w:val="20"/>
              </w:rPr>
            </w:pPr>
          </w:p>
        </w:tc>
        <w:tc>
          <w:tcPr>
            <w:tcW w:w="1166" w:type="dxa"/>
            <w:gridSpan w:val="3"/>
            <w:tcBorders>
              <w:top w:val="nil"/>
              <w:left w:val="nil"/>
              <w:bottom w:val="single" w:color="auto" w:sz="4" w:space="0"/>
              <w:right w:val="single" w:color="auto" w:sz="4" w:space="0"/>
            </w:tcBorders>
            <w:vAlign w:val="center"/>
          </w:tcPr>
          <w:p w14:paraId="1E20B6B4">
            <w:pPr>
              <w:spacing w:line="440" w:lineRule="atLeast"/>
              <w:jc w:val="left"/>
              <w:rPr>
                <w:rFonts w:ascii="宋体" w:hAnsi="宋体" w:cs="宋体"/>
                <w:kern w:val="0"/>
                <w:sz w:val="20"/>
                <w:szCs w:val="20"/>
              </w:rPr>
            </w:pPr>
          </w:p>
        </w:tc>
        <w:tc>
          <w:tcPr>
            <w:tcW w:w="1098" w:type="dxa"/>
            <w:gridSpan w:val="3"/>
            <w:tcBorders>
              <w:top w:val="nil"/>
              <w:left w:val="nil"/>
              <w:bottom w:val="single" w:color="auto" w:sz="4" w:space="0"/>
              <w:right w:val="single" w:color="auto" w:sz="4" w:space="0"/>
            </w:tcBorders>
            <w:vAlign w:val="center"/>
          </w:tcPr>
          <w:p w14:paraId="5A11F732">
            <w:pPr>
              <w:spacing w:line="440" w:lineRule="atLeast"/>
              <w:jc w:val="left"/>
              <w:rPr>
                <w:rFonts w:ascii="宋体" w:hAnsi="宋体" w:cs="宋体"/>
                <w:kern w:val="0"/>
                <w:sz w:val="20"/>
                <w:szCs w:val="20"/>
              </w:rPr>
            </w:pPr>
          </w:p>
        </w:tc>
        <w:tc>
          <w:tcPr>
            <w:tcW w:w="1028" w:type="dxa"/>
            <w:gridSpan w:val="3"/>
            <w:tcBorders>
              <w:top w:val="nil"/>
              <w:left w:val="nil"/>
              <w:bottom w:val="single" w:color="auto" w:sz="4" w:space="0"/>
              <w:right w:val="single" w:color="auto" w:sz="4" w:space="0"/>
            </w:tcBorders>
            <w:vAlign w:val="center"/>
          </w:tcPr>
          <w:p w14:paraId="406A7925">
            <w:pPr>
              <w:spacing w:line="440" w:lineRule="atLeast"/>
              <w:jc w:val="center"/>
              <w:rPr>
                <w:rFonts w:ascii="宋体" w:hAnsi="宋体" w:cs="宋体"/>
                <w:kern w:val="0"/>
                <w:sz w:val="20"/>
                <w:szCs w:val="20"/>
              </w:rPr>
            </w:pPr>
          </w:p>
        </w:tc>
        <w:tc>
          <w:tcPr>
            <w:tcW w:w="1134" w:type="dxa"/>
            <w:gridSpan w:val="3"/>
            <w:tcBorders>
              <w:top w:val="nil"/>
              <w:left w:val="nil"/>
              <w:bottom w:val="single" w:color="auto" w:sz="4" w:space="0"/>
              <w:right w:val="single" w:color="auto" w:sz="4" w:space="0"/>
            </w:tcBorders>
            <w:vAlign w:val="center"/>
          </w:tcPr>
          <w:p w14:paraId="49A43E17">
            <w:pPr>
              <w:spacing w:line="440" w:lineRule="atLeast"/>
              <w:jc w:val="left"/>
              <w:rPr>
                <w:rFonts w:ascii="宋体" w:hAnsi="宋体" w:cs="宋体"/>
                <w:kern w:val="0"/>
                <w:sz w:val="20"/>
                <w:szCs w:val="20"/>
              </w:rPr>
            </w:pPr>
          </w:p>
        </w:tc>
        <w:tc>
          <w:tcPr>
            <w:tcW w:w="1134" w:type="dxa"/>
            <w:gridSpan w:val="3"/>
            <w:tcBorders>
              <w:top w:val="nil"/>
              <w:left w:val="nil"/>
              <w:bottom w:val="single" w:color="auto" w:sz="4" w:space="0"/>
              <w:right w:val="single" w:color="auto" w:sz="4" w:space="0"/>
            </w:tcBorders>
            <w:vAlign w:val="center"/>
          </w:tcPr>
          <w:p w14:paraId="16DA973F">
            <w:pPr>
              <w:spacing w:line="440" w:lineRule="atLeast"/>
              <w:jc w:val="left"/>
              <w:rPr>
                <w:rFonts w:ascii="宋体" w:hAnsi="宋体" w:cs="宋体"/>
                <w:kern w:val="0"/>
                <w:sz w:val="20"/>
                <w:szCs w:val="20"/>
              </w:rPr>
            </w:pPr>
          </w:p>
        </w:tc>
        <w:tc>
          <w:tcPr>
            <w:tcW w:w="780" w:type="dxa"/>
            <w:gridSpan w:val="3"/>
            <w:vMerge w:val="continue"/>
            <w:tcBorders>
              <w:top w:val="nil"/>
              <w:left w:val="single" w:color="auto" w:sz="4" w:space="0"/>
              <w:bottom w:val="single" w:color="auto" w:sz="4" w:space="0"/>
              <w:right w:val="single" w:color="auto" w:sz="4" w:space="0"/>
            </w:tcBorders>
            <w:vAlign w:val="center"/>
          </w:tcPr>
          <w:p w14:paraId="0A043A99">
            <w:pPr>
              <w:spacing w:line="440" w:lineRule="atLeast"/>
              <w:jc w:val="left"/>
              <w:rPr>
                <w:rFonts w:ascii="宋体" w:hAnsi="宋体" w:cs="宋体"/>
                <w:kern w:val="0"/>
                <w:sz w:val="20"/>
                <w:szCs w:val="20"/>
              </w:rPr>
            </w:pPr>
          </w:p>
        </w:tc>
      </w:tr>
      <w:tr w14:paraId="59FB655F">
        <w:tblPrEx>
          <w:tblCellMar>
            <w:top w:w="0" w:type="dxa"/>
            <w:left w:w="108" w:type="dxa"/>
            <w:bottom w:w="0" w:type="dxa"/>
            <w:right w:w="108" w:type="dxa"/>
          </w:tblCellMar>
        </w:tblPrEx>
        <w:trPr>
          <w:trHeight w:val="402" w:hRule="atLeast"/>
        </w:trPr>
        <w:tc>
          <w:tcPr>
            <w:tcW w:w="1147" w:type="dxa"/>
            <w:gridSpan w:val="4"/>
            <w:vMerge w:val="continue"/>
            <w:tcBorders>
              <w:top w:val="single" w:color="auto" w:sz="4" w:space="0"/>
              <w:left w:val="single" w:color="auto" w:sz="4" w:space="0"/>
              <w:bottom w:val="single" w:color="auto" w:sz="4" w:space="0"/>
              <w:right w:val="single" w:color="auto" w:sz="4" w:space="0"/>
            </w:tcBorders>
            <w:vAlign w:val="center"/>
          </w:tcPr>
          <w:p w14:paraId="4C83362D">
            <w:pPr>
              <w:spacing w:line="440" w:lineRule="atLeast"/>
              <w:jc w:val="left"/>
              <w:rPr>
                <w:rFonts w:ascii="宋体" w:hAnsi="宋体" w:cs="宋体"/>
                <w:kern w:val="0"/>
                <w:sz w:val="20"/>
                <w:szCs w:val="20"/>
              </w:rPr>
            </w:pPr>
          </w:p>
        </w:tc>
        <w:tc>
          <w:tcPr>
            <w:tcW w:w="1843" w:type="dxa"/>
            <w:gridSpan w:val="4"/>
            <w:tcBorders>
              <w:top w:val="single" w:color="auto" w:sz="4" w:space="0"/>
              <w:left w:val="nil"/>
              <w:bottom w:val="single" w:color="auto" w:sz="4" w:space="0"/>
              <w:right w:val="single" w:color="auto" w:sz="4" w:space="0"/>
            </w:tcBorders>
            <w:vAlign w:val="center"/>
          </w:tcPr>
          <w:p w14:paraId="1618C84F">
            <w:pPr>
              <w:spacing w:line="440" w:lineRule="atLeast"/>
              <w:jc w:val="center"/>
              <w:rPr>
                <w:rFonts w:ascii="宋体" w:hAnsi="宋体" w:cs="宋体"/>
                <w:kern w:val="0"/>
                <w:sz w:val="20"/>
                <w:szCs w:val="20"/>
              </w:rPr>
            </w:pPr>
            <w:r>
              <w:rPr>
                <w:rFonts w:hint="eastAsia" w:ascii="宋体" w:hAnsi="宋体" w:cs="宋体"/>
                <w:kern w:val="0"/>
                <w:sz w:val="20"/>
                <w:szCs w:val="20"/>
              </w:rPr>
              <w:t>固定资产</w:t>
            </w:r>
          </w:p>
        </w:tc>
        <w:tc>
          <w:tcPr>
            <w:tcW w:w="1134" w:type="dxa"/>
            <w:gridSpan w:val="3"/>
            <w:tcBorders>
              <w:top w:val="nil"/>
              <w:left w:val="nil"/>
              <w:bottom w:val="single" w:color="auto" w:sz="4" w:space="0"/>
              <w:right w:val="single" w:color="auto" w:sz="4" w:space="0"/>
            </w:tcBorders>
            <w:vAlign w:val="center"/>
          </w:tcPr>
          <w:p w14:paraId="71F7E22F">
            <w:pPr>
              <w:spacing w:line="440" w:lineRule="atLeast"/>
              <w:jc w:val="center"/>
              <w:rPr>
                <w:rFonts w:ascii="宋体" w:hAnsi="宋体" w:cs="宋体"/>
                <w:kern w:val="0"/>
                <w:sz w:val="20"/>
                <w:szCs w:val="20"/>
              </w:rPr>
            </w:pPr>
          </w:p>
        </w:tc>
        <w:tc>
          <w:tcPr>
            <w:tcW w:w="1134" w:type="dxa"/>
            <w:gridSpan w:val="3"/>
            <w:tcBorders>
              <w:top w:val="nil"/>
              <w:left w:val="nil"/>
              <w:bottom w:val="single" w:color="auto" w:sz="4" w:space="0"/>
              <w:right w:val="nil"/>
            </w:tcBorders>
            <w:vAlign w:val="center"/>
          </w:tcPr>
          <w:p w14:paraId="41AC980A">
            <w:pPr>
              <w:spacing w:line="440" w:lineRule="atLeast"/>
              <w:jc w:val="left"/>
              <w:rPr>
                <w:rFonts w:ascii="宋体" w:hAnsi="宋体" w:cs="宋体"/>
                <w:kern w:val="0"/>
                <w:sz w:val="20"/>
                <w:szCs w:val="20"/>
              </w:rPr>
            </w:pPr>
          </w:p>
        </w:tc>
        <w:tc>
          <w:tcPr>
            <w:tcW w:w="1134" w:type="dxa"/>
            <w:gridSpan w:val="2"/>
            <w:tcBorders>
              <w:top w:val="nil"/>
              <w:left w:val="single" w:color="auto" w:sz="4" w:space="0"/>
              <w:bottom w:val="single" w:color="auto" w:sz="4" w:space="0"/>
              <w:right w:val="single" w:color="auto" w:sz="4" w:space="0"/>
            </w:tcBorders>
            <w:vAlign w:val="center"/>
          </w:tcPr>
          <w:p w14:paraId="30295C04">
            <w:pPr>
              <w:spacing w:line="440" w:lineRule="atLeast"/>
              <w:jc w:val="left"/>
              <w:rPr>
                <w:rFonts w:ascii="宋体" w:hAnsi="宋体" w:cs="宋体"/>
                <w:kern w:val="0"/>
                <w:sz w:val="20"/>
                <w:szCs w:val="20"/>
              </w:rPr>
            </w:pPr>
          </w:p>
        </w:tc>
        <w:tc>
          <w:tcPr>
            <w:tcW w:w="1102" w:type="dxa"/>
            <w:gridSpan w:val="3"/>
            <w:tcBorders>
              <w:top w:val="nil"/>
              <w:left w:val="nil"/>
              <w:bottom w:val="single" w:color="auto" w:sz="4" w:space="0"/>
              <w:right w:val="single" w:color="auto" w:sz="4" w:space="0"/>
            </w:tcBorders>
            <w:vAlign w:val="center"/>
          </w:tcPr>
          <w:p w14:paraId="79EDEBBE">
            <w:pPr>
              <w:spacing w:line="440" w:lineRule="atLeast"/>
              <w:jc w:val="center"/>
              <w:rPr>
                <w:rFonts w:ascii="宋体" w:hAnsi="宋体" w:cs="宋体"/>
                <w:kern w:val="0"/>
                <w:sz w:val="20"/>
                <w:szCs w:val="20"/>
              </w:rPr>
            </w:pPr>
          </w:p>
        </w:tc>
        <w:tc>
          <w:tcPr>
            <w:tcW w:w="1166" w:type="dxa"/>
            <w:gridSpan w:val="3"/>
            <w:tcBorders>
              <w:top w:val="nil"/>
              <w:left w:val="nil"/>
              <w:bottom w:val="single" w:color="auto" w:sz="4" w:space="0"/>
              <w:right w:val="single" w:color="auto" w:sz="4" w:space="0"/>
            </w:tcBorders>
            <w:vAlign w:val="center"/>
          </w:tcPr>
          <w:p w14:paraId="0910B01B">
            <w:pPr>
              <w:spacing w:line="440" w:lineRule="atLeast"/>
              <w:jc w:val="left"/>
              <w:rPr>
                <w:rFonts w:ascii="宋体" w:hAnsi="宋体" w:cs="宋体"/>
                <w:kern w:val="0"/>
                <w:sz w:val="20"/>
                <w:szCs w:val="20"/>
              </w:rPr>
            </w:pPr>
          </w:p>
        </w:tc>
        <w:tc>
          <w:tcPr>
            <w:tcW w:w="1098" w:type="dxa"/>
            <w:gridSpan w:val="3"/>
            <w:tcBorders>
              <w:top w:val="nil"/>
              <w:left w:val="nil"/>
              <w:bottom w:val="single" w:color="auto" w:sz="4" w:space="0"/>
              <w:right w:val="single" w:color="auto" w:sz="4" w:space="0"/>
            </w:tcBorders>
            <w:vAlign w:val="center"/>
          </w:tcPr>
          <w:p w14:paraId="54A9B55B">
            <w:pPr>
              <w:spacing w:line="440" w:lineRule="atLeast"/>
              <w:jc w:val="left"/>
              <w:rPr>
                <w:rFonts w:ascii="宋体" w:hAnsi="宋体" w:cs="宋体"/>
                <w:kern w:val="0"/>
                <w:sz w:val="20"/>
                <w:szCs w:val="20"/>
              </w:rPr>
            </w:pPr>
          </w:p>
        </w:tc>
        <w:tc>
          <w:tcPr>
            <w:tcW w:w="1028" w:type="dxa"/>
            <w:gridSpan w:val="3"/>
            <w:tcBorders>
              <w:top w:val="nil"/>
              <w:left w:val="nil"/>
              <w:bottom w:val="single" w:color="auto" w:sz="4" w:space="0"/>
              <w:right w:val="single" w:color="auto" w:sz="4" w:space="0"/>
            </w:tcBorders>
            <w:vAlign w:val="center"/>
          </w:tcPr>
          <w:p w14:paraId="0D0BB58A">
            <w:pPr>
              <w:spacing w:line="440" w:lineRule="atLeast"/>
              <w:jc w:val="center"/>
              <w:rPr>
                <w:rFonts w:ascii="宋体" w:hAnsi="宋体" w:cs="宋体"/>
                <w:kern w:val="0"/>
                <w:sz w:val="20"/>
                <w:szCs w:val="20"/>
              </w:rPr>
            </w:pPr>
          </w:p>
        </w:tc>
        <w:tc>
          <w:tcPr>
            <w:tcW w:w="1134" w:type="dxa"/>
            <w:gridSpan w:val="3"/>
            <w:tcBorders>
              <w:top w:val="nil"/>
              <w:left w:val="nil"/>
              <w:bottom w:val="single" w:color="auto" w:sz="4" w:space="0"/>
              <w:right w:val="single" w:color="auto" w:sz="4" w:space="0"/>
            </w:tcBorders>
            <w:vAlign w:val="center"/>
          </w:tcPr>
          <w:p w14:paraId="5839737B">
            <w:pPr>
              <w:spacing w:line="440" w:lineRule="atLeast"/>
              <w:jc w:val="left"/>
              <w:rPr>
                <w:rFonts w:ascii="宋体" w:hAnsi="宋体" w:cs="宋体"/>
                <w:kern w:val="0"/>
                <w:sz w:val="20"/>
                <w:szCs w:val="20"/>
              </w:rPr>
            </w:pPr>
          </w:p>
        </w:tc>
        <w:tc>
          <w:tcPr>
            <w:tcW w:w="1134" w:type="dxa"/>
            <w:gridSpan w:val="3"/>
            <w:tcBorders>
              <w:top w:val="nil"/>
              <w:left w:val="nil"/>
              <w:bottom w:val="single" w:color="auto" w:sz="4" w:space="0"/>
              <w:right w:val="single" w:color="auto" w:sz="4" w:space="0"/>
            </w:tcBorders>
            <w:vAlign w:val="center"/>
          </w:tcPr>
          <w:p w14:paraId="5B581DC0">
            <w:pPr>
              <w:spacing w:line="440" w:lineRule="atLeast"/>
              <w:jc w:val="left"/>
              <w:rPr>
                <w:rFonts w:ascii="宋体" w:hAnsi="宋体" w:cs="宋体"/>
                <w:kern w:val="0"/>
                <w:sz w:val="20"/>
                <w:szCs w:val="20"/>
              </w:rPr>
            </w:pPr>
          </w:p>
        </w:tc>
        <w:tc>
          <w:tcPr>
            <w:tcW w:w="780" w:type="dxa"/>
            <w:gridSpan w:val="3"/>
            <w:vMerge w:val="continue"/>
            <w:tcBorders>
              <w:top w:val="nil"/>
              <w:left w:val="single" w:color="auto" w:sz="4" w:space="0"/>
              <w:bottom w:val="single" w:color="auto" w:sz="4" w:space="0"/>
              <w:right w:val="single" w:color="auto" w:sz="4" w:space="0"/>
            </w:tcBorders>
            <w:vAlign w:val="center"/>
          </w:tcPr>
          <w:p w14:paraId="6C13CDBF">
            <w:pPr>
              <w:spacing w:line="440" w:lineRule="atLeast"/>
              <w:jc w:val="left"/>
              <w:rPr>
                <w:rFonts w:ascii="宋体" w:hAnsi="宋体" w:cs="宋体"/>
                <w:kern w:val="0"/>
                <w:sz w:val="20"/>
                <w:szCs w:val="20"/>
              </w:rPr>
            </w:pPr>
          </w:p>
        </w:tc>
      </w:tr>
      <w:tr w14:paraId="6B721D6D">
        <w:tblPrEx>
          <w:tblCellMar>
            <w:top w:w="0" w:type="dxa"/>
            <w:left w:w="108" w:type="dxa"/>
            <w:bottom w:w="0" w:type="dxa"/>
            <w:right w:w="108" w:type="dxa"/>
          </w:tblCellMar>
        </w:tblPrEx>
        <w:trPr>
          <w:trHeight w:val="402" w:hRule="atLeast"/>
        </w:trPr>
        <w:tc>
          <w:tcPr>
            <w:tcW w:w="1147" w:type="dxa"/>
            <w:gridSpan w:val="4"/>
            <w:vMerge w:val="continue"/>
            <w:tcBorders>
              <w:top w:val="single" w:color="auto" w:sz="4" w:space="0"/>
              <w:left w:val="single" w:color="auto" w:sz="4" w:space="0"/>
              <w:bottom w:val="single" w:color="auto" w:sz="4" w:space="0"/>
              <w:right w:val="single" w:color="auto" w:sz="4" w:space="0"/>
            </w:tcBorders>
            <w:vAlign w:val="center"/>
          </w:tcPr>
          <w:p w14:paraId="46CA6D83">
            <w:pPr>
              <w:spacing w:line="440" w:lineRule="atLeast"/>
              <w:jc w:val="left"/>
              <w:rPr>
                <w:rFonts w:ascii="宋体" w:hAnsi="宋体" w:cs="宋体"/>
                <w:kern w:val="0"/>
                <w:sz w:val="20"/>
                <w:szCs w:val="20"/>
              </w:rPr>
            </w:pPr>
          </w:p>
        </w:tc>
        <w:tc>
          <w:tcPr>
            <w:tcW w:w="1843" w:type="dxa"/>
            <w:gridSpan w:val="4"/>
            <w:tcBorders>
              <w:top w:val="single" w:color="auto" w:sz="4" w:space="0"/>
              <w:left w:val="nil"/>
              <w:bottom w:val="single" w:color="auto" w:sz="4" w:space="0"/>
              <w:right w:val="single" w:color="auto" w:sz="4" w:space="0"/>
            </w:tcBorders>
            <w:vAlign w:val="center"/>
          </w:tcPr>
          <w:p w14:paraId="3FB5E3E8">
            <w:pPr>
              <w:spacing w:line="440" w:lineRule="atLeast"/>
              <w:jc w:val="center"/>
              <w:rPr>
                <w:rFonts w:ascii="宋体" w:hAnsi="宋体" w:cs="宋体"/>
                <w:kern w:val="0"/>
                <w:sz w:val="20"/>
                <w:szCs w:val="20"/>
              </w:rPr>
            </w:pPr>
            <w:r>
              <w:rPr>
                <w:rFonts w:hint="eastAsia" w:ascii="宋体" w:hAnsi="宋体" w:cs="宋体"/>
                <w:kern w:val="0"/>
                <w:sz w:val="20"/>
                <w:szCs w:val="20"/>
              </w:rPr>
              <w:t>无形资产</w:t>
            </w:r>
          </w:p>
        </w:tc>
        <w:tc>
          <w:tcPr>
            <w:tcW w:w="1134" w:type="dxa"/>
            <w:gridSpan w:val="3"/>
            <w:tcBorders>
              <w:top w:val="nil"/>
              <w:left w:val="nil"/>
              <w:bottom w:val="single" w:color="auto" w:sz="4" w:space="0"/>
              <w:right w:val="single" w:color="auto" w:sz="4" w:space="0"/>
            </w:tcBorders>
            <w:vAlign w:val="center"/>
          </w:tcPr>
          <w:p w14:paraId="5BC550DB">
            <w:pPr>
              <w:spacing w:line="440" w:lineRule="atLeast"/>
              <w:jc w:val="center"/>
              <w:rPr>
                <w:rFonts w:ascii="宋体" w:hAnsi="宋体" w:cs="宋体"/>
                <w:kern w:val="0"/>
                <w:sz w:val="20"/>
                <w:szCs w:val="20"/>
              </w:rPr>
            </w:pPr>
          </w:p>
        </w:tc>
        <w:tc>
          <w:tcPr>
            <w:tcW w:w="1134" w:type="dxa"/>
            <w:gridSpan w:val="3"/>
            <w:tcBorders>
              <w:top w:val="nil"/>
              <w:left w:val="nil"/>
              <w:bottom w:val="single" w:color="auto" w:sz="4" w:space="0"/>
              <w:right w:val="nil"/>
            </w:tcBorders>
            <w:vAlign w:val="center"/>
          </w:tcPr>
          <w:p w14:paraId="47F0B975">
            <w:pPr>
              <w:spacing w:line="440" w:lineRule="atLeast"/>
              <w:jc w:val="left"/>
              <w:rPr>
                <w:rFonts w:ascii="宋体" w:hAnsi="宋体" w:cs="宋体"/>
                <w:kern w:val="0"/>
                <w:sz w:val="20"/>
                <w:szCs w:val="20"/>
              </w:rPr>
            </w:pPr>
          </w:p>
        </w:tc>
        <w:tc>
          <w:tcPr>
            <w:tcW w:w="1134" w:type="dxa"/>
            <w:gridSpan w:val="2"/>
            <w:tcBorders>
              <w:top w:val="nil"/>
              <w:left w:val="single" w:color="auto" w:sz="4" w:space="0"/>
              <w:bottom w:val="single" w:color="auto" w:sz="4" w:space="0"/>
              <w:right w:val="single" w:color="auto" w:sz="4" w:space="0"/>
            </w:tcBorders>
            <w:vAlign w:val="center"/>
          </w:tcPr>
          <w:p w14:paraId="71EA43EB">
            <w:pPr>
              <w:spacing w:line="440" w:lineRule="atLeast"/>
              <w:jc w:val="left"/>
              <w:rPr>
                <w:rFonts w:ascii="宋体" w:hAnsi="宋体" w:cs="宋体"/>
                <w:kern w:val="0"/>
                <w:sz w:val="20"/>
                <w:szCs w:val="20"/>
              </w:rPr>
            </w:pPr>
          </w:p>
        </w:tc>
        <w:tc>
          <w:tcPr>
            <w:tcW w:w="1102" w:type="dxa"/>
            <w:gridSpan w:val="3"/>
            <w:tcBorders>
              <w:top w:val="nil"/>
              <w:left w:val="nil"/>
              <w:bottom w:val="single" w:color="auto" w:sz="4" w:space="0"/>
              <w:right w:val="single" w:color="auto" w:sz="4" w:space="0"/>
            </w:tcBorders>
            <w:vAlign w:val="center"/>
          </w:tcPr>
          <w:p w14:paraId="6E644B8E">
            <w:pPr>
              <w:spacing w:line="440" w:lineRule="atLeast"/>
              <w:jc w:val="center"/>
              <w:rPr>
                <w:rFonts w:ascii="宋体" w:hAnsi="宋体" w:cs="宋体"/>
                <w:kern w:val="0"/>
                <w:sz w:val="20"/>
                <w:szCs w:val="20"/>
              </w:rPr>
            </w:pPr>
          </w:p>
        </w:tc>
        <w:tc>
          <w:tcPr>
            <w:tcW w:w="1166" w:type="dxa"/>
            <w:gridSpan w:val="3"/>
            <w:tcBorders>
              <w:top w:val="nil"/>
              <w:left w:val="nil"/>
              <w:bottom w:val="single" w:color="auto" w:sz="4" w:space="0"/>
              <w:right w:val="single" w:color="auto" w:sz="4" w:space="0"/>
            </w:tcBorders>
            <w:vAlign w:val="center"/>
          </w:tcPr>
          <w:p w14:paraId="56D841D5">
            <w:pPr>
              <w:spacing w:line="440" w:lineRule="atLeast"/>
              <w:jc w:val="left"/>
              <w:rPr>
                <w:rFonts w:ascii="宋体" w:hAnsi="宋体" w:cs="宋体"/>
                <w:kern w:val="0"/>
                <w:sz w:val="20"/>
                <w:szCs w:val="20"/>
              </w:rPr>
            </w:pPr>
          </w:p>
        </w:tc>
        <w:tc>
          <w:tcPr>
            <w:tcW w:w="1098" w:type="dxa"/>
            <w:gridSpan w:val="3"/>
            <w:tcBorders>
              <w:top w:val="nil"/>
              <w:left w:val="nil"/>
              <w:bottom w:val="single" w:color="auto" w:sz="4" w:space="0"/>
              <w:right w:val="single" w:color="auto" w:sz="4" w:space="0"/>
            </w:tcBorders>
            <w:vAlign w:val="center"/>
          </w:tcPr>
          <w:p w14:paraId="6C22B0B0">
            <w:pPr>
              <w:spacing w:line="440" w:lineRule="atLeast"/>
              <w:jc w:val="left"/>
              <w:rPr>
                <w:rFonts w:ascii="宋体" w:hAnsi="宋体" w:cs="宋体"/>
                <w:kern w:val="0"/>
                <w:sz w:val="20"/>
                <w:szCs w:val="20"/>
              </w:rPr>
            </w:pPr>
          </w:p>
        </w:tc>
        <w:tc>
          <w:tcPr>
            <w:tcW w:w="1028" w:type="dxa"/>
            <w:gridSpan w:val="3"/>
            <w:tcBorders>
              <w:top w:val="nil"/>
              <w:left w:val="nil"/>
              <w:bottom w:val="single" w:color="auto" w:sz="4" w:space="0"/>
              <w:right w:val="single" w:color="auto" w:sz="4" w:space="0"/>
            </w:tcBorders>
            <w:vAlign w:val="center"/>
          </w:tcPr>
          <w:p w14:paraId="7211AE94">
            <w:pPr>
              <w:spacing w:line="440" w:lineRule="atLeast"/>
              <w:jc w:val="center"/>
              <w:rPr>
                <w:rFonts w:ascii="宋体" w:hAnsi="宋体" w:cs="宋体"/>
                <w:kern w:val="0"/>
                <w:sz w:val="20"/>
                <w:szCs w:val="20"/>
              </w:rPr>
            </w:pPr>
          </w:p>
        </w:tc>
        <w:tc>
          <w:tcPr>
            <w:tcW w:w="1134" w:type="dxa"/>
            <w:gridSpan w:val="3"/>
            <w:tcBorders>
              <w:top w:val="nil"/>
              <w:left w:val="nil"/>
              <w:bottom w:val="single" w:color="auto" w:sz="4" w:space="0"/>
              <w:right w:val="single" w:color="auto" w:sz="4" w:space="0"/>
            </w:tcBorders>
            <w:vAlign w:val="center"/>
          </w:tcPr>
          <w:p w14:paraId="0193D453">
            <w:pPr>
              <w:spacing w:line="440" w:lineRule="atLeast"/>
              <w:jc w:val="left"/>
              <w:rPr>
                <w:rFonts w:ascii="宋体" w:hAnsi="宋体" w:cs="宋体"/>
                <w:kern w:val="0"/>
                <w:sz w:val="20"/>
                <w:szCs w:val="20"/>
              </w:rPr>
            </w:pPr>
          </w:p>
        </w:tc>
        <w:tc>
          <w:tcPr>
            <w:tcW w:w="1134" w:type="dxa"/>
            <w:gridSpan w:val="3"/>
            <w:tcBorders>
              <w:top w:val="nil"/>
              <w:left w:val="nil"/>
              <w:bottom w:val="single" w:color="auto" w:sz="4" w:space="0"/>
              <w:right w:val="single" w:color="auto" w:sz="4" w:space="0"/>
            </w:tcBorders>
            <w:vAlign w:val="center"/>
          </w:tcPr>
          <w:p w14:paraId="3C365B17">
            <w:pPr>
              <w:spacing w:line="440" w:lineRule="atLeast"/>
              <w:jc w:val="left"/>
              <w:rPr>
                <w:rFonts w:ascii="宋体" w:hAnsi="宋体" w:cs="宋体"/>
                <w:kern w:val="0"/>
                <w:sz w:val="20"/>
                <w:szCs w:val="20"/>
              </w:rPr>
            </w:pPr>
          </w:p>
        </w:tc>
        <w:tc>
          <w:tcPr>
            <w:tcW w:w="780" w:type="dxa"/>
            <w:gridSpan w:val="3"/>
            <w:vMerge w:val="continue"/>
            <w:tcBorders>
              <w:top w:val="nil"/>
              <w:left w:val="single" w:color="auto" w:sz="4" w:space="0"/>
              <w:bottom w:val="single" w:color="auto" w:sz="4" w:space="0"/>
              <w:right w:val="single" w:color="auto" w:sz="4" w:space="0"/>
            </w:tcBorders>
            <w:vAlign w:val="center"/>
          </w:tcPr>
          <w:p w14:paraId="2CE7BD3A">
            <w:pPr>
              <w:spacing w:line="440" w:lineRule="atLeast"/>
              <w:jc w:val="left"/>
              <w:rPr>
                <w:rFonts w:ascii="宋体" w:hAnsi="宋体" w:cs="宋体"/>
                <w:kern w:val="0"/>
                <w:sz w:val="20"/>
                <w:szCs w:val="20"/>
              </w:rPr>
            </w:pPr>
          </w:p>
        </w:tc>
      </w:tr>
      <w:tr w14:paraId="44682FFE">
        <w:tblPrEx>
          <w:tblCellMar>
            <w:top w:w="0" w:type="dxa"/>
            <w:left w:w="108" w:type="dxa"/>
            <w:bottom w:w="0" w:type="dxa"/>
            <w:right w:w="108" w:type="dxa"/>
          </w:tblCellMar>
        </w:tblPrEx>
        <w:trPr>
          <w:trHeight w:val="402" w:hRule="atLeast"/>
        </w:trPr>
        <w:tc>
          <w:tcPr>
            <w:tcW w:w="1147" w:type="dxa"/>
            <w:gridSpan w:val="4"/>
            <w:vMerge w:val="continue"/>
            <w:tcBorders>
              <w:top w:val="single" w:color="auto" w:sz="4" w:space="0"/>
              <w:left w:val="single" w:color="auto" w:sz="4" w:space="0"/>
              <w:bottom w:val="single" w:color="auto" w:sz="4" w:space="0"/>
              <w:right w:val="single" w:color="auto" w:sz="4" w:space="0"/>
            </w:tcBorders>
            <w:vAlign w:val="center"/>
          </w:tcPr>
          <w:p w14:paraId="2FB1449D">
            <w:pPr>
              <w:spacing w:line="440" w:lineRule="atLeast"/>
              <w:jc w:val="left"/>
              <w:rPr>
                <w:rFonts w:ascii="宋体" w:hAnsi="宋体" w:cs="宋体"/>
                <w:kern w:val="0"/>
                <w:sz w:val="20"/>
                <w:szCs w:val="20"/>
              </w:rPr>
            </w:pPr>
          </w:p>
        </w:tc>
        <w:tc>
          <w:tcPr>
            <w:tcW w:w="1843" w:type="dxa"/>
            <w:gridSpan w:val="4"/>
            <w:tcBorders>
              <w:top w:val="single" w:color="auto" w:sz="4" w:space="0"/>
              <w:left w:val="nil"/>
              <w:bottom w:val="single" w:color="auto" w:sz="4" w:space="0"/>
              <w:right w:val="single" w:color="auto" w:sz="4" w:space="0"/>
            </w:tcBorders>
            <w:vAlign w:val="center"/>
          </w:tcPr>
          <w:p w14:paraId="220EBEB0">
            <w:pPr>
              <w:spacing w:line="440" w:lineRule="atLeast"/>
              <w:jc w:val="center"/>
              <w:rPr>
                <w:rFonts w:ascii="宋体" w:hAnsi="宋体" w:cs="宋体"/>
                <w:kern w:val="0"/>
                <w:sz w:val="20"/>
                <w:szCs w:val="20"/>
              </w:rPr>
            </w:pPr>
            <w:r>
              <w:rPr>
                <w:rFonts w:hint="eastAsia" w:ascii="宋体" w:hAnsi="宋体" w:cs="宋体"/>
                <w:kern w:val="0"/>
                <w:sz w:val="20"/>
                <w:szCs w:val="20"/>
              </w:rPr>
              <w:t>长期投资</w:t>
            </w:r>
          </w:p>
        </w:tc>
        <w:tc>
          <w:tcPr>
            <w:tcW w:w="1134" w:type="dxa"/>
            <w:gridSpan w:val="3"/>
            <w:tcBorders>
              <w:top w:val="nil"/>
              <w:left w:val="nil"/>
              <w:bottom w:val="single" w:color="auto" w:sz="4" w:space="0"/>
              <w:right w:val="single" w:color="auto" w:sz="4" w:space="0"/>
            </w:tcBorders>
            <w:vAlign w:val="center"/>
          </w:tcPr>
          <w:p w14:paraId="4BA0270D">
            <w:pPr>
              <w:spacing w:line="440" w:lineRule="atLeast"/>
              <w:jc w:val="center"/>
              <w:rPr>
                <w:rFonts w:ascii="宋体" w:hAnsi="宋体" w:cs="宋体"/>
                <w:kern w:val="0"/>
                <w:sz w:val="20"/>
                <w:szCs w:val="20"/>
              </w:rPr>
            </w:pPr>
          </w:p>
        </w:tc>
        <w:tc>
          <w:tcPr>
            <w:tcW w:w="1134" w:type="dxa"/>
            <w:gridSpan w:val="3"/>
            <w:tcBorders>
              <w:top w:val="nil"/>
              <w:left w:val="nil"/>
              <w:bottom w:val="single" w:color="auto" w:sz="4" w:space="0"/>
              <w:right w:val="nil"/>
            </w:tcBorders>
            <w:vAlign w:val="center"/>
          </w:tcPr>
          <w:p w14:paraId="0EEA72A5">
            <w:pPr>
              <w:spacing w:line="440" w:lineRule="atLeast"/>
              <w:jc w:val="left"/>
              <w:rPr>
                <w:rFonts w:ascii="宋体" w:hAnsi="宋体" w:cs="宋体"/>
                <w:kern w:val="0"/>
                <w:sz w:val="20"/>
                <w:szCs w:val="20"/>
              </w:rPr>
            </w:pPr>
          </w:p>
        </w:tc>
        <w:tc>
          <w:tcPr>
            <w:tcW w:w="1134" w:type="dxa"/>
            <w:gridSpan w:val="2"/>
            <w:tcBorders>
              <w:top w:val="nil"/>
              <w:left w:val="single" w:color="auto" w:sz="4" w:space="0"/>
              <w:bottom w:val="single" w:color="auto" w:sz="4" w:space="0"/>
              <w:right w:val="single" w:color="auto" w:sz="4" w:space="0"/>
            </w:tcBorders>
            <w:vAlign w:val="center"/>
          </w:tcPr>
          <w:p w14:paraId="1113639C">
            <w:pPr>
              <w:spacing w:line="440" w:lineRule="atLeast"/>
              <w:jc w:val="left"/>
              <w:rPr>
                <w:rFonts w:ascii="宋体" w:hAnsi="宋体" w:cs="宋体"/>
                <w:kern w:val="0"/>
                <w:sz w:val="20"/>
                <w:szCs w:val="20"/>
              </w:rPr>
            </w:pPr>
          </w:p>
        </w:tc>
        <w:tc>
          <w:tcPr>
            <w:tcW w:w="1102" w:type="dxa"/>
            <w:gridSpan w:val="3"/>
            <w:tcBorders>
              <w:top w:val="nil"/>
              <w:left w:val="nil"/>
              <w:bottom w:val="single" w:color="auto" w:sz="4" w:space="0"/>
              <w:right w:val="single" w:color="auto" w:sz="4" w:space="0"/>
            </w:tcBorders>
            <w:vAlign w:val="center"/>
          </w:tcPr>
          <w:p w14:paraId="2ED5CA5E">
            <w:pPr>
              <w:spacing w:line="440" w:lineRule="atLeast"/>
              <w:jc w:val="center"/>
              <w:rPr>
                <w:rFonts w:ascii="宋体" w:hAnsi="宋体" w:cs="宋体"/>
                <w:kern w:val="0"/>
                <w:sz w:val="20"/>
                <w:szCs w:val="20"/>
              </w:rPr>
            </w:pPr>
          </w:p>
        </w:tc>
        <w:tc>
          <w:tcPr>
            <w:tcW w:w="1166" w:type="dxa"/>
            <w:gridSpan w:val="3"/>
            <w:tcBorders>
              <w:top w:val="nil"/>
              <w:left w:val="nil"/>
              <w:bottom w:val="single" w:color="auto" w:sz="4" w:space="0"/>
              <w:right w:val="single" w:color="auto" w:sz="4" w:space="0"/>
            </w:tcBorders>
            <w:vAlign w:val="center"/>
          </w:tcPr>
          <w:p w14:paraId="2DDB9D70">
            <w:pPr>
              <w:spacing w:line="440" w:lineRule="atLeast"/>
              <w:jc w:val="left"/>
              <w:rPr>
                <w:rFonts w:ascii="宋体" w:hAnsi="宋体" w:cs="宋体"/>
                <w:kern w:val="0"/>
                <w:sz w:val="20"/>
                <w:szCs w:val="20"/>
              </w:rPr>
            </w:pPr>
          </w:p>
        </w:tc>
        <w:tc>
          <w:tcPr>
            <w:tcW w:w="1098" w:type="dxa"/>
            <w:gridSpan w:val="3"/>
            <w:tcBorders>
              <w:top w:val="nil"/>
              <w:left w:val="nil"/>
              <w:bottom w:val="single" w:color="auto" w:sz="4" w:space="0"/>
              <w:right w:val="single" w:color="auto" w:sz="4" w:space="0"/>
            </w:tcBorders>
            <w:vAlign w:val="center"/>
          </w:tcPr>
          <w:p w14:paraId="097AD8D8">
            <w:pPr>
              <w:spacing w:line="440" w:lineRule="atLeast"/>
              <w:jc w:val="left"/>
              <w:rPr>
                <w:rFonts w:ascii="宋体" w:hAnsi="宋体" w:cs="宋体"/>
                <w:kern w:val="0"/>
                <w:sz w:val="20"/>
                <w:szCs w:val="20"/>
              </w:rPr>
            </w:pPr>
          </w:p>
        </w:tc>
        <w:tc>
          <w:tcPr>
            <w:tcW w:w="1028" w:type="dxa"/>
            <w:gridSpan w:val="3"/>
            <w:tcBorders>
              <w:top w:val="nil"/>
              <w:left w:val="nil"/>
              <w:bottom w:val="single" w:color="auto" w:sz="4" w:space="0"/>
              <w:right w:val="single" w:color="auto" w:sz="4" w:space="0"/>
            </w:tcBorders>
            <w:vAlign w:val="center"/>
          </w:tcPr>
          <w:p w14:paraId="03A4F4FF">
            <w:pPr>
              <w:spacing w:line="440" w:lineRule="atLeast"/>
              <w:jc w:val="center"/>
              <w:rPr>
                <w:rFonts w:ascii="宋体" w:hAnsi="宋体" w:cs="宋体"/>
                <w:kern w:val="0"/>
                <w:sz w:val="20"/>
                <w:szCs w:val="20"/>
              </w:rPr>
            </w:pPr>
          </w:p>
        </w:tc>
        <w:tc>
          <w:tcPr>
            <w:tcW w:w="1134" w:type="dxa"/>
            <w:gridSpan w:val="3"/>
            <w:tcBorders>
              <w:top w:val="nil"/>
              <w:left w:val="nil"/>
              <w:bottom w:val="single" w:color="auto" w:sz="4" w:space="0"/>
              <w:right w:val="single" w:color="auto" w:sz="4" w:space="0"/>
            </w:tcBorders>
            <w:vAlign w:val="center"/>
          </w:tcPr>
          <w:p w14:paraId="1F63F5AA">
            <w:pPr>
              <w:spacing w:line="440" w:lineRule="atLeast"/>
              <w:jc w:val="left"/>
              <w:rPr>
                <w:rFonts w:ascii="宋体" w:hAnsi="宋体" w:cs="宋体"/>
                <w:kern w:val="0"/>
                <w:sz w:val="20"/>
                <w:szCs w:val="20"/>
              </w:rPr>
            </w:pPr>
          </w:p>
        </w:tc>
        <w:tc>
          <w:tcPr>
            <w:tcW w:w="1134" w:type="dxa"/>
            <w:gridSpan w:val="3"/>
            <w:tcBorders>
              <w:top w:val="nil"/>
              <w:left w:val="nil"/>
              <w:bottom w:val="single" w:color="auto" w:sz="4" w:space="0"/>
              <w:right w:val="single" w:color="auto" w:sz="4" w:space="0"/>
            </w:tcBorders>
            <w:vAlign w:val="center"/>
          </w:tcPr>
          <w:p w14:paraId="54C1D7A7">
            <w:pPr>
              <w:spacing w:line="440" w:lineRule="atLeast"/>
              <w:jc w:val="left"/>
              <w:rPr>
                <w:rFonts w:ascii="宋体" w:hAnsi="宋体" w:cs="宋体"/>
                <w:kern w:val="0"/>
                <w:sz w:val="20"/>
                <w:szCs w:val="20"/>
              </w:rPr>
            </w:pPr>
          </w:p>
        </w:tc>
        <w:tc>
          <w:tcPr>
            <w:tcW w:w="780" w:type="dxa"/>
            <w:gridSpan w:val="3"/>
            <w:vMerge w:val="continue"/>
            <w:tcBorders>
              <w:top w:val="nil"/>
              <w:left w:val="single" w:color="auto" w:sz="4" w:space="0"/>
              <w:bottom w:val="single" w:color="auto" w:sz="4" w:space="0"/>
              <w:right w:val="single" w:color="auto" w:sz="4" w:space="0"/>
            </w:tcBorders>
            <w:vAlign w:val="center"/>
          </w:tcPr>
          <w:p w14:paraId="5C0A7D3F">
            <w:pPr>
              <w:spacing w:line="440" w:lineRule="atLeast"/>
              <w:jc w:val="left"/>
              <w:rPr>
                <w:rFonts w:ascii="宋体" w:hAnsi="宋体" w:cs="宋体"/>
                <w:kern w:val="0"/>
                <w:sz w:val="20"/>
                <w:szCs w:val="20"/>
              </w:rPr>
            </w:pPr>
          </w:p>
        </w:tc>
      </w:tr>
      <w:tr w14:paraId="4C528197">
        <w:tblPrEx>
          <w:tblCellMar>
            <w:top w:w="0" w:type="dxa"/>
            <w:left w:w="108" w:type="dxa"/>
            <w:bottom w:w="0" w:type="dxa"/>
            <w:right w:w="108" w:type="dxa"/>
          </w:tblCellMar>
        </w:tblPrEx>
        <w:trPr>
          <w:trHeight w:val="402" w:hRule="atLeast"/>
        </w:trPr>
        <w:tc>
          <w:tcPr>
            <w:tcW w:w="1147" w:type="dxa"/>
            <w:gridSpan w:val="4"/>
            <w:vMerge w:val="continue"/>
            <w:tcBorders>
              <w:top w:val="single" w:color="auto" w:sz="4" w:space="0"/>
              <w:left w:val="single" w:color="auto" w:sz="4" w:space="0"/>
              <w:bottom w:val="single" w:color="auto" w:sz="4" w:space="0"/>
              <w:right w:val="single" w:color="auto" w:sz="4" w:space="0"/>
            </w:tcBorders>
            <w:vAlign w:val="center"/>
          </w:tcPr>
          <w:p w14:paraId="6E6D4E07">
            <w:pPr>
              <w:spacing w:line="440" w:lineRule="atLeast"/>
              <w:jc w:val="left"/>
              <w:rPr>
                <w:rFonts w:ascii="宋体" w:hAnsi="宋体" w:cs="宋体"/>
                <w:kern w:val="0"/>
                <w:sz w:val="20"/>
                <w:szCs w:val="20"/>
              </w:rPr>
            </w:pPr>
          </w:p>
        </w:tc>
        <w:tc>
          <w:tcPr>
            <w:tcW w:w="1843" w:type="dxa"/>
            <w:gridSpan w:val="4"/>
            <w:tcBorders>
              <w:top w:val="single" w:color="auto" w:sz="4" w:space="0"/>
              <w:left w:val="nil"/>
              <w:bottom w:val="single" w:color="auto" w:sz="4" w:space="0"/>
              <w:right w:val="single" w:color="auto" w:sz="4" w:space="0"/>
            </w:tcBorders>
            <w:vAlign w:val="center"/>
          </w:tcPr>
          <w:p w14:paraId="023823E4">
            <w:pPr>
              <w:spacing w:line="440" w:lineRule="atLeast"/>
              <w:jc w:val="center"/>
              <w:rPr>
                <w:rFonts w:ascii="宋体" w:hAnsi="宋体" w:cs="宋体"/>
                <w:kern w:val="0"/>
                <w:sz w:val="20"/>
                <w:szCs w:val="20"/>
              </w:rPr>
            </w:pPr>
            <w:r>
              <w:rPr>
                <w:rFonts w:hint="eastAsia" w:ascii="宋体" w:hAnsi="宋体" w:cs="宋体"/>
                <w:kern w:val="0"/>
                <w:sz w:val="20"/>
                <w:szCs w:val="20"/>
              </w:rPr>
              <w:t>其他资产</w:t>
            </w:r>
          </w:p>
        </w:tc>
        <w:tc>
          <w:tcPr>
            <w:tcW w:w="1134" w:type="dxa"/>
            <w:gridSpan w:val="3"/>
            <w:tcBorders>
              <w:top w:val="nil"/>
              <w:left w:val="nil"/>
              <w:bottom w:val="single" w:color="auto" w:sz="4" w:space="0"/>
              <w:right w:val="single" w:color="auto" w:sz="4" w:space="0"/>
            </w:tcBorders>
            <w:vAlign w:val="center"/>
          </w:tcPr>
          <w:p w14:paraId="7163973A">
            <w:pPr>
              <w:spacing w:line="440" w:lineRule="atLeast"/>
              <w:jc w:val="center"/>
              <w:rPr>
                <w:rFonts w:ascii="宋体" w:hAnsi="宋体" w:cs="宋体"/>
                <w:kern w:val="0"/>
                <w:sz w:val="20"/>
                <w:szCs w:val="20"/>
              </w:rPr>
            </w:pPr>
          </w:p>
        </w:tc>
        <w:tc>
          <w:tcPr>
            <w:tcW w:w="1134" w:type="dxa"/>
            <w:gridSpan w:val="3"/>
            <w:tcBorders>
              <w:top w:val="nil"/>
              <w:left w:val="nil"/>
              <w:bottom w:val="single" w:color="auto" w:sz="4" w:space="0"/>
              <w:right w:val="nil"/>
            </w:tcBorders>
            <w:vAlign w:val="center"/>
          </w:tcPr>
          <w:p w14:paraId="0AD6221A">
            <w:pPr>
              <w:spacing w:line="440" w:lineRule="atLeast"/>
              <w:jc w:val="left"/>
              <w:rPr>
                <w:rFonts w:ascii="宋体" w:hAnsi="宋体" w:cs="宋体"/>
                <w:kern w:val="0"/>
                <w:sz w:val="20"/>
                <w:szCs w:val="20"/>
              </w:rPr>
            </w:pPr>
          </w:p>
        </w:tc>
        <w:tc>
          <w:tcPr>
            <w:tcW w:w="1134" w:type="dxa"/>
            <w:gridSpan w:val="2"/>
            <w:tcBorders>
              <w:top w:val="nil"/>
              <w:left w:val="single" w:color="auto" w:sz="4" w:space="0"/>
              <w:bottom w:val="single" w:color="auto" w:sz="4" w:space="0"/>
              <w:right w:val="single" w:color="auto" w:sz="4" w:space="0"/>
            </w:tcBorders>
            <w:vAlign w:val="center"/>
          </w:tcPr>
          <w:p w14:paraId="3200F626">
            <w:pPr>
              <w:spacing w:line="440" w:lineRule="atLeast"/>
              <w:jc w:val="left"/>
              <w:rPr>
                <w:rFonts w:ascii="宋体" w:hAnsi="宋体" w:cs="宋体"/>
                <w:kern w:val="0"/>
                <w:sz w:val="20"/>
                <w:szCs w:val="20"/>
              </w:rPr>
            </w:pPr>
          </w:p>
        </w:tc>
        <w:tc>
          <w:tcPr>
            <w:tcW w:w="1102" w:type="dxa"/>
            <w:gridSpan w:val="3"/>
            <w:tcBorders>
              <w:top w:val="nil"/>
              <w:left w:val="nil"/>
              <w:bottom w:val="single" w:color="auto" w:sz="4" w:space="0"/>
              <w:right w:val="single" w:color="auto" w:sz="4" w:space="0"/>
            </w:tcBorders>
            <w:vAlign w:val="center"/>
          </w:tcPr>
          <w:p w14:paraId="27DB5455">
            <w:pPr>
              <w:spacing w:line="440" w:lineRule="atLeast"/>
              <w:jc w:val="center"/>
              <w:rPr>
                <w:rFonts w:ascii="宋体" w:hAnsi="宋体" w:cs="宋体"/>
                <w:kern w:val="0"/>
                <w:sz w:val="20"/>
                <w:szCs w:val="20"/>
              </w:rPr>
            </w:pPr>
          </w:p>
        </w:tc>
        <w:tc>
          <w:tcPr>
            <w:tcW w:w="1166" w:type="dxa"/>
            <w:gridSpan w:val="3"/>
            <w:tcBorders>
              <w:top w:val="nil"/>
              <w:left w:val="nil"/>
              <w:bottom w:val="single" w:color="auto" w:sz="4" w:space="0"/>
              <w:right w:val="single" w:color="auto" w:sz="4" w:space="0"/>
            </w:tcBorders>
            <w:vAlign w:val="center"/>
          </w:tcPr>
          <w:p w14:paraId="4832044A">
            <w:pPr>
              <w:spacing w:line="440" w:lineRule="atLeast"/>
              <w:jc w:val="left"/>
              <w:rPr>
                <w:rFonts w:ascii="宋体" w:hAnsi="宋体" w:cs="宋体"/>
                <w:kern w:val="0"/>
                <w:sz w:val="20"/>
                <w:szCs w:val="20"/>
              </w:rPr>
            </w:pPr>
          </w:p>
        </w:tc>
        <w:tc>
          <w:tcPr>
            <w:tcW w:w="1098" w:type="dxa"/>
            <w:gridSpan w:val="3"/>
            <w:tcBorders>
              <w:top w:val="nil"/>
              <w:left w:val="nil"/>
              <w:bottom w:val="single" w:color="auto" w:sz="4" w:space="0"/>
              <w:right w:val="single" w:color="auto" w:sz="4" w:space="0"/>
            </w:tcBorders>
            <w:vAlign w:val="center"/>
          </w:tcPr>
          <w:p w14:paraId="630F6482">
            <w:pPr>
              <w:spacing w:line="440" w:lineRule="atLeast"/>
              <w:jc w:val="left"/>
              <w:rPr>
                <w:rFonts w:ascii="宋体" w:hAnsi="宋体" w:cs="宋体"/>
                <w:kern w:val="0"/>
                <w:sz w:val="20"/>
                <w:szCs w:val="20"/>
              </w:rPr>
            </w:pPr>
          </w:p>
        </w:tc>
        <w:tc>
          <w:tcPr>
            <w:tcW w:w="1028" w:type="dxa"/>
            <w:gridSpan w:val="3"/>
            <w:tcBorders>
              <w:top w:val="nil"/>
              <w:left w:val="nil"/>
              <w:bottom w:val="single" w:color="auto" w:sz="4" w:space="0"/>
              <w:right w:val="single" w:color="auto" w:sz="4" w:space="0"/>
            </w:tcBorders>
            <w:vAlign w:val="center"/>
          </w:tcPr>
          <w:p w14:paraId="6EEA1946">
            <w:pPr>
              <w:spacing w:line="440" w:lineRule="atLeast"/>
              <w:jc w:val="center"/>
              <w:rPr>
                <w:rFonts w:ascii="宋体" w:hAnsi="宋体" w:cs="宋体"/>
                <w:kern w:val="0"/>
                <w:sz w:val="20"/>
                <w:szCs w:val="20"/>
              </w:rPr>
            </w:pPr>
          </w:p>
        </w:tc>
        <w:tc>
          <w:tcPr>
            <w:tcW w:w="1134" w:type="dxa"/>
            <w:gridSpan w:val="3"/>
            <w:tcBorders>
              <w:top w:val="nil"/>
              <w:left w:val="nil"/>
              <w:bottom w:val="single" w:color="auto" w:sz="4" w:space="0"/>
              <w:right w:val="single" w:color="auto" w:sz="4" w:space="0"/>
            </w:tcBorders>
            <w:vAlign w:val="center"/>
          </w:tcPr>
          <w:p w14:paraId="5DB497B7">
            <w:pPr>
              <w:spacing w:line="440" w:lineRule="atLeast"/>
              <w:jc w:val="left"/>
              <w:rPr>
                <w:rFonts w:ascii="宋体" w:hAnsi="宋体" w:cs="宋体"/>
                <w:kern w:val="0"/>
                <w:sz w:val="20"/>
                <w:szCs w:val="20"/>
              </w:rPr>
            </w:pPr>
          </w:p>
        </w:tc>
        <w:tc>
          <w:tcPr>
            <w:tcW w:w="1134" w:type="dxa"/>
            <w:gridSpan w:val="3"/>
            <w:tcBorders>
              <w:top w:val="nil"/>
              <w:left w:val="nil"/>
              <w:bottom w:val="single" w:color="auto" w:sz="4" w:space="0"/>
              <w:right w:val="single" w:color="auto" w:sz="4" w:space="0"/>
            </w:tcBorders>
            <w:vAlign w:val="center"/>
          </w:tcPr>
          <w:p w14:paraId="2A7003EE">
            <w:pPr>
              <w:spacing w:line="440" w:lineRule="atLeast"/>
              <w:jc w:val="left"/>
              <w:rPr>
                <w:rFonts w:ascii="宋体" w:hAnsi="宋体" w:cs="宋体"/>
                <w:kern w:val="0"/>
                <w:sz w:val="20"/>
                <w:szCs w:val="20"/>
              </w:rPr>
            </w:pPr>
          </w:p>
        </w:tc>
        <w:tc>
          <w:tcPr>
            <w:tcW w:w="780" w:type="dxa"/>
            <w:gridSpan w:val="3"/>
            <w:vMerge w:val="continue"/>
            <w:tcBorders>
              <w:top w:val="nil"/>
              <w:left w:val="single" w:color="auto" w:sz="4" w:space="0"/>
              <w:bottom w:val="single" w:color="auto" w:sz="4" w:space="0"/>
              <w:right w:val="single" w:color="auto" w:sz="4" w:space="0"/>
            </w:tcBorders>
            <w:vAlign w:val="center"/>
          </w:tcPr>
          <w:p w14:paraId="5C5EE5BE">
            <w:pPr>
              <w:spacing w:line="440" w:lineRule="atLeast"/>
              <w:jc w:val="left"/>
              <w:rPr>
                <w:rFonts w:ascii="宋体" w:hAnsi="宋体" w:cs="宋体"/>
                <w:kern w:val="0"/>
                <w:sz w:val="20"/>
                <w:szCs w:val="20"/>
              </w:rPr>
            </w:pPr>
          </w:p>
        </w:tc>
      </w:tr>
      <w:tr w14:paraId="19BA62C1">
        <w:tblPrEx>
          <w:tblCellMar>
            <w:top w:w="0" w:type="dxa"/>
            <w:left w:w="108" w:type="dxa"/>
            <w:bottom w:w="0" w:type="dxa"/>
            <w:right w:w="108" w:type="dxa"/>
          </w:tblCellMar>
        </w:tblPrEx>
        <w:trPr>
          <w:trHeight w:val="525" w:hRule="atLeast"/>
        </w:trPr>
        <w:tc>
          <w:tcPr>
            <w:tcW w:w="620" w:type="dxa"/>
            <w:gridSpan w:val="2"/>
            <w:vMerge w:val="restart"/>
            <w:tcBorders>
              <w:top w:val="nil"/>
              <w:left w:val="single" w:color="auto" w:sz="4" w:space="0"/>
              <w:bottom w:val="single" w:color="auto" w:sz="4" w:space="0"/>
              <w:right w:val="single" w:color="auto" w:sz="4" w:space="0"/>
            </w:tcBorders>
            <w:vAlign w:val="center"/>
          </w:tcPr>
          <w:p w14:paraId="29A1355A">
            <w:pPr>
              <w:spacing w:line="440" w:lineRule="atLeast"/>
              <w:jc w:val="center"/>
              <w:rPr>
                <w:rFonts w:ascii="宋体" w:hAnsi="宋体" w:cs="宋体"/>
                <w:kern w:val="0"/>
                <w:sz w:val="20"/>
                <w:szCs w:val="20"/>
              </w:rPr>
            </w:pPr>
            <w:r>
              <w:rPr>
                <w:rFonts w:hint="eastAsia" w:ascii="宋体" w:hAnsi="宋体" w:cs="宋体"/>
                <w:kern w:val="0"/>
                <w:sz w:val="20"/>
                <w:szCs w:val="20"/>
              </w:rPr>
              <w:t>行政事业单位意见</w:t>
            </w:r>
          </w:p>
        </w:tc>
        <w:tc>
          <w:tcPr>
            <w:tcW w:w="4638" w:type="dxa"/>
            <w:gridSpan w:val="12"/>
            <w:tcBorders>
              <w:top w:val="single" w:color="auto" w:sz="4" w:space="0"/>
              <w:left w:val="nil"/>
              <w:bottom w:val="nil"/>
              <w:right w:val="single" w:color="auto" w:sz="4" w:space="0"/>
            </w:tcBorders>
            <w:vAlign w:val="center"/>
          </w:tcPr>
          <w:p w14:paraId="39F69D45">
            <w:pPr>
              <w:spacing w:line="440" w:lineRule="atLeast"/>
              <w:jc w:val="left"/>
              <w:rPr>
                <w:rFonts w:ascii="宋体" w:hAnsi="宋体" w:cs="宋体"/>
                <w:kern w:val="0"/>
                <w:sz w:val="20"/>
                <w:szCs w:val="20"/>
              </w:rPr>
            </w:pPr>
            <w:r>
              <w:rPr>
                <w:rFonts w:hint="eastAsia" w:ascii="宋体" w:hAnsi="宋体" w:cs="宋体"/>
                <w:kern w:val="0"/>
                <w:sz w:val="20"/>
                <w:szCs w:val="20"/>
              </w:rPr>
              <w:t>资产管理部门意见：</w:t>
            </w:r>
          </w:p>
        </w:tc>
        <w:tc>
          <w:tcPr>
            <w:tcW w:w="4500" w:type="dxa"/>
            <w:gridSpan w:val="11"/>
            <w:tcBorders>
              <w:top w:val="single" w:color="auto" w:sz="4" w:space="0"/>
              <w:left w:val="nil"/>
              <w:bottom w:val="nil"/>
              <w:right w:val="single" w:color="auto" w:sz="4" w:space="0"/>
            </w:tcBorders>
            <w:vAlign w:val="center"/>
          </w:tcPr>
          <w:p w14:paraId="2FFADE88">
            <w:pPr>
              <w:spacing w:line="440" w:lineRule="atLeast"/>
              <w:jc w:val="left"/>
              <w:rPr>
                <w:rFonts w:ascii="宋体" w:hAnsi="宋体" w:cs="宋体"/>
                <w:kern w:val="0"/>
                <w:sz w:val="20"/>
                <w:szCs w:val="20"/>
              </w:rPr>
            </w:pPr>
            <w:r>
              <w:rPr>
                <w:rFonts w:hint="eastAsia" w:ascii="宋体" w:hAnsi="宋体" w:cs="宋体"/>
                <w:kern w:val="0"/>
                <w:sz w:val="20"/>
                <w:szCs w:val="20"/>
              </w:rPr>
              <w:t>预算（财务）管理部门意见：</w:t>
            </w:r>
          </w:p>
        </w:tc>
        <w:tc>
          <w:tcPr>
            <w:tcW w:w="4076" w:type="dxa"/>
            <w:gridSpan w:val="12"/>
            <w:tcBorders>
              <w:top w:val="single" w:color="auto" w:sz="4" w:space="0"/>
              <w:left w:val="nil"/>
              <w:bottom w:val="nil"/>
              <w:right w:val="single" w:color="auto" w:sz="4" w:space="0"/>
            </w:tcBorders>
            <w:vAlign w:val="center"/>
          </w:tcPr>
          <w:p w14:paraId="3B29E02E">
            <w:pPr>
              <w:spacing w:line="440" w:lineRule="atLeast"/>
              <w:jc w:val="left"/>
              <w:rPr>
                <w:rFonts w:ascii="宋体" w:hAnsi="宋体" w:cs="宋体"/>
                <w:kern w:val="0"/>
                <w:sz w:val="20"/>
                <w:szCs w:val="20"/>
              </w:rPr>
            </w:pPr>
            <w:r>
              <w:rPr>
                <w:rFonts w:hint="eastAsia" w:ascii="宋体" w:hAnsi="宋体" w:cs="宋体"/>
                <w:kern w:val="0"/>
                <w:sz w:val="20"/>
                <w:szCs w:val="20"/>
              </w:rPr>
              <w:t>单位负责人意见：</w:t>
            </w:r>
          </w:p>
        </w:tc>
      </w:tr>
      <w:tr w14:paraId="6F370AF7">
        <w:tblPrEx>
          <w:tblCellMar>
            <w:top w:w="0" w:type="dxa"/>
            <w:left w:w="108" w:type="dxa"/>
            <w:bottom w:w="0" w:type="dxa"/>
            <w:right w:w="108" w:type="dxa"/>
          </w:tblCellMar>
        </w:tblPrEx>
        <w:trPr>
          <w:trHeight w:val="525" w:hRule="atLeast"/>
        </w:trPr>
        <w:tc>
          <w:tcPr>
            <w:tcW w:w="620" w:type="dxa"/>
            <w:gridSpan w:val="2"/>
            <w:vMerge w:val="continue"/>
            <w:tcBorders>
              <w:top w:val="nil"/>
              <w:left w:val="single" w:color="auto" w:sz="4" w:space="0"/>
              <w:bottom w:val="single" w:color="auto" w:sz="4" w:space="0"/>
              <w:right w:val="single" w:color="auto" w:sz="4" w:space="0"/>
            </w:tcBorders>
            <w:vAlign w:val="center"/>
          </w:tcPr>
          <w:p w14:paraId="20789316">
            <w:pPr>
              <w:spacing w:line="440" w:lineRule="atLeast"/>
              <w:jc w:val="left"/>
              <w:rPr>
                <w:rFonts w:ascii="宋体" w:hAnsi="宋体" w:cs="宋体"/>
                <w:kern w:val="0"/>
                <w:sz w:val="20"/>
                <w:szCs w:val="20"/>
              </w:rPr>
            </w:pPr>
          </w:p>
        </w:tc>
        <w:tc>
          <w:tcPr>
            <w:tcW w:w="4638" w:type="dxa"/>
            <w:gridSpan w:val="12"/>
            <w:tcBorders>
              <w:top w:val="nil"/>
              <w:left w:val="nil"/>
              <w:bottom w:val="nil"/>
              <w:right w:val="single" w:color="000000" w:sz="4" w:space="0"/>
            </w:tcBorders>
            <w:vAlign w:val="center"/>
          </w:tcPr>
          <w:p w14:paraId="37EE9207">
            <w:pPr>
              <w:spacing w:line="440" w:lineRule="atLeast"/>
              <w:jc w:val="center"/>
              <w:rPr>
                <w:rFonts w:ascii="宋体" w:hAnsi="宋体" w:cs="宋体"/>
                <w:kern w:val="0"/>
                <w:sz w:val="20"/>
                <w:szCs w:val="20"/>
              </w:rPr>
            </w:pPr>
          </w:p>
        </w:tc>
        <w:tc>
          <w:tcPr>
            <w:tcW w:w="4500" w:type="dxa"/>
            <w:gridSpan w:val="11"/>
            <w:tcBorders>
              <w:top w:val="nil"/>
              <w:left w:val="nil"/>
              <w:bottom w:val="nil"/>
              <w:right w:val="nil"/>
            </w:tcBorders>
            <w:vAlign w:val="center"/>
          </w:tcPr>
          <w:p w14:paraId="24DE479A">
            <w:pPr>
              <w:spacing w:line="440" w:lineRule="atLeast"/>
              <w:jc w:val="center"/>
              <w:rPr>
                <w:rFonts w:ascii="宋体" w:hAnsi="宋体" w:cs="宋体"/>
                <w:kern w:val="0"/>
                <w:sz w:val="20"/>
                <w:szCs w:val="20"/>
              </w:rPr>
            </w:pPr>
          </w:p>
        </w:tc>
        <w:tc>
          <w:tcPr>
            <w:tcW w:w="4076" w:type="dxa"/>
            <w:gridSpan w:val="12"/>
            <w:tcBorders>
              <w:top w:val="nil"/>
              <w:left w:val="single" w:color="auto" w:sz="4" w:space="0"/>
              <w:bottom w:val="nil"/>
              <w:right w:val="single" w:color="000000" w:sz="4" w:space="0"/>
            </w:tcBorders>
            <w:vAlign w:val="center"/>
          </w:tcPr>
          <w:p w14:paraId="08364958">
            <w:pPr>
              <w:spacing w:line="440" w:lineRule="atLeast"/>
              <w:jc w:val="center"/>
              <w:rPr>
                <w:rFonts w:ascii="宋体" w:hAnsi="宋体" w:cs="宋体"/>
                <w:kern w:val="0"/>
                <w:sz w:val="20"/>
                <w:szCs w:val="20"/>
              </w:rPr>
            </w:pPr>
          </w:p>
        </w:tc>
      </w:tr>
      <w:tr w14:paraId="6A080097">
        <w:tblPrEx>
          <w:tblCellMar>
            <w:top w:w="0" w:type="dxa"/>
            <w:left w:w="108" w:type="dxa"/>
            <w:bottom w:w="0" w:type="dxa"/>
            <w:right w:w="108" w:type="dxa"/>
          </w:tblCellMar>
        </w:tblPrEx>
        <w:trPr>
          <w:trHeight w:val="315" w:hRule="atLeast"/>
        </w:trPr>
        <w:tc>
          <w:tcPr>
            <w:tcW w:w="620" w:type="dxa"/>
            <w:gridSpan w:val="2"/>
            <w:vMerge w:val="continue"/>
            <w:tcBorders>
              <w:top w:val="nil"/>
              <w:left w:val="single" w:color="auto" w:sz="4" w:space="0"/>
              <w:bottom w:val="single" w:color="auto" w:sz="4" w:space="0"/>
              <w:right w:val="single" w:color="auto" w:sz="4" w:space="0"/>
            </w:tcBorders>
            <w:vAlign w:val="center"/>
          </w:tcPr>
          <w:p w14:paraId="27BC1E72">
            <w:pPr>
              <w:spacing w:line="440" w:lineRule="atLeast"/>
              <w:jc w:val="left"/>
              <w:rPr>
                <w:rFonts w:ascii="宋体" w:hAnsi="宋体" w:cs="宋体"/>
                <w:kern w:val="0"/>
                <w:sz w:val="20"/>
                <w:szCs w:val="20"/>
              </w:rPr>
            </w:pPr>
          </w:p>
        </w:tc>
        <w:tc>
          <w:tcPr>
            <w:tcW w:w="4638" w:type="dxa"/>
            <w:gridSpan w:val="12"/>
            <w:tcBorders>
              <w:top w:val="nil"/>
              <w:left w:val="nil"/>
              <w:bottom w:val="single" w:color="auto" w:sz="4" w:space="0"/>
              <w:right w:val="single" w:color="auto" w:sz="4" w:space="0"/>
            </w:tcBorders>
            <w:vAlign w:val="bottom"/>
          </w:tcPr>
          <w:p w14:paraId="6A140C54">
            <w:pPr>
              <w:spacing w:line="440" w:lineRule="atLeast"/>
              <w:jc w:val="right"/>
              <w:rPr>
                <w:rFonts w:ascii="宋体" w:hAnsi="宋体" w:cs="宋体"/>
                <w:kern w:val="0"/>
                <w:sz w:val="20"/>
                <w:szCs w:val="20"/>
              </w:rPr>
            </w:pPr>
            <w:r>
              <w:rPr>
                <w:rFonts w:hint="eastAsia" w:ascii="宋体" w:hAnsi="宋体" w:cs="宋体"/>
                <w:kern w:val="0"/>
                <w:sz w:val="20"/>
                <w:szCs w:val="20"/>
              </w:rPr>
              <w:t>（签章）　　　　　　　年　　　月　　　日</w:t>
            </w:r>
          </w:p>
        </w:tc>
        <w:tc>
          <w:tcPr>
            <w:tcW w:w="4500" w:type="dxa"/>
            <w:gridSpan w:val="11"/>
            <w:tcBorders>
              <w:top w:val="nil"/>
              <w:left w:val="nil"/>
              <w:bottom w:val="single" w:color="auto" w:sz="4" w:space="0"/>
              <w:right w:val="single" w:color="auto" w:sz="4" w:space="0"/>
            </w:tcBorders>
            <w:vAlign w:val="bottom"/>
          </w:tcPr>
          <w:p w14:paraId="31505C68">
            <w:pPr>
              <w:spacing w:line="440" w:lineRule="atLeast"/>
              <w:jc w:val="center"/>
              <w:rPr>
                <w:rFonts w:ascii="宋体" w:hAnsi="宋体" w:cs="宋体"/>
                <w:kern w:val="0"/>
                <w:sz w:val="20"/>
                <w:szCs w:val="20"/>
              </w:rPr>
            </w:pPr>
            <w:r>
              <w:rPr>
                <w:rFonts w:hint="eastAsia" w:ascii="宋体" w:hAnsi="宋体" w:cs="宋体"/>
                <w:kern w:val="0"/>
                <w:sz w:val="20"/>
                <w:szCs w:val="20"/>
              </w:rPr>
              <w:t>（签章）　　　　　　　年　　　月　　　日</w:t>
            </w:r>
          </w:p>
        </w:tc>
        <w:tc>
          <w:tcPr>
            <w:tcW w:w="4076" w:type="dxa"/>
            <w:gridSpan w:val="12"/>
            <w:tcBorders>
              <w:top w:val="nil"/>
              <w:left w:val="nil"/>
              <w:bottom w:val="single" w:color="auto" w:sz="4" w:space="0"/>
              <w:right w:val="single" w:color="auto" w:sz="4" w:space="0"/>
            </w:tcBorders>
            <w:vAlign w:val="bottom"/>
          </w:tcPr>
          <w:p w14:paraId="4A720C91">
            <w:pPr>
              <w:spacing w:line="440" w:lineRule="atLeast"/>
              <w:jc w:val="center"/>
              <w:rPr>
                <w:rFonts w:ascii="宋体" w:hAnsi="宋体" w:cs="宋体"/>
                <w:kern w:val="0"/>
                <w:sz w:val="20"/>
                <w:szCs w:val="20"/>
              </w:rPr>
            </w:pPr>
            <w:r>
              <w:rPr>
                <w:rFonts w:hint="eastAsia" w:ascii="宋体" w:hAnsi="宋体" w:cs="宋体"/>
                <w:kern w:val="0"/>
                <w:sz w:val="20"/>
                <w:szCs w:val="20"/>
              </w:rPr>
              <w:t>（签章）　　　　年　　　月　　　日</w:t>
            </w:r>
          </w:p>
        </w:tc>
      </w:tr>
      <w:tr w14:paraId="14D0BB16">
        <w:tblPrEx>
          <w:tblCellMar>
            <w:top w:w="0" w:type="dxa"/>
            <w:left w:w="108" w:type="dxa"/>
            <w:bottom w:w="0" w:type="dxa"/>
            <w:right w:w="108" w:type="dxa"/>
          </w:tblCellMar>
        </w:tblPrEx>
        <w:trPr>
          <w:trHeight w:val="525" w:hRule="atLeast"/>
        </w:trPr>
        <w:tc>
          <w:tcPr>
            <w:tcW w:w="620" w:type="dxa"/>
            <w:gridSpan w:val="2"/>
            <w:vMerge w:val="restart"/>
            <w:tcBorders>
              <w:top w:val="nil"/>
              <w:left w:val="single" w:color="auto" w:sz="4" w:space="0"/>
              <w:bottom w:val="single" w:color="auto" w:sz="4" w:space="0"/>
              <w:right w:val="single" w:color="auto" w:sz="4" w:space="0"/>
            </w:tcBorders>
            <w:vAlign w:val="center"/>
          </w:tcPr>
          <w:p w14:paraId="13A109E3">
            <w:pPr>
              <w:spacing w:line="440" w:lineRule="atLeast"/>
              <w:jc w:val="center"/>
              <w:rPr>
                <w:rFonts w:ascii="宋体" w:hAnsi="宋体" w:cs="宋体"/>
                <w:kern w:val="0"/>
                <w:sz w:val="20"/>
                <w:szCs w:val="20"/>
              </w:rPr>
            </w:pPr>
            <w:r>
              <w:rPr>
                <w:rFonts w:hint="eastAsia" w:ascii="宋体" w:hAnsi="宋体" w:cs="宋体"/>
                <w:kern w:val="0"/>
                <w:sz w:val="20"/>
                <w:szCs w:val="20"/>
              </w:rPr>
              <w:t>主管部门审核意见</w:t>
            </w:r>
          </w:p>
        </w:tc>
        <w:tc>
          <w:tcPr>
            <w:tcW w:w="6874" w:type="dxa"/>
            <w:gridSpan w:val="17"/>
            <w:tcBorders>
              <w:top w:val="single" w:color="auto" w:sz="4" w:space="0"/>
              <w:left w:val="nil"/>
              <w:bottom w:val="nil"/>
              <w:right w:val="single" w:color="000000" w:sz="4" w:space="0"/>
            </w:tcBorders>
            <w:vAlign w:val="center"/>
          </w:tcPr>
          <w:p w14:paraId="15FB5D00">
            <w:pPr>
              <w:spacing w:line="440" w:lineRule="atLeast"/>
              <w:jc w:val="left"/>
              <w:rPr>
                <w:rFonts w:ascii="宋体" w:hAnsi="宋体" w:cs="宋体"/>
                <w:kern w:val="0"/>
                <w:sz w:val="20"/>
                <w:szCs w:val="20"/>
              </w:rPr>
            </w:pPr>
            <w:r>
              <w:rPr>
                <w:rFonts w:hint="eastAsia" w:ascii="宋体" w:hAnsi="宋体" w:cs="宋体"/>
                <w:kern w:val="0"/>
                <w:sz w:val="20"/>
                <w:szCs w:val="20"/>
              </w:rPr>
              <w:t>资产管理部门意见：</w:t>
            </w:r>
          </w:p>
        </w:tc>
        <w:tc>
          <w:tcPr>
            <w:tcW w:w="6340" w:type="dxa"/>
            <w:gridSpan w:val="18"/>
            <w:tcBorders>
              <w:top w:val="single" w:color="auto" w:sz="4" w:space="0"/>
              <w:left w:val="nil"/>
              <w:bottom w:val="nil"/>
              <w:right w:val="single" w:color="000000" w:sz="4" w:space="0"/>
            </w:tcBorders>
            <w:vAlign w:val="center"/>
          </w:tcPr>
          <w:p w14:paraId="58338A03">
            <w:pPr>
              <w:spacing w:line="440" w:lineRule="atLeast"/>
              <w:jc w:val="left"/>
              <w:rPr>
                <w:rFonts w:ascii="宋体" w:hAnsi="宋体" w:cs="宋体"/>
                <w:kern w:val="0"/>
                <w:sz w:val="20"/>
                <w:szCs w:val="20"/>
              </w:rPr>
            </w:pPr>
            <w:r>
              <w:rPr>
                <w:rFonts w:hint="eastAsia" w:ascii="宋体" w:hAnsi="宋体" w:cs="宋体"/>
                <w:kern w:val="0"/>
                <w:sz w:val="20"/>
                <w:szCs w:val="20"/>
              </w:rPr>
              <w:t>预算（财务）管理部门意见：</w:t>
            </w:r>
          </w:p>
        </w:tc>
      </w:tr>
      <w:tr w14:paraId="5D0746C4">
        <w:tblPrEx>
          <w:tblCellMar>
            <w:top w:w="0" w:type="dxa"/>
            <w:left w:w="108" w:type="dxa"/>
            <w:bottom w:w="0" w:type="dxa"/>
            <w:right w:w="108" w:type="dxa"/>
          </w:tblCellMar>
        </w:tblPrEx>
        <w:trPr>
          <w:trHeight w:val="450" w:hRule="atLeast"/>
        </w:trPr>
        <w:tc>
          <w:tcPr>
            <w:tcW w:w="620" w:type="dxa"/>
            <w:gridSpan w:val="2"/>
            <w:vMerge w:val="continue"/>
            <w:tcBorders>
              <w:top w:val="nil"/>
              <w:left w:val="single" w:color="auto" w:sz="4" w:space="0"/>
              <w:bottom w:val="single" w:color="auto" w:sz="4" w:space="0"/>
              <w:right w:val="single" w:color="auto" w:sz="4" w:space="0"/>
            </w:tcBorders>
            <w:vAlign w:val="center"/>
          </w:tcPr>
          <w:p w14:paraId="6A331B4F">
            <w:pPr>
              <w:spacing w:line="440" w:lineRule="atLeast"/>
              <w:jc w:val="left"/>
              <w:rPr>
                <w:rFonts w:ascii="宋体" w:hAnsi="宋体" w:cs="宋体"/>
                <w:kern w:val="0"/>
                <w:sz w:val="20"/>
                <w:szCs w:val="20"/>
              </w:rPr>
            </w:pPr>
          </w:p>
        </w:tc>
        <w:tc>
          <w:tcPr>
            <w:tcW w:w="6874" w:type="dxa"/>
            <w:gridSpan w:val="17"/>
            <w:tcBorders>
              <w:top w:val="nil"/>
              <w:left w:val="nil"/>
              <w:bottom w:val="nil"/>
              <w:right w:val="single" w:color="000000" w:sz="4" w:space="0"/>
            </w:tcBorders>
            <w:vAlign w:val="bottom"/>
          </w:tcPr>
          <w:p w14:paraId="5F4E80BE">
            <w:pPr>
              <w:spacing w:line="440" w:lineRule="atLeast"/>
              <w:jc w:val="center"/>
              <w:rPr>
                <w:rFonts w:ascii="宋体" w:hAnsi="宋体" w:cs="宋体"/>
                <w:kern w:val="0"/>
                <w:sz w:val="20"/>
                <w:szCs w:val="20"/>
              </w:rPr>
            </w:pPr>
          </w:p>
        </w:tc>
        <w:tc>
          <w:tcPr>
            <w:tcW w:w="960" w:type="dxa"/>
            <w:gridSpan w:val="2"/>
            <w:tcBorders>
              <w:top w:val="nil"/>
              <w:left w:val="nil"/>
              <w:bottom w:val="nil"/>
              <w:right w:val="nil"/>
            </w:tcBorders>
            <w:vAlign w:val="center"/>
          </w:tcPr>
          <w:p w14:paraId="635EC896">
            <w:pPr>
              <w:spacing w:line="440" w:lineRule="atLeast"/>
              <w:jc w:val="left"/>
              <w:rPr>
                <w:rFonts w:ascii="宋体" w:hAnsi="宋体" w:cs="宋体"/>
                <w:kern w:val="0"/>
                <w:sz w:val="24"/>
              </w:rPr>
            </w:pPr>
          </w:p>
        </w:tc>
        <w:tc>
          <w:tcPr>
            <w:tcW w:w="960" w:type="dxa"/>
            <w:gridSpan w:val="3"/>
            <w:tcBorders>
              <w:top w:val="nil"/>
              <w:left w:val="nil"/>
              <w:bottom w:val="nil"/>
              <w:right w:val="nil"/>
            </w:tcBorders>
            <w:vAlign w:val="center"/>
          </w:tcPr>
          <w:p w14:paraId="5C775409">
            <w:pPr>
              <w:spacing w:line="440" w:lineRule="atLeast"/>
              <w:jc w:val="left"/>
              <w:rPr>
                <w:rFonts w:ascii="宋体" w:hAnsi="宋体" w:cs="宋体"/>
                <w:kern w:val="0"/>
                <w:sz w:val="24"/>
              </w:rPr>
            </w:pPr>
          </w:p>
        </w:tc>
        <w:tc>
          <w:tcPr>
            <w:tcW w:w="960" w:type="dxa"/>
            <w:gridSpan w:val="2"/>
            <w:tcBorders>
              <w:top w:val="nil"/>
              <w:left w:val="nil"/>
              <w:bottom w:val="nil"/>
              <w:right w:val="nil"/>
            </w:tcBorders>
            <w:vAlign w:val="center"/>
          </w:tcPr>
          <w:p w14:paraId="0059A413">
            <w:pPr>
              <w:spacing w:line="440" w:lineRule="atLeast"/>
              <w:jc w:val="left"/>
              <w:rPr>
                <w:rFonts w:ascii="宋体" w:hAnsi="宋体" w:cs="宋体"/>
                <w:kern w:val="0"/>
                <w:sz w:val="24"/>
              </w:rPr>
            </w:pPr>
          </w:p>
        </w:tc>
        <w:tc>
          <w:tcPr>
            <w:tcW w:w="1040" w:type="dxa"/>
            <w:gridSpan w:val="4"/>
            <w:tcBorders>
              <w:top w:val="nil"/>
              <w:left w:val="nil"/>
              <w:bottom w:val="nil"/>
              <w:right w:val="nil"/>
            </w:tcBorders>
            <w:vAlign w:val="center"/>
          </w:tcPr>
          <w:p w14:paraId="51ABA29B">
            <w:pPr>
              <w:spacing w:line="440" w:lineRule="atLeast"/>
              <w:jc w:val="left"/>
              <w:rPr>
                <w:rFonts w:ascii="宋体" w:hAnsi="宋体" w:cs="宋体"/>
                <w:kern w:val="0"/>
                <w:sz w:val="24"/>
              </w:rPr>
            </w:pPr>
          </w:p>
        </w:tc>
        <w:tc>
          <w:tcPr>
            <w:tcW w:w="960" w:type="dxa"/>
            <w:gridSpan w:val="3"/>
            <w:tcBorders>
              <w:top w:val="nil"/>
              <w:left w:val="nil"/>
              <w:bottom w:val="nil"/>
              <w:right w:val="nil"/>
            </w:tcBorders>
            <w:vAlign w:val="center"/>
          </w:tcPr>
          <w:p w14:paraId="690B1A1A">
            <w:pPr>
              <w:spacing w:line="440" w:lineRule="atLeast"/>
              <w:jc w:val="left"/>
              <w:rPr>
                <w:rFonts w:ascii="宋体" w:hAnsi="宋体" w:cs="宋体"/>
                <w:kern w:val="0"/>
                <w:sz w:val="24"/>
              </w:rPr>
            </w:pPr>
          </w:p>
        </w:tc>
        <w:tc>
          <w:tcPr>
            <w:tcW w:w="1460" w:type="dxa"/>
            <w:gridSpan w:val="4"/>
            <w:tcBorders>
              <w:top w:val="nil"/>
              <w:left w:val="nil"/>
              <w:bottom w:val="nil"/>
              <w:right w:val="single" w:color="auto" w:sz="4" w:space="0"/>
            </w:tcBorders>
            <w:vAlign w:val="center"/>
          </w:tcPr>
          <w:p w14:paraId="30314289">
            <w:pPr>
              <w:spacing w:line="440" w:lineRule="atLeast"/>
              <w:jc w:val="left"/>
              <w:rPr>
                <w:rFonts w:ascii="宋体" w:hAnsi="宋体" w:cs="宋体"/>
                <w:kern w:val="0"/>
                <w:sz w:val="24"/>
              </w:rPr>
            </w:pPr>
          </w:p>
        </w:tc>
      </w:tr>
      <w:tr w14:paraId="4E865D38">
        <w:tblPrEx>
          <w:tblCellMar>
            <w:top w:w="0" w:type="dxa"/>
            <w:left w:w="108" w:type="dxa"/>
            <w:bottom w:w="0" w:type="dxa"/>
            <w:right w:w="108" w:type="dxa"/>
          </w:tblCellMar>
        </w:tblPrEx>
        <w:trPr>
          <w:trHeight w:val="450" w:hRule="atLeast"/>
        </w:trPr>
        <w:tc>
          <w:tcPr>
            <w:tcW w:w="620" w:type="dxa"/>
            <w:gridSpan w:val="2"/>
            <w:vMerge w:val="continue"/>
            <w:tcBorders>
              <w:top w:val="nil"/>
              <w:left w:val="single" w:color="auto" w:sz="4" w:space="0"/>
              <w:bottom w:val="single" w:color="auto" w:sz="4" w:space="0"/>
              <w:right w:val="single" w:color="auto" w:sz="4" w:space="0"/>
            </w:tcBorders>
            <w:vAlign w:val="center"/>
          </w:tcPr>
          <w:p w14:paraId="1E6A825B">
            <w:pPr>
              <w:spacing w:line="440" w:lineRule="atLeast"/>
              <w:jc w:val="left"/>
              <w:rPr>
                <w:rFonts w:ascii="宋体" w:hAnsi="宋体" w:cs="宋体"/>
                <w:kern w:val="0"/>
                <w:sz w:val="20"/>
                <w:szCs w:val="20"/>
              </w:rPr>
            </w:pPr>
          </w:p>
        </w:tc>
        <w:tc>
          <w:tcPr>
            <w:tcW w:w="6874" w:type="dxa"/>
            <w:gridSpan w:val="17"/>
            <w:tcBorders>
              <w:top w:val="nil"/>
              <w:left w:val="nil"/>
              <w:bottom w:val="single" w:color="auto" w:sz="4" w:space="0"/>
              <w:right w:val="single" w:color="000000" w:sz="4" w:space="0"/>
            </w:tcBorders>
            <w:vAlign w:val="bottom"/>
          </w:tcPr>
          <w:p w14:paraId="5190B1B9">
            <w:pPr>
              <w:spacing w:line="440" w:lineRule="atLeast"/>
              <w:jc w:val="center"/>
              <w:rPr>
                <w:rFonts w:ascii="宋体" w:hAnsi="宋体" w:cs="宋体"/>
                <w:kern w:val="0"/>
                <w:sz w:val="20"/>
                <w:szCs w:val="20"/>
              </w:rPr>
            </w:pPr>
            <w:r>
              <w:rPr>
                <w:rFonts w:hint="eastAsia" w:ascii="宋体" w:hAnsi="宋体" w:cs="宋体"/>
                <w:kern w:val="0"/>
                <w:sz w:val="20"/>
                <w:szCs w:val="20"/>
              </w:rPr>
              <w:t>（盖章）　　　　　　　年　　　月　　　日</w:t>
            </w:r>
          </w:p>
        </w:tc>
        <w:tc>
          <w:tcPr>
            <w:tcW w:w="6340" w:type="dxa"/>
            <w:gridSpan w:val="18"/>
            <w:tcBorders>
              <w:top w:val="nil"/>
              <w:left w:val="nil"/>
              <w:bottom w:val="single" w:color="auto" w:sz="4" w:space="0"/>
              <w:right w:val="single" w:color="000000" w:sz="4" w:space="0"/>
            </w:tcBorders>
            <w:vAlign w:val="bottom"/>
          </w:tcPr>
          <w:p w14:paraId="4A20FE3E">
            <w:pPr>
              <w:spacing w:line="440" w:lineRule="atLeast"/>
              <w:jc w:val="center"/>
              <w:rPr>
                <w:rFonts w:ascii="宋体" w:hAnsi="宋体" w:cs="宋体"/>
                <w:kern w:val="0"/>
                <w:sz w:val="20"/>
                <w:szCs w:val="20"/>
              </w:rPr>
            </w:pPr>
            <w:r>
              <w:rPr>
                <w:rFonts w:hint="eastAsia" w:ascii="宋体" w:hAnsi="宋体" w:cs="宋体"/>
                <w:kern w:val="0"/>
                <w:sz w:val="20"/>
                <w:szCs w:val="20"/>
              </w:rPr>
              <w:t>（签章）　　　　　　　年　　　月　　　日</w:t>
            </w:r>
          </w:p>
        </w:tc>
      </w:tr>
      <w:tr w14:paraId="09F39755">
        <w:tblPrEx>
          <w:tblCellMar>
            <w:top w:w="0" w:type="dxa"/>
            <w:left w:w="108" w:type="dxa"/>
            <w:bottom w:w="0" w:type="dxa"/>
            <w:right w:w="108" w:type="dxa"/>
          </w:tblCellMar>
        </w:tblPrEx>
        <w:trPr>
          <w:gridAfter w:val="1"/>
          <w:wAfter w:w="14" w:type="dxa"/>
          <w:trHeight w:val="555" w:hRule="atLeast"/>
        </w:trPr>
        <w:tc>
          <w:tcPr>
            <w:tcW w:w="13820" w:type="dxa"/>
            <w:gridSpan w:val="36"/>
            <w:tcBorders>
              <w:top w:val="nil"/>
              <w:left w:val="nil"/>
              <w:bottom w:val="nil"/>
              <w:right w:val="nil"/>
            </w:tcBorders>
            <w:vAlign w:val="center"/>
          </w:tcPr>
          <w:p w14:paraId="5B9AB4E4">
            <w:pPr>
              <w:spacing w:line="440" w:lineRule="atLeast"/>
              <w:jc w:val="center"/>
              <w:rPr>
                <w:rFonts w:ascii="宋体" w:hAnsi="宋体" w:cs="宋体"/>
                <w:b/>
                <w:bCs/>
                <w:kern w:val="0"/>
                <w:sz w:val="32"/>
                <w:szCs w:val="32"/>
              </w:rPr>
            </w:pPr>
            <w:r>
              <w:rPr>
                <w:rFonts w:hint="eastAsia" w:ascii="宋体" w:hAnsi="宋体" w:cs="宋体"/>
                <w:b/>
                <w:bCs/>
                <w:kern w:val="0"/>
                <w:sz w:val="32"/>
                <w:szCs w:val="32"/>
              </w:rPr>
              <w:t>行政事业单位国有资产损溢、资金挂账核实申请表</w:t>
            </w:r>
          </w:p>
        </w:tc>
      </w:tr>
      <w:tr w14:paraId="14636995">
        <w:tblPrEx>
          <w:tblCellMar>
            <w:top w:w="0" w:type="dxa"/>
            <w:left w:w="108" w:type="dxa"/>
            <w:bottom w:w="0" w:type="dxa"/>
            <w:right w:w="108" w:type="dxa"/>
          </w:tblCellMar>
        </w:tblPrEx>
        <w:trPr>
          <w:gridAfter w:val="1"/>
          <w:wAfter w:w="14" w:type="dxa"/>
          <w:trHeight w:val="390" w:hRule="atLeast"/>
        </w:trPr>
        <w:tc>
          <w:tcPr>
            <w:tcW w:w="456" w:type="dxa"/>
            <w:tcBorders>
              <w:top w:val="nil"/>
              <w:left w:val="nil"/>
              <w:bottom w:val="nil"/>
              <w:right w:val="nil"/>
            </w:tcBorders>
            <w:vAlign w:val="center"/>
          </w:tcPr>
          <w:p w14:paraId="66355862">
            <w:pPr>
              <w:spacing w:line="440" w:lineRule="atLeast"/>
              <w:jc w:val="center"/>
              <w:rPr>
                <w:rFonts w:ascii="宋体" w:hAnsi="宋体" w:cs="宋体"/>
                <w:b/>
                <w:bCs/>
                <w:kern w:val="0"/>
                <w:sz w:val="32"/>
                <w:szCs w:val="32"/>
              </w:rPr>
            </w:pPr>
          </w:p>
        </w:tc>
        <w:tc>
          <w:tcPr>
            <w:tcW w:w="556" w:type="dxa"/>
            <w:gridSpan w:val="2"/>
            <w:tcBorders>
              <w:top w:val="nil"/>
              <w:left w:val="nil"/>
              <w:bottom w:val="nil"/>
              <w:right w:val="nil"/>
            </w:tcBorders>
            <w:vAlign w:val="center"/>
          </w:tcPr>
          <w:p w14:paraId="30022810">
            <w:pPr>
              <w:spacing w:line="440" w:lineRule="atLeast"/>
              <w:jc w:val="center"/>
              <w:rPr>
                <w:rFonts w:ascii="宋体" w:hAnsi="宋体" w:cs="宋体"/>
                <w:b/>
                <w:bCs/>
                <w:kern w:val="0"/>
                <w:sz w:val="32"/>
                <w:szCs w:val="32"/>
              </w:rPr>
            </w:pPr>
          </w:p>
        </w:tc>
        <w:tc>
          <w:tcPr>
            <w:tcW w:w="478" w:type="dxa"/>
            <w:gridSpan w:val="2"/>
            <w:tcBorders>
              <w:top w:val="nil"/>
              <w:left w:val="nil"/>
              <w:bottom w:val="nil"/>
              <w:right w:val="nil"/>
            </w:tcBorders>
            <w:vAlign w:val="center"/>
          </w:tcPr>
          <w:p w14:paraId="64DEF7D7">
            <w:pPr>
              <w:spacing w:line="440" w:lineRule="atLeast"/>
              <w:jc w:val="center"/>
              <w:rPr>
                <w:rFonts w:ascii="宋体" w:hAnsi="宋体" w:cs="宋体"/>
                <w:b/>
                <w:bCs/>
                <w:kern w:val="0"/>
                <w:sz w:val="32"/>
                <w:szCs w:val="32"/>
              </w:rPr>
            </w:pPr>
          </w:p>
        </w:tc>
        <w:tc>
          <w:tcPr>
            <w:tcW w:w="557" w:type="dxa"/>
            <w:tcBorders>
              <w:top w:val="nil"/>
              <w:left w:val="nil"/>
              <w:bottom w:val="nil"/>
              <w:right w:val="nil"/>
            </w:tcBorders>
            <w:vAlign w:val="center"/>
          </w:tcPr>
          <w:p w14:paraId="37F18399">
            <w:pPr>
              <w:spacing w:line="440" w:lineRule="atLeast"/>
              <w:jc w:val="center"/>
              <w:rPr>
                <w:rFonts w:ascii="宋体" w:hAnsi="宋体" w:cs="宋体"/>
                <w:b/>
                <w:bCs/>
                <w:kern w:val="0"/>
                <w:sz w:val="32"/>
                <w:szCs w:val="32"/>
              </w:rPr>
            </w:pPr>
          </w:p>
        </w:tc>
        <w:tc>
          <w:tcPr>
            <w:tcW w:w="557" w:type="dxa"/>
            <w:tcBorders>
              <w:top w:val="nil"/>
              <w:left w:val="nil"/>
              <w:bottom w:val="nil"/>
              <w:right w:val="nil"/>
            </w:tcBorders>
            <w:vAlign w:val="center"/>
          </w:tcPr>
          <w:p w14:paraId="4291E3E8">
            <w:pPr>
              <w:spacing w:line="440" w:lineRule="atLeast"/>
              <w:jc w:val="center"/>
              <w:rPr>
                <w:rFonts w:ascii="宋体" w:hAnsi="宋体" w:cs="宋体"/>
                <w:b/>
                <w:bCs/>
                <w:kern w:val="0"/>
                <w:sz w:val="32"/>
                <w:szCs w:val="32"/>
              </w:rPr>
            </w:pPr>
          </w:p>
        </w:tc>
        <w:tc>
          <w:tcPr>
            <w:tcW w:w="635" w:type="dxa"/>
            <w:gridSpan w:val="2"/>
            <w:tcBorders>
              <w:top w:val="nil"/>
              <w:left w:val="nil"/>
              <w:bottom w:val="nil"/>
              <w:right w:val="nil"/>
            </w:tcBorders>
            <w:vAlign w:val="center"/>
          </w:tcPr>
          <w:p w14:paraId="59251C6A">
            <w:pPr>
              <w:spacing w:line="440" w:lineRule="atLeast"/>
              <w:jc w:val="center"/>
              <w:rPr>
                <w:rFonts w:ascii="宋体" w:hAnsi="宋体" w:cs="宋体"/>
                <w:b/>
                <w:bCs/>
                <w:kern w:val="0"/>
                <w:sz w:val="32"/>
                <w:szCs w:val="32"/>
              </w:rPr>
            </w:pPr>
          </w:p>
        </w:tc>
        <w:tc>
          <w:tcPr>
            <w:tcW w:w="596" w:type="dxa"/>
            <w:tcBorders>
              <w:top w:val="nil"/>
              <w:left w:val="nil"/>
              <w:bottom w:val="nil"/>
              <w:right w:val="nil"/>
            </w:tcBorders>
            <w:vAlign w:val="center"/>
          </w:tcPr>
          <w:p w14:paraId="4656470B">
            <w:pPr>
              <w:spacing w:line="440" w:lineRule="atLeast"/>
              <w:jc w:val="center"/>
              <w:rPr>
                <w:rFonts w:ascii="宋体" w:hAnsi="宋体" w:cs="宋体"/>
                <w:b/>
                <w:bCs/>
                <w:kern w:val="0"/>
                <w:sz w:val="32"/>
                <w:szCs w:val="32"/>
              </w:rPr>
            </w:pPr>
          </w:p>
        </w:tc>
        <w:tc>
          <w:tcPr>
            <w:tcW w:w="909" w:type="dxa"/>
            <w:gridSpan w:val="3"/>
            <w:tcBorders>
              <w:top w:val="nil"/>
              <w:left w:val="nil"/>
              <w:bottom w:val="nil"/>
              <w:right w:val="nil"/>
            </w:tcBorders>
            <w:vAlign w:val="center"/>
          </w:tcPr>
          <w:p w14:paraId="2D512D31">
            <w:pPr>
              <w:spacing w:line="440" w:lineRule="atLeast"/>
              <w:jc w:val="center"/>
              <w:rPr>
                <w:rFonts w:ascii="宋体" w:hAnsi="宋体" w:cs="宋体"/>
                <w:b/>
                <w:bCs/>
                <w:kern w:val="0"/>
                <w:sz w:val="32"/>
                <w:szCs w:val="32"/>
              </w:rPr>
            </w:pPr>
          </w:p>
        </w:tc>
        <w:tc>
          <w:tcPr>
            <w:tcW w:w="928" w:type="dxa"/>
            <w:gridSpan w:val="2"/>
            <w:tcBorders>
              <w:top w:val="nil"/>
              <w:left w:val="nil"/>
              <w:bottom w:val="nil"/>
              <w:right w:val="nil"/>
            </w:tcBorders>
            <w:vAlign w:val="center"/>
          </w:tcPr>
          <w:p w14:paraId="04DF7998">
            <w:pPr>
              <w:spacing w:line="440" w:lineRule="atLeast"/>
              <w:jc w:val="center"/>
              <w:rPr>
                <w:rFonts w:ascii="宋体" w:hAnsi="宋体" w:cs="宋体"/>
                <w:b/>
                <w:bCs/>
                <w:kern w:val="0"/>
                <w:sz w:val="32"/>
                <w:szCs w:val="32"/>
              </w:rPr>
            </w:pPr>
          </w:p>
        </w:tc>
        <w:tc>
          <w:tcPr>
            <w:tcW w:w="1011" w:type="dxa"/>
            <w:gridSpan w:val="2"/>
            <w:tcBorders>
              <w:top w:val="nil"/>
              <w:left w:val="nil"/>
              <w:bottom w:val="nil"/>
              <w:right w:val="nil"/>
            </w:tcBorders>
            <w:vAlign w:val="center"/>
          </w:tcPr>
          <w:p w14:paraId="0C9C6E0D">
            <w:pPr>
              <w:spacing w:line="440" w:lineRule="atLeast"/>
              <w:jc w:val="center"/>
              <w:rPr>
                <w:rFonts w:ascii="宋体" w:hAnsi="宋体" w:cs="宋体"/>
                <w:b/>
                <w:bCs/>
                <w:kern w:val="0"/>
                <w:sz w:val="32"/>
                <w:szCs w:val="32"/>
              </w:rPr>
            </w:pPr>
          </w:p>
        </w:tc>
        <w:tc>
          <w:tcPr>
            <w:tcW w:w="733" w:type="dxa"/>
            <w:tcBorders>
              <w:top w:val="nil"/>
              <w:left w:val="nil"/>
              <w:bottom w:val="nil"/>
              <w:right w:val="nil"/>
            </w:tcBorders>
            <w:vAlign w:val="center"/>
          </w:tcPr>
          <w:p w14:paraId="4525C0E9">
            <w:pPr>
              <w:spacing w:line="440" w:lineRule="atLeast"/>
              <w:jc w:val="center"/>
              <w:rPr>
                <w:rFonts w:ascii="宋体" w:hAnsi="宋体" w:cs="宋体"/>
                <w:b/>
                <w:bCs/>
                <w:kern w:val="0"/>
                <w:sz w:val="32"/>
                <w:szCs w:val="32"/>
              </w:rPr>
            </w:pPr>
          </w:p>
        </w:tc>
        <w:tc>
          <w:tcPr>
            <w:tcW w:w="928" w:type="dxa"/>
            <w:gridSpan w:val="2"/>
            <w:tcBorders>
              <w:top w:val="nil"/>
              <w:left w:val="nil"/>
              <w:bottom w:val="nil"/>
              <w:right w:val="nil"/>
            </w:tcBorders>
            <w:vAlign w:val="center"/>
          </w:tcPr>
          <w:p w14:paraId="625EA2C6">
            <w:pPr>
              <w:spacing w:line="440" w:lineRule="atLeast"/>
              <w:jc w:val="center"/>
              <w:rPr>
                <w:rFonts w:ascii="宋体" w:hAnsi="宋体" w:cs="宋体"/>
                <w:b/>
                <w:bCs/>
                <w:kern w:val="0"/>
                <w:sz w:val="32"/>
                <w:szCs w:val="32"/>
              </w:rPr>
            </w:pPr>
          </w:p>
        </w:tc>
        <w:tc>
          <w:tcPr>
            <w:tcW w:w="1008" w:type="dxa"/>
            <w:gridSpan w:val="3"/>
            <w:tcBorders>
              <w:top w:val="nil"/>
              <w:left w:val="nil"/>
              <w:bottom w:val="nil"/>
              <w:right w:val="nil"/>
            </w:tcBorders>
            <w:vAlign w:val="center"/>
          </w:tcPr>
          <w:p w14:paraId="0D06A405">
            <w:pPr>
              <w:spacing w:line="440" w:lineRule="atLeast"/>
              <w:jc w:val="center"/>
              <w:rPr>
                <w:rFonts w:ascii="宋体" w:hAnsi="宋体" w:cs="宋体"/>
                <w:b/>
                <w:bCs/>
                <w:kern w:val="0"/>
                <w:sz w:val="32"/>
                <w:szCs w:val="32"/>
              </w:rPr>
            </w:pPr>
          </w:p>
        </w:tc>
        <w:tc>
          <w:tcPr>
            <w:tcW w:w="1050" w:type="dxa"/>
            <w:gridSpan w:val="4"/>
            <w:tcBorders>
              <w:top w:val="nil"/>
              <w:left w:val="nil"/>
              <w:bottom w:val="nil"/>
              <w:right w:val="nil"/>
            </w:tcBorders>
            <w:vAlign w:val="center"/>
          </w:tcPr>
          <w:p w14:paraId="6923FCA4">
            <w:pPr>
              <w:spacing w:line="440" w:lineRule="atLeast"/>
              <w:jc w:val="center"/>
              <w:rPr>
                <w:rFonts w:ascii="宋体" w:hAnsi="宋体" w:cs="宋体"/>
                <w:b/>
                <w:bCs/>
                <w:kern w:val="0"/>
                <w:sz w:val="32"/>
                <w:szCs w:val="32"/>
              </w:rPr>
            </w:pPr>
          </w:p>
        </w:tc>
        <w:tc>
          <w:tcPr>
            <w:tcW w:w="940" w:type="dxa"/>
            <w:gridSpan w:val="2"/>
            <w:tcBorders>
              <w:top w:val="nil"/>
              <w:left w:val="nil"/>
              <w:bottom w:val="nil"/>
              <w:right w:val="nil"/>
            </w:tcBorders>
            <w:vAlign w:val="center"/>
          </w:tcPr>
          <w:p w14:paraId="60699870">
            <w:pPr>
              <w:spacing w:line="440" w:lineRule="atLeast"/>
              <w:jc w:val="center"/>
              <w:rPr>
                <w:rFonts w:ascii="宋体" w:hAnsi="宋体" w:cs="宋体"/>
                <w:b/>
                <w:bCs/>
                <w:kern w:val="0"/>
                <w:sz w:val="32"/>
                <w:szCs w:val="32"/>
              </w:rPr>
            </w:pPr>
          </w:p>
        </w:tc>
        <w:tc>
          <w:tcPr>
            <w:tcW w:w="870" w:type="dxa"/>
            <w:gridSpan w:val="3"/>
            <w:tcBorders>
              <w:top w:val="nil"/>
              <w:left w:val="nil"/>
              <w:bottom w:val="nil"/>
              <w:right w:val="nil"/>
            </w:tcBorders>
            <w:vAlign w:val="center"/>
          </w:tcPr>
          <w:p w14:paraId="71F5822A">
            <w:pPr>
              <w:spacing w:line="440" w:lineRule="atLeast"/>
              <w:jc w:val="center"/>
              <w:rPr>
                <w:rFonts w:ascii="宋体" w:hAnsi="宋体" w:cs="宋体"/>
                <w:b/>
                <w:bCs/>
                <w:kern w:val="0"/>
                <w:sz w:val="32"/>
                <w:szCs w:val="32"/>
              </w:rPr>
            </w:pPr>
          </w:p>
        </w:tc>
        <w:tc>
          <w:tcPr>
            <w:tcW w:w="973" w:type="dxa"/>
            <w:gridSpan w:val="3"/>
            <w:tcBorders>
              <w:top w:val="nil"/>
              <w:left w:val="nil"/>
              <w:bottom w:val="nil"/>
              <w:right w:val="nil"/>
            </w:tcBorders>
            <w:vAlign w:val="center"/>
          </w:tcPr>
          <w:p w14:paraId="2B74429C">
            <w:pPr>
              <w:spacing w:line="440" w:lineRule="atLeast"/>
              <w:jc w:val="center"/>
              <w:rPr>
                <w:rFonts w:ascii="宋体" w:hAnsi="宋体" w:cs="宋体"/>
                <w:b/>
                <w:bCs/>
                <w:kern w:val="0"/>
                <w:sz w:val="32"/>
                <w:szCs w:val="32"/>
              </w:rPr>
            </w:pPr>
          </w:p>
        </w:tc>
        <w:tc>
          <w:tcPr>
            <w:tcW w:w="635" w:type="dxa"/>
            <w:tcBorders>
              <w:top w:val="nil"/>
              <w:left w:val="nil"/>
              <w:bottom w:val="nil"/>
              <w:right w:val="nil"/>
            </w:tcBorders>
            <w:vAlign w:val="center"/>
          </w:tcPr>
          <w:p w14:paraId="789EDFE0">
            <w:pPr>
              <w:spacing w:line="440" w:lineRule="atLeast"/>
              <w:jc w:val="right"/>
              <w:rPr>
                <w:rFonts w:ascii="宋体" w:hAnsi="宋体" w:cs="宋体"/>
                <w:b/>
                <w:bCs/>
                <w:kern w:val="0"/>
                <w:sz w:val="20"/>
                <w:szCs w:val="20"/>
              </w:rPr>
            </w:pPr>
            <w:r>
              <w:rPr>
                <w:rFonts w:hint="eastAsia" w:ascii="宋体" w:hAnsi="宋体" w:cs="宋体"/>
                <w:b/>
                <w:bCs/>
                <w:kern w:val="0"/>
                <w:sz w:val="20"/>
                <w:szCs w:val="20"/>
              </w:rPr>
              <w:t>附表</w:t>
            </w:r>
          </w:p>
        </w:tc>
      </w:tr>
      <w:tr w14:paraId="7AB9F935">
        <w:tblPrEx>
          <w:tblCellMar>
            <w:top w:w="0" w:type="dxa"/>
            <w:left w:w="108" w:type="dxa"/>
            <w:bottom w:w="0" w:type="dxa"/>
            <w:right w:w="108" w:type="dxa"/>
          </w:tblCellMar>
        </w:tblPrEx>
        <w:trPr>
          <w:gridAfter w:val="1"/>
          <w:wAfter w:w="14" w:type="dxa"/>
          <w:trHeight w:val="345" w:hRule="atLeast"/>
        </w:trPr>
        <w:tc>
          <w:tcPr>
            <w:tcW w:w="2604" w:type="dxa"/>
            <w:gridSpan w:val="7"/>
            <w:tcBorders>
              <w:top w:val="nil"/>
              <w:left w:val="nil"/>
              <w:bottom w:val="single" w:color="auto" w:sz="4" w:space="0"/>
              <w:right w:val="nil"/>
            </w:tcBorders>
            <w:vAlign w:val="center"/>
          </w:tcPr>
          <w:p w14:paraId="4061D614">
            <w:pPr>
              <w:spacing w:line="440" w:lineRule="atLeast"/>
              <w:jc w:val="left"/>
              <w:rPr>
                <w:rFonts w:ascii="宋体" w:hAnsi="宋体" w:cs="宋体"/>
                <w:kern w:val="0"/>
                <w:szCs w:val="21"/>
              </w:rPr>
            </w:pPr>
            <w:r>
              <w:rPr>
                <w:rFonts w:hint="eastAsia" w:ascii="宋体" w:hAnsi="宋体" w:cs="宋体"/>
                <w:kern w:val="0"/>
                <w:szCs w:val="21"/>
              </w:rPr>
              <w:t>申报单位：</w:t>
            </w:r>
          </w:p>
        </w:tc>
        <w:tc>
          <w:tcPr>
            <w:tcW w:w="4079" w:type="dxa"/>
            <w:gridSpan w:val="10"/>
            <w:tcBorders>
              <w:top w:val="nil"/>
              <w:left w:val="nil"/>
              <w:bottom w:val="single" w:color="auto" w:sz="4" w:space="0"/>
              <w:right w:val="nil"/>
            </w:tcBorders>
            <w:vAlign w:val="center"/>
          </w:tcPr>
          <w:p w14:paraId="37F3013E">
            <w:pPr>
              <w:spacing w:line="440" w:lineRule="atLeast"/>
              <w:jc w:val="center"/>
              <w:rPr>
                <w:rFonts w:ascii="宋体" w:hAnsi="宋体" w:cs="宋体"/>
                <w:kern w:val="0"/>
                <w:szCs w:val="21"/>
              </w:rPr>
            </w:pPr>
            <w:r>
              <w:rPr>
                <w:rFonts w:hint="eastAsia" w:ascii="宋体" w:hAnsi="宋体" w:cs="宋体"/>
                <w:kern w:val="0"/>
                <w:szCs w:val="21"/>
              </w:rPr>
              <w:t>申报单号：</w:t>
            </w:r>
          </w:p>
        </w:tc>
        <w:tc>
          <w:tcPr>
            <w:tcW w:w="733" w:type="dxa"/>
            <w:tcBorders>
              <w:top w:val="nil"/>
              <w:left w:val="nil"/>
              <w:bottom w:val="nil"/>
              <w:right w:val="nil"/>
            </w:tcBorders>
            <w:vAlign w:val="center"/>
          </w:tcPr>
          <w:p w14:paraId="75B04B2E">
            <w:pPr>
              <w:spacing w:line="440" w:lineRule="atLeast"/>
              <w:jc w:val="left"/>
              <w:rPr>
                <w:rFonts w:ascii="宋体" w:hAnsi="宋体" w:cs="宋体"/>
                <w:kern w:val="0"/>
                <w:sz w:val="24"/>
              </w:rPr>
            </w:pPr>
          </w:p>
        </w:tc>
        <w:tc>
          <w:tcPr>
            <w:tcW w:w="928" w:type="dxa"/>
            <w:gridSpan w:val="2"/>
            <w:tcBorders>
              <w:top w:val="nil"/>
              <w:left w:val="nil"/>
              <w:bottom w:val="nil"/>
              <w:right w:val="nil"/>
            </w:tcBorders>
            <w:vAlign w:val="center"/>
          </w:tcPr>
          <w:p w14:paraId="57431CDE">
            <w:pPr>
              <w:spacing w:line="440" w:lineRule="atLeast"/>
              <w:jc w:val="left"/>
              <w:rPr>
                <w:rFonts w:ascii="宋体" w:hAnsi="宋体" w:cs="宋体"/>
                <w:kern w:val="0"/>
                <w:sz w:val="24"/>
              </w:rPr>
            </w:pPr>
          </w:p>
        </w:tc>
        <w:tc>
          <w:tcPr>
            <w:tcW w:w="1008" w:type="dxa"/>
            <w:gridSpan w:val="3"/>
            <w:tcBorders>
              <w:top w:val="nil"/>
              <w:left w:val="nil"/>
              <w:bottom w:val="nil"/>
              <w:right w:val="nil"/>
            </w:tcBorders>
            <w:vAlign w:val="center"/>
          </w:tcPr>
          <w:p w14:paraId="04A42EF4">
            <w:pPr>
              <w:spacing w:line="440" w:lineRule="atLeast"/>
              <w:jc w:val="left"/>
              <w:rPr>
                <w:rFonts w:ascii="宋体" w:hAnsi="宋体" w:cs="宋体"/>
                <w:kern w:val="0"/>
                <w:sz w:val="24"/>
              </w:rPr>
            </w:pPr>
          </w:p>
        </w:tc>
        <w:tc>
          <w:tcPr>
            <w:tcW w:w="1050" w:type="dxa"/>
            <w:gridSpan w:val="4"/>
            <w:tcBorders>
              <w:top w:val="nil"/>
              <w:left w:val="nil"/>
              <w:bottom w:val="nil"/>
              <w:right w:val="nil"/>
            </w:tcBorders>
            <w:vAlign w:val="center"/>
          </w:tcPr>
          <w:p w14:paraId="3B0D4555">
            <w:pPr>
              <w:spacing w:line="440" w:lineRule="atLeast"/>
              <w:jc w:val="left"/>
              <w:rPr>
                <w:rFonts w:ascii="宋体" w:hAnsi="宋体" w:cs="宋体"/>
                <w:kern w:val="0"/>
                <w:sz w:val="24"/>
              </w:rPr>
            </w:pPr>
          </w:p>
        </w:tc>
        <w:tc>
          <w:tcPr>
            <w:tcW w:w="940" w:type="dxa"/>
            <w:gridSpan w:val="2"/>
            <w:tcBorders>
              <w:top w:val="nil"/>
              <w:left w:val="nil"/>
              <w:bottom w:val="nil"/>
              <w:right w:val="nil"/>
            </w:tcBorders>
            <w:vAlign w:val="center"/>
          </w:tcPr>
          <w:p w14:paraId="799465F2">
            <w:pPr>
              <w:spacing w:line="440" w:lineRule="atLeast"/>
              <w:jc w:val="left"/>
              <w:rPr>
                <w:rFonts w:ascii="宋体" w:hAnsi="宋体" w:cs="宋体"/>
                <w:kern w:val="0"/>
                <w:sz w:val="24"/>
              </w:rPr>
            </w:pPr>
          </w:p>
        </w:tc>
        <w:tc>
          <w:tcPr>
            <w:tcW w:w="870" w:type="dxa"/>
            <w:gridSpan w:val="3"/>
            <w:tcBorders>
              <w:top w:val="nil"/>
              <w:left w:val="nil"/>
              <w:bottom w:val="nil"/>
              <w:right w:val="nil"/>
            </w:tcBorders>
            <w:vAlign w:val="center"/>
          </w:tcPr>
          <w:p w14:paraId="347C4EC8">
            <w:pPr>
              <w:spacing w:line="440" w:lineRule="atLeast"/>
              <w:jc w:val="left"/>
              <w:rPr>
                <w:rFonts w:ascii="宋体" w:hAnsi="宋体" w:cs="宋体"/>
                <w:kern w:val="0"/>
                <w:sz w:val="24"/>
              </w:rPr>
            </w:pPr>
          </w:p>
        </w:tc>
        <w:tc>
          <w:tcPr>
            <w:tcW w:w="973" w:type="dxa"/>
            <w:gridSpan w:val="3"/>
            <w:tcBorders>
              <w:top w:val="nil"/>
              <w:left w:val="nil"/>
              <w:bottom w:val="single" w:color="auto" w:sz="4" w:space="0"/>
              <w:right w:val="nil"/>
            </w:tcBorders>
            <w:vAlign w:val="center"/>
          </w:tcPr>
          <w:p w14:paraId="5D27B183">
            <w:pPr>
              <w:spacing w:line="440" w:lineRule="atLeast"/>
              <w:ind w:right="-270" w:rightChars="-129"/>
              <w:jc w:val="left"/>
              <w:rPr>
                <w:rFonts w:ascii="宋体" w:hAnsi="宋体" w:cs="宋体"/>
                <w:kern w:val="0"/>
                <w:szCs w:val="21"/>
              </w:rPr>
            </w:pPr>
            <w:r>
              <w:rPr>
                <w:rFonts w:hint="eastAsia" w:ascii="宋体" w:hAnsi="宋体" w:cs="宋体"/>
                <w:kern w:val="0"/>
                <w:szCs w:val="21"/>
              </w:rPr>
              <w:t>金额单位：</w:t>
            </w:r>
          </w:p>
        </w:tc>
        <w:tc>
          <w:tcPr>
            <w:tcW w:w="635" w:type="dxa"/>
            <w:tcBorders>
              <w:top w:val="nil"/>
              <w:left w:val="nil"/>
              <w:bottom w:val="nil"/>
              <w:right w:val="nil"/>
            </w:tcBorders>
            <w:vAlign w:val="center"/>
          </w:tcPr>
          <w:p w14:paraId="5725235E">
            <w:pPr>
              <w:spacing w:line="440" w:lineRule="atLeast"/>
              <w:jc w:val="right"/>
              <w:rPr>
                <w:rFonts w:ascii="宋体" w:hAnsi="宋体" w:cs="宋体"/>
                <w:kern w:val="0"/>
                <w:szCs w:val="21"/>
              </w:rPr>
            </w:pPr>
            <w:r>
              <w:rPr>
                <w:rFonts w:hint="eastAsia" w:ascii="宋体" w:hAnsi="宋体" w:cs="宋体"/>
                <w:kern w:val="0"/>
                <w:szCs w:val="21"/>
              </w:rPr>
              <w:t>元</w:t>
            </w:r>
          </w:p>
        </w:tc>
      </w:tr>
      <w:tr w14:paraId="04C6C625">
        <w:tblPrEx>
          <w:tblCellMar>
            <w:top w:w="0" w:type="dxa"/>
            <w:left w:w="108" w:type="dxa"/>
            <w:bottom w:w="0" w:type="dxa"/>
            <w:right w:w="108" w:type="dxa"/>
          </w:tblCellMar>
        </w:tblPrEx>
        <w:trPr>
          <w:gridAfter w:val="1"/>
          <w:wAfter w:w="14" w:type="dxa"/>
          <w:trHeight w:val="375" w:hRule="atLeast"/>
        </w:trPr>
        <w:tc>
          <w:tcPr>
            <w:tcW w:w="456" w:type="dxa"/>
            <w:vMerge w:val="restart"/>
            <w:tcBorders>
              <w:top w:val="nil"/>
              <w:left w:val="single" w:color="auto" w:sz="4" w:space="0"/>
              <w:bottom w:val="single" w:color="auto" w:sz="4" w:space="0"/>
              <w:right w:val="single" w:color="auto" w:sz="4" w:space="0"/>
            </w:tcBorders>
            <w:vAlign w:val="center"/>
          </w:tcPr>
          <w:p w14:paraId="2212457F">
            <w:pPr>
              <w:spacing w:line="440" w:lineRule="atLeast"/>
              <w:jc w:val="center"/>
              <w:rPr>
                <w:rFonts w:ascii="宋体" w:hAnsi="宋体" w:cs="宋体"/>
                <w:kern w:val="0"/>
                <w:sz w:val="20"/>
                <w:szCs w:val="20"/>
              </w:rPr>
            </w:pPr>
            <w:r>
              <w:rPr>
                <w:rFonts w:hint="eastAsia" w:ascii="宋体" w:hAnsi="宋体" w:cs="宋体"/>
                <w:kern w:val="0"/>
                <w:sz w:val="20"/>
                <w:szCs w:val="20"/>
              </w:rPr>
              <w:t>序号</w:t>
            </w:r>
          </w:p>
        </w:tc>
        <w:tc>
          <w:tcPr>
            <w:tcW w:w="556" w:type="dxa"/>
            <w:gridSpan w:val="2"/>
            <w:vMerge w:val="restart"/>
            <w:tcBorders>
              <w:top w:val="nil"/>
              <w:left w:val="single" w:color="auto" w:sz="4" w:space="0"/>
              <w:bottom w:val="single" w:color="auto" w:sz="4" w:space="0"/>
              <w:right w:val="single" w:color="auto" w:sz="4" w:space="0"/>
            </w:tcBorders>
            <w:vAlign w:val="center"/>
          </w:tcPr>
          <w:p w14:paraId="67FDC2B7">
            <w:pPr>
              <w:spacing w:line="440" w:lineRule="atLeast"/>
              <w:jc w:val="center"/>
              <w:rPr>
                <w:rFonts w:ascii="宋体" w:hAnsi="宋体" w:cs="宋体"/>
                <w:kern w:val="0"/>
                <w:sz w:val="20"/>
                <w:szCs w:val="20"/>
              </w:rPr>
            </w:pPr>
            <w:r>
              <w:rPr>
                <w:rFonts w:hint="eastAsia" w:ascii="宋体" w:hAnsi="宋体" w:cs="宋体"/>
                <w:kern w:val="0"/>
                <w:sz w:val="20"/>
                <w:szCs w:val="20"/>
              </w:rPr>
              <w:t>损溢类型</w:t>
            </w:r>
          </w:p>
        </w:tc>
        <w:tc>
          <w:tcPr>
            <w:tcW w:w="478" w:type="dxa"/>
            <w:gridSpan w:val="2"/>
            <w:vMerge w:val="restart"/>
            <w:tcBorders>
              <w:top w:val="nil"/>
              <w:left w:val="single" w:color="auto" w:sz="4" w:space="0"/>
              <w:bottom w:val="single" w:color="auto" w:sz="4" w:space="0"/>
              <w:right w:val="single" w:color="auto" w:sz="4" w:space="0"/>
            </w:tcBorders>
            <w:vAlign w:val="center"/>
          </w:tcPr>
          <w:p w14:paraId="77040835">
            <w:pPr>
              <w:spacing w:line="440" w:lineRule="atLeast"/>
              <w:jc w:val="center"/>
              <w:rPr>
                <w:rFonts w:ascii="宋体" w:hAnsi="宋体" w:cs="宋体"/>
                <w:kern w:val="0"/>
                <w:sz w:val="20"/>
                <w:szCs w:val="20"/>
              </w:rPr>
            </w:pPr>
            <w:r>
              <w:rPr>
                <w:rFonts w:hint="eastAsia" w:ascii="宋体" w:hAnsi="宋体" w:cs="宋体"/>
                <w:kern w:val="0"/>
                <w:sz w:val="20"/>
                <w:szCs w:val="20"/>
              </w:rPr>
              <w:t>资产编号</w:t>
            </w:r>
          </w:p>
        </w:tc>
        <w:tc>
          <w:tcPr>
            <w:tcW w:w="557" w:type="dxa"/>
            <w:vMerge w:val="restart"/>
            <w:tcBorders>
              <w:top w:val="nil"/>
              <w:left w:val="single" w:color="auto" w:sz="4" w:space="0"/>
              <w:bottom w:val="single" w:color="auto" w:sz="4" w:space="0"/>
              <w:right w:val="single" w:color="auto" w:sz="4" w:space="0"/>
            </w:tcBorders>
            <w:vAlign w:val="center"/>
          </w:tcPr>
          <w:p w14:paraId="2B34AB84">
            <w:pPr>
              <w:spacing w:line="440" w:lineRule="atLeast"/>
              <w:jc w:val="center"/>
              <w:rPr>
                <w:rFonts w:ascii="宋体" w:hAnsi="宋体" w:cs="宋体"/>
                <w:kern w:val="0"/>
                <w:sz w:val="20"/>
                <w:szCs w:val="20"/>
              </w:rPr>
            </w:pPr>
            <w:r>
              <w:rPr>
                <w:rFonts w:hint="eastAsia" w:ascii="宋体" w:hAnsi="宋体" w:cs="宋体"/>
                <w:kern w:val="0"/>
                <w:sz w:val="20"/>
                <w:szCs w:val="20"/>
              </w:rPr>
              <w:t>资产名称</w:t>
            </w:r>
          </w:p>
        </w:tc>
        <w:tc>
          <w:tcPr>
            <w:tcW w:w="557" w:type="dxa"/>
            <w:vMerge w:val="restart"/>
            <w:tcBorders>
              <w:top w:val="nil"/>
              <w:left w:val="single" w:color="auto" w:sz="4" w:space="0"/>
              <w:bottom w:val="single" w:color="auto" w:sz="4" w:space="0"/>
              <w:right w:val="single" w:color="auto" w:sz="4" w:space="0"/>
            </w:tcBorders>
            <w:vAlign w:val="center"/>
          </w:tcPr>
          <w:p w14:paraId="79BD9B66">
            <w:pPr>
              <w:spacing w:line="440" w:lineRule="atLeast"/>
              <w:jc w:val="center"/>
              <w:rPr>
                <w:rFonts w:ascii="宋体" w:hAnsi="宋体" w:cs="宋体"/>
                <w:kern w:val="0"/>
                <w:sz w:val="20"/>
                <w:szCs w:val="20"/>
              </w:rPr>
            </w:pPr>
            <w:r>
              <w:rPr>
                <w:rFonts w:hint="eastAsia" w:ascii="宋体" w:hAnsi="宋体" w:cs="宋体"/>
                <w:kern w:val="0"/>
                <w:sz w:val="20"/>
                <w:szCs w:val="20"/>
              </w:rPr>
              <w:t>科目分类</w:t>
            </w:r>
          </w:p>
        </w:tc>
        <w:tc>
          <w:tcPr>
            <w:tcW w:w="635" w:type="dxa"/>
            <w:gridSpan w:val="2"/>
            <w:vMerge w:val="restart"/>
            <w:tcBorders>
              <w:top w:val="nil"/>
              <w:left w:val="single" w:color="auto" w:sz="4" w:space="0"/>
              <w:bottom w:val="single" w:color="auto" w:sz="4" w:space="0"/>
              <w:right w:val="single" w:color="auto" w:sz="4" w:space="0"/>
            </w:tcBorders>
            <w:vAlign w:val="center"/>
          </w:tcPr>
          <w:p w14:paraId="49D596D8">
            <w:pPr>
              <w:spacing w:line="440" w:lineRule="atLeast"/>
              <w:jc w:val="center"/>
              <w:rPr>
                <w:rFonts w:ascii="宋体" w:hAnsi="宋体" w:cs="宋体"/>
                <w:kern w:val="0"/>
                <w:sz w:val="20"/>
                <w:szCs w:val="20"/>
              </w:rPr>
            </w:pPr>
            <w:r>
              <w:rPr>
                <w:rFonts w:hint="eastAsia" w:ascii="宋体" w:hAnsi="宋体" w:cs="宋体"/>
                <w:kern w:val="0"/>
                <w:sz w:val="20"/>
                <w:szCs w:val="20"/>
              </w:rPr>
              <w:t>明细类别</w:t>
            </w:r>
          </w:p>
        </w:tc>
        <w:tc>
          <w:tcPr>
            <w:tcW w:w="596" w:type="dxa"/>
            <w:vMerge w:val="restart"/>
            <w:tcBorders>
              <w:top w:val="nil"/>
              <w:left w:val="single" w:color="auto" w:sz="4" w:space="0"/>
              <w:bottom w:val="single" w:color="auto" w:sz="4" w:space="0"/>
              <w:right w:val="single" w:color="auto" w:sz="4" w:space="0"/>
            </w:tcBorders>
            <w:vAlign w:val="center"/>
          </w:tcPr>
          <w:p w14:paraId="5764A18B">
            <w:pPr>
              <w:spacing w:line="440" w:lineRule="atLeast"/>
              <w:jc w:val="center"/>
              <w:rPr>
                <w:rFonts w:ascii="宋体" w:hAnsi="宋体" w:cs="宋体"/>
                <w:kern w:val="0"/>
                <w:sz w:val="20"/>
                <w:szCs w:val="20"/>
              </w:rPr>
            </w:pPr>
            <w:r>
              <w:rPr>
                <w:rFonts w:hint="eastAsia" w:ascii="宋体" w:hAnsi="宋体" w:cs="宋体"/>
                <w:kern w:val="0"/>
                <w:sz w:val="20"/>
                <w:szCs w:val="20"/>
              </w:rPr>
              <w:t>资产来源</w:t>
            </w:r>
          </w:p>
        </w:tc>
        <w:tc>
          <w:tcPr>
            <w:tcW w:w="1837" w:type="dxa"/>
            <w:gridSpan w:val="5"/>
            <w:tcBorders>
              <w:top w:val="single" w:color="auto" w:sz="4" w:space="0"/>
              <w:left w:val="nil"/>
              <w:bottom w:val="single" w:color="auto" w:sz="4" w:space="0"/>
              <w:right w:val="single" w:color="auto" w:sz="4" w:space="0"/>
            </w:tcBorders>
            <w:vAlign w:val="center"/>
          </w:tcPr>
          <w:p w14:paraId="2F61E6A0">
            <w:pPr>
              <w:spacing w:line="440" w:lineRule="atLeast"/>
              <w:jc w:val="center"/>
              <w:rPr>
                <w:rFonts w:ascii="宋体" w:hAnsi="宋体" w:cs="宋体"/>
                <w:kern w:val="0"/>
                <w:sz w:val="20"/>
                <w:szCs w:val="20"/>
              </w:rPr>
            </w:pPr>
            <w:r>
              <w:rPr>
                <w:rFonts w:hint="eastAsia" w:ascii="宋体" w:hAnsi="宋体" w:cs="宋体"/>
                <w:kern w:val="0"/>
                <w:sz w:val="20"/>
                <w:szCs w:val="20"/>
              </w:rPr>
              <w:t>数量/面积</w:t>
            </w:r>
          </w:p>
        </w:tc>
        <w:tc>
          <w:tcPr>
            <w:tcW w:w="1011" w:type="dxa"/>
            <w:gridSpan w:val="2"/>
            <w:vMerge w:val="restart"/>
            <w:tcBorders>
              <w:top w:val="nil"/>
              <w:left w:val="single" w:color="auto" w:sz="4" w:space="0"/>
              <w:bottom w:val="single" w:color="auto" w:sz="4" w:space="0"/>
              <w:right w:val="single" w:color="auto" w:sz="4" w:space="0"/>
            </w:tcBorders>
            <w:vAlign w:val="center"/>
          </w:tcPr>
          <w:p w14:paraId="2841136B">
            <w:pPr>
              <w:spacing w:line="440" w:lineRule="atLeast"/>
              <w:jc w:val="center"/>
              <w:rPr>
                <w:rFonts w:ascii="宋体" w:hAnsi="宋体" w:cs="宋体"/>
                <w:kern w:val="0"/>
                <w:sz w:val="20"/>
                <w:szCs w:val="20"/>
              </w:rPr>
            </w:pPr>
            <w:r>
              <w:rPr>
                <w:rFonts w:hint="eastAsia" w:ascii="宋体" w:hAnsi="宋体" w:cs="宋体"/>
                <w:kern w:val="0"/>
                <w:sz w:val="20"/>
                <w:szCs w:val="20"/>
              </w:rPr>
              <w:t>购置（投资）日期</w:t>
            </w:r>
          </w:p>
        </w:tc>
        <w:tc>
          <w:tcPr>
            <w:tcW w:w="733" w:type="dxa"/>
            <w:vMerge w:val="restart"/>
            <w:tcBorders>
              <w:top w:val="single" w:color="auto" w:sz="4" w:space="0"/>
              <w:left w:val="single" w:color="auto" w:sz="4" w:space="0"/>
              <w:bottom w:val="single" w:color="auto" w:sz="4" w:space="0"/>
              <w:right w:val="single" w:color="auto" w:sz="4" w:space="0"/>
            </w:tcBorders>
            <w:vAlign w:val="center"/>
          </w:tcPr>
          <w:p w14:paraId="18335569">
            <w:pPr>
              <w:spacing w:line="440" w:lineRule="atLeast"/>
              <w:jc w:val="center"/>
              <w:rPr>
                <w:rFonts w:ascii="宋体" w:hAnsi="宋体" w:cs="宋体"/>
                <w:kern w:val="0"/>
                <w:sz w:val="20"/>
                <w:szCs w:val="20"/>
              </w:rPr>
            </w:pPr>
            <w:r>
              <w:rPr>
                <w:rFonts w:hint="eastAsia" w:ascii="宋体" w:hAnsi="宋体" w:cs="宋体"/>
                <w:kern w:val="0"/>
                <w:sz w:val="20"/>
                <w:szCs w:val="20"/>
              </w:rPr>
              <w:t>财务入账日期</w:t>
            </w:r>
          </w:p>
        </w:tc>
        <w:tc>
          <w:tcPr>
            <w:tcW w:w="3926" w:type="dxa"/>
            <w:gridSpan w:val="11"/>
            <w:tcBorders>
              <w:top w:val="single" w:color="auto" w:sz="4" w:space="0"/>
              <w:left w:val="nil"/>
              <w:bottom w:val="single" w:color="auto" w:sz="4" w:space="0"/>
              <w:right w:val="single" w:color="auto" w:sz="4" w:space="0"/>
            </w:tcBorders>
            <w:vAlign w:val="center"/>
          </w:tcPr>
          <w:p w14:paraId="4F1F075D">
            <w:pPr>
              <w:spacing w:line="440" w:lineRule="atLeast"/>
              <w:jc w:val="center"/>
              <w:rPr>
                <w:rFonts w:ascii="宋体" w:hAnsi="宋体" w:cs="宋体"/>
                <w:kern w:val="0"/>
                <w:sz w:val="20"/>
                <w:szCs w:val="20"/>
              </w:rPr>
            </w:pPr>
            <w:r>
              <w:rPr>
                <w:rFonts w:hint="eastAsia" w:ascii="宋体" w:hAnsi="宋体" w:cs="宋体"/>
                <w:kern w:val="0"/>
                <w:sz w:val="20"/>
                <w:szCs w:val="20"/>
              </w:rPr>
              <w:t>价　　　　　值</w:t>
            </w:r>
          </w:p>
        </w:tc>
        <w:tc>
          <w:tcPr>
            <w:tcW w:w="870" w:type="dxa"/>
            <w:gridSpan w:val="3"/>
            <w:vMerge w:val="restart"/>
            <w:tcBorders>
              <w:top w:val="single" w:color="auto" w:sz="4" w:space="0"/>
              <w:left w:val="single" w:color="auto" w:sz="4" w:space="0"/>
              <w:bottom w:val="single" w:color="auto" w:sz="4" w:space="0"/>
              <w:right w:val="single" w:color="auto" w:sz="4" w:space="0"/>
            </w:tcBorders>
            <w:vAlign w:val="center"/>
          </w:tcPr>
          <w:p w14:paraId="632CA8FC">
            <w:pPr>
              <w:spacing w:line="440" w:lineRule="atLeast"/>
              <w:jc w:val="center"/>
              <w:rPr>
                <w:rFonts w:ascii="宋体" w:hAnsi="宋体" w:cs="宋体"/>
                <w:kern w:val="0"/>
                <w:sz w:val="20"/>
                <w:szCs w:val="20"/>
              </w:rPr>
            </w:pPr>
            <w:r>
              <w:rPr>
                <w:rFonts w:hint="eastAsia" w:ascii="宋体" w:hAnsi="宋体" w:cs="宋体"/>
                <w:kern w:val="0"/>
                <w:sz w:val="20"/>
                <w:szCs w:val="20"/>
              </w:rPr>
              <w:t>证据索引编号</w:t>
            </w:r>
          </w:p>
        </w:tc>
        <w:tc>
          <w:tcPr>
            <w:tcW w:w="973" w:type="dxa"/>
            <w:gridSpan w:val="3"/>
            <w:vMerge w:val="restart"/>
            <w:tcBorders>
              <w:top w:val="nil"/>
              <w:left w:val="single" w:color="auto" w:sz="4" w:space="0"/>
              <w:bottom w:val="single" w:color="auto" w:sz="4" w:space="0"/>
              <w:right w:val="single" w:color="auto" w:sz="4" w:space="0"/>
            </w:tcBorders>
            <w:vAlign w:val="center"/>
          </w:tcPr>
          <w:p w14:paraId="68EB9D64">
            <w:pPr>
              <w:spacing w:line="440" w:lineRule="atLeast"/>
              <w:jc w:val="center"/>
              <w:rPr>
                <w:rFonts w:ascii="宋体" w:hAnsi="宋体" w:cs="宋体"/>
                <w:kern w:val="0"/>
                <w:sz w:val="20"/>
                <w:szCs w:val="20"/>
              </w:rPr>
            </w:pPr>
            <w:r>
              <w:rPr>
                <w:rFonts w:hint="eastAsia" w:ascii="宋体" w:hAnsi="宋体" w:cs="宋体"/>
                <w:kern w:val="0"/>
                <w:sz w:val="20"/>
                <w:szCs w:val="20"/>
              </w:rPr>
              <w:t>证据</w:t>
            </w:r>
          </w:p>
          <w:p w14:paraId="06473C9F">
            <w:pPr>
              <w:spacing w:line="440" w:lineRule="atLeast"/>
              <w:jc w:val="center"/>
              <w:rPr>
                <w:rFonts w:ascii="宋体" w:hAnsi="宋体" w:cs="宋体"/>
                <w:kern w:val="0"/>
                <w:sz w:val="20"/>
                <w:szCs w:val="20"/>
              </w:rPr>
            </w:pPr>
            <w:r>
              <w:rPr>
                <w:rFonts w:hint="eastAsia" w:ascii="宋体" w:hAnsi="宋体" w:cs="宋体"/>
                <w:kern w:val="0"/>
                <w:sz w:val="20"/>
                <w:szCs w:val="20"/>
              </w:rPr>
              <w:t>数量</w:t>
            </w:r>
          </w:p>
        </w:tc>
        <w:tc>
          <w:tcPr>
            <w:tcW w:w="635" w:type="dxa"/>
            <w:vMerge w:val="restart"/>
            <w:tcBorders>
              <w:top w:val="single" w:color="auto" w:sz="4" w:space="0"/>
              <w:left w:val="single" w:color="auto" w:sz="4" w:space="0"/>
              <w:bottom w:val="single" w:color="auto" w:sz="4" w:space="0"/>
              <w:right w:val="single" w:color="auto" w:sz="4" w:space="0"/>
            </w:tcBorders>
            <w:vAlign w:val="center"/>
          </w:tcPr>
          <w:p w14:paraId="4A276477">
            <w:pPr>
              <w:spacing w:line="440" w:lineRule="atLeast"/>
              <w:jc w:val="center"/>
              <w:rPr>
                <w:rFonts w:ascii="宋体" w:hAnsi="宋体" w:cs="宋体"/>
                <w:kern w:val="0"/>
                <w:sz w:val="20"/>
                <w:szCs w:val="20"/>
              </w:rPr>
            </w:pPr>
            <w:r>
              <w:rPr>
                <w:rFonts w:hint="eastAsia" w:ascii="宋体" w:hAnsi="宋体" w:cs="宋体"/>
                <w:kern w:val="0"/>
                <w:sz w:val="20"/>
                <w:szCs w:val="20"/>
              </w:rPr>
              <w:t>备注</w:t>
            </w:r>
          </w:p>
        </w:tc>
      </w:tr>
      <w:tr w14:paraId="1BE9A799">
        <w:tblPrEx>
          <w:tblCellMar>
            <w:top w:w="0" w:type="dxa"/>
            <w:left w:w="108" w:type="dxa"/>
            <w:bottom w:w="0" w:type="dxa"/>
            <w:right w:w="108" w:type="dxa"/>
          </w:tblCellMar>
        </w:tblPrEx>
        <w:trPr>
          <w:gridAfter w:val="1"/>
          <w:wAfter w:w="14" w:type="dxa"/>
          <w:trHeight w:val="600" w:hRule="atLeast"/>
        </w:trPr>
        <w:tc>
          <w:tcPr>
            <w:tcW w:w="456" w:type="dxa"/>
            <w:vMerge w:val="continue"/>
            <w:tcBorders>
              <w:top w:val="nil"/>
              <w:left w:val="single" w:color="auto" w:sz="4" w:space="0"/>
              <w:bottom w:val="single" w:color="auto" w:sz="4" w:space="0"/>
              <w:right w:val="single" w:color="auto" w:sz="4" w:space="0"/>
            </w:tcBorders>
            <w:vAlign w:val="center"/>
          </w:tcPr>
          <w:p w14:paraId="5DE6FF34">
            <w:pPr>
              <w:spacing w:line="440" w:lineRule="atLeast"/>
              <w:jc w:val="left"/>
              <w:rPr>
                <w:rFonts w:ascii="宋体" w:hAnsi="宋体" w:cs="宋体"/>
                <w:kern w:val="0"/>
                <w:sz w:val="20"/>
                <w:szCs w:val="20"/>
              </w:rPr>
            </w:pPr>
          </w:p>
        </w:tc>
        <w:tc>
          <w:tcPr>
            <w:tcW w:w="556" w:type="dxa"/>
            <w:gridSpan w:val="2"/>
            <w:vMerge w:val="continue"/>
            <w:tcBorders>
              <w:top w:val="nil"/>
              <w:left w:val="single" w:color="auto" w:sz="4" w:space="0"/>
              <w:bottom w:val="single" w:color="auto" w:sz="4" w:space="0"/>
              <w:right w:val="single" w:color="auto" w:sz="4" w:space="0"/>
            </w:tcBorders>
            <w:vAlign w:val="center"/>
          </w:tcPr>
          <w:p w14:paraId="7578497E">
            <w:pPr>
              <w:spacing w:line="440" w:lineRule="atLeast"/>
              <w:jc w:val="left"/>
              <w:rPr>
                <w:rFonts w:ascii="宋体" w:hAnsi="宋体" w:cs="宋体"/>
                <w:kern w:val="0"/>
                <w:sz w:val="20"/>
                <w:szCs w:val="20"/>
              </w:rPr>
            </w:pPr>
          </w:p>
        </w:tc>
        <w:tc>
          <w:tcPr>
            <w:tcW w:w="478" w:type="dxa"/>
            <w:gridSpan w:val="2"/>
            <w:vMerge w:val="continue"/>
            <w:tcBorders>
              <w:top w:val="nil"/>
              <w:left w:val="single" w:color="auto" w:sz="4" w:space="0"/>
              <w:bottom w:val="single" w:color="auto" w:sz="4" w:space="0"/>
              <w:right w:val="single" w:color="auto" w:sz="4" w:space="0"/>
            </w:tcBorders>
            <w:vAlign w:val="center"/>
          </w:tcPr>
          <w:p w14:paraId="09ABCA0B">
            <w:pPr>
              <w:spacing w:line="440" w:lineRule="atLeast"/>
              <w:jc w:val="left"/>
              <w:rPr>
                <w:rFonts w:ascii="宋体" w:hAnsi="宋体" w:cs="宋体"/>
                <w:kern w:val="0"/>
                <w:sz w:val="20"/>
                <w:szCs w:val="20"/>
              </w:rPr>
            </w:pPr>
          </w:p>
        </w:tc>
        <w:tc>
          <w:tcPr>
            <w:tcW w:w="557" w:type="dxa"/>
            <w:vMerge w:val="continue"/>
            <w:tcBorders>
              <w:top w:val="nil"/>
              <w:left w:val="single" w:color="auto" w:sz="4" w:space="0"/>
              <w:bottom w:val="single" w:color="auto" w:sz="4" w:space="0"/>
              <w:right w:val="single" w:color="auto" w:sz="4" w:space="0"/>
            </w:tcBorders>
            <w:vAlign w:val="center"/>
          </w:tcPr>
          <w:p w14:paraId="5931A211">
            <w:pPr>
              <w:spacing w:line="440" w:lineRule="atLeast"/>
              <w:jc w:val="left"/>
              <w:rPr>
                <w:rFonts w:ascii="宋体" w:hAnsi="宋体" w:cs="宋体"/>
                <w:kern w:val="0"/>
                <w:sz w:val="20"/>
                <w:szCs w:val="20"/>
              </w:rPr>
            </w:pPr>
          </w:p>
        </w:tc>
        <w:tc>
          <w:tcPr>
            <w:tcW w:w="557" w:type="dxa"/>
            <w:vMerge w:val="continue"/>
            <w:tcBorders>
              <w:top w:val="nil"/>
              <w:left w:val="single" w:color="auto" w:sz="4" w:space="0"/>
              <w:bottom w:val="single" w:color="auto" w:sz="4" w:space="0"/>
              <w:right w:val="single" w:color="auto" w:sz="4" w:space="0"/>
            </w:tcBorders>
            <w:vAlign w:val="center"/>
          </w:tcPr>
          <w:p w14:paraId="5FE74426">
            <w:pPr>
              <w:spacing w:line="440" w:lineRule="atLeast"/>
              <w:jc w:val="left"/>
              <w:rPr>
                <w:rFonts w:ascii="宋体" w:hAnsi="宋体" w:cs="宋体"/>
                <w:kern w:val="0"/>
                <w:sz w:val="20"/>
                <w:szCs w:val="20"/>
              </w:rPr>
            </w:pPr>
          </w:p>
        </w:tc>
        <w:tc>
          <w:tcPr>
            <w:tcW w:w="635" w:type="dxa"/>
            <w:gridSpan w:val="2"/>
            <w:vMerge w:val="continue"/>
            <w:tcBorders>
              <w:top w:val="nil"/>
              <w:left w:val="single" w:color="auto" w:sz="4" w:space="0"/>
              <w:bottom w:val="single" w:color="auto" w:sz="4" w:space="0"/>
              <w:right w:val="single" w:color="auto" w:sz="4" w:space="0"/>
            </w:tcBorders>
            <w:vAlign w:val="center"/>
          </w:tcPr>
          <w:p w14:paraId="04550D98">
            <w:pPr>
              <w:spacing w:line="440" w:lineRule="atLeast"/>
              <w:jc w:val="left"/>
              <w:rPr>
                <w:rFonts w:ascii="宋体" w:hAnsi="宋体" w:cs="宋体"/>
                <w:kern w:val="0"/>
                <w:sz w:val="20"/>
                <w:szCs w:val="20"/>
              </w:rPr>
            </w:pPr>
          </w:p>
        </w:tc>
        <w:tc>
          <w:tcPr>
            <w:tcW w:w="596" w:type="dxa"/>
            <w:vMerge w:val="continue"/>
            <w:tcBorders>
              <w:top w:val="nil"/>
              <w:left w:val="single" w:color="auto" w:sz="4" w:space="0"/>
              <w:bottom w:val="single" w:color="auto" w:sz="4" w:space="0"/>
              <w:right w:val="single" w:color="auto" w:sz="4" w:space="0"/>
            </w:tcBorders>
            <w:vAlign w:val="center"/>
          </w:tcPr>
          <w:p w14:paraId="31F4DFCB">
            <w:pPr>
              <w:spacing w:line="440" w:lineRule="atLeast"/>
              <w:jc w:val="left"/>
              <w:rPr>
                <w:rFonts w:ascii="宋体" w:hAnsi="宋体" w:cs="宋体"/>
                <w:kern w:val="0"/>
                <w:sz w:val="20"/>
                <w:szCs w:val="20"/>
              </w:rPr>
            </w:pPr>
          </w:p>
        </w:tc>
        <w:tc>
          <w:tcPr>
            <w:tcW w:w="909" w:type="dxa"/>
            <w:gridSpan w:val="3"/>
            <w:tcBorders>
              <w:top w:val="nil"/>
              <w:left w:val="nil"/>
              <w:bottom w:val="single" w:color="auto" w:sz="4" w:space="0"/>
              <w:right w:val="single" w:color="auto" w:sz="4" w:space="0"/>
            </w:tcBorders>
            <w:vAlign w:val="center"/>
          </w:tcPr>
          <w:p w14:paraId="2B7188F0">
            <w:pPr>
              <w:spacing w:line="440" w:lineRule="atLeast"/>
              <w:jc w:val="center"/>
              <w:rPr>
                <w:rFonts w:ascii="宋体" w:hAnsi="宋体" w:cs="宋体"/>
                <w:kern w:val="0"/>
                <w:sz w:val="20"/>
                <w:szCs w:val="20"/>
              </w:rPr>
            </w:pPr>
            <w:r>
              <w:rPr>
                <w:rFonts w:hint="eastAsia" w:ascii="宋体" w:hAnsi="宋体" w:cs="宋体"/>
                <w:kern w:val="0"/>
                <w:sz w:val="20"/>
                <w:szCs w:val="20"/>
              </w:rPr>
              <w:t>账面</w:t>
            </w:r>
          </w:p>
          <w:p w14:paraId="332221EC">
            <w:pPr>
              <w:spacing w:line="440" w:lineRule="atLeast"/>
              <w:jc w:val="center"/>
              <w:rPr>
                <w:rFonts w:ascii="宋体" w:hAnsi="宋体" w:cs="宋体"/>
                <w:kern w:val="0"/>
                <w:sz w:val="20"/>
                <w:szCs w:val="20"/>
              </w:rPr>
            </w:pPr>
            <w:r>
              <w:rPr>
                <w:rFonts w:hint="eastAsia" w:ascii="宋体" w:hAnsi="宋体" w:cs="宋体"/>
                <w:kern w:val="0"/>
                <w:sz w:val="20"/>
                <w:szCs w:val="20"/>
              </w:rPr>
              <w:t>数量</w:t>
            </w:r>
          </w:p>
        </w:tc>
        <w:tc>
          <w:tcPr>
            <w:tcW w:w="928" w:type="dxa"/>
            <w:gridSpan w:val="2"/>
            <w:tcBorders>
              <w:top w:val="nil"/>
              <w:left w:val="nil"/>
              <w:bottom w:val="single" w:color="auto" w:sz="4" w:space="0"/>
              <w:right w:val="single" w:color="auto" w:sz="4" w:space="0"/>
            </w:tcBorders>
            <w:vAlign w:val="center"/>
          </w:tcPr>
          <w:p w14:paraId="2F3F163B">
            <w:pPr>
              <w:spacing w:line="440" w:lineRule="atLeast"/>
              <w:jc w:val="center"/>
              <w:rPr>
                <w:rFonts w:ascii="宋体" w:hAnsi="宋体" w:cs="宋体"/>
                <w:kern w:val="0"/>
                <w:sz w:val="20"/>
                <w:szCs w:val="20"/>
              </w:rPr>
            </w:pPr>
            <w:r>
              <w:rPr>
                <w:rFonts w:hint="eastAsia" w:ascii="宋体" w:hAnsi="宋体" w:cs="宋体"/>
                <w:kern w:val="0"/>
                <w:sz w:val="20"/>
                <w:szCs w:val="20"/>
              </w:rPr>
              <w:t>清查</w:t>
            </w:r>
          </w:p>
          <w:p w14:paraId="05899EB8">
            <w:pPr>
              <w:spacing w:line="440" w:lineRule="atLeast"/>
              <w:jc w:val="center"/>
              <w:rPr>
                <w:rFonts w:ascii="宋体" w:hAnsi="宋体" w:cs="宋体"/>
                <w:kern w:val="0"/>
                <w:sz w:val="20"/>
                <w:szCs w:val="20"/>
              </w:rPr>
            </w:pPr>
            <w:r>
              <w:rPr>
                <w:rFonts w:hint="eastAsia" w:ascii="宋体" w:hAnsi="宋体" w:cs="宋体"/>
                <w:kern w:val="0"/>
                <w:sz w:val="20"/>
                <w:szCs w:val="20"/>
              </w:rPr>
              <w:t>数量</w:t>
            </w:r>
          </w:p>
        </w:tc>
        <w:tc>
          <w:tcPr>
            <w:tcW w:w="1011" w:type="dxa"/>
            <w:gridSpan w:val="2"/>
            <w:vMerge w:val="continue"/>
            <w:tcBorders>
              <w:top w:val="nil"/>
              <w:left w:val="single" w:color="auto" w:sz="4" w:space="0"/>
              <w:bottom w:val="single" w:color="auto" w:sz="4" w:space="0"/>
              <w:right w:val="single" w:color="auto" w:sz="4" w:space="0"/>
            </w:tcBorders>
            <w:vAlign w:val="center"/>
          </w:tcPr>
          <w:p w14:paraId="5C1EF722">
            <w:pPr>
              <w:spacing w:line="440" w:lineRule="atLeast"/>
              <w:jc w:val="left"/>
              <w:rPr>
                <w:rFonts w:ascii="宋体" w:hAnsi="宋体" w:cs="宋体"/>
                <w:kern w:val="0"/>
                <w:sz w:val="20"/>
                <w:szCs w:val="20"/>
              </w:rPr>
            </w:pPr>
          </w:p>
        </w:tc>
        <w:tc>
          <w:tcPr>
            <w:tcW w:w="733" w:type="dxa"/>
            <w:vMerge w:val="continue"/>
            <w:tcBorders>
              <w:top w:val="single" w:color="auto" w:sz="4" w:space="0"/>
              <w:left w:val="single" w:color="auto" w:sz="4" w:space="0"/>
              <w:bottom w:val="single" w:color="auto" w:sz="4" w:space="0"/>
              <w:right w:val="single" w:color="auto" w:sz="4" w:space="0"/>
            </w:tcBorders>
            <w:vAlign w:val="center"/>
          </w:tcPr>
          <w:p w14:paraId="4356CD25">
            <w:pPr>
              <w:spacing w:line="440" w:lineRule="atLeast"/>
              <w:jc w:val="left"/>
              <w:rPr>
                <w:rFonts w:ascii="宋体" w:hAnsi="宋体" w:cs="宋体"/>
                <w:kern w:val="0"/>
                <w:sz w:val="20"/>
                <w:szCs w:val="20"/>
              </w:rPr>
            </w:pPr>
          </w:p>
        </w:tc>
        <w:tc>
          <w:tcPr>
            <w:tcW w:w="928" w:type="dxa"/>
            <w:gridSpan w:val="2"/>
            <w:tcBorders>
              <w:top w:val="nil"/>
              <w:left w:val="nil"/>
              <w:bottom w:val="single" w:color="auto" w:sz="4" w:space="0"/>
              <w:right w:val="single" w:color="auto" w:sz="4" w:space="0"/>
            </w:tcBorders>
            <w:vAlign w:val="center"/>
          </w:tcPr>
          <w:p w14:paraId="4A0DFE6E">
            <w:pPr>
              <w:spacing w:line="440" w:lineRule="atLeast"/>
              <w:jc w:val="center"/>
              <w:rPr>
                <w:rFonts w:ascii="宋体" w:hAnsi="宋体" w:cs="宋体"/>
                <w:kern w:val="0"/>
                <w:sz w:val="20"/>
                <w:szCs w:val="20"/>
              </w:rPr>
            </w:pPr>
            <w:r>
              <w:rPr>
                <w:rFonts w:hint="eastAsia" w:ascii="宋体" w:hAnsi="宋体" w:cs="宋体"/>
                <w:kern w:val="0"/>
                <w:sz w:val="20"/>
                <w:szCs w:val="20"/>
              </w:rPr>
              <w:t>账面</w:t>
            </w:r>
          </w:p>
          <w:p w14:paraId="36DD388A">
            <w:pPr>
              <w:spacing w:line="440" w:lineRule="atLeast"/>
              <w:jc w:val="center"/>
              <w:rPr>
                <w:rFonts w:ascii="宋体" w:hAnsi="宋体" w:cs="宋体"/>
                <w:kern w:val="0"/>
                <w:sz w:val="20"/>
                <w:szCs w:val="20"/>
              </w:rPr>
            </w:pPr>
            <w:r>
              <w:rPr>
                <w:rFonts w:hint="eastAsia" w:ascii="宋体" w:hAnsi="宋体" w:cs="宋体"/>
                <w:kern w:val="0"/>
                <w:sz w:val="20"/>
                <w:szCs w:val="20"/>
              </w:rPr>
              <w:t>价值</w:t>
            </w:r>
          </w:p>
        </w:tc>
        <w:tc>
          <w:tcPr>
            <w:tcW w:w="1008" w:type="dxa"/>
            <w:gridSpan w:val="3"/>
            <w:tcBorders>
              <w:top w:val="nil"/>
              <w:left w:val="nil"/>
              <w:bottom w:val="single" w:color="auto" w:sz="4" w:space="0"/>
              <w:right w:val="single" w:color="auto" w:sz="4" w:space="0"/>
            </w:tcBorders>
            <w:vAlign w:val="center"/>
          </w:tcPr>
          <w:p w14:paraId="2F20FC63">
            <w:pPr>
              <w:spacing w:line="440" w:lineRule="atLeast"/>
              <w:jc w:val="center"/>
              <w:rPr>
                <w:rFonts w:ascii="宋体" w:hAnsi="宋体" w:cs="宋体"/>
                <w:kern w:val="0"/>
                <w:sz w:val="20"/>
                <w:szCs w:val="20"/>
              </w:rPr>
            </w:pPr>
            <w:r>
              <w:rPr>
                <w:rFonts w:hint="eastAsia" w:ascii="宋体" w:hAnsi="宋体" w:cs="宋体"/>
                <w:kern w:val="0"/>
                <w:sz w:val="20"/>
                <w:szCs w:val="20"/>
              </w:rPr>
              <w:t>清查价值</w:t>
            </w:r>
          </w:p>
        </w:tc>
        <w:tc>
          <w:tcPr>
            <w:tcW w:w="1050" w:type="dxa"/>
            <w:gridSpan w:val="4"/>
            <w:tcBorders>
              <w:top w:val="nil"/>
              <w:left w:val="nil"/>
              <w:bottom w:val="single" w:color="auto" w:sz="4" w:space="0"/>
              <w:right w:val="single" w:color="auto" w:sz="4" w:space="0"/>
            </w:tcBorders>
            <w:vAlign w:val="center"/>
          </w:tcPr>
          <w:p w14:paraId="202EBF45">
            <w:pPr>
              <w:spacing w:line="440" w:lineRule="atLeast"/>
              <w:jc w:val="center"/>
              <w:rPr>
                <w:rFonts w:ascii="宋体" w:hAnsi="宋体" w:cs="宋体"/>
                <w:kern w:val="0"/>
                <w:sz w:val="20"/>
                <w:szCs w:val="20"/>
              </w:rPr>
            </w:pPr>
            <w:r>
              <w:rPr>
                <w:rFonts w:hint="eastAsia" w:ascii="宋体" w:hAnsi="宋体" w:cs="宋体"/>
                <w:kern w:val="0"/>
                <w:sz w:val="20"/>
                <w:szCs w:val="20"/>
              </w:rPr>
              <w:t>评估（鉴证）价值</w:t>
            </w:r>
          </w:p>
        </w:tc>
        <w:tc>
          <w:tcPr>
            <w:tcW w:w="940" w:type="dxa"/>
            <w:gridSpan w:val="2"/>
            <w:tcBorders>
              <w:top w:val="nil"/>
              <w:left w:val="nil"/>
              <w:bottom w:val="single" w:color="auto" w:sz="4" w:space="0"/>
              <w:right w:val="single" w:color="auto" w:sz="4" w:space="0"/>
            </w:tcBorders>
            <w:vAlign w:val="center"/>
          </w:tcPr>
          <w:p w14:paraId="37309A49">
            <w:pPr>
              <w:spacing w:line="440" w:lineRule="atLeast"/>
              <w:jc w:val="center"/>
              <w:rPr>
                <w:rFonts w:ascii="宋体" w:hAnsi="宋体" w:cs="宋体"/>
                <w:kern w:val="0"/>
                <w:sz w:val="20"/>
                <w:szCs w:val="20"/>
              </w:rPr>
            </w:pPr>
            <w:r>
              <w:rPr>
                <w:rFonts w:hint="eastAsia" w:ascii="宋体" w:hAnsi="宋体" w:cs="宋体"/>
                <w:kern w:val="0"/>
                <w:sz w:val="20"/>
                <w:szCs w:val="20"/>
              </w:rPr>
              <w:t>申报</w:t>
            </w:r>
          </w:p>
          <w:p w14:paraId="66F3A652">
            <w:pPr>
              <w:spacing w:line="440" w:lineRule="atLeast"/>
              <w:jc w:val="center"/>
              <w:rPr>
                <w:rFonts w:ascii="宋体" w:hAnsi="宋体" w:cs="宋体"/>
                <w:kern w:val="0"/>
                <w:sz w:val="20"/>
                <w:szCs w:val="20"/>
              </w:rPr>
            </w:pPr>
            <w:r>
              <w:rPr>
                <w:rFonts w:hint="eastAsia" w:ascii="宋体" w:hAnsi="宋体" w:cs="宋体"/>
                <w:kern w:val="0"/>
                <w:sz w:val="20"/>
                <w:szCs w:val="20"/>
              </w:rPr>
              <w:t>价值</w:t>
            </w:r>
          </w:p>
        </w:tc>
        <w:tc>
          <w:tcPr>
            <w:tcW w:w="870" w:type="dxa"/>
            <w:gridSpan w:val="3"/>
            <w:vMerge w:val="continue"/>
            <w:tcBorders>
              <w:top w:val="single" w:color="auto" w:sz="4" w:space="0"/>
              <w:left w:val="single" w:color="auto" w:sz="4" w:space="0"/>
              <w:bottom w:val="single" w:color="auto" w:sz="4" w:space="0"/>
              <w:right w:val="single" w:color="auto" w:sz="4" w:space="0"/>
            </w:tcBorders>
            <w:vAlign w:val="center"/>
          </w:tcPr>
          <w:p w14:paraId="5B72AC64">
            <w:pPr>
              <w:spacing w:line="440" w:lineRule="atLeast"/>
              <w:jc w:val="left"/>
              <w:rPr>
                <w:rFonts w:ascii="宋体" w:hAnsi="宋体" w:cs="宋体"/>
                <w:kern w:val="0"/>
                <w:sz w:val="20"/>
                <w:szCs w:val="20"/>
              </w:rPr>
            </w:pPr>
          </w:p>
        </w:tc>
        <w:tc>
          <w:tcPr>
            <w:tcW w:w="973" w:type="dxa"/>
            <w:gridSpan w:val="3"/>
            <w:vMerge w:val="continue"/>
            <w:tcBorders>
              <w:top w:val="nil"/>
              <w:left w:val="single" w:color="auto" w:sz="4" w:space="0"/>
              <w:bottom w:val="single" w:color="auto" w:sz="4" w:space="0"/>
              <w:right w:val="single" w:color="auto" w:sz="4" w:space="0"/>
            </w:tcBorders>
            <w:vAlign w:val="center"/>
          </w:tcPr>
          <w:p w14:paraId="5597C96F">
            <w:pPr>
              <w:spacing w:line="440" w:lineRule="atLeast"/>
              <w:jc w:val="left"/>
              <w:rPr>
                <w:rFonts w:ascii="宋体" w:hAnsi="宋体" w:cs="宋体"/>
                <w:kern w:val="0"/>
                <w:sz w:val="20"/>
                <w:szCs w:val="20"/>
              </w:rPr>
            </w:pPr>
          </w:p>
        </w:tc>
        <w:tc>
          <w:tcPr>
            <w:tcW w:w="635" w:type="dxa"/>
            <w:vMerge w:val="continue"/>
            <w:tcBorders>
              <w:top w:val="single" w:color="auto" w:sz="4" w:space="0"/>
              <w:left w:val="single" w:color="auto" w:sz="4" w:space="0"/>
              <w:bottom w:val="single" w:color="auto" w:sz="4" w:space="0"/>
              <w:right w:val="single" w:color="auto" w:sz="4" w:space="0"/>
            </w:tcBorders>
            <w:vAlign w:val="center"/>
          </w:tcPr>
          <w:p w14:paraId="6FF9A04A">
            <w:pPr>
              <w:spacing w:line="440" w:lineRule="atLeast"/>
              <w:jc w:val="left"/>
              <w:rPr>
                <w:rFonts w:ascii="宋体" w:hAnsi="宋体" w:cs="宋体"/>
                <w:kern w:val="0"/>
                <w:sz w:val="20"/>
                <w:szCs w:val="20"/>
              </w:rPr>
            </w:pPr>
          </w:p>
        </w:tc>
      </w:tr>
      <w:tr w14:paraId="3D36CEE0">
        <w:tblPrEx>
          <w:tblCellMar>
            <w:top w:w="0" w:type="dxa"/>
            <w:left w:w="108" w:type="dxa"/>
            <w:bottom w:w="0" w:type="dxa"/>
            <w:right w:w="108" w:type="dxa"/>
          </w:tblCellMar>
        </w:tblPrEx>
        <w:trPr>
          <w:gridAfter w:val="1"/>
          <w:wAfter w:w="14" w:type="dxa"/>
          <w:trHeight w:val="285" w:hRule="atLeast"/>
        </w:trPr>
        <w:tc>
          <w:tcPr>
            <w:tcW w:w="456" w:type="dxa"/>
            <w:tcBorders>
              <w:top w:val="nil"/>
              <w:left w:val="single" w:color="auto" w:sz="4" w:space="0"/>
              <w:bottom w:val="single" w:color="auto" w:sz="4" w:space="0"/>
              <w:right w:val="single" w:color="auto" w:sz="4" w:space="0"/>
            </w:tcBorders>
            <w:vAlign w:val="center"/>
          </w:tcPr>
          <w:p w14:paraId="38BEF6EE">
            <w:pPr>
              <w:spacing w:line="440" w:lineRule="atLeast"/>
              <w:jc w:val="right"/>
              <w:rPr>
                <w:rFonts w:ascii="宋体" w:hAnsi="宋体" w:cs="宋体"/>
                <w:kern w:val="0"/>
                <w:sz w:val="24"/>
              </w:rPr>
            </w:pPr>
            <w:r>
              <w:rPr>
                <w:rFonts w:hint="eastAsia" w:ascii="宋体" w:hAnsi="宋体" w:cs="宋体"/>
                <w:kern w:val="0"/>
                <w:sz w:val="24"/>
              </w:rPr>
              <w:t>1</w:t>
            </w:r>
          </w:p>
        </w:tc>
        <w:tc>
          <w:tcPr>
            <w:tcW w:w="556" w:type="dxa"/>
            <w:gridSpan w:val="2"/>
            <w:tcBorders>
              <w:top w:val="nil"/>
              <w:left w:val="nil"/>
              <w:bottom w:val="single" w:color="auto" w:sz="4" w:space="0"/>
              <w:right w:val="single" w:color="auto" w:sz="4" w:space="0"/>
            </w:tcBorders>
            <w:vAlign w:val="center"/>
          </w:tcPr>
          <w:p w14:paraId="42D6190A">
            <w:pPr>
              <w:spacing w:line="440" w:lineRule="atLeast"/>
              <w:jc w:val="left"/>
              <w:rPr>
                <w:rFonts w:ascii="宋体" w:hAnsi="宋体" w:cs="宋体"/>
                <w:kern w:val="0"/>
                <w:sz w:val="20"/>
                <w:szCs w:val="20"/>
              </w:rPr>
            </w:pPr>
          </w:p>
        </w:tc>
        <w:tc>
          <w:tcPr>
            <w:tcW w:w="478" w:type="dxa"/>
            <w:gridSpan w:val="2"/>
            <w:tcBorders>
              <w:top w:val="nil"/>
              <w:left w:val="nil"/>
              <w:bottom w:val="single" w:color="auto" w:sz="4" w:space="0"/>
              <w:right w:val="single" w:color="auto" w:sz="4" w:space="0"/>
            </w:tcBorders>
            <w:vAlign w:val="center"/>
          </w:tcPr>
          <w:p w14:paraId="609E6216">
            <w:pPr>
              <w:spacing w:line="440" w:lineRule="atLeast"/>
              <w:jc w:val="left"/>
              <w:rPr>
                <w:rFonts w:ascii="宋体" w:hAnsi="宋体" w:cs="宋体"/>
                <w:kern w:val="0"/>
                <w:sz w:val="24"/>
              </w:rPr>
            </w:pPr>
          </w:p>
        </w:tc>
        <w:tc>
          <w:tcPr>
            <w:tcW w:w="557" w:type="dxa"/>
            <w:tcBorders>
              <w:top w:val="nil"/>
              <w:left w:val="nil"/>
              <w:bottom w:val="single" w:color="auto" w:sz="4" w:space="0"/>
              <w:right w:val="single" w:color="auto" w:sz="4" w:space="0"/>
            </w:tcBorders>
            <w:vAlign w:val="center"/>
          </w:tcPr>
          <w:p w14:paraId="76342677">
            <w:pPr>
              <w:spacing w:line="440" w:lineRule="atLeast"/>
              <w:jc w:val="left"/>
              <w:rPr>
                <w:rFonts w:ascii="宋体" w:hAnsi="宋体" w:cs="宋体"/>
                <w:kern w:val="0"/>
                <w:sz w:val="24"/>
              </w:rPr>
            </w:pPr>
          </w:p>
        </w:tc>
        <w:tc>
          <w:tcPr>
            <w:tcW w:w="557" w:type="dxa"/>
            <w:tcBorders>
              <w:top w:val="nil"/>
              <w:left w:val="nil"/>
              <w:bottom w:val="single" w:color="auto" w:sz="4" w:space="0"/>
              <w:right w:val="single" w:color="auto" w:sz="4" w:space="0"/>
            </w:tcBorders>
            <w:vAlign w:val="center"/>
          </w:tcPr>
          <w:p w14:paraId="02B63F6C">
            <w:pPr>
              <w:spacing w:line="440" w:lineRule="atLeast"/>
              <w:jc w:val="left"/>
              <w:rPr>
                <w:rFonts w:ascii="宋体" w:hAnsi="宋体" w:cs="宋体"/>
                <w:kern w:val="0"/>
                <w:sz w:val="20"/>
                <w:szCs w:val="20"/>
              </w:rPr>
            </w:pPr>
          </w:p>
        </w:tc>
        <w:tc>
          <w:tcPr>
            <w:tcW w:w="635" w:type="dxa"/>
            <w:gridSpan w:val="2"/>
            <w:tcBorders>
              <w:top w:val="nil"/>
              <w:left w:val="nil"/>
              <w:bottom w:val="single" w:color="auto" w:sz="4" w:space="0"/>
              <w:right w:val="single" w:color="auto" w:sz="4" w:space="0"/>
            </w:tcBorders>
            <w:vAlign w:val="center"/>
          </w:tcPr>
          <w:p w14:paraId="048E05B9">
            <w:pPr>
              <w:spacing w:line="440" w:lineRule="atLeast"/>
              <w:jc w:val="left"/>
              <w:rPr>
                <w:rFonts w:ascii="宋体" w:hAnsi="宋体" w:cs="宋体"/>
                <w:kern w:val="0"/>
                <w:sz w:val="20"/>
                <w:szCs w:val="20"/>
              </w:rPr>
            </w:pPr>
          </w:p>
        </w:tc>
        <w:tc>
          <w:tcPr>
            <w:tcW w:w="596" w:type="dxa"/>
            <w:tcBorders>
              <w:top w:val="nil"/>
              <w:left w:val="nil"/>
              <w:bottom w:val="single" w:color="auto" w:sz="4" w:space="0"/>
              <w:right w:val="single" w:color="auto" w:sz="4" w:space="0"/>
            </w:tcBorders>
            <w:vAlign w:val="center"/>
          </w:tcPr>
          <w:p w14:paraId="71496487">
            <w:pPr>
              <w:spacing w:line="440" w:lineRule="atLeast"/>
              <w:jc w:val="left"/>
              <w:rPr>
                <w:rFonts w:ascii="宋体" w:hAnsi="宋体" w:cs="宋体"/>
                <w:kern w:val="0"/>
                <w:sz w:val="20"/>
                <w:szCs w:val="20"/>
              </w:rPr>
            </w:pPr>
          </w:p>
        </w:tc>
        <w:tc>
          <w:tcPr>
            <w:tcW w:w="909" w:type="dxa"/>
            <w:gridSpan w:val="3"/>
            <w:tcBorders>
              <w:top w:val="nil"/>
              <w:left w:val="nil"/>
              <w:bottom w:val="single" w:color="auto" w:sz="4" w:space="0"/>
              <w:right w:val="single" w:color="auto" w:sz="4" w:space="0"/>
            </w:tcBorders>
            <w:vAlign w:val="center"/>
          </w:tcPr>
          <w:p w14:paraId="0FDA32CC">
            <w:pPr>
              <w:spacing w:line="440" w:lineRule="atLeast"/>
              <w:jc w:val="left"/>
              <w:rPr>
                <w:rFonts w:ascii="宋体" w:hAnsi="宋体" w:cs="宋体"/>
                <w:kern w:val="0"/>
                <w:sz w:val="20"/>
                <w:szCs w:val="20"/>
              </w:rPr>
            </w:pPr>
          </w:p>
        </w:tc>
        <w:tc>
          <w:tcPr>
            <w:tcW w:w="928" w:type="dxa"/>
            <w:gridSpan w:val="2"/>
            <w:tcBorders>
              <w:top w:val="nil"/>
              <w:left w:val="nil"/>
              <w:bottom w:val="single" w:color="auto" w:sz="4" w:space="0"/>
              <w:right w:val="single" w:color="auto" w:sz="4" w:space="0"/>
            </w:tcBorders>
            <w:vAlign w:val="center"/>
          </w:tcPr>
          <w:p w14:paraId="4FE42B02">
            <w:pPr>
              <w:spacing w:line="440" w:lineRule="atLeast"/>
              <w:jc w:val="left"/>
              <w:rPr>
                <w:rFonts w:ascii="宋体" w:hAnsi="宋体" w:cs="宋体"/>
                <w:kern w:val="0"/>
                <w:sz w:val="20"/>
                <w:szCs w:val="20"/>
              </w:rPr>
            </w:pPr>
          </w:p>
        </w:tc>
        <w:tc>
          <w:tcPr>
            <w:tcW w:w="1011" w:type="dxa"/>
            <w:gridSpan w:val="2"/>
            <w:tcBorders>
              <w:top w:val="nil"/>
              <w:left w:val="nil"/>
              <w:bottom w:val="single" w:color="auto" w:sz="4" w:space="0"/>
              <w:right w:val="single" w:color="auto" w:sz="4" w:space="0"/>
            </w:tcBorders>
            <w:vAlign w:val="center"/>
          </w:tcPr>
          <w:p w14:paraId="7779C6E3">
            <w:pPr>
              <w:spacing w:line="440" w:lineRule="atLeast"/>
              <w:jc w:val="left"/>
              <w:rPr>
                <w:rFonts w:ascii="宋体" w:hAnsi="宋体" w:cs="宋体"/>
                <w:kern w:val="0"/>
                <w:sz w:val="24"/>
              </w:rPr>
            </w:pPr>
          </w:p>
        </w:tc>
        <w:tc>
          <w:tcPr>
            <w:tcW w:w="733" w:type="dxa"/>
            <w:tcBorders>
              <w:top w:val="nil"/>
              <w:left w:val="nil"/>
              <w:bottom w:val="single" w:color="auto" w:sz="4" w:space="0"/>
              <w:right w:val="single" w:color="auto" w:sz="4" w:space="0"/>
            </w:tcBorders>
            <w:vAlign w:val="center"/>
          </w:tcPr>
          <w:p w14:paraId="5378D248">
            <w:pPr>
              <w:spacing w:line="440" w:lineRule="atLeast"/>
              <w:jc w:val="left"/>
              <w:rPr>
                <w:rFonts w:ascii="宋体" w:hAnsi="宋体" w:cs="宋体"/>
                <w:kern w:val="0"/>
                <w:sz w:val="24"/>
              </w:rPr>
            </w:pPr>
          </w:p>
        </w:tc>
        <w:tc>
          <w:tcPr>
            <w:tcW w:w="928" w:type="dxa"/>
            <w:gridSpan w:val="2"/>
            <w:tcBorders>
              <w:top w:val="nil"/>
              <w:left w:val="nil"/>
              <w:bottom w:val="single" w:color="auto" w:sz="4" w:space="0"/>
              <w:right w:val="single" w:color="auto" w:sz="4" w:space="0"/>
            </w:tcBorders>
            <w:vAlign w:val="center"/>
          </w:tcPr>
          <w:p w14:paraId="65B4CBE0">
            <w:pPr>
              <w:spacing w:line="440" w:lineRule="atLeast"/>
              <w:jc w:val="left"/>
              <w:rPr>
                <w:rFonts w:ascii="宋体" w:hAnsi="宋体" w:cs="宋体"/>
                <w:kern w:val="0"/>
                <w:sz w:val="24"/>
              </w:rPr>
            </w:pPr>
          </w:p>
        </w:tc>
        <w:tc>
          <w:tcPr>
            <w:tcW w:w="1008" w:type="dxa"/>
            <w:gridSpan w:val="3"/>
            <w:tcBorders>
              <w:top w:val="nil"/>
              <w:left w:val="nil"/>
              <w:bottom w:val="single" w:color="auto" w:sz="4" w:space="0"/>
              <w:right w:val="single" w:color="auto" w:sz="4" w:space="0"/>
            </w:tcBorders>
            <w:vAlign w:val="center"/>
          </w:tcPr>
          <w:p w14:paraId="2EA4133A">
            <w:pPr>
              <w:spacing w:line="440" w:lineRule="atLeast"/>
              <w:jc w:val="left"/>
              <w:rPr>
                <w:rFonts w:ascii="宋体" w:hAnsi="宋体" w:cs="宋体"/>
                <w:kern w:val="0"/>
                <w:sz w:val="24"/>
              </w:rPr>
            </w:pPr>
          </w:p>
        </w:tc>
        <w:tc>
          <w:tcPr>
            <w:tcW w:w="1050" w:type="dxa"/>
            <w:gridSpan w:val="4"/>
            <w:tcBorders>
              <w:top w:val="nil"/>
              <w:left w:val="nil"/>
              <w:bottom w:val="single" w:color="auto" w:sz="4" w:space="0"/>
              <w:right w:val="single" w:color="auto" w:sz="4" w:space="0"/>
            </w:tcBorders>
            <w:vAlign w:val="center"/>
          </w:tcPr>
          <w:p w14:paraId="5D37C762">
            <w:pPr>
              <w:spacing w:line="440" w:lineRule="atLeast"/>
              <w:jc w:val="left"/>
              <w:rPr>
                <w:rFonts w:ascii="宋体" w:hAnsi="宋体" w:cs="宋体"/>
                <w:kern w:val="0"/>
                <w:sz w:val="24"/>
              </w:rPr>
            </w:pPr>
          </w:p>
        </w:tc>
        <w:tc>
          <w:tcPr>
            <w:tcW w:w="940" w:type="dxa"/>
            <w:gridSpan w:val="2"/>
            <w:tcBorders>
              <w:top w:val="nil"/>
              <w:left w:val="nil"/>
              <w:bottom w:val="single" w:color="auto" w:sz="4" w:space="0"/>
              <w:right w:val="single" w:color="auto" w:sz="4" w:space="0"/>
            </w:tcBorders>
            <w:vAlign w:val="center"/>
          </w:tcPr>
          <w:p w14:paraId="4DA9FAD0">
            <w:pPr>
              <w:spacing w:line="440" w:lineRule="atLeast"/>
              <w:jc w:val="left"/>
              <w:rPr>
                <w:rFonts w:ascii="宋体" w:hAnsi="宋体" w:cs="宋体"/>
                <w:kern w:val="0"/>
                <w:sz w:val="24"/>
              </w:rPr>
            </w:pPr>
          </w:p>
        </w:tc>
        <w:tc>
          <w:tcPr>
            <w:tcW w:w="870" w:type="dxa"/>
            <w:gridSpan w:val="3"/>
            <w:tcBorders>
              <w:top w:val="nil"/>
              <w:left w:val="nil"/>
              <w:bottom w:val="single" w:color="auto" w:sz="4" w:space="0"/>
              <w:right w:val="single" w:color="auto" w:sz="4" w:space="0"/>
            </w:tcBorders>
            <w:vAlign w:val="center"/>
          </w:tcPr>
          <w:p w14:paraId="651AED4F">
            <w:pPr>
              <w:spacing w:line="440" w:lineRule="atLeast"/>
              <w:jc w:val="left"/>
              <w:rPr>
                <w:rFonts w:ascii="宋体" w:hAnsi="宋体" w:cs="宋体"/>
                <w:kern w:val="0"/>
                <w:sz w:val="24"/>
              </w:rPr>
            </w:pPr>
          </w:p>
        </w:tc>
        <w:tc>
          <w:tcPr>
            <w:tcW w:w="973" w:type="dxa"/>
            <w:gridSpan w:val="3"/>
            <w:tcBorders>
              <w:top w:val="nil"/>
              <w:left w:val="nil"/>
              <w:bottom w:val="single" w:color="auto" w:sz="4" w:space="0"/>
              <w:right w:val="single" w:color="auto" w:sz="4" w:space="0"/>
            </w:tcBorders>
            <w:vAlign w:val="center"/>
          </w:tcPr>
          <w:p w14:paraId="5F89DA39">
            <w:pPr>
              <w:spacing w:line="440" w:lineRule="atLeast"/>
              <w:jc w:val="left"/>
              <w:rPr>
                <w:rFonts w:ascii="宋体" w:hAnsi="宋体" w:cs="宋体"/>
                <w:kern w:val="0"/>
                <w:sz w:val="24"/>
              </w:rPr>
            </w:pPr>
          </w:p>
        </w:tc>
        <w:tc>
          <w:tcPr>
            <w:tcW w:w="635" w:type="dxa"/>
            <w:tcBorders>
              <w:top w:val="nil"/>
              <w:left w:val="nil"/>
              <w:bottom w:val="single" w:color="auto" w:sz="4" w:space="0"/>
              <w:right w:val="single" w:color="auto" w:sz="4" w:space="0"/>
            </w:tcBorders>
            <w:vAlign w:val="center"/>
          </w:tcPr>
          <w:p w14:paraId="345EA30C">
            <w:pPr>
              <w:spacing w:line="440" w:lineRule="atLeast"/>
              <w:jc w:val="left"/>
              <w:rPr>
                <w:rFonts w:ascii="宋体" w:hAnsi="宋体" w:cs="宋体"/>
                <w:kern w:val="0"/>
                <w:sz w:val="24"/>
              </w:rPr>
            </w:pPr>
          </w:p>
        </w:tc>
      </w:tr>
      <w:tr w14:paraId="36F3B26E">
        <w:tblPrEx>
          <w:tblCellMar>
            <w:top w:w="0" w:type="dxa"/>
            <w:left w:w="108" w:type="dxa"/>
            <w:bottom w:w="0" w:type="dxa"/>
            <w:right w:w="108" w:type="dxa"/>
          </w:tblCellMar>
        </w:tblPrEx>
        <w:trPr>
          <w:gridAfter w:val="1"/>
          <w:wAfter w:w="14" w:type="dxa"/>
          <w:trHeight w:val="285" w:hRule="atLeast"/>
        </w:trPr>
        <w:tc>
          <w:tcPr>
            <w:tcW w:w="456" w:type="dxa"/>
            <w:tcBorders>
              <w:top w:val="nil"/>
              <w:left w:val="single" w:color="auto" w:sz="4" w:space="0"/>
              <w:bottom w:val="single" w:color="auto" w:sz="4" w:space="0"/>
              <w:right w:val="single" w:color="auto" w:sz="4" w:space="0"/>
            </w:tcBorders>
            <w:vAlign w:val="center"/>
          </w:tcPr>
          <w:p w14:paraId="03E9FF0B">
            <w:pPr>
              <w:spacing w:line="440" w:lineRule="atLeast"/>
              <w:jc w:val="right"/>
              <w:rPr>
                <w:rFonts w:ascii="宋体" w:hAnsi="宋体" w:cs="宋体"/>
                <w:kern w:val="0"/>
                <w:sz w:val="24"/>
              </w:rPr>
            </w:pPr>
            <w:r>
              <w:rPr>
                <w:rFonts w:hint="eastAsia" w:ascii="宋体" w:hAnsi="宋体" w:cs="宋体"/>
                <w:kern w:val="0"/>
                <w:sz w:val="24"/>
              </w:rPr>
              <w:t>2</w:t>
            </w:r>
          </w:p>
        </w:tc>
        <w:tc>
          <w:tcPr>
            <w:tcW w:w="556" w:type="dxa"/>
            <w:gridSpan w:val="2"/>
            <w:tcBorders>
              <w:top w:val="nil"/>
              <w:left w:val="nil"/>
              <w:bottom w:val="single" w:color="auto" w:sz="4" w:space="0"/>
              <w:right w:val="single" w:color="auto" w:sz="4" w:space="0"/>
            </w:tcBorders>
            <w:vAlign w:val="center"/>
          </w:tcPr>
          <w:p w14:paraId="3DD16783">
            <w:pPr>
              <w:spacing w:line="440" w:lineRule="atLeast"/>
              <w:jc w:val="left"/>
              <w:rPr>
                <w:rFonts w:ascii="宋体" w:hAnsi="宋体" w:cs="宋体"/>
                <w:kern w:val="0"/>
                <w:sz w:val="20"/>
                <w:szCs w:val="20"/>
              </w:rPr>
            </w:pPr>
          </w:p>
        </w:tc>
        <w:tc>
          <w:tcPr>
            <w:tcW w:w="478" w:type="dxa"/>
            <w:gridSpan w:val="2"/>
            <w:tcBorders>
              <w:top w:val="nil"/>
              <w:left w:val="nil"/>
              <w:bottom w:val="single" w:color="auto" w:sz="4" w:space="0"/>
              <w:right w:val="single" w:color="auto" w:sz="4" w:space="0"/>
            </w:tcBorders>
            <w:vAlign w:val="center"/>
          </w:tcPr>
          <w:p w14:paraId="2E8A9018">
            <w:pPr>
              <w:spacing w:line="440" w:lineRule="atLeast"/>
              <w:jc w:val="left"/>
              <w:rPr>
                <w:rFonts w:ascii="宋体" w:hAnsi="宋体" w:cs="宋体"/>
                <w:kern w:val="0"/>
                <w:sz w:val="24"/>
              </w:rPr>
            </w:pPr>
          </w:p>
        </w:tc>
        <w:tc>
          <w:tcPr>
            <w:tcW w:w="557" w:type="dxa"/>
            <w:tcBorders>
              <w:top w:val="nil"/>
              <w:left w:val="nil"/>
              <w:bottom w:val="single" w:color="auto" w:sz="4" w:space="0"/>
              <w:right w:val="single" w:color="auto" w:sz="4" w:space="0"/>
            </w:tcBorders>
            <w:vAlign w:val="center"/>
          </w:tcPr>
          <w:p w14:paraId="350A0C20">
            <w:pPr>
              <w:spacing w:line="440" w:lineRule="atLeast"/>
              <w:jc w:val="left"/>
              <w:rPr>
                <w:rFonts w:ascii="宋体" w:hAnsi="宋体" w:cs="宋体"/>
                <w:kern w:val="0"/>
                <w:sz w:val="24"/>
              </w:rPr>
            </w:pPr>
          </w:p>
        </w:tc>
        <w:tc>
          <w:tcPr>
            <w:tcW w:w="557" w:type="dxa"/>
            <w:tcBorders>
              <w:top w:val="nil"/>
              <w:left w:val="nil"/>
              <w:bottom w:val="single" w:color="auto" w:sz="4" w:space="0"/>
              <w:right w:val="single" w:color="auto" w:sz="4" w:space="0"/>
            </w:tcBorders>
            <w:vAlign w:val="center"/>
          </w:tcPr>
          <w:p w14:paraId="5A4563F6">
            <w:pPr>
              <w:spacing w:line="440" w:lineRule="atLeast"/>
              <w:jc w:val="left"/>
              <w:rPr>
                <w:rFonts w:ascii="宋体" w:hAnsi="宋体" w:cs="宋体"/>
                <w:kern w:val="0"/>
                <w:sz w:val="20"/>
                <w:szCs w:val="20"/>
              </w:rPr>
            </w:pPr>
          </w:p>
        </w:tc>
        <w:tc>
          <w:tcPr>
            <w:tcW w:w="635" w:type="dxa"/>
            <w:gridSpan w:val="2"/>
            <w:tcBorders>
              <w:top w:val="nil"/>
              <w:left w:val="nil"/>
              <w:bottom w:val="single" w:color="auto" w:sz="4" w:space="0"/>
              <w:right w:val="single" w:color="auto" w:sz="4" w:space="0"/>
            </w:tcBorders>
            <w:vAlign w:val="center"/>
          </w:tcPr>
          <w:p w14:paraId="360EDD81">
            <w:pPr>
              <w:spacing w:line="440" w:lineRule="atLeast"/>
              <w:jc w:val="left"/>
              <w:rPr>
                <w:rFonts w:ascii="宋体" w:hAnsi="宋体" w:cs="宋体"/>
                <w:color w:val="FF0000"/>
                <w:kern w:val="0"/>
                <w:sz w:val="20"/>
                <w:szCs w:val="20"/>
              </w:rPr>
            </w:pPr>
          </w:p>
        </w:tc>
        <w:tc>
          <w:tcPr>
            <w:tcW w:w="596" w:type="dxa"/>
            <w:tcBorders>
              <w:top w:val="nil"/>
              <w:left w:val="nil"/>
              <w:bottom w:val="single" w:color="auto" w:sz="4" w:space="0"/>
              <w:right w:val="single" w:color="auto" w:sz="4" w:space="0"/>
            </w:tcBorders>
            <w:vAlign w:val="center"/>
          </w:tcPr>
          <w:p w14:paraId="3C647E2A">
            <w:pPr>
              <w:spacing w:line="440" w:lineRule="atLeast"/>
              <w:jc w:val="left"/>
              <w:rPr>
                <w:rFonts w:ascii="宋体" w:hAnsi="宋体" w:cs="宋体"/>
                <w:kern w:val="0"/>
                <w:sz w:val="20"/>
                <w:szCs w:val="20"/>
              </w:rPr>
            </w:pPr>
          </w:p>
        </w:tc>
        <w:tc>
          <w:tcPr>
            <w:tcW w:w="909" w:type="dxa"/>
            <w:gridSpan w:val="3"/>
            <w:tcBorders>
              <w:top w:val="nil"/>
              <w:left w:val="nil"/>
              <w:bottom w:val="single" w:color="auto" w:sz="4" w:space="0"/>
              <w:right w:val="single" w:color="auto" w:sz="4" w:space="0"/>
            </w:tcBorders>
            <w:vAlign w:val="center"/>
          </w:tcPr>
          <w:p w14:paraId="53D8B426">
            <w:pPr>
              <w:spacing w:line="440" w:lineRule="atLeast"/>
              <w:jc w:val="left"/>
              <w:rPr>
                <w:rFonts w:ascii="宋体" w:hAnsi="宋体" w:cs="宋体"/>
                <w:kern w:val="0"/>
                <w:sz w:val="20"/>
                <w:szCs w:val="20"/>
              </w:rPr>
            </w:pPr>
          </w:p>
        </w:tc>
        <w:tc>
          <w:tcPr>
            <w:tcW w:w="928" w:type="dxa"/>
            <w:gridSpan w:val="2"/>
            <w:tcBorders>
              <w:top w:val="nil"/>
              <w:left w:val="nil"/>
              <w:bottom w:val="single" w:color="auto" w:sz="4" w:space="0"/>
              <w:right w:val="single" w:color="auto" w:sz="4" w:space="0"/>
            </w:tcBorders>
            <w:vAlign w:val="center"/>
          </w:tcPr>
          <w:p w14:paraId="487747FD">
            <w:pPr>
              <w:spacing w:line="440" w:lineRule="atLeast"/>
              <w:jc w:val="left"/>
              <w:rPr>
                <w:rFonts w:ascii="宋体" w:hAnsi="宋体" w:cs="宋体"/>
                <w:kern w:val="0"/>
                <w:sz w:val="20"/>
                <w:szCs w:val="20"/>
              </w:rPr>
            </w:pPr>
          </w:p>
        </w:tc>
        <w:tc>
          <w:tcPr>
            <w:tcW w:w="1011" w:type="dxa"/>
            <w:gridSpan w:val="2"/>
            <w:tcBorders>
              <w:top w:val="nil"/>
              <w:left w:val="nil"/>
              <w:bottom w:val="single" w:color="auto" w:sz="4" w:space="0"/>
              <w:right w:val="single" w:color="auto" w:sz="4" w:space="0"/>
            </w:tcBorders>
            <w:vAlign w:val="center"/>
          </w:tcPr>
          <w:p w14:paraId="6E12EFE3">
            <w:pPr>
              <w:spacing w:line="440" w:lineRule="atLeast"/>
              <w:jc w:val="left"/>
              <w:rPr>
                <w:rFonts w:ascii="宋体" w:hAnsi="宋体" w:cs="宋体"/>
                <w:kern w:val="0"/>
                <w:sz w:val="24"/>
              </w:rPr>
            </w:pPr>
          </w:p>
        </w:tc>
        <w:tc>
          <w:tcPr>
            <w:tcW w:w="733" w:type="dxa"/>
            <w:tcBorders>
              <w:top w:val="nil"/>
              <w:left w:val="nil"/>
              <w:bottom w:val="single" w:color="auto" w:sz="4" w:space="0"/>
              <w:right w:val="single" w:color="auto" w:sz="4" w:space="0"/>
            </w:tcBorders>
            <w:vAlign w:val="center"/>
          </w:tcPr>
          <w:p w14:paraId="4BDFB6B4">
            <w:pPr>
              <w:spacing w:line="440" w:lineRule="atLeast"/>
              <w:jc w:val="left"/>
              <w:rPr>
                <w:rFonts w:ascii="宋体" w:hAnsi="宋体" w:cs="宋体"/>
                <w:kern w:val="0"/>
                <w:sz w:val="24"/>
              </w:rPr>
            </w:pPr>
          </w:p>
        </w:tc>
        <w:tc>
          <w:tcPr>
            <w:tcW w:w="928" w:type="dxa"/>
            <w:gridSpan w:val="2"/>
            <w:tcBorders>
              <w:top w:val="nil"/>
              <w:left w:val="nil"/>
              <w:bottom w:val="single" w:color="auto" w:sz="4" w:space="0"/>
              <w:right w:val="single" w:color="auto" w:sz="4" w:space="0"/>
            </w:tcBorders>
            <w:vAlign w:val="center"/>
          </w:tcPr>
          <w:p w14:paraId="483D1974">
            <w:pPr>
              <w:spacing w:line="440" w:lineRule="atLeast"/>
              <w:jc w:val="left"/>
              <w:rPr>
                <w:rFonts w:ascii="宋体" w:hAnsi="宋体" w:cs="宋体"/>
                <w:kern w:val="0"/>
                <w:sz w:val="24"/>
              </w:rPr>
            </w:pPr>
          </w:p>
        </w:tc>
        <w:tc>
          <w:tcPr>
            <w:tcW w:w="1008" w:type="dxa"/>
            <w:gridSpan w:val="3"/>
            <w:tcBorders>
              <w:top w:val="nil"/>
              <w:left w:val="nil"/>
              <w:bottom w:val="single" w:color="auto" w:sz="4" w:space="0"/>
              <w:right w:val="single" w:color="auto" w:sz="4" w:space="0"/>
            </w:tcBorders>
            <w:vAlign w:val="center"/>
          </w:tcPr>
          <w:p w14:paraId="7C197852">
            <w:pPr>
              <w:spacing w:line="440" w:lineRule="atLeast"/>
              <w:jc w:val="left"/>
              <w:rPr>
                <w:rFonts w:ascii="宋体" w:hAnsi="宋体" w:cs="宋体"/>
                <w:kern w:val="0"/>
                <w:sz w:val="24"/>
              </w:rPr>
            </w:pPr>
          </w:p>
        </w:tc>
        <w:tc>
          <w:tcPr>
            <w:tcW w:w="1050" w:type="dxa"/>
            <w:gridSpan w:val="4"/>
            <w:tcBorders>
              <w:top w:val="nil"/>
              <w:left w:val="nil"/>
              <w:bottom w:val="single" w:color="auto" w:sz="4" w:space="0"/>
              <w:right w:val="single" w:color="auto" w:sz="4" w:space="0"/>
            </w:tcBorders>
            <w:vAlign w:val="center"/>
          </w:tcPr>
          <w:p w14:paraId="462A3053">
            <w:pPr>
              <w:spacing w:line="440" w:lineRule="atLeast"/>
              <w:jc w:val="left"/>
              <w:rPr>
                <w:rFonts w:ascii="宋体" w:hAnsi="宋体" w:cs="宋体"/>
                <w:kern w:val="0"/>
                <w:sz w:val="24"/>
              </w:rPr>
            </w:pPr>
          </w:p>
        </w:tc>
        <w:tc>
          <w:tcPr>
            <w:tcW w:w="940" w:type="dxa"/>
            <w:gridSpan w:val="2"/>
            <w:tcBorders>
              <w:top w:val="nil"/>
              <w:left w:val="nil"/>
              <w:bottom w:val="single" w:color="auto" w:sz="4" w:space="0"/>
              <w:right w:val="single" w:color="auto" w:sz="4" w:space="0"/>
            </w:tcBorders>
            <w:vAlign w:val="center"/>
          </w:tcPr>
          <w:p w14:paraId="1164F9B3">
            <w:pPr>
              <w:spacing w:line="440" w:lineRule="atLeast"/>
              <w:jc w:val="left"/>
              <w:rPr>
                <w:rFonts w:ascii="宋体" w:hAnsi="宋体" w:cs="宋体"/>
                <w:kern w:val="0"/>
                <w:sz w:val="24"/>
              </w:rPr>
            </w:pPr>
          </w:p>
        </w:tc>
        <w:tc>
          <w:tcPr>
            <w:tcW w:w="870" w:type="dxa"/>
            <w:gridSpan w:val="3"/>
            <w:tcBorders>
              <w:top w:val="nil"/>
              <w:left w:val="nil"/>
              <w:bottom w:val="single" w:color="auto" w:sz="4" w:space="0"/>
              <w:right w:val="single" w:color="auto" w:sz="4" w:space="0"/>
            </w:tcBorders>
            <w:vAlign w:val="center"/>
          </w:tcPr>
          <w:p w14:paraId="4CFFC58D">
            <w:pPr>
              <w:spacing w:line="440" w:lineRule="atLeast"/>
              <w:jc w:val="left"/>
              <w:rPr>
                <w:rFonts w:ascii="宋体" w:hAnsi="宋体" w:cs="宋体"/>
                <w:kern w:val="0"/>
                <w:sz w:val="24"/>
              </w:rPr>
            </w:pPr>
          </w:p>
        </w:tc>
        <w:tc>
          <w:tcPr>
            <w:tcW w:w="973" w:type="dxa"/>
            <w:gridSpan w:val="3"/>
            <w:tcBorders>
              <w:top w:val="nil"/>
              <w:left w:val="nil"/>
              <w:bottom w:val="single" w:color="auto" w:sz="4" w:space="0"/>
              <w:right w:val="single" w:color="auto" w:sz="4" w:space="0"/>
            </w:tcBorders>
            <w:vAlign w:val="center"/>
          </w:tcPr>
          <w:p w14:paraId="171EF21F">
            <w:pPr>
              <w:spacing w:line="440" w:lineRule="atLeast"/>
              <w:jc w:val="left"/>
              <w:rPr>
                <w:rFonts w:ascii="宋体" w:hAnsi="宋体" w:cs="宋体"/>
                <w:kern w:val="0"/>
                <w:sz w:val="24"/>
              </w:rPr>
            </w:pPr>
          </w:p>
        </w:tc>
        <w:tc>
          <w:tcPr>
            <w:tcW w:w="635" w:type="dxa"/>
            <w:tcBorders>
              <w:top w:val="nil"/>
              <w:left w:val="nil"/>
              <w:bottom w:val="single" w:color="auto" w:sz="4" w:space="0"/>
              <w:right w:val="single" w:color="auto" w:sz="4" w:space="0"/>
            </w:tcBorders>
            <w:vAlign w:val="center"/>
          </w:tcPr>
          <w:p w14:paraId="26D55837">
            <w:pPr>
              <w:spacing w:line="440" w:lineRule="atLeast"/>
              <w:jc w:val="left"/>
              <w:rPr>
                <w:rFonts w:ascii="宋体" w:hAnsi="宋体" w:cs="宋体"/>
                <w:kern w:val="0"/>
                <w:sz w:val="24"/>
              </w:rPr>
            </w:pPr>
          </w:p>
        </w:tc>
      </w:tr>
      <w:tr w14:paraId="3AEE0E2E">
        <w:tblPrEx>
          <w:tblCellMar>
            <w:top w:w="0" w:type="dxa"/>
            <w:left w:w="108" w:type="dxa"/>
            <w:bottom w:w="0" w:type="dxa"/>
            <w:right w:w="108" w:type="dxa"/>
          </w:tblCellMar>
        </w:tblPrEx>
        <w:trPr>
          <w:gridAfter w:val="1"/>
          <w:wAfter w:w="14" w:type="dxa"/>
          <w:trHeight w:val="285" w:hRule="atLeast"/>
        </w:trPr>
        <w:tc>
          <w:tcPr>
            <w:tcW w:w="456" w:type="dxa"/>
            <w:tcBorders>
              <w:top w:val="nil"/>
              <w:left w:val="single" w:color="auto" w:sz="4" w:space="0"/>
              <w:bottom w:val="single" w:color="auto" w:sz="4" w:space="0"/>
              <w:right w:val="single" w:color="auto" w:sz="4" w:space="0"/>
            </w:tcBorders>
            <w:vAlign w:val="center"/>
          </w:tcPr>
          <w:p w14:paraId="03742D00">
            <w:pPr>
              <w:spacing w:line="440" w:lineRule="atLeast"/>
              <w:jc w:val="left"/>
              <w:rPr>
                <w:rFonts w:ascii="宋体" w:hAnsi="宋体" w:cs="宋体"/>
                <w:kern w:val="0"/>
                <w:sz w:val="24"/>
              </w:rPr>
            </w:pPr>
            <w:r>
              <w:rPr>
                <w:rFonts w:hint="eastAsia" w:ascii="宋体" w:hAnsi="宋体" w:cs="宋体"/>
                <w:kern w:val="0"/>
                <w:sz w:val="24"/>
              </w:rPr>
              <w:t>…</w:t>
            </w:r>
          </w:p>
        </w:tc>
        <w:tc>
          <w:tcPr>
            <w:tcW w:w="556" w:type="dxa"/>
            <w:gridSpan w:val="2"/>
            <w:tcBorders>
              <w:top w:val="nil"/>
              <w:left w:val="nil"/>
              <w:bottom w:val="single" w:color="auto" w:sz="4" w:space="0"/>
              <w:right w:val="single" w:color="auto" w:sz="4" w:space="0"/>
            </w:tcBorders>
            <w:vAlign w:val="center"/>
          </w:tcPr>
          <w:p w14:paraId="4A76DF17">
            <w:pPr>
              <w:spacing w:line="440" w:lineRule="atLeast"/>
              <w:jc w:val="left"/>
              <w:rPr>
                <w:rFonts w:ascii="宋体" w:hAnsi="宋体" w:cs="宋体"/>
                <w:kern w:val="0"/>
                <w:sz w:val="20"/>
                <w:szCs w:val="20"/>
              </w:rPr>
            </w:pPr>
          </w:p>
        </w:tc>
        <w:tc>
          <w:tcPr>
            <w:tcW w:w="478" w:type="dxa"/>
            <w:gridSpan w:val="2"/>
            <w:tcBorders>
              <w:top w:val="nil"/>
              <w:left w:val="nil"/>
              <w:bottom w:val="single" w:color="auto" w:sz="4" w:space="0"/>
              <w:right w:val="single" w:color="auto" w:sz="4" w:space="0"/>
            </w:tcBorders>
            <w:vAlign w:val="center"/>
          </w:tcPr>
          <w:p w14:paraId="55CDFEB4">
            <w:pPr>
              <w:spacing w:line="440" w:lineRule="atLeast"/>
              <w:jc w:val="left"/>
              <w:rPr>
                <w:rFonts w:ascii="宋体" w:hAnsi="宋体" w:cs="宋体"/>
                <w:kern w:val="0"/>
                <w:sz w:val="24"/>
              </w:rPr>
            </w:pPr>
          </w:p>
        </w:tc>
        <w:tc>
          <w:tcPr>
            <w:tcW w:w="557" w:type="dxa"/>
            <w:tcBorders>
              <w:top w:val="nil"/>
              <w:left w:val="nil"/>
              <w:bottom w:val="single" w:color="auto" w:sz="4" w:space="0"/>
              <w:right w:val="single" w:color="auto" w:sz="4" w:space="0"/>
            </w:tcBorders>
            <w:vAlign w:val="center"/>
          </w:tcPr>
          <w:p w14:paraId="4B88C4D1">
            <w:pPr>
              <w:spacing w:line="440" w:lineRule="atLeast"/>
              <w:jc w:val="left"/>
              <w:rPr>
                <w:rFonts w:ascii="宋体" w:hAnsi="宋体" w:cs="宋体"/>
                <w:kern w:val="0"/>
                <w:sz w:val="24"/>
              </w:rPr>
            </w:pPr>
          </w:p>
        </w:tc>
        <w:tc>
          <w:tcPr>
            <w:tcW w:w="557" w:type="dxa"/>
            <w:tcBorders>
              <w:top w:val="nil"/>
              <w:left w:val="nil"/>
              <w:bottom w:val="single" w:color="auto" w:sz="4" w:space="0"/>
              <w:right w:val="single" w:color="auto" w:sz="4" w:space="0"/>
            </w:tcBorders>
            <w:vAlign w:val="center"/>
          </w:tcPr>
          <w:p w14:paraId="6D72B787">
            <w:pPr>
              <w:spacing w:line="440" w:lineRule="atLeast"/>
              <w:jc w:val="left"/>
              <w:rPr>
                <w:rFonts w:ascii="宋体" w:hAnsi="宋体" w:cs="宋体"/>
                <w:kern w:val="0"/>
                <w:sz w:val="20"/>
                <w:szCs w:val="20"/>
              </w:rPr>
            </w:pPr>
          </w:p>
        </w:tc>
        <w:tc>
          <w:tcPr>
            <w:tcW w:w="635" w:type="dxa"/>
            <w:gridSpan w:val="2"/>
            <w:tcBorders>
              <w:top w:val="nil"/>
              <w:left w:val="nil"/>
              <w:bottom w:val="single" w:color="auto" w:sz="4" w:space="0"/>
              <w:right w:val="single" w:color="auto" w:sz="4" w:space="0"/>
            </w:tcBorders>
            <w:vAlign w:val="center"/>
          </w:tcPr>
          <w:p w14:paraId="31D419F0">
            <w:pPr>
              <w:spacing w:line="440" w:lineRule="atLeast"/>
              <w:jc w:val="left"/>
              <w:rPr>
                <w:rFonts w:ascii="宋体" w:hAnsi="宋体" w:cs="宋体"/>
                <w:kern w:val="0"/>
                <w:sz w:val="20"/>
                <w:szCs w:val="20"/>
              </w:rPr>
            </w:pPr>
          </w:p>
        </w:tc>
        <w:tc>
          <w:tcPr>
            <w:tcW w:w="596" w:type="dxa"/>
            <w:tcBorders>
              <w:top w:val="nil"/>
              <w:left w:val="nil"/>
              <w:bottom w:val="single" w:color="auto" w:sz="4" w:space="0"/>
              <w:right w:val="single" w:color="auto" w:sz="4" w:space="0"/>
            </w:tcBorders>
            <w:vAlign w:val="center"/>
          </w:tcPr>
          <w:p w14:paraId="5DFDAA64">
            <w:pPr>
              <w:spacing w:line="440" w:lineRule="atLeast"/>
              <w:jc w:val="left"/>
              <w:rPr>
                <w:rFonts w:ascii="宋体" w:hAnsi="宋体" w:cs="宋体"/>
                <w:kern w:val="0"/>
                <w:sz w:val="20"/>
                <w:szCs w:val="20"/>
              </w:rPr>
            </w:pPr>
          </w:p>
        </w:tc>
        <w:tc>
          <w:tcPr>
            <w:tcW w:w="909" w:type="dxa"/>
            <w:gridSpan w:val="3"/>
            <w:tcBorders>
              <w:top w:val="nil"/>
              <w:left w:val="nil"/>
              <w:bottom w:val="single" w:color="auto" w:sz="4" w:space="0"/>
              <w:right w:val="single" w:color="auto" w:sz="4" w:space="0"/>
            </w:tcBorders>
            <w:vAlign w:val="center"/>
          </w:tcPr>
          <w:p w14:paraId="3BFEA73C">
            <w:pPr>
              <w:spacing w:line="440" w:lineRule="atLeast"/>
              <w:jc w:val="left"/>
              <w:rPr>
                <w:rFonts w:ascii="宋体" w:hAnsi="宋体" w:cs="宋体"/>
                <w:kern w:val="0"/>
                <w:sz w:val="24"/>
              </w:rPr>
            </w:pPr>
          </w:p>
        </w:tc>
        <w:tc>
          <w:tcPr>
            <w:tcW w:w="928" w:type="dxa"/>
            <w:gridSpan w:val="2"/>
            <w:tcBorders>
              <w:top w:val="nil"/>
              <w:left w:val="nil"/>
              <w:bottom w:val="single" w:color="auto" w:sz="4" w:space="0"/>
              <w:right w:val="single" w:color="auto" w:sz="4" w:space="0"/>
            </w:tcBorders>
            <w:vAlign w:val="center"/>
          </w:tcPr>
          <w:p w14:paraId="3CEA7A56">
            <w:pPr>
              <w:spacing w:line="440" w:lineRule="atLeast"/>
              <w:jc w:val="left"/>
              <w:rPr>
                <w:rFonts w:ascii="宋体" w:hAnsi="宋体" w:cs="宋体"/>
                <w:kern w:val="0"/>
                <w:sz w:val="24"/>
              </w:rPr>
            </w:pPr>
          </w:p>
        </w:tc>
        <w:tc>
          <w:tcPr>
            <w:tcW w:w="1011" w:type="dxa"/>
            <w:gridSpan w:val="2"/>
            <w:tcBorders>
              <w:top w:val="nil"/>
              <w:left w:val="nil"/>
              <w:bottom w:val="single" w:color="auto" w:sz="4" w:space="0"/>
              <w:right w:val="single" w:color="auto" w:sz="4" w:space="0"/>
            </w:tcBorders>
            <w:vAlign w:val="center"/>
          </w:tcPr>
          <w:p w14:paraId="23B1ACAC">
            <w:pPr>
              <w:spacing w:line="440" w:lineRule="atLeast"/>
              <w:jc w:val="left"/>
              <w:rPr>
                <w:rFonts w:ascii="宋体" w:hAnsi="宋体" w:cs="宋体"/>
                <w:kern w:val="0"/>
                <w:sz w:val="24"/>
              </w:rPr>
            </w:pPr>
          </w:p>
        </w:tc>
        <w:tc>
          <w:tcPr>
            <w:tcW w:w="733" w:type="dxa"/>
            <w:tcBorders>
              <w:top w:val="nil"/>
              <w:left w:val="nil"/>
              <w:bottom w:val="single" w:color="auto" w:sz="4" w:space="0"/>
              <w:right w:val="single" w:color="auto" w:sz="4" w:space="0"/>
            </w:tcBorders>
            <w:vAlign w:val="center"/>
          </w:tcPr>
          <w:p w14:paraId="75B9ABBB">
            <w:pPr>
              <w:spacing w:line="440" w:lineRule="atLeast"/>
              <w:jc w:val="left"/>
              <w:rPr>
                <w:rFonts w:ascii="宋体" w:hAnsi="宋体" w:cs="宋体"/>
                <w:kern w:val="0"/>
                <w:sz w:val="24"/>
              </w:rPr>
            </w:pPr>
          </w:p>
        </w:tc>
        <w:tc>
          <w:tcPr>
            <w:tcW w:w="928" w:type="dxa"/>
            <w:gridSpan w:val="2"/>
            <w:tcBorders>
              <w:top w:val="nil"/>
              <w:left w:val="nil"/>
              <w:bottom w:val="single" w:color="auto" w:sz="4" w:space="0"/>
              <w:right w:val="single" w:color="auto" w:sz="4" w:space="0"/>
            </w:tcBorders>
            <w:vAlign w:val="center"/>
          </w:tcPr>
          <w:p w14:paraId="34713435">
            <w:pPr>
              <w:spacing w:line="440" w:lineRule="atLeast"/>
              <w:jc w:val="left"/>
              <w:rPr>
                <w:rFonts w:ascii="宋体" w:hAnsi="宋体" w:cs="宋体"/>
                <w:kern w:val="0"/>
                <w:sz w:val="24"/>
              </w:rPr>
            </w:pPr>
          </w:p>
        </w:tc>
        <w:tc>
          <w:tcPr>
            <w:tcW w:w="1008" w:type="dxa"/>
            <w:gridSpan w:val="3"/>
            <w:tcBorders>
              <w:top w:val="nil"/>
              <w:left w:val="nil"/>
              <w:bottom w:val="single" w:color="auto" w:sz="4" w:space="0"/>
              <w:right w:val="single" w:color="auto" w:sz="4" w:space="0"/>
            </w:tcBorders>
            <w:vAlign w:val="center"/>
          </w:tcPr>
          <w:p w14:paraId="48D7F990">
            <w:pPr>
              <w:spacing w:line="440" w:lineRule="atLeast"/>
              <w:jc w:val="left"/>
              <w:rPr>
                <w:rFonts w:ascii="宋体" w:hAnsi="宋体" w:cs="宋体"/>
                <w:kern w:val="0"/>
                <w:sz w:val="24"/>
              </w:rPr>
            </w:pPr>
          </w:p>
        </w:tc>
        <w:tc>
          <w:tcPr>
            <w:tcW w:w="1050" w:type="dxa"/>
            <w:gridSpan w:val="4"/>
            <w:tcBorders>
              <w:top w:val="nil"/>
              <w:left w:val="nil"/>
              <w:bottom w:val="single" w:color="auto" w:sz="4" w:space="0"/>
              <w:right w:val="single" w:color="auto" w:sz="4" w:space="0"/>
            </w:tcBorders>
            <w:vAlign w:val="center"/>
          </w:tcPr>
          <w:p w14:paraId="478EE506">
            <w:pPr>
              <w:spacing w:line="440" w:lineRule="atLeast"/>
              <w:jc w:val="left"/>
              <w:rPr>
                <w:rFonts w:ascii="宋体" w:hAnsi="宋体" w:cs="宋体"/>
                <w:kern w:val="0"/>
                <w:sz w:val="24"/>
              </w:rPr>
            </w:pPr>
          </w:p>
        </w:tc>
        <w:tc>
          <w:tcPr>
            <w:tcW w:w="940" w:type="dxa"/>
            <w:gridSpan w:val="2"/>
            <w:tcBorders>
              <w:top w:val="nil"/>
              <w:left w:val="nil"/>
              <w:bottom w:val="single" w:color="auto" w:sz="4" w:space="0"/>
              <w:right w:val="single" w:color="auto" w:sz="4" w:space="0"/>
            </w:tcBorders>
            <w:vAlign w:val="center"/>
          </w:tcPr>
          <w:p w14:paraId="57FD3F6F">
            <w:pPr>
              <w:spacing w:line="440" w:lineRule="atLeast"/>
              <w:jc w:val="left"/>
              <w:rPr>
                <w:rFonts w:ascii="宋体" w:hAnsi="宋体" w:cs="宋体"/>
                <w:kern w:val="0"/>
                <w:sz w:val="24"/>
              </w:rPr>
            </w:pPr>
          </w:p>
        </w:tc>
        <w:tc>
          <w:tcPr>
            <w:tcW w:w="870" w:type="dxa"/>
            <w:gridSpan w:val="3"/>
            <w:tcBorders>
              <w:top w:val="nil"/>
              <w:left w:val="nil"/>
              <w:bottom w:val="single" w:color="auto" w:sz="4" w:space="0"/>
              <w:right w:val="single" w:color="auto" w:sz="4" w:space="0"/>
            </w:tcBorders>
            <w:vAlign w:val="center"/>
          </w:tcPr>
          <w:p w14:paraId="2080889A">
            <w:pPr>
              <w:spacing w:line="440" w:lineRule="atLeast"/>
              <w:jc w:val="left"/>
              <w:rPr>
                <w:rFonts w:ascii="宋体" w:hAnsi="宋体" w:cs="宋体"/>
                <w:kern w:val="0"/>
                <w:sz w:val="24"/>
              </w:rPr>
            </w:pPr>
          </w:p>
        </w:tc>
        <w:tc>
          <w:tcPr>
            <w:tcW w:w="973" w:type="dxa"/>
            <w:gridSpan w:val="3"/>
            <w:tcBorders>
              <w:top w:val="nil"/>
              <w:left w:val="nil"/>
              <w:bottom w:val="single" w:color="auto" w:sz="4" w:space="0"/>
              <w:right w:val="single" w:color="auto" w:sz="4" w:space="0"/>
            </w:tcBorders>
            <w:vAlign w:val="center"/>
          </w:tcPr>
          <w:p w14:paraId="336BFC61">
            <w:pPr>
              <w:spacing w:line="440" w:lineRule="atLeast"/>
              <w:jc w:val="left"/>
              <w:rPr>
                <w:rFonts w:ascii="宋体" w:hAnsi="宋体" w:cs="宋体"/>
                <w:kern w:val="0"/>
                <w:sz w:val="24"/>
              </w:rPr>
            </w:pPr>
          </w:p>
        </w:tc>
        <w:tc>
          <w:tcPr>
            <w:tcW w:w="635" w:type="dxa"/>
            <w:tcBorders>
              <w:top w:val="nil"/>
              <w:left w:val="nil"/>
              <w:bottom w:val="single" w:color="auto" w:sz="4" w:space="0"/>
              <w:right w:val="single" w:color="auto" w:sz="4" w:space="0"/>
            </w:tcBorders>
            <w:vAlign w:val="center"/>
          </w:tcPr>
          <w:p w14:paraId="328E14DF">
            <w:pPr>
              <w:spacing w:line="440" w:lineRule="atLeast"/>
              <w:jc w:val="left"/>
              <w:rPr>
                <w:rFonts w:ascii="宋体" w:hAnsi="宋体" w:cs="宋体"/>
                <w:kern w:val="0"/>
                <w:sz w:val="24"/>
              </w:rPr>
            </w:pPr>
          </w:p>
        </w:tc>
      </w:tr>
      <w:tr w14:paraId="4324B896">
        <w:tblPrEx>
          <w:tblCellMar>
            <w:top w:w="0" w:type="dxa"/>
            <w:left w:w="108" w:type="dxa"/>
            <w:bottom w:w="0" w:type="dxa"/>
            <w:right w:w="108" w:type="dxa"/>
          </w:tblCellMar>
        </w:tblPrEx>
        <w:trPr>
          <w:gridAfter w:val="1"/>
          <w:wAfter w:w="14" w:type="dxa"/>
          <w:trHeight w:val="285" w:hRule="atLeast"/>
        </w:trPr>
        <w:tc>
          <w:tcPr>
            <w:tcW w:w="13820" w:type="dxa"/>
            <w:gridSpan w:val="36"/>
            <w:tcBorders>
              <w:top w:val="nil"/>
              <w:left w:val="nil"/>
              <w:bottom w:val="nil"/>
              <w:right w:val="nil"/>
            </w:tcBorders>
            <w:vAlign w:val="center"/>
          </w:tcPr>
          <w:p w14:paraId="1A088B71">
            <w:pPr>
              <w:spacing w:line="440" w:lineRule="atLeast"/>
              <w:jc w:val="center"/>
              <w:rPr>
                <w:rFonts w:ascii="宋体" w:hAnsi="宋体" w:cs="宋体"/>
                <w:kern w:val="0"/>
                <w:sz w:val="24"/>
              </w:rPr>
            </w:pPr>
            <w:r>
              <w:rPr>
                <w:rFonts w:hint="eastAsia" w:ascii="宋体" w:hAnsi="宋体" w:cs="宋体"/>
                <w:kern w:val="0"/>
                <w:sz w:val="24"/>
              </w:rPr>
              <w:t>第N页</w:t>
            </w:r>
          </w:p>
        </w:tc>
      </w:tr>
    </w:tbl>
    <w:p w14:paraId="56C2C554">
      <w:pPr>
        <w:pStyle w:val="21"/>
        <w:spacing w:line="440" w:lineRule="atLeast"/>
        <w:jc w:val="both"/>
        <w:rPr>
          <w:rFonts w:ascii="仿宋_GB2312" w:hAnsi="Arial" w:eastAsia="仿宋_GB2312" w:cs="Arial"/>
          <w:sz w:val="30"/>
          <w:szCs w:val="30"/>
        </w:rPr>
        <w:sectPr>
          <w:pgSz w:w="16838" w:h="11906" w:orient="landscape"/>
          <w:pgMar w:top="1701" w:right="1440" w:bottom="1701" w:left="1440" w:header="851" w:footer="992" w:gutter="0"/>
          <w:cols w:space="720" w:num="1"/>
          <w:titlePg/>
          <w:docGrid w:type="linesAndChars" w:linePitch="312" w:charSpace="0"/>
        </w:sectPr>
      </w:pPr>
    </w:p>
    <w:p w14:paraId="520295DE">
      <w:pPr>
        <w:spacing w:line="440" w:lineRule="atLeast"/>
        <w:jc w:val="left"/>
        <w:rPr>
          <w:rFonts w:ascii="宋体" w:hAnsi="宋体" w:eastAsia="宋体" w:cs="宋体"/>
          <w:bCs/>
          <w:kern w:val="0"/>
          <w:sz w:val="24"/>
        </w:rPr>
      </w:pPr>
      <w:bookmarkStart w:id="30" w:name="_Toc21161"/>
      <w:r>
        <w:rPr>
          <w:rFonts w:hint="eastAsia" w:ascii="宋体" w:hAnsi="宋体" w:eastAsia="宋体" w:cs="宋体"/>
          <w:bCs/>
          <w:kern w:val="0"/>
          <w:sz w:val="24"/>
        </w:rPr>
        <w:t>附2：</w:t>
      </w:r>
      <w:bookmarkEnd w:id="30"/>
    </w:p>
    <w:p w14:paraId="75FC53F9">
      <w:pPr>
        <w:spacing w:line="440" w:lineRule="atLeast"/>
        <w:jc w:val="center"/>
        <w:rPr>
          <w:rFonts w:ascii="华文中宋" w:hAnsi="华文中宋" w:eastAsia="华文中宋" w:cs="黑体"/>
          <w:sz w:val="32"/>
          <w:szCs w:val="32"/>
        </w:rPr>
      </w:pPr>
      <w:r>
        <w:rPr>
          <w:rFonts w:hint="eastAsia" w:ascii="华文中宋" w:hAnsi="华文中宋" w:eastAsia="华文中宋" w:cs="黑体"/>
          <w:sz w:val="32"/>
          <w:szCs w:val="32"/>
        </w:rPr>
        <w:t>XX单位资产清查工作报告</w:t>
      </w:r>
    </w:p>
    <w:p w14:paraId="30D30612">
      <w:pPr>
        <w:shd w:val="clear" w:color="auto" w:fill="FFFFFF"/>
        <w:spacing w:line="440" w:lineRule="atLeast"/>
        <w:ind w:firstLine="480" w:firstLineChars="200"/>
        <w:jc w:val="center"/>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（单位参考格式）</w:t>
      </w:r>
    </w:p>
    <w:p w14:paraId="2CAE565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根据《行政事业单位资产清查核实管理办法》等有关规定，我单位已按时完成资产清查的主体工作，并经主审计所XX会计师事务所的资产清查专项审计，现将有关资产清查的工作情况报告如下：</w:t>
      </w:r>
    </w:p>
    <w:p w14:paraId="34215B84">
      <w:pPr>
        <w:shd w:val="clear" w:color="auto" w:fill="FFFFFF"/>
        <w:spacing w:line="440" w:lineRule="atLeast"/>
        <w:ind w:firstLine="482" w:firstLineChars="200"/>
        <w:rPr>
          <w:rFonts w:ascii="宋体" w:hAnsi="宋体" w:eastAsia="宋体" w:cs="宋体"/>
          <w:b/>
          <w:bCs/>
          <w:color w:val="000000"/>
          <w:kern w:val="0"/>
          <w:sz w:val="24"/>
          <w:shd w:val="clear" w:color="auto" w:fill="FFFFFF"/>
        </w:rPr>
      </w:pPr>
      <w:r>
        <w:rPr>
          <w:rFonts w:hint="eastAsia" w:ascii="宋体" w:hAnsi="宋体" w:eastAsia="宋体" w:cs="宋体"/>
          <w:b/>
          <w:bCs/>
          <w:color w:val="000000"/>
          <w:kern w:val="0"/>
          <w:sz w:val="24"/>
          <w:shd w:val="clear" w:color="auto" w:fill="FFFFFF"/>
        </w:rPr>
        <w:t>一、单位基本情况</w:t>
      </w:r>
    </w:p>
    <w:p w14:paraId="408C661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包括单位性质、财务隶属关系、资产管理部门或岗位设置情况、执行财务会计制度情况、单位人员情况、预算收支情况等基本情况。</w:t>
      </w:r>
    </w:p>
    <w:p w14:paraId="1CA77F8B">
      <w:pPr>
        <w:shd w:val="clear" w:color="auto" w:fill="FFFFFF"/>
        <w:spacing w:line="440" w:lineRule="atLeast"/>
        <w:ind w:firstLine="482" w:firstLineChars="200"/>
        <w:rPr>
          <w:rFonts w:ascii="宋体" w:hAnsi="宋体" w:eastAsia="宋体" w:cs="宋体"/>
          <w:b/>
          <w:bCs/>
          <w:color w:val="000000"/>
          <w:kern w:val="0"/>
          <w:sz w:val="24"/>
          <w:shd w:val="clear" w:color="auto" w:fill="FFFFFF"/>
        </w:rPr>
      </w:pPr>
      <w:r>
        <w:rPr>
          <w:rFonts w:hint="eastAsia" w:ascii="宋体" w:hAnsi="宋体" w:eastAsia="宋体" w:cs="宋体"/>
          <w:b/>
          <w:bCs/>
          <w:color w:val="000000"/>
          <w:kern w:val="0"/>
          <w:sz w:val="24"/>
          <w:shd w:val="clear" w:color="auto" w:fill="FFFFFF"/>
        </w:rPr>
        <w:t>二、资产清查工作总体状况</w:t>
      </w:r>
    </w:p>
    <w:p w14:paraId="7D6B30D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（一）资产清查工作基准日。</w:t>
      </w:r>
    </w:p>
    <w:p w14:paraId="466FD28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（二）资产清查范围。</w:t>
      </w:r>
    </w:p>
    <w:p w14:paraId="2DB8213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（三）资产清查工作组织实施情况。</w:t>
      </w:r>
    </w:p>
    <w:p w14:paraId="1D426FA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1.资产清查工作方案制定情况。</w:t>
      </w:r>
    </w:p>
    <w:p w14:paraId="07AFB25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2.资产清查工作方案实施情况。</w:t>
      </w:r>
    </w:p>
    <w:p w14:paraId="7DB8BA5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3.聘请中介审计情况。</w:t>
      </w:r>
    </w:p>
    <w:p w14:paraId="6841D44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（四）资产清查工作取得的成效及存在的问题。</w:t>
      </w:r>
    </w:p>
    <w:p w14:paraId="1E64B964">
      <w:pPr>
        <w:shd w:val="clear" w:color="auto" w:fill="FFFFFF"/>
        <w:spacing w:line="440" w:lineRule="atLeast"/>
        <w:ind w:firstLine="482" w:firstLineChars="200"/>
        <w:rPr>
          <w:rFonts w:ascii="宋体" w:hAnsi="宋体" w:eastAsia="宋体" w:cs="宋体"/>
          <w:b/>
          <w:bCs/>
          <w:color w:val="000000"/>
          <w:kern w:val="0"/>
          <w:sz w:val="24"/>
          <w:shd w:val="clear" w:color="auto" w:fill="FFFFFF"/>
        </w:rPr>
      </w:pPr>
      <w:r>
        <w:rPr>
          <w:rFonts w:hint="eastAsia" w:ascii="宋体" w:hAnsi="宋体" w:eastAsia="宋体" w:cs="宋体"/>
          <w:b/>
          <w:bCs/>
          <w:color w:val="000000"/>
          <w:kern w:val="0"/>
          <w:sz w:val="24"/>
          <w:shd w:val="clear" w:color="auto" w:fill="FFFFFF"/>
        </w:rPr>
        <w:t>三、资产清查工作结果</w:t>
      </w:r>
    </w:p>
    <w:p w14:paraId="7FF506D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（一）单位清查出的资产盘盈、资产损失、资金挂账情况。</w:t>
      </w:r>
    </w:p>
    <w:p w14:paraId="581CE55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（二）资产盘盈、资产损失、资金挂账原因分析。</w:t>
      </w:r>
    </w:p>
    <w:p w14:paraId="7C4A6C5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（三）资产盘盈、资产损失、资金挂账证明材料。</w:t>
      </w:r>
    </w:p>
    <w:p w14:paraId="6D6B7BF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（四）经XX会计师事务所审核后的资产盘盈、资产损失、资金挂账情况。</w:t>
      </w:r>
    </w:p>
    <w:p w14:paraId="2F98FB8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（五）单位申报核实资产盘盈、资产损失、资金挂账的处理预案。</w:t>
      </w:r>
    </w:p>
    <w:p w14:paraId="210D4055">
      <w:pPr>
        <w:shd w:val="clear" w:color="auto" w:fill="FFFFFF"/>
        <w:spacing w:line="440" w:lineRule="atLeast"/>
        <w:ind w:firstLine="482" w:firstLineChars="200"/>
        <w:rPr>
          <w:rFonts w:ascii="宋体" w:hAnsi="宋体" w:eastAsia="宋体" w:cs="宋体"/>
          <w:b/>
          <w:bCs/>
          <w:color w:val="000000"/>
          <w:kern w:val="0"/>
          <w:sz w:val="24"/>
          <w:shd w:val="clear" w:color="auto" w:fill="FFFFFF"/>
        </w:rPr>
      </w:pPr>
      <w:r>
        <w:rPr>
          <w:rFonts w:hint="eastAsia" w:ascii="宋体" w:hAnsi="宋体" w:eastAsia="宋体" w:cs="宋体"/>
          <w:b/>
          <w:bCs/>
          <w:color w:val="000000"/>
          <w:kern w:val="0"/>
          <w:sz w:val="24"/>
          <w:shd w:val="clear" w:color="auto" w:fill="FFFFFF"/>
        </w:rPr>
        <w:t>四、对资产清查暴露出来的单位资产、财务管理中存在的问题、原因进行分析并提出改进措施等</w:t>
      </w:r>
    </w:p>
    <w:p w14:paraId="6117B3B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（一）存在的实际问题。</w:t>
      </w:r>
    </w:p>
    <w:p w14:paraId="4E5F8B1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（二）原因分析。</w:t>
      </w:r>
    </w:p>
    <w:p w14:paraId="6B58CD1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（三）改进措施。</w:t>
      </w:r>
    </w:p>
    <w:p w14:paraId="7A82A9DC">
      <w:pPr>
        <w:shd w:val="clear" w:color="auto" w:fill="FFFFFF"/>
        <w:spacing w:line="440" w:lineRule="atLeast"/>
        <w:ind w:firstLine="482" w:firstLineChars="200"/>
        <w:rPr>
          <w:rFonts w:ascii="宋体" w:hAnsi="宋体" w:eastAsia="宋体" w:cs="宋体"/>
          <w:b/>
          <w:bCs/>
          <w:color w:val="000000"/>
          <w:kern w:val="0"/>
          <w:sz w:val="24"/>
          <w:shd w:val="clear" w:color="auto" w:fill="FFFFFF"/>
        </w:rPr>
      </w:pPr>
      <w:r>
        <w:rPr>
          <w:rFonts w:hint="eastAsia" w:ascii="宋体" w:hAnsi="宋体" w:eastAsia="宋体" w:cs="宋体"/>
          <w:b/>
          <w:bCs/>
          <w:color w:val="000000"/>
          <w:kern w:val="0"/>
          <w:sz w:val="24"/>
          <w:shd w:val="clear" w:color="auto" w:fill="FFFFFF"/>
        </w:rPr>
        <w:t>五、单位资产管理情况</w:t>
      </w:r>
    </w:p>
    <w:p w14:paraId="4C17BDF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具体包括资产使用状况和国有资产收益情况等。</w:t>
      </w:r>
    </w:p>
    <w:p w14:paraId="06236641">
      <w:pPr>
        <w:shd w:val="clear" w:color="auto" w:fill="FFFFFF"/>
        <w:spacing w:line="440" w:lineRule="atLeast"/>
        <w:ind w:firstLine="482" w:firstLineChars="200"/>
        <w:rPr>
          <w:rFonts w:ascii="宋体" w:hAnsi="宋体" w:eastAsia="宋体" w:cs="宋体"/>
          <w:b/>
          <w:bCs/>
          <w:color w:val="000000"/>
          <w:kern w:val="0"/>
          <w:sz w:val="24"/>
          <w:shd w:val="clear" w:color="auto" w:fill="FFFFFF"/>
        </w:rPr>
      </w:pPr>
      <w:r>
        <w:rPr>
          <w:rFonts w:hint="eastAsia" w:ascii="宋体" w:hAnsi="宋体" w:eastAsia="宋体" w:cs="宋体"/>
          <w:b/>
          <w:bCs/>
          <w:color w:val="000000"/>
          <w:kern w:val="0"/>
          <w:sz w:val="24"/>
          <w:shd w:val="clear" w:color="auto" w:fill="FFFFFF"/>
        </w:rPr>
        <w:t>六、其他需要说明的事项</w:t>
      </w:r>
    </w:p>
    <w:p w14:paraId="205EB7C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br w:type="page"/>
      </w:r>
    </w:p>
    <w:p w14:paraId="71A0F52B">
      <w:pPr>
        <w:spacing w:line="440" w:lineRule="atLeast"/>
        <w:jc w:val="left"/>
        <w:rPr>
          <w:rFonts w:ascii="宋体" w:hAnsi="宋体" w:eastAsia="宋体" w:cs="宋体"/>
          <w:bCs/>
          <w:kern w:val="0"/>
          <w:sz w:val="24"/>
        </w:rPr>
      </w:pPr>
      <w:bookmarkStart w:id="31" w:name="_Toc2028"/>
      <w:r>
        <w:rPr>
          <w:rFonts w:hint="eastAsia" w:ascii="宋体" w:hAnsi="宋体" w:eastAsia="宋体" w:cs="宋体"/>
          <w:bCs/>
          <w:kern w:val="0"/>
          <w:sz w:val="24"/>
        </w:rPr>
        <w:t>附3：</w:t>
      </w:r>
      <w:bookmarkEnd w:id="31"/>
    </w:p>
    <w:p w14:paraId="19E62EE0">
      <w:pPr>
        <w:spacing w:line="440" w:lineRule="atLeast"/>
        <w:jc w:val="center"/>
        <w:rPr>
          <w:rFonts w:asciiTheme="minorEastAsia" w:hAnsiTheme="minorEastAsia" w:cstheme="minorEastAsia"/>
          <w:b/>
          <w:sz w:val="32"/>
          <w:szCs w:val="32"/>
        </w:rPr>
      </w:pPr>
      <w:r>
        <w:rPr>
          <w:rFonts w:hint="eastAsia" w:asciiTheme="minorEastAsia" w:hAnsiTheme="minorEastAsia" w:cstheme="minorEastAsia"/>
          <w:b/>
          <w:sz w:val="32"/>
          <w:szCs w:val="32"/>
        </w:rPr>
        <w:t>XX地区/部门资产清查工作报告</w:t>
      </w:r>
    </w:p>
    <w:p w14:paraId="6D514F29">
      <w:pPr>
        <w:shd w:val="clear" w:color="auto" w:fill="FFFFFF"/>
        <w:spacing w:line="440" w:lineRule="atLeast"/>
        <w:jc w:val="center"/>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（地方财政部门/主管部门参考格式）</w:t>
      </w:r>
    </w:p>
    <w:p w14:paraId="78272A3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根据《行政单位国有资产管理暂行办法》（财政部令第35号）、《事业单位国有资产管理暂行办法》（财政部令第36号）和《行政事业单位资产清查核实管理办法》，我省（市、县、乡）/部门以     为资产清查工作基准日开展了资产清查工作，现报告如下：</w:t>
      </w:r>
    </w:p>
    <w:p w14:paraId="7C8599BB">
      <w:pPr>
        <w:shd w:val="clear" w:color="auto" w:fill="FFFFFF"/>
        <w:spacing w:line="440" w:lineRule="atLeast"/>
        <w:ind w:firstLine="482" w:firstLineChars="200"/>
        <w:rPr>
          <w:rFonts w:ascii="宋体" w:hAnsi="宋体" w:eastAsia="宋体" w:cs="宋体"/>
          <w:b/>
          <w:bCs/>
          <w:color w:val="000000"/>
          <w:kern w:val="0"/>
          <w:sz w:val="24"/>
          <w:shd w:val="clear" w:color="auto" w:fill="FFFFFF"/>
        </w:rPr>
      </w:pPr>
      <w:r>
        <w:rPr>
          <w:rFonts w:hint="eastAsia" w:ascii="宋体" w:hAnsi="宋体" w:eastAsia="宋体" w:cs="宋体"/>
          <w:b/>
          <w:bCs/>
          <w:color w:val="000000"/>
          <w:kern w:val="0"/>
          <w:sz w:val="24"/>
          <w:shd w:val="clear" w:color="auto" w:fill="FFFFFF"/>
        </w:rPr>
        <w:t>一、本地区、本部门基本情况</w:t>
      </w:r>
    </w:p>
    <w:p w14:paraId="4740EE66">
      <w:pPr>
        <w:shd w:val="clear" w:color="auto" w:fill="FFFFFF"/>
        <w:spacing w:line="440" w:lineRule="atLeast"/>
        <w:ind w:firstLine="482" w:firstLineChars="200"/>
        <w:rPr>
          <w:rFonts w:ascii="宋体" w:hAnsi="宋体" w:eastAsia="宋体" w:cs="宋体"/>
          <w:b/>
          <w:bCs/>
          <w:color w:val="000000"/>
          <w:kern w:val="0"/>
          <w:sz w:val="24"/>
          <w:shd w:val="clear" w:color="auto" w:fill="FFFFFF"/>
        </w:rPr>
      </w:pPr>
      <w:r>
        <w:rPr>
          <w:rFonts w:hint="eastAsia" w:ascii="宋体" w:hAnsi="宋体" w:eastAsia="宋体" w:cs="宋体"/>
          <w:b/>
          <w:bCs/>
          <w:color w:val="000000"/>
          <w:kern w:val="0"/>
          <w:sz w:val="24"/>
          <w:shd w:val="clear" w:color="auto" w:fill="FFFFFF"/>
        </w:rPr>
        <w:t>二、工作组织实施情况</w:t>
      </w:r>
    </w:p>
    <w:p w14:paraId="48FDFA7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（一）资产清查范围。</w:t>
      </w:r>
    </w:p>
    <w:p w14:paraId="3FC9418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（二）资产清查工作具体实施情况。包括实施方案制定以及清查工作布置、培训、审核汇总情况等。</w:t>
      </w:r>
    </w:p>
    <w:p w14:paraId="1BB2CD5D">
      <w:pPr>
        <w:shd w:val="clear" w:color="auto" w:fill="FFFFFF"/>
        <w:spacing w:line="440" w:lineRule="atLeast"/>
        <w:ind w:firstLine="482" w:firstLineChars="200"/>
        <w:rPr>
          <w:rFonts w:ascii="宋体" w:hAnsi="宋体" w:eastAsia="宋体" w:cs="宋体"/>
          <w:b/>
          <w:bCs/>
          <w:color w:val="000000"/>
          <w:kern w:val="0"/>
          <w:sz w:val="24"/>
          <w:shd w:val="clear" w:color="auto" w:fill="FFFFFF"/>
        </w:rPr>
      </w:pPr>
      <w:r>
        <w:rPr>
          <w:rFonts w:hint="eastAsia" w:ascii="宋体" w:hAnsi="宋体" w:eastAsia="宋体" w:cs="宋体"/>
          <w:b/>
          <w:bCs/>
          <w:color w:val="000000"/>
          <w:kern w:val="0"/>
          <w:sz w:val="24"/>
          <w:shd w:val="clear" w:color="auto" w:fill="FFFFFF"/>
        </w:rPr>
        <w:t>三、工作成效</w:t>
      </w:r>
    </w:p>
    <w:p w14:paraId="303E044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（一）资产的基本情况。</w:t>
      </w:r>
    </w:p>
    <w:p w14:paraId="6244079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1.本地区、本部门所属行政事业单位资产账面数、负债账面数、资产清查数、负债清查数。</w:t>
      </w:r>
    </w:p>
    <w:p w14:paraId="58708F8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2.清查出的资产盘盈、资产损失以及资金挂账等情况。</w:t>
      </w:r>
    </w:p>
    <w:p w14:paraId="492B022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（二）资产使用状况。</w:t>
      </w:r>
    </w:p>
    <w:p w14:paraId="32DB540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主要包括与部门、单位履行职能和促进行政管理、事业发展相关的主要资产的使用状况。对资产报告中反映的单位资产、财务管理中存在的问题、原因等进行分析。</w:t>
      </w:r>
    </w:p>
    <w:p w14:paraId="0518DD5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（三）国有资产收益情况。</w:t>
      </w:r>
    </w:p>
    <w:p w14:paraId="3FE4C92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主要包括本地区、本部门所属行政事业单位利用国有资产对外投资、出租出借等取得的收益情况。包括收益的金额，是否纳入单位预算管理或上缴的情况等。</w:t>
      </w:r>
    </w:p>
    <w:p w14:paraId="2A4DC63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（四）其他成效。</w:t>
      </w:r>
    </w:p>
    <w:p w14:paraId="482E9190">
      <w:pPr>
        <w:shd w:val="clear" w:color="auto" w:fill="FFFFFF"/>
        <w:spacing w:line="440" w:lineRule="atLeast"/>
        <w:ind w:firstLine="482" w:firstLineChars="200"/>
        <w:rPr>
          <w:rFonts w:ascii="宋体" w:hAnsi="宋体" w:eastAsia="宋体" w:cs="宋体"/>
          <w:b/>
          <w:bCs/>
          <w:color w:val="000000"/>
          <w:kern w:val="0"/>
          <w:sz w:val="24"/>
          <w:shd w:val="clear" w:color="auto" w:fill="FFFFFF"/>
        </w:rPr>
      </w:pPr>
      <w:r>
        <w:rPr>
          <w:rFonts w:hint="eastAsia" w:ascii="宋体" w:hAnsi="宋体" w:eastAsia="宋体" w:cs="宋体"/>
          <w:b/>
          <w:bCs/>
          <w:color w:val="000000"/>
          <w:kern w:val="0"/>
          <w:sz w:val="24"/>
          <w:shd w:val="clear" w:color="auto" w:fill="FFFFFF"/>
        </w:rPr>
        <w:t>四、存在的问题及原因分析</w:t>
      </w:r>
    </w:p>
    <w:p w14:paraId="3DAA79D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（一）存在的实际问题。</w:t>
      </w:r>
    </w:p>
    <w:p w14:paraId="72D3AFF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（二）原因分析。</w:t>
      </w:r>
    </w:p>
    <w:p w14:paraId="552F7AD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（三）改进措施。</w:t>
      </w:r>
    </w:p>
    <w:p w14:paraId="01420171">
      <w:pPr>
        <w:shd w:val="clear" w:color="auto" w:fill="FFFFFF"/>
        <w:spacing w:line="440" w:lineRule="atLeast"/>
        <w:ind w:firstLine="482" w:firstLineChars="200"/>
        <w:rPr>
          <w:rFonts w:ascii="宋体" w:hAnsi="宋体" w:eastAsia="宋体" w:cs="宋体"/>
          <w:b/>
          <w:bCs/>
          <w:color w:val="000000"/>
          <w:kern w:val="0"/>
          <w:sz w:val="24"/>
          <w:shd w:val="clear" w:color="auto" w:fill="FFFFFF"/>
        </w:rPr>
      </w:pPr>
      <w:r>
        <w:rPr>
          <w:rFonts w:hint="eastAsia" w:ascii="宋体" w:hAnsi="宋体" w:eastAsia="宋体" w:cs="宋体"/>
          <w:b/>
          <w:bCs/>
          <w:color w:val="000000"/>
          <w:kern w:val="0"/>
          <w:sz w:val="24"/>
          <w:shd w:val="clear" w:color="auto" w:fill="FFFFFF"/>
        </w:rPr>
        <w:t>五、加强行政事业资产管理工作的建议</w:t>
      </w:r>
    </w:p>
    <w:p w14:paraId="3AEF8A5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（一）从管理体制、工作机制和工作流程等方面提出加强行政事业资产管理工作的建议。</w:t>
      </w:r>
    </w:p>
    <w:p w14:paraId="4031B80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（二）对本地区、本部门行政事业单位国有资产管理的工作思路和规划。</w:t>
      </w:r>
    </w:p>
    <w:p w14:paraId="749AD41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（三）其他意见建议。</w:t>
      </w:r>
    </w:p>
    <w:p w14:paraId="77CC5D3A">
      <w:pPr>
        <w:shd w:val="clear" w:color="auto" w:fill="FFFFFF"/>
        <w:spacing w:line="440" w:lineRule="atLeast"/>
        <w:ind w:firstLine="482" w:firstLineChars="200"/>
        <w:rPr>
          <w:rFonts w:ascii="宋体" w:hAnsi="宋体" w:eastAsia="宋体" w:cs="宋体"/>
          <w:b/>
          <w:bCs/>
          <w:color w:val="000000"/>
          <w:kern w:val="0"/>
          <w:sz w:val="24"/>
          <w:shd w:val="clear" w:color="auto" w:fill="FFFFFF"/>
        </w:rPr>
      </w:pPr>
      <w:r>
        <w:rPr>
          <w:rFonts w:hint="eastAsia" w:ascii="宋体" w:hAnsi="宋体" w:eastAsia="宋体" w:cs="宋体"/>
          <w:b/>
          <w:bCs/>
          <w:color w:val="000000"/>
          <w:kern w:val="0"/>
          <w:sz w:val="24"/>
          <w:shd w:val="clear" w:color="auto" w:fill="FFFFFF"/>
        </w:rPr>
        <w:t>六、其他需要报告的重要事项</w:t>
      </w:r>
    </w:p>
    <w:p w14:paraId="08E511F7">
      <w:pPr>
        <w:shd w:val="clear" w:color="auto" w:fill="FFFFFF"/>
        <w:spacing w:line="440" w:lineRule="atLeast"/>
        <w:ind w:firstLine="482" w:firstLineChars="200"/>
        <w:rPr>
          <w:rFonts w:ascii="宋体" w:hAnsi="宋体" w:eastAsia="宋体" w:cs="宋体"/>
          <w:b/>
          <w:color w:val="000000"/>
          <w:kern w:val="0"/>
          <w:sz w:val="24"/>
          <w:shd w:val="clear" w:color="auto" w:fill="FFFFFF"/>
        </w:rPr>
      </w:pPr>
      <w:r>
        <w:rPr>
          <w:rFonts w:hint="eastAsia" w:ascii="宋体" w:hAnsi="宋体" w:eastAsia="宋体" w:cs="宋体"/>
          <w:b/>
          <w:color w:val="000000"/>
          <w:kern w:val="0"/>
          <w:sz w:val="24"/>
          <w:shd w:val="clear" w:color="auto" w:fill="FFFFFF"/>
        </w:rPr>
        <w:br w:type="page"/>
      </w:r>
    </w:p>
    <w:p w14:paraId="2536DE0C">
      <w:pPr>
        <w:pStyle w:val="5"/>
        <w:spacing w:line="440" w:lineRule="atLeast"/>
        <w:jc w:val="center"/>
        <w:rPr>
          <w:rFonts w:ascii="宋体" w:hAnsi="宋体" w:eastAsia="宋体" w:cs="宋体"/>
        </w:rPr>
      </w:pPr>
      <w:bookmarkStart w:id="32" w:name="_Toc14464"/>
      <w:r>
        <w:rPr>
          <w:rFonts w:hint="eastAsia" w:ascii="宋体" w:hAnsi="宋体" w:eastAsia="宋体" w:cs="宋体"/>
        </w:rPr>
        <w:t>人力资源社会保障部　财政部关于修订印发《资产评估师职业资格制度暂行规定》和《资产评估师职业资格考试实施办法》的通知</w:t>
      </w:r>
      <w:bookmarkEnd w:id="32"/>
    </w:p>
    <w:p w14:paraId="1802CCBA">
      <w:pPr>
        <w:shd w:val="clear" w:color="auto" w:fill="FFFFFF"/>
        <w:spacing w:line="440" w:lineRule="atLeast"/>
        <w:jc w:val="center"/>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2017年5月23日人力资源社会保障部　财政部发布　人社部规〔2017〕7号</w:t>
      </w:r>
    </w:p>
    <w:p w14:paraId="48967276">
      <w:pPr>
        <w:shd w:val="clear" w:color="auto" w:fill="FFFFFF"/>
        <w:spacing w:line="440" w:lineRule="atLeast"/>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各省、自治区、直辖市及新疆生产建设兵团人力资源社会保障厅（局）、财政厅（局），国务院各部委、各直属机构人事部门，中央管理的企业：</w:t>
      </w:r>
    </w:p>
    <w:p w14:paraId="007D752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根据《中华人民共和国资产评估法》要求，为加强资产评估专业人员队伍建设，适应资产评估行业发展，在总结资产评估师职业资格制度实施情况的基础上，人力资源社会保障部、财政部修订了《资产评估师职业资格制度暂行规定》和《资产评估师职业资格考试实施办法》，现印发给你们，请遵照执行。</w:t>
      </w:r>
    </w:p>
    <w:p w14:paraId="626BEFA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自本通知施行之日起，《人力资源社会保障部　财政部关于印发资产评估师职业资格制度暂行规定和资产评估师职业资格考试实施办法的通知》（人社部发〔2015〕43号）同时废止。</w:t>
      </w:r>
    </w:p>
    <w:p w14:paraId="431E76FE">
      <w:pPr>
        <w:shd w:val="clear" w:color="auto" w:fill="FFFFFF"/>
        <w:spacing w:line="440" w:lineRule="atLeast"/>
        <w:ind w:firstLine="480" w:firstLineChars="200"/>
        <w:jc w:val="right"/>
        <w:rPr>
          <w:rFonts w:ascii="宋体" w:hAnsi="宋体" w:eastAsia="宋体" w:cs="宋体"/>
          <w:color w:val="000000"/>
          <w:kern w:val="0"/>
          <w:sz w:val="24"/>
          <w:shd w:val="clear" w:color="auto" w:fill="FFFFFF"/>
        </w:rPr>
      </w:pPr>
    </w:p>
    <w:p w14:paraId="5DA17782">
      <w:pPr>
        <w:shd w:val="clear" w:color="auto" w:fill="FFFFFF"/>
        <w:spacing w:line="440" w:lineRule="atLeast"/>
        <w:ind w:firstLine="480" w:firstLineChars="200"/>
        <w:jc w:val="right"/>
        <w:rPr>
          <w:rFonts w:ascii="宋体" w:hAnsi="宋体" w:eastAsia="宋体" w:cs="宋体"/>
          <w:color w:val="000000"/>
          <w:kern w:val="0"/>
          <w:sz w:val="24"/>
          <w:shd w:val="clear" w:color="auto" w:fill="FFFFFF"/>
        </w:rPr>
      </w:pPr>
    </w:p>
    <w:p w14:paraId="0A917A52">
      <w:pPr>
        <w:shd w:val="clear" w:color="auto" w:fill="FFFFFF"/>
        <w:spacing w:line="440" w:lineRule="atLeast"/>
        <w:ind w:firstLine="480" w:firstLineChars="200"/>
        <w:jc w:val="right"/>
        <w:rPr>
          <w:rFonts w:ascii="宋体" w:hAnsi="宋体" w:eastAsia="宋体" w:cs="宋体"/>
          <w:color w:val="000000"/>
          <w:kern w:val="0"/>
          <w:sz w:val="24"/>
          <w:shd w:val="clear" w:color="auto" w:fill="FFFFFF"/>
        </w:rPr>
      </w:pPr>
    </w:p>
    <w:p w14:paraId="6592FDA6">
      <w:pPr>
        <w:shd w:val="clear" w:color="auto" w:fill="FFFFFF"/>
        <w:spacing w:line="440" w:lineRule="atLeast"/>
        <w:ind w:firstLine="480" w:firstLineChars="200"/>
        <w:jc w:val="right"/>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人力资源社会保障部　　财政部</w:t>
      </w:r>
    </w:p>
    <w:p w14:paraId="10F65B11">
      <w:pPr>
        <w:shd w:val="clear" w:color="auto" w:fill="FFFFFF"/>
        <w:spacing w:line="440" w:lineRule="atLeast"/>
        <w:ind w:firstLine="480" w:firstLineChars="200"/>
        <w:jc w:val="right"/>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2017年5月23日</w:t>
      </w:r>
    </w:p>
    <w:p w14:paraId="216D697B">
      <w:pPr>
        <w:shd w:val="clear" w:color="auto" w:fill="FFFFFF"/>
        <w:spacing w:line="440" w:lineRule="atLeast"/>
        <w:jc w:val="center"/>
        <w:rPr>
          <w:rFonts w:ascii="宋体" w:hAnsi="宋体" w:eastAsia="宋体" w:cs="宋体"/>
          <w:b/>
          <w:color w:val="000000"/>
          <w:kern w:val="0"/>
          <w:sz w:val="32"/>
          <w:szCs w:val="32"/>
          <w:shd w:val="clear" w:color="auto" w:fill="FFFFFF"/>
        </w:rPr>
      </w:pPr>
      <w:r>
        <w:rPr>
          <w:rFonts w:hint="eastAsia" w:ascii="宋体" w:hAnsi="宋体" w:eastAsia="宋体" w:cs="宋体"/>
          <w:b/>
          <w:color w:val="000000"/>
          <w:kern w:val="0"/>
          <w:sz w:val="32"/>
          <w:szCs w:val="32"/>
          <w:shd w:val="clear" w:color="auto" w:fill="FFFFFF"/>
        </w:rPr>
        <w:t>资产评估师职业资格制度暂行规定</w:t>
      </w:r>
    </w:p>
    <w:p w14:paraId="03FA4EA3">
      <w:pPr>
        <w:shd w:val="clear" w:color="auto" w:fill="FFFFFF"/>
        <w:spacing w:line="440" w:lineRule="atLeast"/>
        <w:ind w:firstLine="560" w:firstLineChars="200"/>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第一章　总则</w:t>
      </w:r>
    </w:p>
    <w:p w14:paraId="34762FD7">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第一条</w:t>
      </w:r>
      <w:r>
        <w:rPr>
          <w:rFonts w:hint="eastAsia" w:ascii="宋体" w:hAnsi="宋体" w:eastAsia="宋体" w:cs="宋体"/>
          <w:color w:val="000000"/>
          <w:kern w:val="0"/>
          <w:sz w:val="24"/>
          <w:shd w:val="clear" w:color="auto" w:fill="FFFFFF"/>
        </w:rPr>
        <w:t>　为加强资产评估专业人员队伍建设，提高资产评估专业人员素质，规范资产评估行业管理，根据《中华人民共和国资产评估法》和国家职业资格证书制度的有关规定，制定本规定。</w:t>
      </w:r>
    </w:p>
    <w:p w14:paraId="6CB624DA">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第二条</w:t>
      </w:r>
      <w:r>
        <w:rPr>
          <w:rFonts w:hint="eastAsia" w:ascii="宋体" w:hAnsi="宋体" w:eastAsia="宋体" w:cs="宋体"/>
          <w:color w:val="000000"/>
          <w:kern w:val="0"/>
          <w:sz w:val="24"/>
          <w:shd w:val="clear" w:color="auto" w:fill="FFFFFF"/>
        </w:rPr>
        <w:t>　本规定适用于从事资产评估业务的专业人员。</w:t>
      </w:r>
    </w:p>
    <w:p w14:paraId="0999FC52">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第三条</w:t>
      </w:r>
      <w:r>
        <w:rPr>
          <w:rFonts w:hint="eastAsia" w:ascii="宋体" w:hAnsi="宋体" w:eastAsia="宋体" w:cs="宋体"/>
          <w:color w:val="000000"/>
          <w:kern w:val="0"/>
          <w:sz w:val="24"/>
          <w:shd w:val="clear" w:color="auto" w:fill="FFFFFF"/>
        </w:rPr>
        <w:t>　国家设立资产评估师水平评价类职业资格制度，面向全社会提供资产评估师能力水平评价服务，纳入全国专业技术人员职业资格证书制度统一规划。</w:t>
      </w:r>
    </w:p>
    <w:p w14:paraId="1127F4AD">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第四条</w:t>
      </w:r>
      <w:r>
        <w:rPr>
          <w:rFonts w:hint="eastAsia" w:ascii="宋体" w:hAnsi="宋体" w:eastAsia="宋体" w:cs="宋体"/>
          <w:color w:val="000000"/>
          <w:kern w:val="0"/>
          <w:sz w:val="24"/>
          <w:shd w:val="clear" w:color="auto" w:fill="FFFFFF"/>
        </w:rPr>
        <w:t>　资产评估师职业资格实行考试的评价方式。</w:t>
      </w:r>
    </w:p>
    <w:p w14:paraId="13F7492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资产评估师英文为:Public Valuer（简称PV）。</w:t>
      </w:r>
    </w:p>
    <w:p w14:paraId="302694DD">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第五条</w:t>
      </w:r>
      <w:r>
        <w:rPr>
          <w:rFonts w:hint="eastAsia" w:ascii="宋体" w:hAnsi="宋体" w:eastAsia="宋体" w:cs="宋体"/>
          <w:color w:val="000000"/>
          <w:kern w:val="0"/>
          <w:sz w:val="24"/>
          <w:shd w:val="clear" w:color="auto" w:fill="FFFFFF"/>
        </w:rPr>
        <w:t>　通过资产评估师职业资格考试并取得职业资格证书的人员，表明其已达到承办法定评估业务的要求和水平。</w:t>
      </w:r>
    </w:p>
    <w:p w14:paraId="7FEED8D4">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第六条</w:t>
      </w:r>
      <w:r>
        <w:rPr>
          <w:rFonts w:hint="eastAsia" w:ascii="宋体" w:hAnsi="宋体" w:eastAsia="宋体" w:cs="宋体"/>
          <w:color w:val="000000"/>
          <w:kern w:val="0"/>
          <w:sz w:val="24"/>
          <w:shd w:val="clear" w:color="auto" w:fill="FFFFFF"/>
        </w:rPr>
        <w:t>　人力资源社会保障部、财政部共同负责资产评估师职业资格制度的政策制定，并按职责分工对资产评估师职业资格制度的实施进行指导、监督和检查。中国资产评估协会具体承担资产评估师职业资格的评价与管理工作。</w:t>
      </w:r>
    </w:p>
    <w:p w14:paraId="2587E8A5">
      <w:pPr>
        <w:shd w:val="clear" w:color="auto" w:fill="FFFFFF"/>
        <w:spacing w:line="440" w:lineRule="atLeast"/>
        <w:ind w:firstLine="560" w:firstLineChars="200"/>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第二章　考试</w:t>
      </w:r>
    </w:p>
    <w:p w14:paraId="053EE309">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第七条</w:t>
      </w:r>
      <w:r>
        <w:rPr>
          <w:rFonts w:hint="eastAsia" w:ascii="宋体" w:hAnsi="宋体" w:eastAsia="宋体" w:cs="宋体"/>
          <w:color w:val="000000"/>
          <w:kern w:val="0"/>
          <w:sz w:val="24"/>
          <w:shd w:val="clear" w:color="auto" w:fill="FFFFFF"/>
        </w:rPr>
        <w:t>　资产评估师职业资格增设珠宝评估专业，其资格名称为资产评估师（珠宝）。资产评估师（含珠宝评估专业）职业资格（以下统称资产评估师职业资格）实行全国统一大纲、统一命题、统一组织的考试制度。</w:t>
      </w:r>
    </w:p>
    <w:p w14:paraId="7D373CB9">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第八条</w:t>
      </w:r>
      <w:r>
        <w:rPr>
          <w:rFonts w:hint="eastAsia" w:ascii="宋体" w:hAnsi="宋体" w:eastAsia="宋体" w:cs="宋体"/>
          <w:color w:val="000000"/>
          <w:kern w:val="0"/>
          <w:sz w:val="24"/>
          <w:shd w:val="clear" w:color="auto" w:fill="FFFFFF"/>
        </w:rPr>
        <w:t>　中国资产评估协会负责资产评估师职业资格考试的组织和实施工作。组织成立资产评估师职业资格考试专家委员会，研究制定资产评估师职业资格考试科目、考试大纲、考试试题和考试合格标准。</w:t>
      </w:r>
    </w:p>
    <w:p w14:paraId="65F8B18C">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第九条</w:t>
      </w:r>
      <w:r>
        <w:rPr>
          <w:rFonts w:hint="eastAsia" w:ascii="宋体" w:hAnsi="宋体" w:eastAsia="宋体" w:cs="宋体"/>
          <w:color w:val="000000"/>
          <w:kern w:val="0"/>
          <w:sz w:val="24"/>
          <w:shd w:val="clear" w:color="auto" w:fill="FFFFFF"/>
        </w:rPr>
        <w:t>　人力资源社会保障部、财政部对中国资产评估协会实施的考试工作进行监督和检查，指导中国资产评估协会确定资产评估师职业资格考试科目、考试大纲、考试试题和考试合格标准。</w:t>
      </w:r>
    </w:p>
    <w:p w14:paraId="32A3815D">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第十条</w:t>
      </w:r>
      <w:r>
        <w:rPr>
          <w:rFonts w:hint="eastAsia" w:ascii="宋体" w:hAnsi="宋体" w:eastAsia="宋体" w:cs="宋体"/>
          <w:color w:val="000000"/>
          <w:kern w:val="0"/>
          <w:sz w:val="24"/>
          <w:shd w:val="clear" w:color="auto" w:fill="FFFFFF"/>
        </w:rPr>
        <w:t>　具有高等院校专科以上学历的公民，可以参加资产评估师职业资格考试。</w:t>
      </w:r>
    </w:p>
    <w:p w14:paraId="2973F9DE">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第十一条</w:t>
      </w:r>
      <w:r>
        <w:rPr>
          <w:rFonts w:hint="eastAsia" w:ascii="宋体" w:hAnsi="宋体" w:eastAsia="宋体" w:cs="宋体"/>
          <w:color w:val="000000"/>
          <w:kern w:val="0"/>
          <w:sz w:val="24"/>
          <w:shd w:val="clear" w:color="auto" w:fill="FFFFFF"/>
        </w:rPr>
        <w:t>　资产评估师职业资格考试合格，由中国资产评估协会颁发人力资源社会保障部、财政部监制，中国资产评估协会用印的《中华人民共和国资产评估师职业资格证书》（以下简称资产评估师职业资格证书）。该证书在全国范围有效。</w:t>
      </w:r>
    </w:p>
    <w:p w14:paraId="7982447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中国资产评估协会应当在其网站上公布资产评估师名单，并实时更新。</w:t>
      </w:r>
    </w:p>
    <w:p w14:paraId="679181F4">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第十二条</w:t>
      </w:r>
      <w:r>
        <w:rPr>
          <w:rFonts w:hint="eastAsia" w:ascii="宋体" w:hAnsi="宋体" w:eastAsia="宋体" w:cs="宋体"/>
          <w:color w:val="000000"/>
          <w:kern w:val="0"/>
          <w:sz w:val="24"/>
          <w:shd w:val="clear" w:color="auto" w:fill="FFFFFF"/>
        </w:rPr>
        <w:t>　对以不正当手段取得资产评估师职业资格证书的，按照国家专业技术人员资格考试违纪违规行为处理规定处理。</w:t>
      </w:r>
    </w:p>
    <w:p w14:paraId="79DE8EDB">
      <w:pPr>
        <w:shd w:val="clear" w:color="auto" w:fill="FFFFFF"/>
        <w:spacing w:line="440" w:lineRule="atLeast"/>
        <w:ind w:firstLine="560" w:firstLineChars="200"/>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第三章　职业能力</w:t>
      </w:r>
    </w:p>
    <w:p w14:paraId="160FB621">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第十三条</w:t>
      </w:r>
      <w:r>
        <w:rPr>
          <w:rFonts w:hint="eastAsia" w:ascii="宋体" w:hAnsi="宋体" w:eastAsia="宋体" w:cs="宋体"/>
          <w:color w:val="000000"/>
          <w:kern w:val="0"/>
          <w:sz w:val="24"/>
          <w:shd w:val="clear" w:color="auto" w:fill="FFFFFF"/>
        </w:rPr>
        <w:t>　取得资产评估师职业资格证书的人员，应当遵守国家法律、法规及资产评估行业相关制度准则，恪守职业道德，秉承客观公正原则，维护国家和社会公共利益。</w:t>
      </w:r>
    </w:p>
    <w:p w14:paraId="52A743CE">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第十四条</w:t>
      </w:r>
      <w:r>
        <w:rPr>
          <w:rFonts w:hint="eastAsia" w:ascii="宋体" w:hAnsi="宋体" w:eastAsia="宋体" w:cs="宋体"/>
          <w:color w:val="000000"/>
          <w:kern w:val="0"/>
          <w:sz w:val="24"/>
          <w:shd w:val="clear" w:color="auto" w:fill="FFFFFF"/>
        </w:rPr>
        <w:t>　取得资产评估师职业资格证书的人员，应当具备的职业能力：</w:t>
      </w:r>
    </w:p>
    <w:p w14:paraId="2C5197A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（一）熟悉资产评估行业相关法律、法规和行业制度、准则；</w:t>
      </w:r>
    </w:p>
    <w:p w14:paraId="3E2D987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（二）跟踪国内外评估技术方法和评估市场的发展趋势，具有较强的开拓创新能力；</w:t>
      </w:r>
    </w:p>
    <w:p w14:paraId="44D4559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（三）运用评估专业理论与方法，较好完成资产评估业务；</w:t>
      </w:r>
    </w:p>
    <w:p w14:paraId="455AA26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（四）独立解决资产评估业务中的疑难问题。</w:t>
      </w:r>
    </w:p>
    <w:p w14:paraId="5FE92745">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第十五条</w:t>
      </w:r>
      <w:r>
        <w:rPr>
          <w:rFonts w:hint="eastAsia" w:ascii="宋体" w:hAnsi="宋体" w:eastAsia="宋体" w:cs="宋体"/>
          <w:color w:val="000000"/>
          <w:kern w:val="0"/>
          <w:sz w:val="24"/>
          <w:shd w:val="clear" w:color="auto" w:fill="FFFFFF"/>
        </w:rPr>
        <w:t>　取得资产评估师职业资格证书的人员，应当按照国家专业技术人员继续教育以及资产评估行业管理的有关规定，参加继续教育，不断更新专业知识，提高职业素质和业务能力。</w:t>
      </w:r>
    </w:p>
    <w:p w14:paraId="05ABFE46">
      <w:pPr>
        <w:shd w:val="clear" w:color="auto" w:fill="FFFFFF"/>
        <w:spacing w:line="440" w:lineRule="atLeast"/>
        <w:ind w:firstLine="560" w:firstLineChars="200"/>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第四章　附则</w:t>
      </w:r>
    </w:p>
    <w:p w14:paraId="47B3F735">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第十六条</w:t>
      </w:r>
      <w:r>
        <w:rPr>
          <w:rFonts w:hint="eastAsia" w:ascii="宋体" w:hAnsi="宋体" w:eastAsia="宋体" w:cs="宋体"/>
          <w:color w:val="000000"/>
          <w:kern w:val="0"/>
          <w:sz w:val="24"/>
          <w:shd w:val="clear" w:color="auto" w:fill="FFFFFF"/>
        </w:rPr>
        <w:t>　通过考试取得资产评估师职业资格证书的，用人单位可根据工作需要按照经济系列相应级别职称择优聘任。</w:t>
      </w:r>
    </w:p>
    <w:p w14:paraId="20F73D84">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第十七条</w:t>
      </w:r>
      <w:r>
        <w:rPr>
          <w:rFonts w:hint="eastAsia" w:ascii="宋体" w:hAnsi="宋体" w:eastAsia="宋体" w:cs="宋体"/>
          <w:color w:val="000000"/>
          <w:kern w:val="0"/>
          <w:sz w:val="24"/>
          <w:shd w:val="clear" w:color="auto" w:fill="FFFFFF"/>
        </w:rPr>
        <w:t>　本规定施行前，按照国家有关规定取得的注册资产评估师执业资格证书和资产评估师职业资格证书继续有效。</w:t>
      </w:r>
    </w:p>
    <w:p w14:paraId="5C5635FE">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第十八条</w:t>
      </w:r>
      <w:r>
        <w:rPr>
          <w:rFonts w:hint="eastAsia" w:ascii="宋体" w:hAnsi="宋体" w:eastAsia="宋体" w:cs="宋体"/>
          <w:color w:val="000000"/>
          <w:kern w:val="0"/>
          <w:sz w:val="24"/>
          <w:shd w:val="clear" w:color="auto" w:fill="FFFFFF"/>
        </w:rPr>
        <w:t>　本规定自发布之日起施行。</w:t>
      </w:r>
    </w:p>
    <w:p w14:paraId="631AA55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br w:type="page"/>
      </w:r>
    </w:p>
    <w:p w14:paraId="69DB8D9F">
      <w:pPr>
        <w:shd w:val="clear" w:color="auto" w:fill="FFFFFF"/>
        <w:spacing w:line="440" w:lineRule="atLeast"/>
        <w:jc w:val="center"/>
        <w:rPr>
          <w:rFonts w:ascii="宋体" w:hAnsi="宋体" w:eastAsia="宋体" w:cs="宋体"/>
          <w:b/>
          <w:color w:val="000000"/>
          <w:kern w:val="0"/>
          <w:sz w:val="32"/>
          <w:szCs w:val="32"/>
          <w:shd w:val="clear" w:color="auto" w:fill="FFFFFF"/>
        </w:rPr>
      </w:pPr>
      <w:r>
        <w:rPr>
          <w:rFonts w:hint="eastAsia" w:ascii="宋体" w:hAnsi="宋体" w:eastAsia="宋体" w:cs="宋体"/>
          <w:b/>
          <w:color w:val="000000"/>
          <w:kern w:val="0"/>
          <w:sz w:val="32"/>
          <w:szCs w:val="32"/>
          <w:shd w:val="clear" w:color="auto" w:fill="FFFFFF"/>
        </w:rPr>
        <w:t>资产评估师职业资格考试实施办法</w:t>
      </w:r>
    </w:p>
    <w:p w14:paraId="18093EB6">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第一条</w:t>
      </w:r>
      <w:r>
        <w:rPr>
          <w:rFonts w:hint="eastAsia" w:ascii="宋体" w:hAnsi="宋体" w:eastAsia="宋体" w:cs="宋体"/>
          <w:color w:val="000000"/>
          <w:kern w:val="0"/>
          <w:sz w:val="24"/>
          <w:shd w:val="clear" w:color="auto" w:fill="FFFFFF"/>
        </w:rPr>
        <w:t>　人力资源社会保障部、财政部按照职责分工负责指导、监督和检查资产评估师职业资格考试的实施工作。</w:t>
      </w:r>
    </w:p>
    <w:p w14:paraId="7A93FE09">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第二条</w:t>
      </w:r>
      <w:r>
        <w:rPr>
          <w:rFonts w:hint="eastAsia" w:ascii="宋体" w:hAnsi="宋体" w:eastAsia="宋体" w:cs="宋体"/>
          <w:color w:val="000000"/>
          <w:kern w:val="0"/>
          <w:sz w:val="24"/>
          <w:shd w:val="clear" w:color="auto" w:fill="FFFFFF"/>
        </w:rPr>
        <w:t>　中国资产评估协会具体负责资产评估师职业资格考试的实施工作。</w:t>
      </w:r>
    </w:p>
    <w:p w14:paraId="2F2F32CD">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第三条</w:t>
      </w:r>
      <w:r>
        <w:rPr>
          <w:rFonts w:hint="eastAsia" w:ascii="宋体" w:hAnsi="宋体" w:eastAsia="宋体" w:cs="宋体"/>
          <w:color w:val="000000"/>
          <w:kern w:val="0"/>
          <w:sz w:val="24"/>
          <w:shd w:val="clear" w:color="auto" w:fill="FFFFFF"/>
        </w:rPr>
        <w:t>　资产评估师职业资格考试设《资产评估基础》《资产评估相关知识》《资产评估实务（一）》和《资产评估实务（二）》4个科目。每个科目的考试时间为3小时。资产评估师职业资格考试原则上每年举行一次。</w:t>
      </w:r>
    </w:p>
    <w:p w14:paraId="0B9BC94F">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第四条</w:t>
      </w:r>
      <w:r>
        <w:rPr>
          <w:rFonts w:hint="eastAsia" w:ascii="宋体" w:hAnsi="宋体" w:eastAsia="宋体" w:cs="宋体"/>
          <w:color w:val="000000"/>
          <w:kern w:val="0"/>
          <w:sz w:val="24"/>
          <w:shd w:val="clear" w:color="auto" w:fill="FFFFFF"/>
        </w:rPr>
        <w:t>　资产评估师（珠宝）职业资格考试设《资产评估基础》《资产评估相关知识》《珠宝鉴定与评估》《珠宝评估实务》4个科目。其中《资产评估基础》和《资产评估相关知识》2个科目纳入资产评估师职业资格统一考试；《珠宝鉴定与评估》和《珠宝评估实务》科目考试原则上每两年举行一次。</w:t>
      </w:r>
    </w:p>
    <w:p w14:paraId="7EA0558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《珠宝评估鉴定与评估》和《珠宝评估实务》每个科目的考试时间为3小时。</w:t>
      </w:r>
    </w:p>
    <w:p w14:paraId="504B6677">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第五条</w:t>
      </w:r>
      <w:r>
        <w:rPr>
          <w:rFonts w:hint="eastAsia" w:ascii="宋体" w:hAnsi="宋体" w:eastAsia="宋体" w:cs="宋体"/>
          <w:color w:val="000000"/>
          <w:kern w:val="0"/>
          <w:sz w:val="24"/>
          <w:shd w:val="clear" w:color="auto" w:fill="FFFFFF"/>
        </w:rPr>
        <w:t>　资产评估师（含珠宝评估专业）职业资格考试成绩实行4年为一个周期的滚动管理办法。在连续4年内，参加全部（4个）科目的考试并合格，可取得相应资产评估师职业资格证书。</w:t>
      </w:r>
    </w:p>
    <w:p w14:paraId="168D52ED">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第六条</w:t>
      </w:r>
      <w:r>
        <w:rPr>
          <w:rFonts w:hint="eastAsia" w:ascii="宋体" w:hAnsi="宋体" w:eastAsia="宋体" w:cs="宋体"/>
          <w:color w:val="000000"/>
          <w:kern w:val="0"/>
          <w:sz w:val="24"/>
          <w:shd w:val="clear" w:color="auto" w:fill="FFFFFF"/>
        </w:rPr>
        <w:t>　符合《资产评估师职业资格制度暂行规定》（以下简称《暂行规定》）</w:t>
      </w:r>
      <w:r>
        <w:rPr>
          <w:rFonts w:hint="eastAsia" w:ascii="宋体" w:hAnsi="宋体" w:eastAsia="宋体" w:cs="宋体"/>
          <w:b/>
          <w:color w:val="000000"/>
          <w:kern w:val="0"/>
          <w:sz w:val="24"/>
          <w:shd w:val="clear" w:color="auto" w:fill="FFFFFF"/>
        </w:rPr>
        <w:t>第十条</w:t>
      </w:r>
      <w:r>
        <w:rPr>
          <w:rFonts w:hint="eastAsia" w:ascii="宋体" w:hAnsi="宋体" w:eastAsia="宋体" w:cs="宋体"/>
          <w:color w:val="000000"/>
          <w:kern w:val="0"/>
          <w:sz w:val="24"/>
          <w:shd w:val="clear" w:color="auto" w:fill="FFFFFF"/>
        </w:rPr>
        <w:t>考试报名条件的人员，可申请参加资产评估师（含珠宝评估专业）职业资格考试。</w:t>
      </w:r>
    </w:p>
    <w:p w14:paraId="6605CF5C">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第七条</w:t>
      </w:r>
      <w:r>
        <w:rPr>
          <w:rFonts w:hint="eastAsia" w:ascii="宋体" w:hAnsi="宋体" w:eastAsia="宋体" w:cs="宋体"/>
          <w:color w:val="000000"/>
          <w:kern w:val="0"/>
          <w:sz w:val="24"/>
          <w:shd w:val="clear" w:color="auto" w:fill="FFFFFF"/>
        </w:rPr>
        <w:t>　符合《暂行规定》第十条考试报名条件，并具备下列一项条件的人员，可免试相应科目。</w:t>
      </w:r>
    </w:p>
    <w:p w14:paraId="7DDA1D0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按照国家有关规定取得高级会计师、高级审计师、高级经济师职称，或者通过全国统一考试取得注册会计师证书，可免试资产评估师职业资格《资产评估相关知识》科目，只参加《资产评估基础》《资产评估实务（一）》《资产评估实务（二）》3个科目的考试。</w:t>
      </w:r>
    </w:p>
    <w:p w14:paraId="05DAD2A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按照国家有关规定取得资产评估专业副教授及以上职称，可免试资产评估师职业资格《资产评估基础》科目，只参加《资产评估相关知识》《资产评估实务（一）》《资产评估实务（二）》3个科目的考试。</w:t>
      </w:r>
    </w:p>
    <w:p w14:paraId="42ED03A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（三）通过全国统一考试取得资产评估师职业资格证书，可免试资产评估师（珠宝）职业资格《资产评估基础》《资产评估相关知识》2个科目，只参加《珠宝鉴定与评估》和《珠宝评估实务》2个科目的考试。</w:t>
      </w:r>
    </w:p>
    <w:p w14:paraId="144201E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免试部分科目的人员在报名时，应当提供相应证明。</w:t>
      </w:r>
    </w:p>
    <w:p w14:paraId="1FDBAE14">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第八条</w:t>
      </w:r>
      <w:r>
        <w:rPr>
          <w:rFonts w:hint="eastAsia" w:ascii="宋体" w:hAnsi="宋体" w:eastAsia="宋体" w:cs="宋体"/>
          <w:color w:val="000000"/>
          <w:kern w:val="0"/>
          <w:sz w:val="24"/>
          <w:shd w:val="clear" w:color="auto" w:fill="FFFFFF"/>
        </w:rPr>
        <w:t>　免试部分科目人员的考试成绩，以应试科目数量确定其合格成绩管理滚动有效期限。参加3个科目考试其合格成绩以3年为一个滚动管理周期；参加2个科目考试其合格成绩以2年为一个滚动管理周期。免试部分科目的人员，必须在连续3年或者2年内取得应试科目的合格成绩，方可取得相应资产评估师职业资格证书。</w:t>
      </w:r>
    </w:p>
    <w:p w14:paraId="31C1DC62">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第九条</w:t>
      </w:r>
      <w:r>
        <w:rPr>
          <w:rFonts w:hint="eastAsia" w:ascii="宋体" w:hAnsi="宋体" w:eastAsia="宋体" w:cs="宋体"/>
          <w:color w:val="000000"/>
          <w:kern w:val="0"/>
          <w:sz w:val="24"/>
          <w:shd w:val="clear" w:color="auto" w:fill="FFFFFF"/>
        </w:rPr>
        <w:t>　为保证资产评估师考试科目名称调整的平稳过渡，在2017年度考试报名时，应按如下要求进行：</w:t>
      </w:r>
    </w:p>
    <w:p w14:paraId="0ED317A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（一）在2017年以前，已按照原《资产评估师职业资格考试实施办法》取得部分考试科目合格成绩的人员，可按照以下两种情况报考：</w:t>
      </w:r>
    </w:p>
    <w:p w14:paraId="64C1908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1.2017年度继续按照原考试科目要求参加剩余科目的考试，考试结束后仍未取得资产评估师职业资格证书的人员，有效成绩按照以下对应关系转换至新的科目，并按照4年为一个滚动周期的办法管理；</w:t>
      </w:r>
    </w:p>
    <w:p w14:paraId="7BC8331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2.2017年度申请参加新科目考试，有效成绩按照以下对应关系转换至新的科目，并按照4年为一个滚动周期的办法管理。</w:t>
      </w:r>
    </w:p>
    <w:p w14:paraId="0FF1148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（二）其他人员应当按照本办法规定的科目报名参加考试。</w:t>
      </w:r>
    </w:p>
    <w:p w14:paraId="7B4CDF2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自2018年起，资产评估师职业资格考试报名均应按照本办法规定的科目和要求进行。</w:t>
      </w:r>
    </w:p>
    <w:p w14:paraId="31040E41">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第十条</w:t>
      </w:r>
      <w:r>
        <w:rPr>
          <w:rFonts w:hint="eastAsia" w:ascii="宋体" w:hAnsi="宋体" w:eastAsia="宋体" w:cs="宋体"/>
          <w:color w:val="000000"/>
          <w:kern w:val="0"/>
          <w:sz w:val="24"/>
          <w:shd w:val="clear" w:color="auto" w:fill="FFFFFF"/>
        </w:rPr>
        <w:t>　参加考试由本人提出申请，按考试管理机构有关考试报名的规定办理手续。考试管理机构按照规定的程序和报名条件审核合格后，核发准考证。参加考试人员凭准考证和有效证件在指定的日期、时间和地点参加考试。</w:t>
      </w:r>
    </w:p>
    <w:p w14:paraId="0D63D0D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中央和国务院各部门及所属单位、中央管理企业的人员按属地原则报名参加考试。</w:t>
      </w:r>
    </w:p>
    <w:p w14:paraId="678CD54E">
      <w:pPr>
        <w:shd w:val="clear" w:color="auto" w:fill="FFFFFF"/>
        <w:spacing w:line="440" w:lineRule="atLeast"/>
        <w:ind w:firstLine="482" w:firstLineChars="200"/>
        <w:rPr>
          <w:rFonts w:ascii="宋体" w:hAnsi="宋体" w:eastAsia="宋体" w:cs="宋体"/>
          <w:b/>
          <w:color w:val="000000"/>
          <w:kern w:val="0"/>
          <w:sz w:val="24"/>
          <w:shd w:val="clear" w:color="auto" w:fill="FFFFFF"/>
        </w:rPr>
      </w:pPr>
      <w:r>
        <w:rPr>
          <w:rFonts w:hint="eastAsia" w:ascii="宋体" w:hAnsi="宋体" w:eastAsia="宋体" w:cs="宋体"/>
          <w:b/>
          <w:color w:val="000000"/>
          <w:kern w:val="0"/>
          <w:sz w:val="24"/>
          <w:shd w:val="clear" w:color="auto" w:fill="FFFFFF"/>
        </w:rPr>
        <w:t>第十一条</w:t>
      </w:r>
      <w:r>
        <w:rPr>
          <w:rFonts w:hint="eastAsia" w:ascii="宋体" w:hAnsi="宋体" w:eastAsia="宋体" w:cs="宋体"/>
          <w:color w:val="000000"/>
          <w:kern w:val="0"/>
          <w:sz w:val="24"/>
          <w:shd w:val="clear" w:color="auto" w:fill="FFFFFF"/>
        </w:rPr>
        <w:t>　资产评估师（含珠宝评估专业）职业资格考试的考点，原则上设在直辖市和省会城市的中、高等学校或者高考定点学校。如确需在其他城市设置考点，须经中国资产评估协会批准。考试日期原则上在每年的</w:t>
      </w:r>
      <w:r>
        <w:rPr>
          <w:rFonts w:hint="eastAsia" w:ascii="宋体" w:hAnsi="宋体" w:eastAsia="宋体" w:cs="宋体"/>
          <w:bCs/>
          <w:color w:val="000000"/>
          <w:kern w:val="0"/>
          <w:sz w:val="24"/>
          <w:shd w:val="clear" w:color="auto" w:fill="FFFFFF"/>
        </w:rPr>
        <w:t>第三季度。</w:t>
      </w:r>
    </w:p>
    <w:p w14:paraId="1946C249">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第十二条</w:t>
      </w:r>
      <w:r>
        <w:rPr>
          <w:rFonts w:hint="eastAsia" w:ascii="宋体" w:hAnsi="宋体" w:eastAsia="宋体" w:cs="宋体"/>
          <w:color w:val="000000"/>
          <w:kern w:val="0"/>
          <w:sz w:val="24"/>
          <w:shd w:val="clear" w:color="auto" w:fill="FFFFFF"/>
        </w:rPr>
        <w:t>　坚持考试与培训分开的原则。凡参与考试工作（包括命题、审题与组织管理等）的人员，不得参加考试，也不得参加或者举办与考试内容相关的培训工作。应考人员参加培训坚持自愿原则。</w:t>
      </w:r>
    </w:p>
    <w:p w14:paraId="5F94759D">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第十三条</w:t>
      </w:r>
      <w:r>
        <w:rPr>
          <w:rFonts w:hint="eastAsia" w:ascii="宋体" w:hAnsi="宋体" w:eastAsia="宋体" w:cs="宋体"/>
          <w:color w:val="000000"/>
          <w:kern w:val="0"/>
          <w:sz w:val="24"/>
          <w:shd w:val="clear" w:color="auto" w:fill="FFFFFF"/>
        </w:rPr>
        <w:t>　考试实施机构及其工作人员，应当严格执行《人事考试工作人员纪律规定》（人社部发〔2013〕36号）和考试工作的各项规章制度，遵守考试工作纪律，切实做好从考试试题的命制到使用等各环节的安全保密工作，严防泄密。</w:t>
      </w:r>
    </w:p>
    <w:p w14:paraId="0847DB74">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第十四条</w:t>
      </w:r>
      <w:r>
        <w:rPr>
          <w:rFonts w:hint="eastAsia" w:ascii="宋体" w:hAnsi="宋体" w:eastAsia="宋体" w:cs="宋体"/>
          <w:color w:val="000000"/>
          <w:kern w:val="0"/>
          <w:sz w:val="24"/>
          <w:shd w:val="clear" w:color="auto" w:fill="FFFFFF"/>
        </w:rPr>
        <w:t>　对违反考试工作纪律和有关规定的人员，按照国家专业技术人员资格考试违纪违规行为处理规定处理。</w:t>
      </w:r>
    </w:p>
    <w:p w14:paraId="31029C2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br w:type="page"/>
      </w:r>
    </w:p>
    <w:p w14:paraId="14E42494">
      <w:pPr>
        <w:pStyle w:val="5"/>
        <w:spacing w:line="440" w:lineRule="atLeast"/>
        <w:jc w:val="center"/>
        <w:rPr>
          <w:rFonts w:ascii="宋体" w:hAnsi="宋体" w:eastAsia="宋体" w:cs="宋体"/>
        </w:rPr>
      </w:pPr>
      <w:bookmarkStart w:id="33" w:name="_Toc16580"/>
      <w:r>
        <w:rPr>
          <w:rFonts w:hint="eastAsia" w:ascii="宋体" w:hAnsi="宋体" w:eastAsia="宋体" w:cs="宋体"/>
        </w:rPr>
        <w:t>关于做好资产评估机构备案管理工作的通知</w:t>
      </w:r>
      <w:bookmarkEnd w:id="33"/>
    </w:p>
    <w:p w14:paraId="1AEC9A54">
      <w:pPr>
        <w:shd w:val="clear" w:color="auto" w:fill="FFFFFF"/>
        <w:spacing w:line="440" w:lineRule="atLeast"/>
        <w:jc w:val="center"/>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2017年7月14日财政部发布　财资〔2017〕26号</w:t>
      </w:r>
    </w:p>
    <w:p w14:paraId="5DB8A85C">
      <w:pPr>
        <w:shd w:val="clear" w:color="auto" w:fill="FFFFFF"/>
        <w:spacing w:line="440" w:lineRule="atLeast"/>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各省、自治区、直辖市、计划单列市财政厅（局）：</w:t>
      </w:r>
    </w:p>
    <w:p w14:paraId="0E6F47F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根据《中华人民共和国资产评估法》（以下简称《资产评估法》）和《资产评估行业财政监督管理办法》（财政部令第86号，以下简称《办法》），请各省、自治区、直辖市、计划单列市财政厅（局）（以下简称省级财政部门）认真做好本地区资产评估机构和分支机构备案工作，明确工作程序，落实工作职责，提高工作效率。现将有关事项通知如下：</w:t>
      </w:r>
    </w:p>
    <w:p w14:paraId="2BF40731">
      <w:pPr>
        <w:shd w:val="clear" w:color="auto" w:fill="FFFFFF"/>
        <w:spacing w:line="440" w:lineRule="atLeast"/>
        <w:ind w:firstLine="482" w:firstLineChars="200"/>
        <w:rPr>
          <w:rFonts w:ascii="宋体" w:hAnsi="宋体" w:eastAsia="宋体" w:cs="宋体"/>
          <w:b/>
          <w:bCs/>
          <w:color w:val="000000"/>
          <w:kern w:val="0"/>
          <w:sz w:val="24"/>
          <w:shd w:val="clear" w:color="auto" w:fill="FFFFFF"/>
        </w:rPr>
      </w:pPr>
      <w:r>
        <w:rPr>
          <w:rFonts w:hint="eastAsia" w:ascii="宋体" w:hAnsi="宋体" w:eastAsia="宋体" w:cs="宋体"/>
          <w:b/>
          <w:bCs/>
          <w:color w:val="000000"/>
          <w:kern w:val="0"/>
          <w:sz w:val="24"/>
          <w:shd w:val="clear" w:color="auto" w:fill="FFFFFF"/>
        </w:rPr>
        <w:t>一、资产评估机构和分支机构登记备案管理</w:t>
      </w:r>
    </w:p>
    <w:p w14:paraId="461333D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（一）资产评估机构应当自领取营业执照之日起30日内向所在地省级财政部门备案。</w:t>
      </w:r>
    </w:p>
    <w:p w14:paraId="53B4BF8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（二）资产评估机构备案，应当提交以下材料：</w:t>
      </w:r>
    </w:p>
    <w:p w14:paraId="284EF87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1.《资产评估机构备案表》（附件1）；</w:t>
      </w:r>
    </w:p>
    <w:p w14:paraId="6E5F258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2．营业执照复印件；</w:t>
      </w:r>
    </w:p>
    <w:p w14:paraId="2C3B37F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3．经工商行政管理机关登记的合伙协议或公司章程；</w:t>
      </w:r>
    </w:p>
    <w:p w14:paraId="4F3A0DD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4.《资产评估机构合伙人（股东）信息汇总表》（附件2-1）、《资产评估机构合伙人（股东）简历》（附件2-2）及由资产评估机构为其自然人合伙人（股东）缴纳社会保险费的复印件（内退、下岗、退休人员除外），有法人合伙人（股东）的，还应当提交《资产评估机构法人合伙人（股东）信息表》（附件2-3）、法人合伙人（股东）营业执照复印件；</w:t>
      </w:r>
    </w:p>
    <w:p w14:paraId="3FB757F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5.《资产评估专业人员情况汇总表》（附件3-1）、《资产评估师转所表》（附件3-2）、其他专业领域的评估师资格证书复印件；</w:t>
      </w:r>
    </w:p>
    <w:p w14:paraId="1AACC91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6.《办法》规定的资产评估机构质量控制制度和内部管理制度。</w:t>
      </w:r>
    </w:p>
    <w:p w14:paraId="4A86141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（三）资产评估机构办理分支机构备案，应当提交以下材料：</w:t>
      </w:r>
    </w:p>
    <w:p w14:paraId="702B995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1.《资产评估机构设立分支机构备案表》（附件4）；</w:t>
      </w:r>
    </w:p>
    <w:p w14:paraId="429E79E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2.分支机构营业执照复印件；</w:t>
      </w:r>
    </w:p>
    <w:p w14:paraId="69F0DBE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3.资产评估机构授权分支机构的业务范围；</w:t>
      </w:r>
    </w:p>
    <w:p w14:paraId="716FCD0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4.《资产评估机构分支机构负责人简历》（附件5）以及由资产评估机构或分支机构为其分支机构负责人缴纳社会保险费的复印件（内退、下岗、退休人员除外）；</w:t>
      </w:r>
    </w:p>
    <w:p w14:paraId="73C8C9F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5.《资产评估专业人员情况汇总表》（附件3-1）、《资产评估师转所表》（附件3-2）。</w:t>
      </w:r>
    </w:p>
    <w:p w14:paraId="7102C8C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各省级财政部门应当根据《办法》的有关规定收齐备案材料，对于资产评估机构申报的资产评估师信息，省级财政部门应当在公开前向地方资产评估协会核实，其中资产评估师（珠宝）由地方资产评估协会转中国资产评估协会核实。</w:t>
      </w:r>
    </w:p>
    <w:p w14:paraId="6B0F5B7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资产评估机构或分支机构的备案材料不齐全或者不符合要求的，省级财政部门应当在接到备案材料5个工作日内一次性告知需要补正的全部内容，并给予指导。资产评估机构或分支机构应当根据省级财政部门的要求，在15个工作日内补正。逾期不补正的，视同未备案。</w:t>
      </w:r>
    </w:p>
    <w:p w14:paraId="4BD3773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六）备案材料完备且符合要求的，省级财政部门收齐备案材料即完成备案，并在20个工作日内将资产评估机构或分支机构备案信息，在备案信息管理系统中进行备案确认，同时以公函编号向社会公告（附件6）。公告发布在省级财政部门、资产评估协会指定网站。</w:t>
      </w:r>
    </w:p>
    <w:p w14:paraId="63A3B4A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（七）资产评估机构分支机构完成备案的，资产评估机构分支机构所在地省级财政部门，还应当通过备案信息管理系统，告知资产评估机构所在地省级财政部门。</w:t>
      </w:r>
    </w:p>
    <w:p w14:paraId="0C4DCCC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（八）资产评估机构及其分支机构备案后，加入资产评估协会，平等享有资产评估协会章程规定的权利，履行章程规定的义务。</w:t>
      </w:r>
    </w:p>
    <w:p w14:paraId="327684E2">
      <w:pPr>
        <w:shd w:val="clear" w:color="auto" w:fill="FFFFFF"/>
        <w:spacing w:line="440" w:lineRule="atLeast"/>
        <w:ind w:firstLine="482" w:firstLineChars="200"/>
        <w:rPr>
          <w:rFonts w:ascii="宋体" w:hAnsi="宋体" w:eastAsia="宋体" w:cs="宋体"/>
          <w:b/>
          <w:bCs/>
          <w:color w:val="000000"/>
          <w:kern w:val="0"/>
          <w:sz w:val="24"/>
          <w:shd w:val="clear" w:color="auto" w:fill="FFFFFF"/>
        </w:rPr>
      </w:pPr>
      <w:r>
        <w:rPr>
          <w:rFonts w:hint="eastAsia" w:ascii="宋体" w:hAnsi="宋体" w:eastAsia="宋体" w:cs="宋体"/>
          <w:b/>
          <w:bCs/>
          <w:color w:val="000000"/>
          <w:kern w:val="0"/>
          <w:sz w:val="24"/>
          <w:shd w:val="clear" w:color="auto" w:fill="FFFFFF"/>
        </w:rPr>
        <w:t>二、资产评估机构和分支机构变更备案管理</w:t>
      </w:r>
    </w:p>
    <w:p w14:paraId="069CF91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九）资产评估机构的名称、执行合伙事务的合伙人或者法定代表人、合伙人或者股东，分支机构的名称、负责人发生变更，以及发生机构分立、合并、转制、撤销等重大事项，应当自工商变更登记完成之日起15个工作日内，向相关省级财政部门办理变更备案手续，填写《资产评估机构变更事项备案表》（附件7-1）、《资产评估机构分支机构变更事项备案表》（附件7-2），比照本通知（二）至（三）的规定，附送股东会决议（合伙人决议）以及其他变更涉及事项的相关证明材料。不需要变更工商登记的，自变更之日起15个工作日内，向相关省级财政部门办理变更备案手续。</w:t>
      </w:r>
    </w:p>
    <w:p w14:paraId="07A3EC0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十）省级财政部门应当比照本通知第（四）至（七）的规定办理变更备案手续，对变更备案材料完备且符合要求的，将资产评估机构或分支机构变更备案信息在备案信息管理系统中进行备案确认，并向社会公告（附件8）。</w:t>
      </w:r>
    </w:p>
    <w:p w14:paraId="1D1D563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资产评估机构分支机构变更备案的，资产评估机构分支机构所在地省级财政部门，还应当通过备案信息管理系统，告知资产评估机构所在地省级财政部门。</w:t>
      </w:r>
    </w:p>
    <w:p w14:paraId="6DC0353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（十一）资产评估机构办理合并、分立、转制变更手续的，省级财政部门应当在社会公告中注明，合并、分立、转制前后机构备案的债权债务、档案保管、资产评估业务、执业责任等承继关系。</w:t>
      </w:r>
    </w:p>
    <w:p w14:paraId="440CAC03">
      <w:pPr>
        <w:shd w:val="clear" w:color="auto" w:fill="FFFFFF"/>
        <w:spacing w:line="440" w:lineRule="atLeast"/>
        <w:ind w:firstLine="482" w:firstLineChars="200"/>
        <w:rPr>
          <w:rFonts w:ascii="宋体" w:hAnsi="宋体" w:eastAsia="宋体" w:cs="宋体"/>
          <w:b/>
          <w:bCs/>
          <w:color w:val="000000"/>
          <w:kern w:val="0"/>
          <w:sz w:val="24"/>
          <w:shd w:val="clear" w:color="auto" w:fill="FFFFFF"/>
        </w:rPr>
      </w:pPr>
      <w:r>
        <w:rPr>
          <w:rFonts w:hint="eastAsia" w:ascii="宋体" w:hAnsi="宋体" w:eastAsia="宋体" w:cs="宋体"/>
          <w:b/>
          <w:bCs/>
          <w:color w:val="000000"/>
          <w:kern w:val="0"/>
          <w:sz w:val="24"/>
          <w:shd w:val="clear" w:color="auto" w:fill="FFFFFF"/>
        </w:rPr>
        <w:t>三、资产评估机构和分支机构注销备案管理</w:t>
      </w:r>
    </w:p>
    <w:p w14:paraId="7AE5BD0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（十二）已完成备案的资产评估机构或者分支机构有下列行为之一的，省级财政部门应当及时予以注销备案，同时在备案信息管理系统中注销相应信息，并向社会公告（附件9）：</w:t>
      </w:r>
    </w:p>
    <w:p w14:paraId="69DF7A1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1.注销工商登记的；</w:t>
      </w:r>
    </w:p>
    <w:p w14:paraId="736EA6E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2.被工商行政管理机关吊销营业执照的；</w:t>
      </w:r>
    </w:p>
    <w:p w14:paraId="59BDD4D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3.主动要求注销备案的。</w:t>
      </w:r>
    </w:p>
    <w:p w14:paraId="7F115D8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（十三）注销备案的资产评估机构及其分支机构的资产评估业务档案，应当按照《中华人民共和国档案法》和资产评估档案管理的有关规定予以妥善保存。</w:t>
      </w:r>
    </w:p>
    <w:p w14:paraId="5D0C5006">
      <w:pPr>
        <w:shd w:val="clear" w:color="auto" w:fill="FFFFFF"/>
        <w:spacing w:line="440" w:lineRule="atLeast"/>
        <w:ind w:firstLine="482" w:firstLineChars="200"/>
        <w:rPr>
          <w:rFonts w:ascii="宋体" w:hAnsi="宋体" w:eastAsia="宋体" w:cs="宋体"/>
          <w:b/>
          <w:bCs/>
          <w:color w:val="000000"/>
          <w:kern w:val="0"/>
          <w:sz w:val="24"/>
          <w:shd w:val="clear" w:color="auto" w:fill="FFFFFF"/>
        </w:rPr>
      </w:pPr>
      <w:r>
        <w:rPr>
          <w:rFonts w:hint="eastAsia" w:ascii="宋体" w:hAnsi="宋体" w:eastAsia="宋体" w:cs="宋体"/>
          <w:b/>
          <w:bCs/>
          <w:color w:val="000000"/>
          <w:kern w:val="0"/>
          <w:sz w:val="24"/>
          <w:shd w:val="clear" w:color="auto" w:fill="FFFFFF"/>
        </w:rPr>
        <w:t>四、新旧制度过渡有关事项</w:t>
      </w:r>
    </w:p>
    <w:p w14:paraId="7183291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十四）原取得资产评估资格证书的资产评估机构以及分支机构,应当在本通知发布之日起六个月内,向所在地省级财政部门交回原资产评估资格证书，符合《资产评估法》第十五条规定条件的，由所在地省级财政部门进行备案公告。</w:t>
      </w:r>
    </w:p>
    <w:p w14:paraId="17E8F7A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（十五）《办法》发布前已在工商行政管理部门登记的，拟从事资产评估业务的机构，应当自本通知发布之日起30日内向所在地省级财政部门备案。</w:t>
      </w:r>
    </w:p>
    <w:p w14:paraId="6E46C192">
      <w:pPr>
        <w:shd w:val="clear" w:color="auto" w:fill="FFFFFF"/>
        <w:spacing w:line="440" w:lineRule="atLeast"/>
        <w:ind w:firstLine="482" w:firstLineChars="200"/>
        <w:rPr>
          <w:rFonts w:ascii="宋体" w:hAnsi="宋体" w:eastAsia="宋体" w:cs="宋体"/>
          <w:b/>
          <w:bCs/>
          <w:color w:val="000000"/>
          <w:kern w:val="0"/>
          <w:sz w:val="24"/>
          <w:shd w:val="clear" w:color="auto" w:fill="FFFFFF"/>
        </w:rPr>
      </w:pPr>
      <w:r>
        <w:rPr>
          <w:rFonts w:hint="eastAsia" w:ascii="宋体" w:hAnsi="宋体" w:eastAsia="宋体" w:cs="宋体"/>
          <w:b/>
          <w:bCs/>
          <w:color w:val="000000"/>
          <w:kern w:val="0"/>
          <w:sz w:val="24"/>
          <w:shd w:val="clear" w:color="auto" w:fill="FFFFFF"/>
        </w:rPr>
        <w:t>五、其它事项</w:t>
      </w:r>
    </w:p>
    <w:p w14:paraId="66501E3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（十六）本通知所称的其他专业领域的评估师，是指根据《资产评估法》和国务院有关文件规定，按照职责分工由财政部门以外的评估行政管理部门监管的评估师。</w:t>
      </w:r>
    </w:p>
    <w:p w14:paraId="788E480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（十七）备案信息管理系统自动生成资产评估机构顺序编号，用于备案信息管理系统后台管理。</w:t>
      </w:r>
    </w:p>
    <w:p w14:paraId="017010A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（十八）在执行本通知过程中如遇有问题，请及时向财政部（资产管理司）反映。</w:t>
      </w:r>
    </w:p>
    <w:p w14:paraId="1D25244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（十九）本通知自发布之日起施行。《财政部关于贯彻实施&lt;资产评估机构审批和监督管理办法&gt;　认真做好资产评估机构管理工作的通知》（财企〔2011〕450号）、《财政部关于评估机构母子公司试点有关问题的通知》（财企〔2010〕347号）、《财政部关于规范珠宝首饰艺术品评估管理有关问题的通知》（财企〔2007〕141号）同时废止。</w:t>
      </w:r>
    </w:p>
    <w:p w14:paraId="2A34BF55">
      <w:pPr>
        <w:shd w:val="clear" w:color="auto" w:fill="FFFFFF"/>
        <w:spacing w:line="440" w:lineRule="atLeast"/>
        <w:ind w:firstLine="480" w:firstLineChars="200"/>
        <w:rPr>
          <w:rFonts w:ascii="宋体" w:hAnsi="宋体" w:eastAsia="宋体" w:cs="宋体"/>
          <w:color w:val="000000"/>
          <w:kern w:val="0"/>
          <w:sz w:val="24"/>
          <w:shd w:val="clear" w:color="auto" w:fill="FFFFFF"/>
        </w:rPr>
      </w:pPr>
      <w:bookmarkStart w:id="34" w:name="_Toc15426"/>
    </w:p>
    <w:p w14:paraId="04C9683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附件：1.资产评估机构备案表</w:t>
      </w:r>
      <w:bookmarkEnd w:id="34"/>
    </w:p>
    <w:p w14:paraId="1CD9E6C4">
      <w:pPr>
        <w:shd w:val="clear" w:color="auto" w:fill="FFFFFF"/>
        <w:spacing w:line="440" w:lineRule="atLeast"/>
        <w:ind w:firstLine="1200" w:firstLineChars="5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2-1.资产评估机构合伙人（股东）信息汇总表</w:t>
      </w:r>
    </w:p>
    <w:p w14:paraId="6F26B061">
      <w:pPr>
        <w:shd w:val="clear" w:color="auto" w:fill="FFFFFF"/>
        <w:spacing w:line="440" w:lineRule="atLeast"/>
        <w:ind w:firstLine="1200" w:firstLineChars="5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2-2.资产评估机构合伙人（股东）简历</w:t>
      </w:r>
    </w:p>
    <w:p w14:paraId="50D42CCD">
      <w:pPr>
        <w:shd w:val="clear" w:color="auto" w:fill="FFFFFF"/>
        <w:spacing w:line="440" w:lineRule="atLeast"/>
        <w:ind w:firstLine="1200" w:firstLineChars="5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2-3.资产评估机构法人合伙人（股东）信息表</w:t>
      </w:r>
    </w:p>
    <w:p w14:paraId="04BBB9FE">
      <w:pPr>
        <w:shd w:val="clear" w:color="auto" w:fill="FFFFFF"/>
        <w:spacing w:line="440" w:lineRule="atLeast"/>
        <w:ind w:firstLine="1200" w:firstLineChars="5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3-1.资产评估专业人员情况汇总表</w:t>
      </w:r>
    </w:p>
    <w:p w14:paraId="7FB30DE7">
      <w:pPr>
        <w:shd w:val="clear" w:color="auto" w:fill="FFFFFF"/>
        <w:spacing w:line="440" w:lineRule="atLeast"/>
        <w:ind w:firstLine="1200" w:firstLineChars="5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3-2.资产评估师转所表</w:t>
      </w:r>
    </w:p>
    <w:p w14:paraId="3CB4F934">
      <w:pPr>
        <w:shd w:val="clear" w:color="auto" w:fill="FFFFFF"/>
        <w:spacing w:line="440" w:lineRule="atLeast"/>
        <w:ind w:firstLine="1200" w:firstLineChars="5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4.资产评估机构设立分支机构备案表</w:t>
      </w:r>
    </w:p>
    <w:p w14:paraId="1B5EC3F4">
      <w:pPr>
        <w:shd w:val="clear" w:color="auto" w:fill="FFFFFF"/>
        <w:spacing w:line="440" w:lineRule="atLeast"/>
        <w:ind w:firstLine="1200" w:firstLineChars="5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5.资产评估机构分支机构负责人简历</w:t>
      </w:r>
    </w:p>
    <w:p w14:paraId="045A51EB">
      <w:pPr>
        <w:shd w:val="clear" w:color="auto" w:fill="FFFFFF"/>
        <w:spacing w:line="440" w:lineRule="atLeast"/>
        <w:ind w:firstLine="1200" w:firstLineChars="5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6.备案公告</w:t>
      </w:r>
    </w:p>
    <w:p w14:paraId="4E248268">
      <w:pPr>
        <w:shd w:val="clear" w:color="auto" w:fill="FFFFFF"/>
        <w:spacing w:line="440" w:lineRule="atLeast"/>
        <w:ind w:firstLine="1200" w:firstLineChars="5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7-1.资产评估机构变更事项备案表</w:t>
      </w:r>
    </w:p>
    <w:p w14:paraId="5EB2AB0F">
      <w:pPr>
        <w:shd w:val="clear" w:color="auto" w:fill="FFFFFF"/>
        <w:spacing w:line="440" w:lineRule="atLeast"/>
        <w:ind w:firstLine="1200" w:firstLineChars="5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7-2.资产评估机构分支机构变更事项备案表</w:t>
      </w:r>
    </w:p>
    <w:p w14:paraId="0E43134C">
      <w:pPr>
        <w:shd w:val="clear" w:color="auto" w:fill="FFFFFF"/>
        <w:spacing w:line="440" w:lineRule="atLeast"/>
        <w:ind w:firstLine="1200" w:firstLineChars="5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8.变更备案公告</w:t>
      </w:r>
    </w:p>
    <w:p w14:paraId="760E8A3B">
      <w:pPr>
        <w:shd w:val="clear" w:color="auto" w:fill="FFFFFF"/>
        <w:spacing w:line="440" w:lineRule="atLeast"/>
        <w:ind w:firstLine="1200" w:firstLineChars="5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9.注销备案公告</w:t>
      </w:r>
    </w:p>
    <w:p w14:paraId="3C61B739">
      <w:pPr>
        <w:shd w:val="clear" w:color="auto" w:fill="FFFFFF"/>
        <w:spacing w:line="440" w:lineRule="atLeast"/>
        <w:ind w:firstLine="480" w:firstLineChars="200"/>
        <w:jc w:val="right"/>
        <w:rPr>
          <w:rFonts w:ascii="宋体" w:hAnsi="宋体" w:eastAsia="宋体" w:cs="宋体"/>
          <w:color w:val="000000"/>
          <w:kern w:val="0"/>
          <w:sz w:val="24"/>
          <w:shd w:val="clear" w:color="auto" w:fill="FFFFFF"/>
        </w:rPr>
      </w:pPr>
    </w:p>
    <w:p w14:paraId="20C13176">
      <w:pPr>
        <w:shd w:val="clear" w:color="auto" w:fill="FFFFFF"/>
        <w:spacing w:line="440" w:lineRule="atLeast"/>
        <w:ind w:firstLine="480" w:firstLineChars="200"/>
        <w:jc w:val="right"/>
        <w:rPr>
          <w:rFonts w:ascii="宋体" w:hAnsi="宋体" w:eastAsia="宋体" w:cs="宋体"/>
          <w:color w:val="000000"/>
          <w:kern w:val="0"/>
          <w:sz w:val="24"/>
          <w:shd w:val="clear" w:color="auto" w:fill="FFFFFF"/>
        </w:rPr>
      </w:pPr>
    </w:p>
    <w:p w14:paraId="75DFD3FE">
      <w:pPr>
        <w:shd w:val="clear" w:color="auto" w:fill="FFFFFF"/>
        <w:spacing w:line="440" w:lineRule="atLeast"/>
        <w:ind w:firstLine="480" w:firstLineChars="200"/>
        <w:jc w:val="right"/>
        <w:rPr>
          <w:rFonts w:ascii="宋体" w:hAnsi="宋体" w:eastAsia="宋体" w:cs="宋体"/>
          <w:color w:val="000000"/>
          <w:kern w:val="0"/>
          <w:sz w:val="24"/>
          <w:shd w:val="clear" w:color="auto" w:fill="FFFFFF"/>
        </w:rPr>
      </w:pPr>
    </w:p>
    <w:p w14:paraId="647A9F61">
      <w:pPr>
        <w:shd w:val="clear" w:color="auto" w:fill="FFFFFF"/>
        <w:wordWrap w:val="0"/>
        <w:spacing w:line="440" w:lineRule="atLeast"/>
        <w:ind w:firstLine="480" w:firstLineChars="200"/>
        <w:jc w:val="right"/>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 xml:space="preserve">财政部    </w:t>
      </w:r>
    </w:p>
    <w:p w14:paraId="67BB0EDE">
      <w:pPr>
        <w:shd w:val="clear" w:color="auto" w:fill="FFFFFF"/>
        <w:spacing w:line="440" w:lineRule="atLeast"/>
        <w:ind w:firstLine="480" w:firstLineChars="200"/>
        <w:jc w:val="right"/>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2017年7月14日</w:t>
      </w:r>
    </w:p>
    <w:p w14:paraId="0E784CE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br w:type="page"/>
      </w:r>
    </w:p>
    <w:p w14:paraId="277901ED">
      <w:pPr>
        <w:pStyle w:val="5"/>
        <w:spacing w:line="440" w:lineRule="atLeast"/>
        <w:jc w:val="center"/>
        <w:rPr>
          <w:rFonts w:ascii="宋体" w:hAnsi="宋体" w:eastAsia="宋体" w:cs="宋体"/>
        </w:rPr>
      </w:pPr>
      <w:bookmarkStart w:id="35" w:name="_Toc31712"/>
      <w:r>
        <w:rPr>
          <w:rFonts w:hint="eastAsia" w:ascii="宋体" w:hAnsi="宋体" w:eastAsia="宋体" w:cs="宋体"/>
        </w:rPr>
        <w:t>关于中央文化企业国有资产评估管理的补充通知</w:t>
      </w:r>
      <w:bookmarkEnd w:id="35"/>
    </w:p>
    <w:p w14:paraId="1CAFC378">
      <w:pPr>
        <w:shd w:val="clear" w:color="auto" w:fill="FFFFFF"/>
        <w:spacing w:line="440" w:lineRule="atLeast"/>
        <w:jc w:val="center"/>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2017年7月19日财政部发布　财文〔2017〕93号</w:t>
      </w:r>
    </w:p>
    <w:p w14:paraId="382D2AFC">
      <w:pPr>
        <w:shd w:val="clear" w:color="auto" w:fill="FFFFFF"/>
        <w:spacing w:line="440" w:lineRule="atLeast"/>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党中央有关部门，国务院有关部委、有关直属机构，全国政协办公厅，高法院，高检院，有关民主党派中央，有关人民团体，中国出版集团公司、中国对外文化集团公司、中国广播电视网络有限公司：　</w:t>
      </w:r>
    </w:p>
    <w:p w14:paraId="259804E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根据《中共中央宣传部　财政部关于印发&lt;中央文化企业国有资产监督管理暂行办法&gt;的通知》（中宣发〔2017〕3号），为进一步规范财政部代表国务院履行出资人职责的中央文化企业及其各级子企业国有资产评估管理工作，促进企业国有产权有序流转，防止国有资产流失，现就《中央文化企业国有资产评估管理暂行办法》（财文资〔2012〕15号，以下简称《办法》）有关事项补充通知如下：　</w:t>
      </w:r>
    </w:p>
    <w:p w14:paraId="19ABE42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按照深化简政放权、放管结合的改革要求，财政部代表国务院依法履行中央文化企业出资人管理职责，精简监管事项，改进监管方式，推进国有资产监督管理职能转变，以管资本为主加强中央文化企业国有资产评估监督管理工作，进一步提高国有资本运营和配置效率。　</w:t>
      </w:r>
    </w:p>
    <w:p w14:paraId="73B402C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财政部负责研究制定中央文化企业国有资产评估有关制度，建立资产评估专家库，监管中央文化企业国有资产评估工作。主管部门负责监督中央文化企业及其各级子企业国有资产评估工作，督促中央文化企业建立内部国有资产评估管理制度，对资产评估项目备案情况进行检查。中央文化企业负责建立内部国有资产评估管理制度，组织开展国有资产评估项目备案工作，完善档案管理，做好统计分析报告工作。　</w:t>
      </w:r>
    </w:p>
    <w:p w14:paraId="266C637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中央文化企业国有资产评估项目备案实行分级管理。经财政部批准经济行为的事项涉及的资产评估项目，由财政部负责备案。经中央文化企业及其各级子企业批准经济行为的事项涉及的资产评估项目，由中央文化企业负责备案。属于中央文化企业负责的资产评估项目备案事项，中央文化企业不得下放管理级次。　</w:t>
      </w:r>
    </w:p>
    <w:p w14:paraId="71A4507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根据《资产评估法》，中央文化企业及其各级子企业在组织资产评估过程中应当要求评估专业人员适当选择评估方法，除依据评估职业准则只能选择一种评估方法的外，应当选择两种以上评估方法，并依据实际状况，经综合分析，形成最终评估结论，编制评估报告。　</w:t>
      </w:r>
    </w:p>
    <w:p w14:paraId="0DAB5EF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五、中央文化企业对本级及其各级子企业国有资产评估项目备案应按照以下程序进行：　</w:t>
      </w:r>
    </w:p>
    <w:p w14:paraId="2BAEBBB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（一）根据《办法》，相关单位应当自评估基准日起9个月内将备案文件和材料逐级审核上报中央文化企业备案；　</w:t>
      </w:r>
    </w:p>
    <w:p w14:paraId="7810470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（二）中央文化企业收到国有资产评估备案文件和材料后应当进行合规性审核，审核要求参照《办法》第十七条第（一）项至第（六）项的规定。　</w:t>
      </w:r>
    </w:p>
    <w:p w14:paraId="5C6DCD4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（三）中央文化企业在资产评估备案项目审核过程中,　涉及《办法》第五条第（六）项经济行为的,中央文化企业认为必要时可以组织有关专家参与备案评审；涉及其他经济行为的中央文化企业应当组织有关专家参与备案评审。评审专家应在财政部建立的资产评估专家库中选取。　</w:t>
      </w:r>
    </w:p>
    <w:p w14:paraId="149C5F0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（四）对材料齐全、合规的国有资产评估备案文件，中央文化企业要在20个工作日内予以备案。　</w:t>
      </w:r>
    </w:p>
    <w:p w14:paraId="377DBCA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（五）中央文化企业开展国有资产评估项目备案工作，应当登录中央文化企业国有资产监督管理信息平台（以下简称监管平台）完成有关工作。　</w:t>
      </w:r>
    </w:p>
    <w:p w14:paraId="6909DE5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六、中央文化企业应当按时完成资产评估项目备案工作，提高工作效率。鉴于资产评估报告使用有效期为自评估基准日起一年，为保证必要的审核时间和项目执行时间，自评估基准日起10个月内，资产评估项目备案材料未报送备案管理部门的，备案材料将不予以受理。　</w:t>
      </w:r>
    </w:p>
    <w:p w14:paraId="5AD3322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七、主管部门和中央文化企业应当加强组织领导，落实责任，认真制定企业内部国有资产评估管理制度，开展国有资产评估备案和统计分析工作，提交有关统计分析报表和报告。2017年12月底前中央文化企业应建立完善内部国有资产评估管理制度，履行必要的内部决策程序，报主管部门审核后,由主管部门报财政部。每年1月31日前，中央文化企业将资产评估项目备案统计分析等材料报送主管部门，主管部门审核后报财政部。　</w:t>
      </w:r>
    </w:p>
    <w:p w14:paraId="7758DC4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八、本通知自发布之日起施行，《办法》中相关规定与本通知不一致的，以本通知为准。　</w:t>
      </w:r>
    </w:p>
    <w:p w14:paraId="53A4AAF3">
      <w:pPr>
        <w:shd w:val="clear" w:color="auto" w:fill="FFFFFF"/>
        <w:spacing w:line="440" w:lineRule="atLeast"/>
        <w:ind w:firstLine="480" w:firstLineChars="200"/>
        <w:jc w:val="right"/>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财政部　</w:t>
      </w:r>
    </w:p>
    <w:p w14:paraId="3F7928B6">
      <w:pPr>
        <w:shd w:val="clear" w:color="auto" w:fill="FFFFFF"/>
        <w:spacing w:line="440" w:lineRule="atLeast"/>
        <w:ind w:firstLine="480" w:firstLineChars="200"/>
        <w:jc w:val="right"/>
        <w:rPr>
          <w:rFonts w:ascii="宋体" w:hAnsi="宋体" w:eastAsia="宋体" w:cs="宋体"/>
          <w:b/>
          <w:color w:val="000000"/>
          <w:kern w:val="0"/>
          <w:sz w:val="24"/>
          <w:shd w:val="clear" w:color="auto" w:fill="FFFFFF"/>
        </w:rPr>
      </w:pPr>
      <w:r>
        <w:rPr>
          <w:rFonts w:hint="eastAsia" w:ascii="宋体" w:hAnsi="宋体" w:eastAsia="宋体" w:cs="宋体"/>
          <w:color w:val="000000"/>
          <w:kern w:val="0"/>
          <w:sz w:val="24"/>
          <w:shd w:val="clear" w:color="auto" w:fill="FFFFFF"/>
        </w:rPr>
        <w:t>2017年7月19日　</w:t>
      </w:r>
    </w:p>
    <w:p w14:paraId="3ED821B8">
      <w:pPr>
        <w:shd w:val="clear" w:color="auto" w:fill="FFFFFF"/>
        <w:spacing w:line="440" w:lineRule="atLeast"/>
        <w:ind w:firstLine="482" w:firstLineChars="200"/>
        <w:rPr>
          <w:rFonts w:ascii="宋体" w:hAnsi="宋体" w:eastAsia="宋体" w:cs="宋体"/>
          <w:b/>
          <w:color w:val="000000"/>
          <w:kern w:val="0"/>
          <w:sz w:val="24"/>
          <w:shd w:val="clear" w:color="auto" w:fill="FFFFFF"/>
        </w:rPr>
      </w:pPr>
      <w:r>
        <w:rPr>
          <w:rFonts w:hint="eastAsia" w:ascii="宋体" w:hAnsi="宋体" w:eastAsia="宋体" w:cs="宋体"/>
          <w:b/>
          <w:color w:val="000000"/>
          <w:kern w:val="0"/>
          <w:sz w:val="24"/>
          <w:shd w:val="clear" w:color="auto" w:fill="FFFFFF"/>
        </w:rPr>
        <w:br w:type="page"/>
      </w:r>
    </w:p>
    <w:p w14:paraId="52219C2D">
      <w:pPr>
        <w:pStyle w:val="5"/>
        <w:spacing w:line="440" w:lineRule="atLeast"/>
        <w:jc w:val="center"/>
        <w:rPr>
          <w:rFonts w:ascii="宋体" w:hAnsi="宋体" w:eastAsia="宋体" w:cs="宋体"/>
        </w:rPr>
      </w:pPr>
      <w:bookmarkStart w:id="36" w:name="_Toc320"/>
      <w:r>
        <w:rPr>
          <w:rFonts w:hint="eastAsia" w:ascii="宋体" w:hAnsi="宋体" w:eastAsia="宋体" w:cs="宋体"/>
        </w:rPr>
        <w:t>关于金融企业国有资产评估监督管理有关问题的通知</w:t>
      </w:r>
      <w:bookmarkEnd w:id="36"/>
    </w:p>
    <w:p w14:paraId="09D784E3">
      <w:pPr>
        <w:shd w:val="clear" w:color="auto" w:fill="FFFFFF"/>
        <w:spacing w:line="440" w:lineRule="atLeast"/>
        <w:jc w:val="center"/>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2011-06-16财政部财金〔2011〕59号公布　2011-06-16实施</w:t>
      </w:r>
    </w:p>
    <w:p w14:paraId="356335D4">
      <w:pPr>
        <w:shd w:val="clear" w:color="auto" w:fill="FFFFFF"/>
        <w:spacing w:line="440" w:lineRule="atLeast"/>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各省、自治区、直辖市、计划单列市财政厅（局），有关金融企业：</w:t>
      </w:r>
    </w:p>
    <w:p w14:paraId="54DC4DA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为进一步贯彻落实《金融企业国有资产评估监督管理暂行办法》（财　政部令第47号，以下简称《办法》），加强和规范金融企业国有资产评估监督管理工作，现就有关问题通知如下：</w:t>
      </w:r>
    </w:p>
    <w:p w14:paraId="4B03AA78">
      <w:pPr>
        <w:shd w:val="clear" w:color="auto" w:fill="FFFFFF"/>
        <w:spacing w:line="440" w:lineRule="atLeast"/>
        <w:ind w:firstLine="482" w:firstLineChars="200"/>
        <w:rPr>
          <w:rFonts w:ascii="宋体" w:hAnsi="宋体" w:eastAsia="宋体" w:cs="宋体"/>
          <w:b/>
          <w:bCs/>
          <w:color w:val="000000"/>
          <w:kern w:val="0"/>
          <w:sz w:val="24"/>
          <w:shd w:val="clear" w:color="auto" w:fill="FFFFFF"/>
        </w:rPr>
      </w:pPr>
      <w:r>
        <w:rPr>
          <w:rFonts w:hint="eastAsia" w:ascii="宋体" w:hAnsi="宋体" w:eastAsia="宋体" w:cs="宋体"/>
          <w:b/>
          <w:bCs/>
          <w:color w:val="000000"/>
          <w:kern w:val="0"/>
          <w:sz w:val="24"/>
          <w:shd w:val="clear" w:color="auto" w:fill="FFFFFF"/>
        </w:rPr>
        <w:t>一、关于评估范围的确定问题</w:t>
      </w:r>
    </w:p>
    <w:p w14:paraId="7AFCE82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（一）金融企业出现《办法》第六条所述的经济行为时，应按下列要求确定评估范围：</w:t>
      </w:r>
    </w:p>
    <w:p w14:paraId="7A60733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1.整体或者部分改制为有限责任公司或者股份有限公司，合并、分立、清算，或产权转让的，应对企业进行整体资产评估。</w:t>
      </w:r>
    </w:p>
    <w:p w14:paraId="22525DB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对子公司增资扩股时，因吸收新股东入股或企业原股东未按照原有出资比例追加投资等，造成原国有股东股权比例发生变化的，需要对子公司进行整体资产评估。以非货币性资产增资或出资的，还应对非货币性资产进行评估。</w:t>
      </w:r>
    </w:p>
    <w:p w14:paraId="26E78A9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3.接受非国有单位以非货币性资产出资的，应对接受非国有资产的企业进行整体资产评估，还应对非货币性资产进行评估。</w:t>
      </w:r>
    </w:p>
    <w:p w14:paraId="46FF3D1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4.以债权转股权方式进行债务重组的，应对拟转股的企业进行整体资产评估。</w:t>
      </w:r>
    </w:p>
    <w:p w14:paraId="1F1DB6C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5.收购非国有单位股权的，应对被收购企业进行整体资产评估。以非货币性资产收购的，还应对非货币性资产进行评估。</w:t>
      </w:r>
    </w:p>
    <w:p w14:paraId="7E1CC48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6.以非货币性资产对外进行长期股权投资，接受非货币性资产抵押或质押，以及以非货币性资产抵债或者接受抵债的，应对非货币性资产进行评估。</w:t>
      </w:r>
    </w:p>
    <w:p w14:paraId="7BAB2DA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7.收购非国有单位非股权类资产，处置不良资产，确定涉讼资产价值，或进行资产转让、置换和拍卖的，应对所涉及的资产进行评估。</w:t>
      </w:r>
    </w:p>
    <w:p w14:paraId="541AA6F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8.法律、行政法规规定的应当进行评估的其他情形，评估范围的确定应视具体情形而定。</w:t>
      </w:r>
    </w:p>
    <w:p w14:paraId="11D37F7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（二）中央直接管理的金融企业与其下属的独资企业之间，或者其下　属独资企业之间的合并，以及资产或者产权置换、转让和无偿划转的，未造成国有股权比例发生变动的，对相关的资产可以不进行评估。</w:t>
      </w:r>
    </w:p>
    <w:p w14:paraId="4C6129C9">
      <w:pPr>
        <w:shd w:val="clear" w:color="auto" w:fill="FFFFFF"/>
        <w:spacing w:line="440" w:lineRule="atLeast"/>
        <w:ind w:firstLine="482" w:firstLineChars="200"/>
        <w:rPr>
          <w:rFonts w:ascii="宋体" w:hAnsi="宋体" w:eastAsia="宋体" w:cs="宋体"/>
          <w:b/>
          <w:bCs/>
          <w:color w:val="000000"/>
          <w:kern w:val="0"/>
          <w:sz w:val="24"/>
          <w:shd w:val="clear" w:color="auto" w:fill="FFFFFF"/>
        </w:rPr>
      </w:pPr>
      <w:r>
        <w:rPr>
          <w:rFonts w:hint="eastAsia" w:ascii="宋体" w:hAnsi="宋体" w:eastAsia="宋体" w:cs="宋体"/>
          <w:b/>
          <w:bCs/>
          <w:color w:val="000000"/>
          <w:kern w:val="0"/>
          <w:sz w:val="24"/>
          <w:shd w:val="clear" w:color="auto" w:fill="FFFFFF"/>
        </w:rPr>
        <w:t>二、关于评估项目的委托问题</w:t>
      </w:r>
    </w:p>
    <w:p w14:paraId="00782D6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金融企业出现《办法》第六条所述整体或者部分改制为有限责任公司或者股份有限公司，合并、分立、清算，非上市金融企业国有股东股权比例发生变动，产权转让，债务重组，接受非国有单位以非货币性资产出资等经济行为时，涉及的评估对象属于　金融企业出资人权利的，应由国有出资人直接委托，或书面授权金融企业作为评估委托方。</w:t>
      </w:r>
    </w:p>
    <w:p w14:paraId="26A34BA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中央直接管理的金融企业在出现上述经济行为时，应向国有出资人书面申请授权其选聘评估机构开展相关资产评估工作，国有出资人根据实际情况进行批复。</w:t>
      </w:r>
    </w:p>
    <w:p w14:paraId="5799481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金融企业出现《办法》</w:t>
      </w:r>
      <w:r>
        <w:rPr>
          <w:rFonts w:hint="eastAsia" w:ascii="宋体" w:hAnsi="宋体" w:eastAsia="宋体" w:cs="宋体"/>
          <w:bCs/>
          <w:color w:val="000000"/>
          <w:kern w:val="0"/>
          <w:sz w:val="24"/>
          <w:shd w:val="clear" w:color="auto" w:fill="FFFFFF"/>
        </w:rPr>
        <w:t>第六条</w:t>
      </w:r>
      <w:r>
        <w:rPr>
          <w:rFonts w:hint="eastAsia" w:ascii="宋体" w:hAnsi="宋体" w:eastAsia="宋体" w:cs="宋体"/>
          <w:color w:val="000000"/>
          <w:kern w:val="0"/>
          <w:sz w:val="24"/>
          <w:shd w:val="clear" w:color="auto" w:fill="FFFFFF"/>
        </w:rPr>
        <w:t>所述以非货币性资产对外出资，资产转让、置换、拍卖，债权转股权，接受非货币性资产抵押或质押，处置不良资产，以非货币资产抵债或接受抵债，收购非国有单位资产，确定诉讼资产价值等经济行为时，涉及的评估对象属于金融企业法人财产权或者金融企业接受非国有资产的，资产评估应由金融企业委托。</w:t>
      </w:r>
    </w:p>
    <w:p w14:paraId="59D10F01">
      <w:pPr>
        <w:shd w:val="clear" w:color="auto" w:fill="FFFFFF"/>
        <w:spacing w:line="440" w:lineRule="atLeast"/>
        <w:ind w:firstLine="482" w:firstLineChars="200"/>
        <w:rPr>
          <w:rFonts w:ascii="宋体" w:hAnsi="宋体" w:eastAsia="宋体" w:cs="宋体"/>
          <w:b/>
          <w:bCs/>
          <w:color w:val="000000"/>
          <w:kern w:val="0"/>
          <w:sz w:val="24"/>
          <w:shd w:val="clear" w:color="auto" w:fill="FFFFFF"/>
        </w:rPr>
      </w:pPr>
      <w:r>
        <w:rPr>
          <w:rFonts w:hint="eastAsia" w:ascii="宋体" w:hAnsi="宋体" w:eastAsia="宋体" w:cs="宋体"/>
          <w:b/>
          <w:bCs/>
          <w:color w:val="000000"/>
          <w:kern w:val="0"/>
          <w:sz w:val="24"/>
          <w:shd w:val="clear" w:color="auto" w:fill="FFFFFF"/>
        </w:rPr>
        <w:t>三、关于核准（备案）申请需报送的经济行为批准文件</w:t>
      </w:r>
    </w:p>
    <w:p w14:paraId="0246E5B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办法》第十四条规定的核准申请应报送的经济行为批准文件，为各级人民政府批准金融企业进行改组改制、拟在境内（外）上市、以非货币性资产与外商合资合作或其他涉及国有资产产权比例变动经济行为事项时的审批文件，或财政部门依　照本级人民政府审批文件出具的、同意金融企业开展相应资产评估事项的批准文件。</w:t>
      </w:r>
    </w:p>
    <w:p w14:paraId="000A75F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中央直接管理的金融企业需报送的经济行为批准文件，为国务院批准同意的重组改制等相关经济行为审批文件，或财政部根据国务院审批文件出具的、同意其开展相应资产评估事项的批准文件。</w:t>
      </w:r>
    </w:p>
    <w:p w14:paraId="42634F2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（二）《办法》第二十条规定的备案申请应报送的经济行为批准文件　分为：</w:t>
      </w:r>
    </w:p>
    <w:p w14:paraId="32E6FD4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已经设立股东（大）会、董事会的，根据《中华人民共和国公司法》和公司章程的相关规定，经济行为批准文件为董事会或股东（大）会决议；或按照股东（大）会、董事会对管理层的授权，由管理层在授权范围内，根据决策议事机制，对经济行为审议同意后形成的文件。对按规定需报财政部门批准的事项，经济行为批准文件为财政部门的审批文件。</w:t>
      </w:r>
    </w:p>
    <w:p w14:paraId="0446C5D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2.尚未设立股东（大）会、董事会的，根据财务和资产管理制度的有关规定，经济行为批准文件为财政部门的批复文件；或者按规定的内部决策议事机制，经总经理（行长、总裁、党委）办公会　以及其他内部审核部门审议同意后形成的文件。</w:t>
      </w:r>
    </w:p>
    <w:p w14:paraId="5CD3E8C3">
      <w:pPr>
        <w:shd w:val="clear" w:color="auto" w:fill="FFFFFF"/>
        <w:spacing w:line="440" w:lineRule="atLeast"/>
        <w:ind w:firstLine="482" w:firstLineChars="200"/>
        <w:rPr>
          <w:rFonts w:ascii="宋体" w:hAnsi="宋体" w:eastAsia="宋体" w:cs="宋体"/>
          <w:b/>
          <w:bCs/>
          <w:color w:val="000000"/>
          <w:kern w:val="0"/>
          <w:sz w:val="24"/>
          <w:shd w:val="clear" w:color="auto" w:fill="FFFFFF"/>
        </w:rPr>
      </w:pPr>
      <w:r>
        <w:rPr>
          <w:rFonts w:hint="eastAsia" w:ascii="宋体" w:hAnsi="宋体" w:eastAsia="宋体" w:cs="宋体"/>
          <w:b/>
          <w:bCs/>
          <w:color w:val="000000"/>
          <w:kern w:val="0"/>
          <w:sz w:val="24"/>
          <w:shd w:val="clear" w:color="auto" w:fill="FFFFFF"/>
        </w:rPr>
        <w:t>四、关于评估备案的管理权限问题</w:t>
      </w:r>
    </w:p>
    <w:p w14:paraId="36120B5B">
      <w:pPr>
        <w:shd w:val="clear" w:color="auto" w:fill="FFFFFF"/>
        <w:spacing w:line="440" w:lineRule="atLeast"/>
        <w:ind w:firstLine="480" w:firstLineChars="200"/>
        <w:rPr>
          <w:rFonts w:ascii="宋体" w:hAnsi="宋体" w:eastAsia="宋体" w:cs="宋体"/>
          <w:bCs/>
          <w:color w:val="000000"/>
          <w:kern w:val="0"/>
          <w:sz w:val="24"/>
          <w:shd w:val="clear" w:color="auto" w:fill="FFFFFF"/>
        </w:rPr>
      </w:pPr>
      <w:r>
        <w:rPr>
          <w:rFonts w:hint="eastAsia" w:ascii="宋体" w:hAnsi="宋体" w:eastAsia="宋体" w:cs="宋体"/>
          <w:color w:val="000000"/>
          <w:kern w:val="0"/>
          <w:sz w:val="24"/>
          <w:shd w:val="clear" w:color="auto" w:fill="FFFFFF"/>
        </w:rPr>
        <w:t>根据《办法》</w:t>
      </w:r>
      <w:r>
        <w:rPr>
          <w:rFonts w:hint="eastAsia" w:ascii="宋体" w:hAnsi="宋体" w:eastAsia="宋体" w:cs="宋体"/>
          <w:bCs/>
          <w:color w:val="000000"/>
          <w:kern w:val="0"/>
          <w:sz w:val="24"/>
          <w:shd w:val="clear" w:color="auto" w:fill="FFFFFF"/>
        </w:rPr>
        <w:t>第十八条规定，中央直接管理的金融企业需报财政部备案的资产评估项目包括：中央直接管理的金融企业资产评估项目；其一级子公司、省级分公司或分行、金融资产管理公司办事处账面资产总额大于或者等于5000万元人民币的资产评估项目。</w:t>
      </w:r>
    </w:p>
    <w:p w14:paraId="704246F8">
      <w:pPr>
        <w:shd w:val="clear" w:color="auto" w:fill="FFFFFF"/>
        <w:spacing w:line="440" w:lineRule="atLeast"/>
        <w:ind w:firstLine="480" w:firstLineChars="200"/>
        <w:rPr>
          <w:rFonts w:ascii="宋体" w:hAnsi="宋体" w:eastAsia="宋体" w:cs="宋体"/>
          <w:bCs/>
          <w:color w:val="000000"/>
          <w:kern w:val="0"/>
          <w:sz w:val="24"/>
          <w:shd w:val="clear" w:color="auto" w:fill="FFFFFF"/>
        </w:rPr>
      </w:pPr>
      <w:r>
        <w:rPr>
          <w:rFonts w:hint="eastAsia" w:ascii="宋体" w:hAnsi="宋体" w:eastAsia="宋体" w:cs="宋体"/>
          <w:bCs/>
          <w:color w:val="000000"/>
          <w:kern w:val="0"/>
          <w:sz w:val="24"/>
          <w:shd w:val="clear" w:color="auto" w:fill="FFFFFF"/>
        </w:rPr>
        <w:t>因开展信贷、担保等正常经营业务涉及抵（质）押资产、抵债资产、诉讼资产价值确认以及固定资产等非股权类资产收购处置的评估项目，备案工作由中央直接管理的金融企业负责。</w:t>
      </w:r>
    </w:p>
    <w:p w14:paraId="3C404759">
      <w:pPr>
        <w:shd w:val="clear" w:color="auto" w:fill="FFFFFF"/>
        <w:spacing w:line="440" w:lineRule="atLeast"/>
        <w:ind w:firstLine="482" w:firstLineChars="200"/>
        <w:rPr>
          <w:rFonts w:ascii="宋体" w:hAnsi="宋体" w:eastAsia="宋体" w:cs="宋体"/>
          <w:b/>
          <w:bCs/>
          <w:color w:val="000000"/>
          <w:kern w:val="0"/>
          <w:sz w:val="24"/>
          <w:shd w:val="clear" w:color="auto" w:fill="FFFFFF"/>
        </w:rPr>
      </w:pPr>
      <w:r>
        <w:rPr>
          <w:rFonts w:hint="eastAsia" w:ascii="宋体" w:hAnsi="宋体" w:eastAsia="宋体" w:cs="宋体"/>
          <w:b/>
          <w:bCs/>
          <w:color w:val="000000"/>
          <w:kern w:val="0"/>
          <w:sz w:val="24"/>
          <w:shd w:val="clear" w:color="auto" w:fill="FFFFFF"/>
        </w:rPr>
        <w:t>五、关于核准（备案）申请的报送期限</w:t>
      </w:r>
    </w:p>
    <w:p w14:paraId="1D26354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bCs/>
          <w:color w:val="000000"/>
          <w:kern w:val="0"/>
          <w:sz w:val="24"/>
          <w:shd w:val="clear" w:color="auto" w:fill="FFFFFF"/>
        </w:rPr>
        <w:t>根据《办法》第十三条的规定，</w:t>
      </w:r>
      <w:r>
        <w:rPr>
          <w:rFonts w:hint="eastAsia" w:ascii="宋体" w:hAnsi="宋体" w:eastAsia="宋体" w:cs="宋体"/>
          <w:color w:val="000000"/>
          <w:kern w:val="0"/>
          <w:sz w:val="24"/>
          <w:shd w:val="clear" w:color="auto" w:fill="FFFFFF"/>
        </w:rPr>
        <w:t>中央直接管理的金融企业的资产评估项目核准申请应在评估基准日起8个月内、相应经济行为实际发生前，向财政部提出；因经济行为文件未能批复等原因造成未在　规定期限内报送申请的，应至少在评估结果使用有效期截止日之前20个工作日提出申请，逾期财政部不予受理。</w:t>
      </w:r>
    </w:p>
    <w:p w14:paraId="5658AB4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根据《办法》第十九条的规定，中央直接管理的金融企业的资产评估　项目备案申请应在评估基准日起9个月内、相应经济行为实际发生前，向财政部提出。对经济行为已实际发生、相关交易手续已经完成的，财政部不予受理。</w:t>
      </w:r>
    </w:p>
    <w:p w14:paraId="54676B28">
      <w:pPr>
        <w:shd w:val="clear" w:color="auto" w:fill="FFFFFF"/>
        <w:spacing w:line="440" w:lineRule="atLeast"/>
        <w:ind w:firstLine="482" w:firstLineChars="200"/>
        <w:rPr>
          <w:rFonts w:ascii="宋体" w:hAnsi="宋体" w:eastAsia="宋体" w:cs="宋体"/>
          <w:b/>
          <w:bCs/>
          <w:color w:val="000000"/>
          <w:kern w:val="0"/>
          <w:sz w:val="24"/>
          <w:shd w:val="clear" w:color="auto" w:fill="FFFFFF"/>
        </w:rPr>
      </w:pPr>
      <w:r>
        <w:rPr>
          <w:rFonts w:hint="eastAsia" w:ascii="宋体" w:hAnsi="宋体" w:eastAsia="宋体" w:cs="宋体"/>
          <w:b/>
          <w:bCs/>
          <w:color w:val="000000"/>
          <w:kern w:val="0"/>
          <w:sz w:val="24"/>
          <w:shd w:val="clear" w:color="auto" w:fill="FFFFFF"/>
        </w:rPr>
        <w:t>六、关于评估项目核准（备案）表的填报问题</w:t>
      </w:r>
    </w:p>
    <w:p w14:paraId="03A26D5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金融企业应根据被评估企业的性质，选择资产评估项目核准（备案）表进行填报。其中，基金管理公司应填报《证券公司评估结果表》，金融控股公司等其他非银行、证券、保险、担保类企业应填报《其他企业类评估结果表》。资产评估项目核准（备案）表应采用A3纸张双面打印。</w:t>
      </w:r>
    </w:p>
    <w:p w14:paraId="53B55229">
      <w:pPr>
        <w:shd w:val="clear" w:color="auto" w:fill="FFFFFF"/>
        <w:spacing w:line="440" w:lineRule="atLeast"/>
        <w:ind w:firstLine="482" w:firstLineChars="200"/>
        <w:rPr>
          <w:rFonts w:ascii="宋体" w:hAnsi="宋体" w:eastAsia="宋体" w:cs="宋体"/>
          <w:b/>
          <w:bCs/>
          <w:color w:val="000000"/>
          <w:kern w:val="0"/>
          <w:sz w:val="24"/>
          <w:shd w:val="clear" w:color="auto" w:fill="FFFFFF"/>
        </w:rPr>
      </w:pPr>
      <w:r>
        <w:rPr>
          <w:rFonts w:hint="eastAsia" w:ascii="宋体" w:hAnsi="宋体" w:eastAsia="宋体" w:cs="宋体"/>
          <w:b/>
          <w:bCs/>
          <w:color w:val="000000"/>
          <w:kern w:val="0"/>
          <w:sz w:val="24"/>
          <w:shd w:val="clear" w:color="auto" w:fill="FFFFFF"/>
        </w:rPr>
        <w:t>七、关于评估结论的使用问题</w:t>
      </w:r>
    </w:p>
    <w:p w14:paraId="651A3C9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评估结论的使用必须与所对应的经济行为保持一致。在金融企业改制过程中，改制设立股份有限公司的评估结论仅适用于设立股份有限公司的工商登记注册，不得用于引入战略投资者和首次公开发行上市。</w:t>
      </w:r>
    </w:p>
    <w:p w14:paraId="0217C12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金融企业发生《办法》第七条所称同类型经济行为需要再次使用评估　结论时，可不再申请备案，但应确认评估结论仍在有效使用期内，且与评估基准日时相比，未出现因资产状态、使用方式、市场环境以及评估假设等发生显著变化，导致资产价值发生重大变化的情况。</w:t>
      </w:r>
    </w:p>
    <w:p w14:paraId="1CA3F229">
      <w:pPr>
        <w:shd w:val="clear" w:color="auto" w:fill="FFFFFF"/>
        <w:spacing w:line="440" w:lineRule="atLeast"/>
        <w:ind w:firstLine="482" w:firstLineChars="200"/>
        <w:rPr>
          <w:rFonts w:ascii="宋体" w:hAnsi="宋体" w:eastAsia="宋体" w:cs="宋体"/>
          <w:b/>
          <w:bCs/>
          <w:color w:val="000000"/>
          <w:kern w:val="0"/>
          <w:sz w:val="24"/>
          <w:shd w:val="clear" w:color="auto" w:fill="FFFFFF"/>
        </w:rPr>
      </w:pPr>
      <w:r>
        <w:rPr>
          <w:rFonts w:hint="eastAsia" w:ascii="宋体" w:hAnsi="宋体" w:eastAsia="宋体" w:cs="宋体"/>
          <w:b/>
          <w:bCs/>
          <w:color w:val="000000"/>
          <w:kern w:val="0"/>
          <w:sz w:val="24"/>
          <w:shd w:val="clear" w:color="auto" w:fill="FFFFFF"/>
        </w:rPr>
        <w:t>八、关于评估机构的选聘问题</w:t>
      </w:r>
    </w:p>
    <w:p w14:paraId="3D20750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金融企业选聘资产评估机构应当遵循公平、公开、公正和诚实信用的原则。在相关选聘管理办法出台前，具体选聘和决策程序参照《金融企业选聘会计师事务所招标管理办法（试行）》（财金[2010]169号）有关规定执行。</w:t>
      </w:r>
    </w:p>
    <w:p w14:paraId="322EC71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拟选聘的资产评估机构应当具有固定的工作场所，组织机构健全，内部管理和控制制度较为完善并且执行有效；遵守国家有关法律、法规、规章及国有资产评估的政策规定，严格履行法定职责；遵守执业准则和执业规范，近3年内没有违法、违规或行业自律惩戒记录；具有与评估对象相适应的资质条件、专业人员和专业特长；与资产评估委托方高管层无经济利益关系；未就同一经济行为向金融企业提供会计、审计及财务顾问服务等。</w:t>
      </w:r>
    </w:p>
    <w:p w14:paraId="745F899F">
      <w:pPr>
        <w:shd w:val="clear" w:color="auto" w:fill="FFFFFF"/>
        <w:spacing w:line="440" w:lineRule="atLeast"/>
        <w:ind w:firstLine="482" w:firstLineChars="200"/>
        <w:rPr>
          <w:rFonts w:ascii="宋体" w:hAnsi="宋体" w:eastAsia="宋体" w:cs="宋体"/>
          <w:b/>
          <w:bCs/>
          <w:color w:val="000000"/>
          <w:kern w:val="0"/>
          <w:sz w:val="24"/>
          <w:shd w:val="clear" w:color="auto" w:fill="FFFFFF"/>
        </w:rPr>
      </w:pPr>
      <w:r>
        <w:rPr>
          <w:rFonts w:hint="eastAsia" w:ascii="宋体" w:hAnsi="宋体" w:eastAsia="宋体" w:cs="宋体"/>
          <w:b/>
          <w:bCs/>
          <w:color w:val="000000"/>
          <w:kern w:val="0"/>
          <w:sz w:val="24"/>
          <w:shd w:val="clear" w:color="auto" w:fill="FFFFFF"/>
        </w:rPr>
        <w:t>九、其他问题</w:t>
      </w:r>
    </w:p>
    <w:p w14:paraId="61B5EFF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办法》和本通知的适用范围包括：占有国有资产的获得金融业务许可证的企业、金融控股公司、担保公司以及其他金融类企业。中国投资有限责任公司（含中央汇金投资有限责任公司），中国人民银行所属企业，以及金融类企业依法投资于其他非金　融类企业的，资产评估监督管理工作比照《办法》和本通知执行。</w:t>
      </w:r>
    </w:p>
    <w:p w14:paraId="3CF7530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省级财政部门可以依照《办法》和本通知，结合本地区实际情况，制定具体实施细则。</w:t>
      </w:r>
    </w:p>
    <w:p w14:paraId="013CF2E0">
      <w:pPr>
        <w:shd w:val="clear" w:color="auto" w:fill="FFFFFF"/>
        <w:spacing w:line="440" w:lineRule="atLeast"/>
        <w:ind w:firstLine="480" w:firstLineChars="200"/>
        <w:rPr>
          <w:rFonts w:ascii="宋体" w:hAnsi="宋体" w:eastAsia="宋体" w:cs="宋体"/>
          <w:color w:val="000000"/>
          <w:kern w:val="0"/>
          <w:sz w:val="24"/>
          <w:shd w:val="clear" w:color="auto" w:fill="FFFFFF"/>
        </w:rPr>
      </w:pPr>
    </w:p>
    <w:p w14:paraId="0B1B548A">
      <w:pPr>
        <w:shd w:val="clear" w:color="auto" w:fill="FFFFFF"/>
        <w:spacing w:line="440" w:lineRule="atLeast"/>
        <w:ind w:firstLine="480" w:firstLineChars="200"/>
        <w:rPr>
          <w:rFonts w:ascii="宋体" w:hAnsi="宋体" w:eastAsia="宋体" w:cs="宋体"/>
          <w:color w:val="000000"/>
          <w:kern w:val="0"/>
          <w:sz w:val="24"/>
          <w:shd w:val="clear" w:color="auto" w:fill="FFFFFF"/>
        </w:rPr>
      </w:pPr>
    </w:p>
    <w:p w14:paraId="584E60E2">
      <w:pPr>
        <w:shd w:val="clear" w:color="auto" w:fill="FFFFFF"/>
        <w:spacing w:line="440" w:lineRule="atLeast"/>
        <w:ind w:firstLine="480" w:firstLineChars="200"/>
        <w:rPr>
          <w:rFonts w:ascii="宋体" w:hAnsi="宋体" w:eastAsia="宋体" w:cs="宋体"/>
          <w:color w:val="000000"/>
          <w:kern w:val="0"/>
          <w:sz w:val="24"/>
          <w:shd w:val="clear" w:color="auto" w:fill="FFFFFF"/>
        </w:rPr>
      </w:pPr>
    </w:p>
    <w:p w14:paraId="2755215A">
      <w:pPr>
        <w:shd w:val="clear" w:color="auto" w:fill="FFFFFF"/>
        <w:wordWrap w:val="0"/>
        <w:spacing w:line="440" w:lineRule="atLeast"/>
        <w:ind w:firstLine="480" w:firstLineChars="200"/>
        <w:jc w:val="right"/>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 xml:space="preserve">财政部    </w:t>
      </w:r>
    </w:p>
    <w:p w14:paraId="36B04D4C">
      <w:pPr>
        <w:shd w:val="clear" w:color="auto" w:fill="FFFFFF"/>
        <w:spacing w:line="440" w:lineRule="atLeast"/>
        <w:ind w:firstLine="480" w:firstLineChars="200"/>
        <w:jc w:val="right"/>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二○一一年六月十六日</w:t>
      </w:r>
    </w:p>
    <w:p w14:paraId="73A8C3E4">
      <w:pPr>
        <w:shd w:val="clear" w:color="auto" w:fill="FFFFFF"/>
        <w:spacing w:line="440" w:lineRule="atLeast"/>
        <w:ind w:firstLine="480" w:firstLineChars="200"/>
        <w:rPr>
          <w:rFonts w:ascii="宋体" w:hAnsi="宋体" w:eastAsia="宋体" w:cs="宋体"/>
          <w:color w:val="000000"/>
          <w:kern w:val="0"/>
          <w:sz w:val="24"/>
          <w:shd w:val="clear" w:color="auto" w:fill="FFFFFF"/>
        </w:rPr>
      </w:pPr>
    </w:p>
    <w:p w14:paraId="20D9CD38">
      <w:pPr>
        <w:shd w:val="clear" w:color="auto" w:fill="FFFFFF"/>
        <w:spacing w:line="440" w:lineRule="atLeast"/>
        <w:ind w:firstLine="480" w:firstLineChars="200"/>
        <w:rPr>
          <w:rFonts w:ascii="宋体" w:hAnsi="宋体" w:eastAsia="宋体" w:cs="宋体"/>
          <w:color w:val="000000"/>
          <w:kern w:val="0"/>
          <w:sz w:val="24"/>
          <w:shd w:val="clear" w:color="auto" w:fill="FFFFFF"/>
        </w:rPr>
      </w:pPr>
    </w:p>
    <w:p w14:paraId="021F76EB">
      <w:pPr>
        <w:pStyle w:val="5"/>
        <w:spacing w:line="440" w:lineRule="atLeast"/>
        <w:jc w:val="center"/>
        <w:rPr>
          <w:rFonts w:ascii="宋体" w:hAnsi="宋体" w:eastAsia="宋体" w:cs="宋体"/>
        </w:rPr>
      </w:pPr>
      <w:bookmarkStart w:id="37" w:name="_Toc30136"/>
      <w:r>
        <w:rPr>
          <w:rFonts w:hint="eastAsia" w:ascii="宋体" w:hAnsi="宋体" w:eastAsia="宋体" w:cs="宋体"/>
        </w:rPr>
        <w:t>人民法院委托评估工作规范</w:t>
      </w:r>
      <w:bookmarkEnd w:id="37"/>
    </w:p>
    <w:p w14:paraId="167FF561">
      <w:pPr>
        <w:shd w:val="clear" w:color="auto" w:fill="FFFFFF"/>
        <w:spacing w:line="440" w:lineRule="atLeast"/>
        <w:jc w:val="center"/>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2018年12月10日最高人民法院办公厅　中国资产评估协会　中国土地估价师与土地登记代理人协会　中国房地产估价师与房地产经纪人学会　中国矿业权评估师协会　中国珠宝玉石首饰行业协会发布　法办〔2018〕273号</w:t>
      </w:r>
    </w:p>
    <w:p w14:paraId="4E055AF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为依法规范人民法院委托评估工作，提高委托评估工作的效率，保护当事人、利害关系人的合法权益，根据《最高人民法院关于人民法院确定财产处置参考价若干问题的规定》（以下简称参考价规定）的规定，制定本规范。</w:t>
      </w:r>
    </w:p>
    <w:p w14:paraId="7123A883">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bCs/>
          <w:color w:val="000000"/>
          <w:kern w:val="0"/>
          <w:sz w:val="24"/>
          <w:shd w:val="clear" w:color="auto" w:fill="FFFFFF"/>
        </w:rPr>
        <w:t>一、</w:t>
      </w:r>
      <w:r>
        <w:rPr>
          <w:rFonts w:hint="eastAsia" w:ascii="宋体" w:hAnsi="宋体" w:eastAsia="宋体" w:cs="宋体"/>
          <w:color w:val="000000"/>
          <w:kern w:val="0"/>
          <w:sz w:val="24"/>
          <w:shd w:val="clear" w:color="auto" w:fill="FFFFFF"/>
        </w:rPr>
        <w:t>最高人民法院根据中国资产评估协会、中国土地估价师与土地登记代理人协会、中国房地产估价师与房地产经纪人学会、中国矿业权评估师协会、中国珠宝玉石首饰行业协会等全国性评估行业协会推荐的评估机构名单建立人民法院司法评估机构名单库。</w:t>
      </w:r>
    </w:p>
    <w:p w14:paraId="6792086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按评估专业领域和评估机构的执业范围在名单库下设资产、土地、房地产、矿业权、珠宝玉石首饰等名单分库；在分库下根据行政区划设省、市两级名单子库；市级行政区划内的评估机构满三家的，设市级名单子库；除青海、西藏两地省级行政区划内的评估机构满五家即设省级名单子库外，其他省级行政区划内的评估机构满十家的，设省级名单子库。</w:t>
      </w:r>
    </w:p>
    <w:p w14:paraId="6B9B5B4E">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bCs/>
          <w:color w:val="000000"/>
          <w:kern w:val="0"/>
          <w:sz w:val="24"/>
          <w:shd w:val="clear" w:color="auto" w:fill="FFFFFF"/>
        </w:rPr>
        <w:t>二、</w:t>
      </w:r>
      <w:r>
        <w:rPr>
          <w:rFonts w:hint="eastAsia" w:ascii="宋体" w:hAnsi="宋体" w:eastAsia="宋体" w:cs="宋体"/>
          <w:color w:val="000000"/>
          <w:kern w:val="0"/>
          <w:sz w:val="24"/>
          <w:shd w:val="clear" w:color="auto" w:fill="FFFFFF"/>
        </w:rPr>
        <w:t>中国资产评估协会、中国土地估价师与土地登记代理人协会、中国房地产估价师与房地产经纪人学会、中国矿业权评估师协会、中国珠宝玉石首饰行业协会等全国性评估行业协会自行制定本行业推荐入选名单库的标准。</w:t>
      </w:r>
    </w:p>
    <w:p w14:paraId="648F990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因违反资产评估法或者评估行业监督管理办法被有关部门处罚的评估机构，五年内不得推荐入选名单库。</w:t>
      </w:r>
    </w:p>
    <w:p w14:paraId="2882FF7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评估机构的收费标准高于所属全国性评估行业协会各评估机构平均收费标准10%的，不得推荐入选名单库。</w:t>
      </w:r>
    </w:p>
    <w:p w14:paraId="77284EC7">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bCs/>
          <w:color w:val="000000"/>
          <w:kern w:val="0"/>
          <w:sz w:val="24"/>
          <w:shd w:val="clear" w:color="auto" w:fill="FFFFFF"/>
        </w:rPr>
        <w:t>三、</w:t>
      </w:r>
      <w:r>
        <w:rPr>
          <w:rFonts w:hint="eastAsia" w:ascii="宋体" w:hAnsi="宋体" w:eastAsia="宋体" w:cs="宋体"/>
          <w:color w:val="000000"/>
          <w:kern w:val="0"/>
          <w:sz w:val="24"/>
          <w:shd w:val="clear" w:color="auto" w:fill="FFFFFF"/>
        </w:rPr>
        <w:t>最高人民法院应当将入选名单库的评估机构及其评估专业人员的基本信息，以及评估机构在其所属全国性评估行业协会报备的收费标准，在中国执行信息公开网上进行公示。</w:t>
      </w:r>
    </w:p>
    <w:p w14:paraId="4068C43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已入选名单库的评估机构变更名称、法定代表人、注册地址、联系人、联系电话、评估专业人员的，该评估机构所属全国性评估行业协会应当及时函告最高人民法院。</w:t>
      </w:r>
    </w:p>
    <w:p w14:paraId="3AB23E3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最高人民法院应当及时更新中国执行信息公开网上公示的相关信息。</w:t>
      </w:r>
    </w:p>
    <w:p w14:paraId="2EC78172">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bCs/>
          <w:color w:val="000000"/>
          <w:kern w:val="0"/>
          <w:sz w:val="24"/>
          <w:shd w:val="clear" w:color="auto" w:fill="FFFFFF"/>
        </w:rPr>
        <w:t>四、</w:t>
      </w:r>
      <w:r>
        <w:rPr>
          <w:rFonts w:hint="eastAsia" w:ascii="宋体" w:hAnsi="宋体" w:eastAsia="宋体" w:cs="宋体"/>
          <w:color w:val="000000"/>
          <w:kern w:val="0"/>
          <w:sz w:val="24"/>
          <w:shd w:val="clear" w:color="auto" w:fill="FFFFFF"/>
        </w:rPr>
        <w:t>已入选名单库的评估机构具有下列情形之一的，该评估机构所属全国性评估行业协会应当及时函告最高人民法院，将其除名：</w:t>
      </w:r>
    </w:p>
    <w:p w14:paraId="519315A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（一）被纳入失信被执行人名单的；</w:t>
      </w:r>
    </w:p>
    <w:p w14:paraId="477B949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（二）因违反资产评估法或者评估行业监督管理办法被有关部门处罚的；</w:t>
      </w:r>
    </w:p>
    <w:p w14:paraId="593D098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（三）已办理企业注销登记的；</w:t>
      </w:r>
    </w:p>
    <w:p w14:paraId="4A41F9A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（四）已被市场监管部门吊销营业执照的；</w:t>
      </w:r>
    </w:p>
    <w:p w14:paraId="1CC2F2D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（五）违反所属行业协会自律管理规定，受到严重惩戒的。</w:t>
      </w:r>
    </w:p>
    <w:p w14:paraId="65C2F05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最高人民法院应当根据各全国性评估行业协会的建议，将相关评估机构从名单库中除名，并函告全国性评估行业协会，同时建议全国性评估行业协会五年内不得再推荐该评估机构入选名单库。</w:t>
      </w:r>
    </w:p>
    <w:p w14:paraId="1CB9D4F4">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bCs/>
          <w:color w:val="000000"/>
          <w:kern w:val="0"/>
          <w:sz w:val="24"/>
          <w:shd w:val="clear" w:color="auto" w:fill="FFFFFF"/>
        </w:rPr>
        <w:t>五、</w:t>
      </w:r>
      <w:r>
        <w:rPr>
          <w:rFonts w:hint="eastAsia" w:ascii="宋体" w:hAnsi="宋体" w:eastAsia="宋体" w:cs="宋体"/>
          <w:color w:val="000000"/>
          <w:kern w:val="0"/>
          <w:sz w:val="24"/>
          <w:shd w:val="clear" w:color="auto" w:fill="FFFFFF"/>
        </w:rPr>
        <w:t>已入选名单库的评估机构具有下列情形之一的，最高人民法院应当函告该评估机构所属的全国性评估行业协会，将其除名，五年内不得再推荐该评估机构入选名单库：</w:t>
      </w:r>
    </w:p>
    <w:p w14:paraId="036DFA9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（一）无正当理由拒绝进行司法评估的；</w:t>
      </w:r>
    </w:p>
    <w:p w14:paraId="1B6639C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（二）存在弄虚作假情形的；</w:t>
      </w:r>
    </w:p>
    <w:p w14:paraId="111D8DA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（三）具有第四条第一款规定情形之一，但全国性评估行业协会未函告最高人民法院的；</w:t>
      </w:r>
    </w:p>
    <w:p w14:paraId="43CFA93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（四）未按照在所属全国性评估行业协会报备的收费标准计算评估费用的。</w:t>
      </w:r>
    </w:p>
    <w:p w14:paraId="0D34F34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全国性评估行业协会应当及时回复意见，最高人民法院根据全国性评估行业协会的回复意见，将相关评估机构从名单库中除名，并函告全国性评估行业协会。</w:t>
      </w:r>
    </w:p>
    <w:p w14:paraId="7302DDB3">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bCs/>
          <w:color w:val="000000"/>
          <w:kern w:val="0"/>
          <w:sz w:val="24"/>
          <w:shd w:val="clear" w:color="auto" w:fill="FFFFFF"/>
        </w:rPr>
        <w:t>六、</w:t>
      </w:r>
      <w:r>
        <w:rPr>
          <w:rFonts w:hint="eastAsia" w:ascii="宋体" w:hAnsi="宋体" w:eastAsia="宋体" w:cs="宋体"/>
          <w:color w:val="000000"/>
          <w:kern w:val="0"/>
          <w:sz w:val="24"/>
          <w:shd w:val="clear" w:color="auto" w:fill="FFFFFF"/>
        </w:rPr>
        <w:t>最高人民法院应当将除名的评估机构名单在中国执行信息公开网上进行公示。</w:t>
      </w:r>
    </w:p>
    <w:p w14:paraId="6BA76D03">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bCs/>
          <w:color w:val="000000"/>
          <w:kern w:val="0"/>
          <w:sz w:val="24"/>
          <w:shd w:val="clear" w:color="auto" w:fill="FFFFFF"/>
        </w:rPr>
        <w:t>七、</w:t>
      </w:r>
      <w:r>
        <w:rPr>
          <w:rFonts w:hint="eastAsia" w:ascii="宋体" w:hAnsi="宋体" w:eastAsia="宋体" w:cs="宋体"/>
          <w:color w:val="000000"/>
          <w:kern w:val="0"/>
          <w:sz w:val="24"/>
          <w:shd w:val="clear" w:color="auto" w:fill="FFFFFF"/>
        </w:rPr>
        <w:t>最高人民法院每年将名单库中评估机构的评估工作情况向其所属的全国性评估行业协会通报一次。</w:t>
      </w:r>
    </w:p>
    <w:p w14:paraId="082863F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各全国性评估行业协会每年根据最高人民法院通报的已入选名单库和新申请加入名单库的评估机构的情况，重新向最高人民法院推荐入选名单库的评估机构名单。</w:t>
      </w:r>
    </w:p>
    <w:p w14:paraId="710E39BB">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bCs/>
          <w:color w:val="000000"/>
          <w:kern w:val="0"/>
          <w:sz w:val="24"/>
          <w:shd w:val="clear" w:color="auto" w:fill="FFFFFF"/>
        </w:rPr>
        <w:t>八、</w:t>
      </w:r>
      <w:r>
        <w:rPr>
          <w:rFonts w:hint="eastAsia" w:ascii="宋体" w:hAnsi="宋体" w:eastAsia="宋体" w:cs="宋体"/>
          <w:color w:val="000000"/>
          <w:kern w:val="0"/>
          <w:sz w:val="24"/>
          <w:shd w:val="clear" w:color="auto" w:fill="FFFFFF"/>
        </w:rPr>
        <w:t>最高人民法院建设全国法院询价评估系统（以下简称询价评估系统），各全国性评估行业协会建设本协会全国司法评估管理系统/平台（以下简称评估管理系统/平台），询价评估系统与评估管理系统/平台，通过最高人民法院与各全国性评估行业协会之间专线进行对接，实现对推荐入选名单库的评估机构及其评估专业人员和收费标准的信息共享，以及最高人民法院与各全国性评估行业协会、人民法院与评估机构之间委托评估数据和相关材料的传输。</w:t>
      </w:r>
    </w:p>
    <w:p w14:paraId="34A350E5">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bCs/>
          <w:color w:val="000000"/>
          <w:kern w:val="0"/>
          <w:sz w:val="24"/>
          <w:shd w:val="clear" w:color="auto" w:fill="FFFFFF"/>
        </w:rPr>
        <w:t>九、</w:t>
      </w:r>
      <w:r>
        <w:rPr>
          <w:rFonts w:hint="eastAsia" w:ascii="宋体" w:hAnsi="宋体" w:eastAsia="宋体" w:cs="宋体"/>
          <w:color w:val="000000"/>
          <w:kern w:val="0"/>
          <w:sz w:val="24"/>
          <w:shd w:val="clear" w:color="auto" w:fill="FFFFFF"/>
        </w:rPr>
        <w:t>具有下列情形之一，人民法院应当委托评估机构进行评估：</w:t>
      </w:r>
    </w:p>
    <w:p w14:paraId="1EAAE81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（一）涉及国有资产或者公共利益等事项的；</w:t>
      </w:r>
    </w:p>
    <w:p w14:paraId="3F7B83A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（二）企业国有资产法、公司法、合伙企业法、证券法、拍卖法、公路法等法律、行政法规规定必须委托评估的；</w:t>
      </w:r>
    </w:p>
    <w:p w14:paraId="2172690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（三）双方当事人要求委托评估的；</w:t>
      </w:r>
    </w:p>
    <w:p w14:paraId="66607ED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（四）司法网络询价平台不能或者在期限内均未出具网络询价结果的；</w:t>
      </w:r>
    </w:p>
    <w:p w14:paraId="6964D0E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（五）法律、法规有明确规定的。</w:t>
      </w:r>
    </w:p>
    <w:p w14:paraId="4C6FDB3C">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bCs/>
          <w:color w:val="000000"/>
          <w:kern w:val="0"/>
          <w:sz w:val="24"/>
          <w:shd w:val="clear" w:color="auto" w:fill="FFFFFF"/>
        </w:rPr>
        <w:t>十、</w:t>
      </w:r>
      <w:r>
        <w:rPr>
          <w:rFonts w:hint="eastAsia" w:ascii="宋体" w:hAnsi="宋体" w:eastAsia="宋体" w:cs="宋体"/>
          <w:color w:val="000000"/>
          <w:kern w:val="0"/>
          <w:sz w:val="24"/>
          <w:shd w:val="clear" w:color="auto" w:fill="FFFFFF"/>
        </w:rPr>
        <w:t>委托评估的，人民法院应当通知双方当事人在指定期间内从人民法院指定的名单分库中协商确定三家评估机构及顺序。</w:t>
      </w:r>
    </w:p>
    <w:p w14:paraId="127F5F8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双方当事人未在人民法院指定的期间内，在名单分库中一致确定三家评估机构及顺序，或者因一方当事人下落不明无法进行协商的，人民法院应当及时在询价评估系统中采取摇号方式随机确定三家评估机构及顺序。财产所在地设有市级名单子库的，应当在市级名单子库中随机确定；财产所在地未设市级名单子库，但设有省级名单子库的，应当在省级名单子库中随机确定；财产所在地未设名单子库的，应当根据财产类型，在名单分库中随机确定。</w:t>
      </w:r>
    </w:p>
    <w:p w14:paraId="7D6C6CE8">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bCs/>
          <w:color w:val="000000"/>
          <w:kern w:val="0"/>
          <w:sz w:val="24"/>
          <w:shd w:val="clear" w:color="auto" w:fill="FFFFFF"/>
        </w:rPr>
        <w:t>十一、</w:t>
      </w:r>
      <w:r>
        <w:rPr>
          <w:rFonts w:hint="eastAsia" w:ascii="宋体" w:hAnsi="宋体" w:eastAsia="宋体" w:cs="宋体"/>
          <w:color w:val="000000"/>
          <w:kern w:val="0"/>
          <w:sz w:val="24"/>
          <w:shd w:val="clear" w:color="auto" w:fill="FFFFFF"/>
        </w:rPr>
        <w:t>最高人民法院应当将当事人协商或者通过摇号方式确定的评估机构名称在中国执行信息公开网上进行公示。</w:t>
      </w:r>
    </w:p>
    <w:p w14:paraId="7CB3E055">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bCs/>
          <w:color w:val="000000"/>
          <w:kern w:val="0"/>
          <w:sz w:val="24"/>
          <w:shd w:val="clear" w:color="auto" w:fill="FFFFFF"/>
        </w:rPr>
        <w:t>十二、</w:t>
      </w:r>
      <w:r>
        <w:rPr>
          <w:rFonts w:hint="eastAsia" w:ascii="宋体" w:hAnsi="宋体" w:eastAsia="宋体" w:cs="宋体"/>
          <w:color w:val="000000"/>
          <w:kern w:val="0"/>
          <w:sz w:val="24"/>
          <w:shd w:val="clear" w:color="auto" w:fill="FFFFFF"/>
        </w:rPr>
        <w:t>评估机构确定后，人民法院应当及时通过询价评估系统向顺序在先的评估机构发送评估委托书，评估委托书应当附财产清单。</w:t>
      </w:r>
    </w:p>
    <w:p w14:paraId="366EA46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人民法院应当按照本规范附件中列明的各项评估需要提供的材料清单，将查明的材料扫描上传至询价评估系统。本规范附件评估材料清单中列明的委托评估必须提供的材料，人民法院未能调取到或实际不存在的，应当在评估委托书中注明。图纸、账册等无法扫描的，人民法院应当在评估委托书中注明。</w:t>
      </w:r>
    </w:p>
    <w:p w14:paraId="1F5D291A">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bCs/>
          <w:color w:val="000000"/>
          <w:kern w:val="0"/>
          <w:sz w:val="24"/>
          <w:shd w:val="clear" w:color="auto" w:fill="FFFFFF"/>
        </w:rPr>
        <w:t>十三、</w:t>
      </w:r>
      <w:r>
        <w:rPr>
          <w:rFonts w:hint="eastAsia" w:ascii="宋体" w:hAnsi="宋体" w:eastAsia="宋体" w:cs="宋体"/>
          <w:color w:val="000000"/>
          <w:kern w:val="0"/>
          <w:sz w:val="24"/>
          <w:shd w:val="clear" w:color="auto" w:fill="FFFFFF"/>
        </w:rPr>
        <w:t>评估机构应当及时通过系统接收人民法院的评估委托书。</w:t>
      </w:r>
    </w:p>
    <w:p w14:paraId="5656FDB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人民法院通过询价评估系统向评估机构成功发出评估委托书后，评估机构三个工作日内未接收的，人民法院应当通知评估机构接收，全国性评估行业协会应当督促评估机构接收。评估机构接到通知后三个工作日内仍未接收的，人民法院应当撤回对该评估机构的委托，并另行委托下一顺序的评估机构重新进行评估。</w:t>
      </w:r>
    </w:p>
    <w:p w14:paraId="75704222">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bCs/>
          <w:color w:val="000000"/>
          <w:kern w:val="0"/>
          <w:sz w:val="24"/>
          <w:shd w:val="clear" w:color="auto" w:fill="FFFFFF"/>
        </w:rPr>
        <w:t>十四、</w:t>
      </w:r>
      <w:r>
        <w:rPr>
          <w:rFonts w:hint="eastAsia" w:ascii="宋体" w:hAnsi="宋体" w:eastAsia="宋体" w:cs="宋体"/>
          <w:color w:val="000000"/>
          <w:kern w:val="0"/>
          <w:sz w:val="24"/>
          <w:shd w:val="clear" w:color="auto" w:fill="FFFFFF"/>
        </w:rPr>
        <w:t>评估机构接收人民法院评估委托书后，认为有下列情形之一的，应当在三个工作日内向人民法院说明情况，提出不承接委托评估申请：</w:t>
      </w:r>
    </w:p>
    <w:p w14:paraId="41C5ADF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（一）其与当事人或者评估财产有利害关系；</w:t>
      </w:r>
    </w:p>
    <w:p w14:paraId="1E40FE8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（二）已办理注销登记或者被市场监管部门吊销营业执照；</w:t>
      </w:r>
    </w:p>
    <w:p w14:paraId="003C7A0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（三）依法不能进行评估的其他情形。</w:t>
      </w:r>
    </w:p>
    <w:p w14:paraId="3AF9156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人民法院经审查，认为评估机构申请不承接委托评估的理由成立的，应当在三日内撤回对该评估机构的委托，并另行委托下一顺序的评估机构重新进行评估；认为评估机构申请不承接委托评估的理由不成立的，应当在三日内通知评估机构。</w:t>
      </w:r>
    </w:p>
    <w:p w14:paraId="7629376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评估机构未在规定期限内向人民法院提出不承接委托评估申请的，视为接受委托。</w:t>
      </w:r>
    </w:p>
    <w:p w14:paraId="0E52A8E5">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bCs/>
          <w:color w:val="000000"/>
          <w:kern w:val="0"/>
          <w:sz w:val="24"/>
          <w:shd w:val="clear" w:color="auto" w:fill="FFFFFF"/>
        </w:rPr>
        <w:t>十五、</w:t>
      </w:r>
      <w:r>
        <w:rPr>
          <w:rFonts w:hint="eastAsia" w:ascii="宋体" w:hAnsi="宋体" w:eastAsia="宋体" w:cs="宋体"/>
          <w:color w:val="000000"/>
          <w:kern w:val="0"/>
          <w:sz w:val="24"/>
          <w:shd w:val="clear" w:color="auto" w:fill="FFFFFF"/>
        </w:rPr>
        <w:t>最高人民法院应当将评估机构不承接委托评估的理由进行公开。</w:t>
      </w:r>
    </w:p>
    <w:p w14:paraId="58DC437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当事人协商或者通过摇号方式确定的三家评估机构不承接委托评估的理由均成立的，人民法院应当通过原方式重新确定评估机构；当事人不能协商确定三家评估机构的，人民法院应当通过摇号方式确定。</w:t>
      </w:r>
    </w:p>
    <w:p w14:paraId="43F04FA9">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bCs/>
          <w:color w:val="000000"/>
          <w:kern w:val="0"/>
          <w:sz w:val="24"/>
          <w:shd w:val="clear" w:color="auto" w:fill="FFFFFF"/>
        </w:rPr>
        <w:t>十六、</w:t>
      </w:r>
      <w:r>
        <w:rPr>
          <w:rFonts w:hint="eastAsia" w:ascii="宋体" w:hAnsi="宋体" w:eastAsia="宋体" w:cs="宋体"/>
          <w:color w:val="000000"/>
          <w:kern w:val="0"/>
          <w:sz w:val="24"/>
          <w:shd w:val="clear" w:color="auto" w:fill="FFFFFF"/>
        </w:rPr>
        <w:t>评估机构接受委托或者其不承接委托评估的理由不成立的，人民法院应当将扫描上传至询价评估系统的材料发送给评估机构；图纸、账册等材料无法扫描的，应当及时邮寄或者直接交付给评估机构。</w:t>
      </w:r>
    </w:p>
    <w:p w14:paraId="3E0E128F">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bCs/>
          <w:color w:val="000000"/>
          <w:kern w:val="0"/>
          <w:sz w:val="24"/>
          <w:shd w:val="clear" w:color="auto" w:fill="FFFFFF"/>
        </w:rPr>
        <w:t>十七、</w:t>
      </w:r>
      <w:r>
        <w:rPr>
          <w:rFonts w:hint="eastAsia" w:ascii="宋体" w:hAnsi="宋体" w:eastAsia="宋体" w:cs="宋体"/>
          <w:color w:val="000000"/>
          <w:kern w:val="0"/>
          <w:sz w:val="24"/>
          <w:shd w:val="clear" w:color="auto" w:fill="FFFFFF"/>
        </w:rPr>
        <w:t>评估机构收到评估委托书和相关材料后，应当及时确定评估专业人员，并通过系统将评估专业人员的信息发送给人民法院。</w:t>
      </w:r>
    </w:p>
    <w:p w14:paraId="4D9446C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因违反资产评估法或者评估行业监督管理办法被有关部门处罚不满一年，以及与当事人或者评估财产有利害关系的评估专业人员，不得参与司法委托评估工作。</w:t>
      </w:r>
    </w:p>
    <w:p w14:paraId="14A645F8">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bCs/>
          <w:color w:val="000000"/>
          <w:kern w:val="0"/>
          <w:sz w:val="24"/>
          <w:shd w:val="clear" w:color="auto" w:fill="FFFFFF"/>
        </w:rPr>
        <w:t>十八、</w:t>
      </w:r>
      <w:r>
        <w:rPr>
          <w:rFonts w:hint="eastAsia" w:ascii="宋体" w:hAnsi="宋体" w:eastAsia="宋体" w:cs="宋体"/>
          <w:color w:val="000000"/>
          <w:kern w:val="0"/>
          <w:sz w:val="24"/>
          <w:shd w:val="clear" w:color="auto" w:fill="FFFFFF"/>
        </w:rPr>
        <w:t>评估机构确定评估专业人员后，应当及时开展评估工作。需要现场勘验的，评估机构应当及时通知人民法院组织进行。</w:t>
      </w:r>
    </w:p>
    <w:p w14:paraId="3FF088A6">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bCs/>
          <w:color w:val="000000"/>
          <w:kern w:val="0"/>
          <w:sz w:val="24"/>
          <w:shd w:val="clear" w:color="auto" w:fill="FFFFFF"/>
        </w:rPr>
        <w:t>十九、</w:t>
      </w:r>
      <w:r>
        <w:rPr>
          <w:rFonts w:hint="eastAsia" w:ascii="宋体" w:hAnsi="宋体" w:eastAsia="宋体" w:cs="宋体"/>
          <w:color w:val="000000"/>
          <w:kern w:val="0"/>
          <w:sz w:val="24"/>
          <w:shd w:val="clear" w:color="auto" w:fill="FFFFFF"/>
        </w:rPr>
        <w:t>人民法院未按本规范附件中列明的委托评估需要提供的材料清单提供全部材料，评估机构认为无法进行评估或者影响评估结果的，应当及时告知人民法院。人民法院应当告知当事人，并要求当事人提供材料或材料线索。</w:t>
      </w:r>
    </w:p>
    <w:p w14:paraId="60DB012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当事人不提供或未能提供，以及根据当事人提供的材料线索无法提取到相关材料的，人民法院应当通知评估机构根据现有材料进行评估，并告知当事人因缺乏材料可能影响评估结果的风险。</w:t>
      </w:r>
    </w:p>
    <w:p w14:paraId="58B089EB">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bCs/>
          <w:color w:val="000000"/>
          <w:kern w:val="0"/>
          <w:sz w:val="24"/>
          <w:shd w:val="clear" w:color="auto" w:fill="FFFFFF"/>
        </w:rPr>
        <w:t>二十、</w:t>
      </w:r>
      <w:r>
        <w:rPr>
          <w:rFonts w:hint="eastAsia" w:ascii="宋体" w:hAnsi="宋体" w:eastAsia="宋体" w:cs="宋体"/>
          <w:color w:val="000000"/>
          <w:kern w:val="0"/>
          <w:sz w:val="24"/>
          <w:shd w:val="clear" w:color="auto" w:fill="FFFFFF"/>
        </w:rPr>
        <w:t>评估机构应在收到评估委托书和相关材料后三十日内出具评估报告，并通过系统发送给人民法院。人民法院通过询价评估系统发送委托评估材料的，询价评估系统提示成功发送的时间为评估机构收到的时间；人民法院邮寄或者直接交付委托评估材料的，以评估机构签收的时间为收到时间。</w:t>
      </w:r>
    </w:p>
    <w:p w14:paraId="4B55BB68">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bCs/>
          <w:color w:val="000000"/>
          <w:kern w:val="0"/>
          <w:sz w:val="24"/>
          <w:shd w:val="clear" w:color="auto" w:fill="FFFFFF"/>
        </w:rPr>
        <w:t>二十一、</w:t>
      </w:r>
      <w:r>
        <w:rPr>
          <w:rFonts w:hint="eastAsia" w:ascii="宋体" w:hAnsi="宋体" w:eastAsia="宋体" w:cs="宋体"/>
          <w:color w:val="000000"/>
          <w:kern w:val="0"/>
          <w:sz w:val="24"/>
          <w:shd w:val="clear" w:color="auto" w:fill="FFFFFF"/>
        </w:rPr>
        <w:t>评估机构认为不能在期限内出具评估报告的，应当在期限届满五日前通过系统向人民法院发送书面的延期申请。申请书中应当说明不能按期完成评估的原因，以及申请延长的期限，但期限不得超过十五日。</w:t>
      </w:r>
    </w:p>
    <w:p w14:paraId="11EA911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人民法院收到评估机构的延期申请后，应当在三日内决定是否延期，并通过系统通知评估机构。决定延期的，应当确定延长的期限；决定不延期的，应当说明理由。</w:t>
      </w:r>
    </w:p>
    <w:p w14:paraId="0944EB8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评估机构在人民法院确定的延长期限内，仍不能出具评估报告的，应当按照第一款的要求向人民法院再次提出一次延期申请。对于评估机构的延期申请，人民法院应当按照第二款的要求办理。</w:t>
      </w:r>
    </w:p>
    <w:p w14:paraId="55BD5524">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bCs/>
          <w:color w:val="000000"/>
          <w:kern w:val="0"/>
          <w:sz w:val="24"/>
          <w:shd w:val="clear" w:color="auto" w:fill="FFFFFF"/>
        </w:rPr>
        <w:t>二十二、</w:t>
      </w:r>
      <w:r>
        <w:rPr>
          <w:rFonts w:hint="eastAsia" w:ascii="宋体" w:hAnsi="宋体" w:eastAsia="宋体" w:cs="宋体"/>
          <w:color w:val="000000"/>
          <w:kern w:val="0"/>
          <w:sz w:val="24"/>
          <w:shd w:val="clear" w:color="auto" w:fill="FFFFFF"/>
        </w:rPr>
        <w:t>评估机构未在收到评估委托书和相关材料后三十日内或者未在人民法院确定的第一次延长期限内出具评估报告，亦不向人民法院申请延期的，人民法院应当撤回对该评估机构的委托，告知其在三日内退回委托评估的材料，并另行委托下一顺序的评估机构重新进行评估。</w:t>
      </w:r>
    </w:p>
    <w:p w14:paraId="5EE6B692">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bCs/>
          <w:color w:val="000000"/>
          <w:kern w:val="0"/>
          <w:sz w:val="24"/>
          <w:shd w:val="clear" w:color="auto" w:fill="FFFFFF"/>
        </w:rPr>
        <w:t>二十三、</w:t>
      </w:r>
      <w:r>
        <w:rPr>
          <w:rFonts w:hint="eastAsia" w:ascii="宋体" w:hAnsi="宋体" w:eastAsia="宋体" w:cs="宋体"/>
          <w:color w:val="000000"/>
          <w:kern w:val="0"/>
          <w:sz w:val="24"/>
          <w:shd w:val="clear" w:color="auto" w:fill="FFFFFF"/>
        </w:rPr>
        <w:t>人民法院认为评估报告具有参考价规定第二十条规定的情形之一的，应当通过系统向评估机构发出通知书，要求评估机构在三日内予以说明或者补正。通知书应当载明评估报告存在的问题，需要说明或者补正的事项。</w:t>
      </w:r>
    </w:p>
    <w:p w14:paraId="6C9287B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评估机构未在期限内按照人民法院的要求进行说明或者补正的，人民法院应当通知该评估机构在三日内退回委托评估的材料，并另行委托下一顺序的评估机构重新进行评估。</w:t>
      </w:r>
    </w:p>
    <w:p w14:paraId="58AEBE05">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bCs/>
          <w:color w:val="000000"/>
          <w:kern w:val="0"/>
          <w:sz w:val="24"/>
          <w:shd w:val="clear" w:color="auto" w:fill="FFFFFF"/>
        </w:rPr>
        <w:t>二十四、</w:t>
      </w:r>
      <w:r>
        <w:rPr>
          <w:rFonts w:hint="eastAsia" w:ascii="宋体" w:hAnsi="宋体" w:eastAsia="宋体" w:cs="宋体"/>
          <w:color w:val="000000"/>
          <w:kern w:val="0"/>
          <w:sz w:val="24"/>
          <w:shd w:val="clear" w:color="auto" w:fill="FFFFFF"/>
        </w:rPr>
        <w:t>人民法院应当在收到评估报告或者书面说明、补正材料后，按照参考价规定第二十一条的规定向当事人、利害关系人发送。</w:t>
      </w:r>
    </w:p>
    <w:p w14:paraId="34EF9858">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bCs/>
          <w:color w:val="000000"/>
          <w:kern w:val="0"/>
          <w:sz w:val="24"/>
          <w:shd w:val="clear" w:color="auto" w:fill="FFFFFF"/>
        </w:rPr>
        <w:t>二十五、</w:t>
      </w:r>
      <w:r>
        <w:rPr>
          <w:rFonts w:hint="eastAsia" w:ascii="宋体" w:hAnsi="宋体" w:eastAsia="宋体" w:cs="宋体"/>
          <w:color w:val="000000"/>
          <w:kern w:val="0"/>
          <w:sz w:val="24"/>
          <w:shd w:val="clear" w:color="auto" w:fill="FFFFFF"/>
        </w:rPr>
        <w:t>当事人、利害关系人认为评估报告存在参考价的规定第二十二条第一款第一、二项情形，在收到评估报告后五日内提出书面异议，人民法院经审查，裁定异议成立的，人民法院应当在三日内交评估机构予以书面说明或者补正。</w:t>
      </w:r>
    </w:p>
    <w:p w14:paraId="731902D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评估机构在五日内未作说明或者补正的，人民法院应当撤回对该评估机构的委托，告知其在三日内退回委托评估的材料，并另行委托下一顺序的评估机构重新进行评估。</w:t>
      </w:r>
    </w:p>
    <w:p w14:paraId="20D08393">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bCs/>
          <w:color w:val="000000"/>
          <w:kern w:val="0"/>
          <w:sz w:val="24"/>
          <w:shd w:val="clear" w:color="auto" w:fill="FFFFFF"/>
        </w:rPr>
        <w:t>二十六、</w:t>
      </w:r>
      <w:r>
        <w:rPr>
          <w:rFonts w:hint="eastAsia" w:ascii="宋体" w:hAnsi="宋体" w:eastAsia="宋体" w:cs="宋体"/>
          <w:color w:val="000000"/>
          <w:kern w:val="0"/>
          <w:sz w:val="24"/>
          <w:shd w:val="clear" w:color="auto" w:fill="FFFFFF"/>
        </w:rPr>
        <w:t>当事人、利害关系人认为评估报告存在参考价规定第二十二条第一款第三、四项情形，在收到评估报告后五日内提出书面异议，人民法院经审查，裁定异议成立的，人民法院应当通知该评估机构在三日内退回委托评估的材料，并另行委托下一顺序的评估机构进行评估。</w:t>
      </w:r>
    </w:p>
    <w:p w14:paraId="215D1438">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bCs/>
          <w:color w:val="000000"/>
          <w:kern w:val="0"/>
          <w:sz w:val="24"/>
          <w:shd w:val="clear" w:color="auto" w:fill="FFFFFF"/>
        </w:rPr>
        <w:t>二十七、</w:t>
      </w:r>
      <w:r>
        <w:rPr>
          <w:rFonts w:hint="eastAsia" w:ascii="宋体" w:hAnsi="宋体" w:eastAsia="宋体" w:cs="宋体"/>
          <w:color w:val="000000"/>
          <w:kern w:val="0"/>
          <w:sz w:val="24"/>
          <w:shd w:val="clear" w:color="auto" w:fill="FFFFFF"/>
        </w:rPr>
        <w:t>当事人、利害关系人收到评估报告后五日内对评估报告的参照标准、计算方法或者评估结果等提出书面异议的，人民法院应当在三日内交评估机构予以书面说明。评估机构在五日内未作说明或者当事人、利害关系人对作出的说明仍有异议的，人民法院应当交该评估机构所属全国性评估行业协会组织进行专业技术评审。全国性评估行业协会可以根据实际情况，指定省级评估行业协会进行专业技术评审。</w:t>
      </w:r>
    </w:p>
    <w:p w14:paraId="214EA74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省级评估行业协会或者全国性行业协会应当在人民法院指定的期限内出具评审意见。</w:t>
      </w:r>
    </w:p>
    <w:p w14:paraId="508AA8B5">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bCs/>
          <w:color w:val="000000"/>
          <w:kern w:val="0"/>
          <w:sz w:val="24"/>
          <w:shd w:val="clear" w:color="auto" w:fill="FFFFFF"/>
        </w:rPr>
        <w:t>二十八、</w:t>
      </w:r>
      <w:r>
        <w:rPr>
          <w:rFonts w:hint="eastAsia" w:ascii="宋体" w:hAnsi="宋体" w:eastAsia="宋体" w:cs="宋体"/>
          <w:color w:val="000000"/>
          <w:kern w:val="0"/>
          <w:sz w:val="24"/>
          <w:shd w:val="clear" w:color="auto" w:fill="FFFFFF"/>
        </w:rPr>
        <w:t>人民法院依据参考价规定第二十八条决定暂缓委托评估的，应当通过系统向评估机构发送暂缓委托评估通知书。</w:t>
      </w:r>
    </w:p>
    <w:p w14:paraId="192B2F4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暂缓情形消失后，人民法院应当及时通过系统向评估机构发送恢复委托评估通知书。</w:t>
      </w:r>
    </w:p>
    <w:p w14:paraId="1F0CEA8A">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bCs/>
          <w:color w:val="000000"/>
          <w:kern w:val="0"/>
          <w:sz w:val="24"/>
          <w:shd w:val="clear" w:color="auto" w:fill="FFFFFF"/>
        </w:rPr>
        <w:t>二十九、</w:t>
      </w:r>
      <w:r>
        <w:rPr>
          <w:rFonts w:hint="eastAsia" w:ascii="宋体" w:hAnsi="宋体" w:eastAsia="宋体" w:cs="宋体"/>
          <w:color w:val="000000"/>
          <w:kern w:val="0"/>
          <w:sz w:val="24"/>
          <w:shd w:val="clear" w:color="auto" w:fill="FFFFFF"/>
        </w:rPr>
        <w:t>人民法院依据参考价规定第二十九条撤回委托评估的，应当通过系统及时向评估机构发送撤回委托评估通知书。通知书应当载明撤回委托评估的原因，以及指定期限要求评估机构出具因评估已实际支出费用的说明，并附相关凭证。</w:t>
      </w:r>
    </w:p>
    <w:p w14:paraId="33A4A638">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bCs/>
          <w:color w:val="000000"/>
          <w:kern w:val="0"/>
          <w:sz w:val="24"/>
          <w:shd w:val="clear" w:color="auto" w:fill="FFFFFF"/>
        </w:rPr>
        <w:t>三十、</w:t>
      </w:r>
      <w:r>
        <w:rPr>
          <w:rFonts w:hint="eastAsia" w:ascii="宋体" w:hAnsi="宋体" w:eastAsia="宋体" w:cs="宋体"/>
          <w:color w:val="000000"/>
          <w:kern w:val="0"/>
          <w:sz w:val="24"/>
          <w:shd w:val="clear" w:color="auto" w:fill="FFFFFF"/>
        </w:rPr>
        <w:t>评估机构应当按照其在所属全国性评估行业协会报备的收费标准，并依据参考价规定第三十二条的规定收取委托评估费用。</w:t>
      </w:r>
    </w:p>
    <w:p w14:paraId="6DA0F02A">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bCs/>
          <w:color w:val="000000"/>
          <w:kern w:val="0"/>
          <w:sz w:val="24"/>
          <w:shd w:val="clear" w:color="auto" w:fill="FFFFFF"/>
        </w:rPr>
        <w:t>三十一、</w:t>
      </w:r>
      <w:r>
        <w:rPr>
          <w:rFonts w:hint="eastAsia" w:ascii="宋体" w:hAnsi="宋体" w:eastAsia="宋体" w:cs="宋体"/>
          <w:color w:val="000000"/>
          <w:kern w:val="0"/>
          <w:sz w:val="24"/>
          <w:shd w:val="clear" w:color="auto" w:fill="FFFFFF"/>
        </w:rPr>
        <w:t>评估机构应当根据评估报告中的评估价和在所属全国性评估行业协会报备的收费标准计算预估评估费，并出具预估评估费交纳通知书与评估报告一并提交给人民法院。人民法院应当按照预估评估费用的50%通知申请执行人垫付。</w:t>
      </w:r>
    </w:p>
    <w:p w14:paraId="558169B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人民法院应当将申请执行人交纳的评估费支付给评估机构，并注明实际评估费用按照参考价规定第三十二条的规定计算，多退少补。申请执行人以签订保险合同的方式垫付评估费的，人民法院应当告知评估机构。　</w:t>
      </w:r>
    </w:p>
    <w:p w14:paraId="1BCDFB1C">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bCs/>
          <w:color w:val="000000"/>
          <w:kern w:val="0"/>
          <w:sz w:val="24"/>
          <w:shd w:val="clear" w:color="auto" w:fill="FFFFFF"/>
        </w:rPr>
        <w:t>三十二、</w:t>
      </w:r>
      <w:r>
        <w:rPr>
          <w:rFonts w:hint="eastAsia" w:ascii="宋体" w:hAnsi="宋体" w:eastAsia="宋体" w:cs="宋体"/>
          <w:color w:val="000000"/>
          <w:kern w:val="0"/>
          <w:sz w:val="24"/>
          <w:shd w:val="clear" w:color="auto" w:fill="FFFFFF"/>
        </w:rPr>
        <w:t>人民法院通过系统向评估机构成功发送退回委托评估材料的通知，即视为终止委托评估。</w:t>
      </w:r>
    </w:p>
    <w:p w14:paraId="6E7390D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评估机构是否接收前款规定的通知，以及是否退回委托评估的材料，不影响人民法院另行委托评估机构重新进行评估。</w:t>
      </w:r>
    </w:p>
    <w:p w14:paraId="28FD087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人民法院通过线下发送给评估机构的评估材料，评估机构未在期限内退回的，人民法院可以强制提取。对妨碍强制提取的，人民法院可以参照民事诉讼法第一百一十一条、第一百一十四条的规定处理。</w:t>
      </w:r>
    </w:p>
    <w:p w14:paraId="572D11E0">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bCs/>
          <w:color w:val="000000"/>
          <w:kern w:val="0"/>
          <w:sz w:val="24"/>
          <w:shd w:val="clear" w:color="auto" w:fill="FFFFFF"/>
        </w:rPr>
        <w:t>三十三、</w:t>
      </w:r>
      <w:r>
        <w:rPr>
          <w:rFonts w:hint="eastAsia" w:ascii="宋体" w:hAnsi="宋体" w:eastAsia="宋体" w:cs="宋体"/>
          <w:color w:val="000000"/>
          <w:kern w:val="0"/>
          <w:sz w:val="24"/>
          <w:shd w:val="clear" w:color="auto" w:fill="FFFFFF"/>
        </w:rPr>
        <w:t>最高人民法院与各全国性评估行业协会建立司法委托评估工作协调和处理机制工作小组，负责名单库的推荐与除名，以及解决人民法院与评估机构间因委托评估发生的相关事宜。</w:t>
      </w:r>
    </w:p>
    <w:p w14:paraId="46E101D0">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bCs/>
          <w:color w:val="000000"/>
          <w:kern w:val="0"/>
          <w:sz w:val="24"/>
          <w:shd w:val="clear" w:color="auto" w:fill="FFFFFF"/>
        </w:rPr>
        <w:t>三十四、</w:t>
      </w:r>
      <w:r>
        <w:rPr>
          <w:rFonts w:hint="eastAsia" w:ascii="宋体" w:hAnsi="宋体" w:eastAsia="宋体" w:cs="宋体"/>
          <w:color w:val="000000"/>
          <w:kern w:val="0"/>
          <w:sz w:val="24"/>
          <w:shd w:val="clear" w:color="auto" w:fill="FFFFFF"/>
        </w:rPr>
        <w:t>最高人民法院与各全国性评估行业协会协商确定的《人民法院委托评估需要提供的材料清单》作为本规范附件。</w:t>
      </w:r>
    </w:p>
    <w:p w14:paraId="4410F37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附件：人民法院委托评估需要提供的材料清单</w:t>
      </w:r>
    </w:p>
    <w:p w14:paraId="7C45F6CE">
      <w:pPr>
        <w:shd w:val="clear" w:color="auto" w:fill="FFFFFF"/>
        <w:spacing w:line="440" w:lineRule="atLeast"/>
        <w:ind w:firstLine="480" w:firstLineChars="200"/>
        <w:rPr>
          <w:rFonts w:ascii="宋体" w:hAnsi="宋体" w:eastAsia="宋体" w:cs="宋体"/>
          <w:color w:val="000000"/>
          <w:kern w:val="0"/>
          <w:sz w:val="24"/>
          <w:shd w:val="clear" w:color="auto" w:fill="FFFFFF"/>
        </w:rPr>
        <w:sectPr>
          <w:pgSz w:w="11900" w:h="16840"/>
          <w:pgMar w:top="2068" w:right="1597" w:bottom="2122" w:left="1529" w:header="720" w:footer="720" w:gutter="0"/>
          <w:cols w:space="720" w:num="1"/>
          <w:docGrid w:type="lines" w:linePitch="360" w:charSpace="0"/>
        </w:sectPr>
      </w:pPr>
    </w:p>
    <w:p w14:paraId="32EB330F">
      <w:pPr>
        <w:shd w:val="clear" w:color="auto" w:fill="FFFFFF"/>
        <w:spacing w:line="440" w:lineRule="atLeast"/>
        <w:rPr>
          <w:rFonts w:ascii="宋体" w:hAnsi="宋体" w:eastAsia="宋体" w:cs="宋体"/>
          <w:color w:val="000000"/>
          <w:kern w:val="0"/>
          <w:sz w:val="24"/>
          <w:shd w:val="clear" w:color="auto" w:fill="FFFFFF"/>
        </w:rPr>
      </w:pPr>
      <w:bookmarkStart w:id="38" w:name="_Toc13373"/>
      <w:r>
        <w:rPr>
          <w:rFonts w:hint="eastAsia" w:ascii="宋体" w:hAnsi="宋体" w:eastAsia="宋体" w:cs="宋体"/>
          <w:color w:val="000000"/>
          <w:kern w:val="0"/>
          <w:sz w:val="24"/>
          <w:shd w:val="clear" w:color="auto" w:fill="FFFFFF"/>
        </w:rPr>
        <w:t>附件</w:t>
      </w:r>
      <w:bookmarkEnd w:id="38"/>
    </w:p>
    <w:p w14:paraId="5413FE42">
      <w:pPr>
        <w:shd w:val="clear" w:color="auto" w:fill="FFFFFF"/>
        <w:spacing w:line="440" w:lineRule="atLeast"/>
        <w:jc w:val="center"/>
        <w:rPr>
          <w:rFonts w:ascii="宋体" w:hAnsi="宋体" w:eastAsia="宋体" w:cs="宋体"/>
          <w:b/>
          <w:bCs/>
          <w:color w:val="000000"/>
          <w:kern w:val="0"/>
          <w:sz w:val="30"/>
          <w:szCs w:val="30"/>
          <w:shd w:val="clear" w:color="auto" w:fill="FFFFFF"/>
        </w:rPr>
      </w:pPr>
      <w:r>
        <w:rPr>
          <w:rFonts w:hint="eastAsia" w:ascii="宋体" w:hAnsi="宋体" w:eastAsia="宋体" w:cs="宋体"/>
          <w:b/>
          <w:bCs/>
          <w:color w:val="000000"/>
          <w:kern w:val="0"/>
          <w:sz w:val="30"/>
          <w:szCs w:val="30"/>
          <w:shd w:val="clear" w:color="auto" w:fill="FFFFFF"/>
        </w:rPr>
        <w:t>人民法院委托评估需要提供的材料清单</w:t>
      </w:r>
    </w:p>
    <w:p w14:paraId="4171079C">
      <w:pPr>
        <w:shd w:val="clear" w:color="auto" w:fill="FFFFFF"/>
        <w:spacing w:line="440" w:lineRule="atLeast"/>
        <w:ind w:firstLine="482" w:firstLineChars="200"/>
        <w:rPr>
          <w:rFonts w:ascii="宋体" w:hAnsi="宋体" w:eastAsia="宋体" w:cs="宋体"/>
          <w:b/>
          <w:bCs/>
          <w:color w:val="000000"/>
          <w:kern w:val="0"/>
          <w:sz w:val="24"/>
          <w:shd w:val="clear" w:color="auto" w:fill="FFFFFF"/>
        </w:rPr>
      </w:pPr>
      <w:r>
        <w:rPr>
          <w:rFonts w:hint="eastAsia" w:ascii="宋体" w:hAnsi="宋体" w:eastAsia="宋体" w:cs="宋体"/>
          <w:b/>
          <w:bCs/>
          <w:color w:val="000000"/>
          <w:kern w:val="0"/>
          <w:sz w:val="24"/>
          <w:shd w:val="clear" w:color="auto" w:fill="FFFFFF"/>
        </w:rPr>
        <w:t>一、房地产类</w:t>
      </w:r>
    </w:p>
    <w:p w14:paraId="59DCC5B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（一）必需材料</w:t>
      </w:r>
    </w:p>
    <w:p w14:paraId="4ECCF16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权属证明（巳办理权属登记的），包括：《不动产权证书》或《房地产权证》《房屋所有权证》《国有土地使用证》，《国有建设用地使用证》《集体土地所有权证》《集体建设用地使用证》《集体土地承包权证》；</w:t>
      </w:r>
    </w:p>
    <w:p w14:paraId="4AA5E7D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2.合法来源证明（未办理权属登记的），包括：房地产买卖合同、继承证明（公证书、判决或调解书等）、相关批文、契税发票、测绘成果等；</w:t>
      </w:r>
    </w:p>
    <w:p w14:paraId="7BC7A47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3.抵押等他项权证明，已出租房地产的租赁合同》</w:t>
      </w:r>
    </w:p>
    <w:p w14:paraId="1B23698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4.法院查明的财产权属、质董瑕疵等材料，以及关于财产的特殊情况说明。</w:t>
      </w:r>
    </w:p>
    <w:p w14:paraId="3006C6E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（二）一般材料</w:t>
      </w:r>
    </w:p>
    <w:p w14:paraId="5100DE3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1.房地产状况相关材料，包括：相关工程建设、图纸、房屋交付等资料，房屋装修情况，房屋占用和维护情况，自营性房地产（如宾馆、餐饮、娱乐场所等）的收益及相应的成本费用资料。</w:t>
      </w:r>
    </w:p>
    <w:p w14:paraId="116C120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在建工程相关材料，包括：建设项目可行性研究资料及立项批准文件、《国有建设用地使用权出让合同》（或《国有土地划拨决定书》）《建设用地规划许可证》《建设工程规划许可证》《建筑工程施工许可证》《商品房预售许可证》《商品房预售合同》、规划总平面图、建筑设计平面图、施工总承包合同、工程预算资料、征收及市政配套协议、房屋设计说明及设计交付时间、施工进度安排及实际逬　度、隐蔽工程图纸、测绘报告或分层分部位建筑面积明细表、地价付款凭证、工程付款凭证、主要机电设备安装规划及实际安装与付款凭证、实际装修与付款凭证、房屋预售部分清单及反映房地产收益的资料等。</w:t>
      </w:r>
    </w:p>
    <w:p w14:paraId="1E1FD908">
      <w:pPr>
        <w:shd w:val="clear" w:color="auto" w:fill="FFFFFF"/>
        <w:spacing w:line="440" w:lineRule="atLeast"/>
        <w:ind w:firstLine="482" w:firstLineChars="200"/>
        <w:rPr>
          <w:rFonts w:ascii="宋体" w:hAnsi="宋体" w:eastAsia="宋体" w:cs="宋体"/>
          <w:b/>
          <w:bCs/>
          <w:color w:val="000000"/>
          <w:kern w:val="0"/>
          <w:sz w:val="24"/>
          <w:shd w:val="clear" w:color="auto" w:fill="FFFFFF"/>
        </w:rPr>
      </w:pPr>
      <w:r>
        <w:rPr>
          <w:rFonts w:hint="eastAsia" w:ascii="宋体" w:hAnsi="宋体" w:eastAsia="宋体" w:cs="宋体"/>
          <w:b/>
          <w:bCs/>
          <w:color w:val="000000"/>
          <w:kern w:val="0"/>
          <w:sz w:val="24"/>
          <w:shd w:val="clear" w:color="auto" w:fill="FFFFFF"/>
        </w:rPr>
        <w:t>二、土地类</w:t>
      </w:r>
    </w:p>
    <w:p w14:paraId="17E88FE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（一）必需材料</w:t>
      </w:r>
    </w:p>
    <w:p w14:paraId="1704A84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1.权属证明（已办理权属登记的），包括：《不动产权证书》或《房地产权证》《国有土地使用证》《国有建设用地使用证》《集体土地所有权证》《集体建设用地使用证》《国有土地使用权证》《集体土　地使用权证》《集体土地承包权证》；</w:t>
      </w:r>
    </w:p>
    <w:p w14:paraId="472889E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2.合法来源证明，包括：《国有建设用地使用权出让合同》或《转让合同》《置换集体土地上的土地承包合同》、出让金及契税发票、规划条件函等规划批复文件；</w:t>
      </w:r>
    </w:p>
    <w:p w14:paraId="25E91D8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3.抵押等他项权证明；</w:t>
      </w:r>
    </w:p>
    <w:p w14:paraId="5421566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4.法院查明的财产权属、质量瑕疵等材料，以及关于财产的特殊情况说明。</w:t>
      </w:r>
    </w:p>
    <w:p w14:paraId="19B552C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（二）一般材料</w:t>
      </w:r>
    </w:p>
    <w:p w14:paraId="49D3436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1.地上建筑物材料（有权属登记的），包括:《不动产权证书》或　《房屋所有权证》；</w:t>
      </w:r>
    </w:p>
    <w:p w14:paraId="76E2F3A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2.在建工程材料，包括：《建设用地规划许可证》《建设工程规划许可证》《建筑工程施工许可证》《工程竣工验收备案表》等；</w:t>
      </w:r>
    </w:p>
    <w:p w14:paraId="006EF73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3.租赁情况材料，包括《土地租赁合同》《房屋租赁合同》《土地承包经营合同》。</w:t>
      </w:r>
    </w:p>
    <w:p w14:paraId="3EDA2F39">
      <w:pPr>
        <w:shd w:val="clear" w:color="auto" w:fill="FFFFFF"/>
        <w:spacing w:line="440" w:lineRule="atLeast"/>
        <w:ind w:firstLine="482" w:firstLineChars="200"/>
        <w:rPr>
          <w:rFonts w:ascii="宋体" w:hAnsi="宋体" w:eastAsia="宋体" w:cs="宋体"/>
          <w:b/>
          <w:bCs/>
          <w:color w:val="000000"/>
          <w:kern w:val="0"/>
          <w:sz w:val="24"/>
          <w:shd w:val="clear" w:color="auto" w:fill="FFFFFF"/>
        </w:rPr>
      </w:pPr>
      <w:r>
        <w:rPr>
          <w:rFonts w:hint="eastAsia" w:ascii="宋体" w:hAnsi="宋体" w:eastAsia="宋体" w:cs="宋体"/>
          <w:b/>
          <w:bCs/>
          <w:color w:val="000000"/>
          <w:kern w:val="0"/>
          <w:sz w:val="24"/>
          <w:shd w:val="clear" w:color="auto" w:fill="FFFFFF"/>
        </w:rPr>
        <w:t>三、矿业权类</w:t>
      </w:r>
    </w:p>
    <w:p w14:paraId="1229928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（一）探矿权类评估</w:t>
      </w:r>
    </w:p>
    <w:p w14:paraId="68A303B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必需材料</w:t>
      </w:r>
    </w:p>
    <w:p w14:paraId="79A4FB5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（1）权属材料，包括：勘查许可证及其批准的区块范围图、探矿权出让收益（价款）缴纳情况说明及相关材料、探矿权人营业执照或事业单位法人证书；</w:t>
      </w:r>
    </w:p>
    <w:p w14:paraId="0124EB8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（2）地质、储量及采矿、选矿类技术类材料，包括：地质勘查全过　程所取得各种地勘成果（历次地质勘查报告及有关资料以及相关评审意见书与评审备案证明）、综合性地质矿产平面图（标注勘查　区范围的地形地质图）、矿区勘查工程布置图、典型剖面图（包括　孔、坑道等内容）、物化探成果图、主要矿体（层）储量计算图、矿山　建设可行性研究报告或初步设计或开发利用方案；</w:t>
      </w:r>
    </w:p>
    <w:p w14:paraId="3F62072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财务统计类材料，包括：地质勘查工作期间的历年投入的地勘费统计报表、地质勘查工作期间主要、大额的地勘费发票、历年完成的勘查实物工作量统计（包括地形地质测量物探、化探、钻探、坑探、浅井、槽探工程等）；</w:t>
      </w:r>
    </w:p>
    <w:p w14:paraId="485E5DE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（4）抵押等他项权证明；</w:t>
      </w:r>
      <w:r>
        <w:rPr>
          <w:rFonts w:hint="eastAsia" w:ascii="宋体" w:hAnsi="宋体" w:eastAsia="宋体" w:cs="宋体"/>
          <w:color w:val="000000"/>
          <w:kern w:val="0"/>
          <w:sz w:val="24"/>
          <w:shd w:val="clear" w:color="auto" w:fill="FFFFFF"/>
        </w:rPr>
        <w:tab/>
      </w:r>
    </w:p>
    <w:p w14:paraId="2FBAAD5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（5）法院查明的财产权属、质量瑕疵等材料，以及关于财产的特殊情况说明。</w:t>
      </w:r>
    </w:p>
    <w:p w14:paraId="591192C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—般材料</w:t>
      </w:r>
    </w:p>
    <w:p w14:paraId="7F90F39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综合材料，包括：勘查许可证的历史沿革（含最初设立、延续及变更、变更原因等）、以往矿业权评估史（包括评估时间、目的、范围、评估机构和评估结果）、探矿权人简介（包括历史沿革、人员构成、生产经营现状、企业发展过程中的重大事件、内部机构设置及隶属关系、资产等经营管理核算模式</w:t>
      </w:r>
    </w:p>
    <w:p w14:paraId="0472346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（2）财务统计类材料，包括：地质勘查工作“出资证明”等。</w:t>
      </w:r>
    </w:p>
    <w:p w14:paraId="73B7D84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（二）采矿权类评估</w:t>
      </w:r>
    </w:p>
    <w:p w14:paraId="4A40118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必需材料</w:t>
      </w:r>
    </w:p>
    <w:p w14:paraId="0199C06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（1）权属材料，包括：采矿权人及矿山法人营业执照、采矿许可证副本或划定矿区范围批复、采矿权出让收益（价款）缴纳情况说明及相关文件材料；</w:t>
      </w:r>
    </w:p>
    <w:p w14:paraId="3D69B9B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地质材料，包括：与本次评估基准日最接近的矿产资源储量报告及其储量评审意见及备案证明、储量核实基准日至评估基准曰各年储量动态报表、矿区范围地质图、典型剖面图、主要矿体（层）储量计算图；</w:t>
      </w:r>
    </w:p>
    <w:p w14:paraId="55FE288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（3）采、选材料，包括：矿山开发利用方案或可行性研究报告或初步设计及其审查意见、矿山近三年来生产报表或主要技术经济　指标统计表（包括设计损失、采矿损失率及矿石贫化率、采选冶原矿矿石量及原矿品位、选矿回收率、冶炼回收率、精矿品位、产品方案及产量与销量）、开拓系统平面示意图、采选工艺流程图；</w:t>
      </w:r>
    </w:p>
    <w:p w14:paraId="015112E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4）财务统计类材料，包括：按矿山采、选（冶）分列的近三年度财务决算报告和评估基准日会计表（含辅助报表）、近五年度和评估基准日当年产品销售统计（含年度主要产品的销售数量、价格、收入等）、近五年度和评估基准日当年有代表性的销售合同增值税发票复印件（按不同产品、不同年度分别提供）、截止评估基准曰经　营性固定资产分类汇总表（按单位或部门分别提供或汇总提供）；</w:t>
      </w:r>
    </w:p>
    <w:p w14:paraId="24AC452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（5）抵押等他项权证明；</w:t>
      </w:r>
    </w:p>
    <w:p w14:paraId="2EC7305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（6）法院查明的财产权属、质董瑕疵等材料，以及关于财产的特殊情况说明。</w:t>
      </w:r>
    </w:p>
    <w:p w14:paraId="4B2878B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—般材料</w:t>
      </w:r>
    </w:p>
    <w:p w14:paraId="3E0CFFA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综合材料，包括：以往矿业权评估史（含评估时间、目的、范围、评估机构和评估结果）、产品销售说明等、采矿权人及矿山简介（历史沿革、人员构成、生产经营现状、企业发展过程中的重大事件、企业内部机构设置及隶属关系、采、选、冶、加工、运输、销售、资　产等经营、管理、核算模式）；</w:t>
      </w:r>
    </w:p>
    <w:p w14:paraId="0B61581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（2）地质材料，包括：矿区开发现状、矿产资源开采情况、下一步开采计划等；</w:t>
      </w:r>
    </w:p>
    <w:p w14:paraId="2A2F84A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（3）财务统计类材料，包括：企业缴纳的税（费）种、税费率及免税事项说明及相关文件、土地使用权证或土地租赁协议等。</w:t>
      </w:r>
    </w:p>
    <w:p w14:paraId="0D73F9EE">
      <w:pPr>
        <w:shd w:val="clear" w:color="auto" w:fill="FFFFFF"/>
        <w:spacing w:line="440" w:lineRule="atLeast"/>
        <w:ind w:firstLine="482" w:firstLineChars="200"/>
        <w:rPr>
          <w:rFonts w:ascii="宋体" w:hAnsi="宋体" w:eastAsia="宋体" w:cs="宋体"/>
          <w:b/>
          <w:bCs/>
          <w:color w:val="000000"/>
          <w:kern w:val="0"/>
          <w:sz w:val="24"/>
          <w:shd w:val="clear" w:color="auto" w:fill="FFFFFF"/>
        </w:rPr>
      </w:pPr>
      <w:r>
        <w:rPr>
          <w:rFonts w:hint="eastAsia" w:ascii="宋体" w:hAnsi="宋体" w:eastAsia="宋体" w:cs="宋体"/>
          <w:b/>
          <w:bCs/>
          <w:color w:val="000000"/>
          <w:kern w:val="0"/>
          <w:sz w:val="24"/>
          <w:shd w:val="clear" w:color="auto" w:fill="FFFFFF"/>
        </w:rPr>
        <w:t>四、珠宝玉石首饰类</w:t>
      </w:r>
    </w:p>
    <w:p w14:paraId="0974075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（一）必需材料</w:t>
      </w:r>
    </w:p>
    <w:p w14:paraId="67F0280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存货清单，项目包括种类（主石种类）、数董、规格（尺寸、总量、主石重）、账面价值、物理状况等；</w:t>
      </w:r>
    </w:p>
    <w:p w14:paraId="55CAB00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照片，可为有代表性的部分存货照片；</w:t>
      </w:r>
    </w:p>
    <w:p w14:paraId="1810084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权属证明、购买或证明其初始价值的粟据复印件（査阅原件）、往来账款凭证等。</w:t>
      </w:r>
    </w:p>
    <w:p w14:paraId="6A86396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质押等他项权利证明；</w:t>
      </w:r>
    </w:p>
    <w:p w14:paraId="23DBBBC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法院扣押、查明财产情况等材料，以及关于财产的特殊情况说明。</w:t>
      </w:r>
    </w:p>
    <w:p w14:paraId="59DF5D1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（二）一般材料</w:t>
      </w:r>
    </w:p>
    <w:p w14:paraId="54C6981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详细清单资料，包括：分类清单（按照原材料、成品等类别分类）、存货其他详细信息（包括存放地点、货品名称、品名、条码号、售价、数量、规格、总重、金重、主石类型、主石重量、主石数量、净度级别、颜色级别、辅石名称、辅石重量、辅石数量、金成本、主石成本、辅石成本、工费、成本等）；</w:t>
      </w:r>
    </w:p>
    <w:p w14:paraId="7896C9D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其他相关材料，包括：鉴定证书、以往评估报告。</w:t>
      </w:r>
    </w:p>
    <w:p w14:paraId="3BAEB80F">
      <w:pPr>
        <w:shd w:val="clear" w:color="auto" w:fill="FFFFFF"/>
        <w:spacing w:line="440" w:lineRule="atLeast"/>
        <w:ind w:firstLine="482" w:firstLineChars="200"/>
        <w:rPr>
          <w:rFonts w:ascii="宋体" w:hAnsi="宋体" w:eastAsia="宋体" w:cs="宋体"/>
          <w:b/>
          <w:bCs/>
          <w:color w:val="000000"/>
          <w:kern w:val="0"/>
          <w:sz w:val="24"/>
          <w:shd w:val="clear" w:color="auto" w:fill="FFFFFF"/>
        </w:rPr>
      </w:pPr>
      <w:r>
        <w:rPr>
          <w:rFonts w:hint="eastAsia" w:ascii="宋体" w:hAnsi="宋体" w:eastAsia="宋体" w:cs="宋体"/>
          <w:b/>
          <w:bCs/>
          <w:color w:val="000000"/>
          <w:kern w:val="0"/>
          <w:sz w:val="24"/>
          <w:shd w:val="clear" w:color="auto" w:fill="FFFFFF"/>
        </w:rPr>
        <w:t>五、资产类</w:t>
      </w:r>
    </w:p>
    <w:p w14:paraId="7D8A942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（一）无形资产评估</w:t>
      </w:r>
    </w:p>
    <w:p w14:paraId="6C0B8CC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包括专利权、商标权、著作权、专有技术、特许经营权、商誉等无形资产。</w:t>
      </w:r>
    </w:p>
    <w:p w14:paraId="30F3280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必需材料</w:t>
      </w:r>
    </w:p>
    <w:p w14:paraId="23AF803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（1）权属证明，包括：各项无形资产的法律权属文件，专利还需提供专利登记薄副本、专利说明书，技术类的无形资产应当尽量提供相关的《科学技术成果鉴定证书》或《鉴定报告》；</w:t>
      </w:r>
    </w:p>
    <w:p w14:paraId="62879DD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产品发展情况，包括与无形资产相关的产品项目销售合同、产品项目建议书、合资合作意向书，可行性研究报告或技术改造方案、专利查新报告，评估基准日后企业未来五年与无形资产相关的发展规划、追加投资计划和收益预测；</w:t>
      </w:r>
    </w:p>
    <w:p w14:paraId="5F096C3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（3）他项权利情况，包括：委托评估无形资产使用许可情况说明、他项权利（抵押、质押）说明、涉及他项权利的协议及相关财务数据；</w:t>
      </w:r>
    </w:p>
    <w:p w14:paraId="6E7919D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（4）法院查明的财产权属、质量瑕疵等材料，以及关于财产的特殊情况说明。</w:t>
      </w:r>
    </w:p>
    <w:p w14:paraId="4637047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—般材料</w:t>
      </w:r>
    </w:p>
    <w:p w14:paraId="7BCAC0E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其他具体材料，包括：专利检索报告、企业专利或专有技术有偿（无偿）转让或买卖的合同复印件及最近一年缴纳年费的资料，无形资产研发或购置的历史取得成本相关财务资料，无形资产相关产品近三年生产经营统计资料及收益情况统计资料；企业近三年（含评估基准日）财务报表及年度审计报告；评估基准日后企业未来五年与无形资产相关的发展规划，追加投资计划，收益预测；与无形资产相关的产品项目建议书，合资合作意向书，可行性研究报告或技术改造方案。</w:t>
      </w:r>
    </w:p>
    <w:p w14:paraId="1108D73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（二）机器设备及车辆评估</w:t>
      </w:r>
    </w:p>
    <w:p w14:paraId="03E8607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必需材料</w:t>
      </w:r>
    </w:p>
    <w:p w14:paraId="2CB4DF6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包括：设备、车辆资产清单，国产设备的购货发票、合同，进口设备的合同、报关单、装箱单，车辆行驶证、车辆注册登记证书、车辆购置发票，机器设备及车辆抵押、担保、诉讼的协议、证明或书面声明文件等；法院査明的财产权属、质量瑕疵等材料，以及关于财产的特殊情况说明。</w:t>
      </w:r>
    </w:p>
    <w:p w14:paraId="77BF1B0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—般材料</w:t>
      </w:r>
    </w:p>
    <w:p w14:paraId="20B6475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包括：机器设备及车辆当前所在地以及事实占有、保管、仓储等情况，机器设备账面价值组成说明（原始购置价值、清产核资入账价值、前次评估入账价值），企业生产工艺流程图及相关技术文件说明、设备档案（包括设备日常管理制度、运行记录、事故记录、维修保养情况），精密、大型、价值量大的设备应提供有关技术检测资料，车辆行驶里程数、历年的维修记录、由车管所出具的车辆查询登记表，重要设备的运行状况和大修理技术改造情况的历史记录和详细说明，需要年检的设备（电梯、行车、压力容器、锅炉等）的年检合格证书。</w:t>
      </w:r>
    </w:p>
    <w:p w14:paraId="27B8537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（三）流动资产、递延资产和其他资产评估</w:t>
      </w:r>
    </w:p>
    <w:p w14:paraId="2BFFD3A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必需材料</w:t>
      </w:r>
    </w:p>
    <w:p w14:paraId="1D77695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包括：企业会计政策、财务账册、记账凭证等财务会计资料，银行对账单复印件、余额调节表、定期存款存单复印件，存货资产清单，递延资产的入账依据、会计处理的依据等；法院查明的财产权属、质量瑕疵等材料，以及关于财产的特殊情况说明。</w:t>
      </w:r>
    </w:p>
    <w:p w14:paraId="60E9126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—般材料</w:t>
      </w:r>
    </w:p>
    <w:p w14:paraId="08A75D5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包括：存货管理制度、存货管理流程图（或简要文字描述），原材料、产成品、库存商品、在用低值易耗品数量市场参考价格资料（如存货近期的采购及销售合同等），库存现金盘点表、银行询证函，存货盘点表，存货的质量状况说明（是否有积压、残次、报废的情况，如有不良存货，应提供企业不良存货的明细及形成原因说明），大额往来合同协议、往来款询证函，生鲜、药品等特殊存货，应当提供保质期证明材料、产品合格证、出厂证明、报关单、存放地　点、抽样检测报告等文件，特殊资产需要提供检测、检验报告。</w:t>
      </w:r>
    </w:p>
    <w:p w14:paraId="78E4B83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（四）长期股权投资评估</w:t>
      </w:r>
    </w:p>
    <w:p w14:paraId="492A493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必需材料</w:t>
      </w:r>
    </w:p>
    <w:p w14:paraId="16B902B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包括：投资协议、被投资企业营业执照、公司章程，被评估单位　具有实际控制权或有重大影响的长期股权投资单位，需单独提供本清单中企业价值评估所需资料等；法院查明的财产权属、质董瑕疵等材料，以及关于财产的特殊情况说明。</w:t>
      </w:r>
    </w:p>
    <w:p w14:paraId="12D1874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—般材料</w:t>
      </w:r>
    </w:p>
    <w:p w14:paraId="07BF4F4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包括：被投资企业评估基准日及前三年的审计报告及会计报表，电子账套及记账凭证、账册，被投资企业近三年的利润分配情况等。</w:t>
      </w:r>
    </w:p>
    <w:p w14:paraId="643B6E4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（五）负债类资产评估</w:t>
      </w:r>
    </w:p>
    <w:p w14:paraId="099F187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必需材料</w:t>
      </w:r>
    </w:p>
    <w:p w14:paraId="02F67F5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包括：企业财务账册、记账凭证等财务会计资料，长短期借款合同、保证（抵押、质押、担保）合同及他项权利证明、贷款卡信患查询（企业信用报告），各往来单位询证函，大额债权债务合同协议等，专项应付款等其他负债的相关文件、合同、协议、入账凭证、合　同或协议执行情况说明，应交税费种类、税费率，纳税（费）申报表及缴纳凭证等；法院查明的财产权属、质量瑕疵等材料，以及关于　财产的特殊情况说明。</w:t>
      </w:r>
    </w:p>
    <w:p w14:paraId="1DC1674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—般材料</w:t>
      </w:r>
    </w:p>
    <w:p w14:paraId="59CC51B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包括：询证函，为其他企业担保情况说明，涉诉情况说明；</w:t>
      </w:r>
    </w:p>
    <w:p w14:paraId="7605114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（六）其他权益类评估（营运损失、停产停业损失、经营场地遭受人为破坏引起的财产损失或其他损失）</w:t>
      </w:r>
    </w:p>
    <w:p w14:paraId="0C5AB70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此类业务主要收集：产权人资料，损失所对应的具体资料，正常经营期间的各种财务数据等。</w:t>
      </w:r>
    </w:p>
    <w:p w14:paraId="4A818B1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（七）森林资源资产评估</w:t>
      </w:r>
    </w:p>
    <w:p w14:paraId="0640CCF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权属证明，包括：林权证（或不动产权证）、租地协议、林地流转合同、承包合同等；</w:t>
      </w:r>
    </w:p>
    <w:p w14:paraId="17EA51E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资产清单，包括：森林资源资产清单或经林业调查机构出具的森林资源专项调查报告（含图表），含面积、林种、树种、林龄、林组（产期）、株数、树高、胸径、蓄积量等相关林况因子；</w:t>
      </w:r>
    </w:p>
    <w:p w14:paraId="2664F45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图面资料，包括：涉案森林资源资产的地理位置、地形、林业区划（林班、小班等）、林况、行政区划、地理坐标等相关信息；</w:t>
      </w:r>
    </w:p>
    <w:p w14:paraId="115983D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抵押等他项权利情况；</w:t>
      </w:r>
    </w:p>
    <w:p w14:paraId="7CE936C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法院查明的财产权属、质量瑕疵等材料，以及关于财产的特殊情况说明。</w:t>
      </w:r>
    </w:p>
    <w:p w14:paraId="3DE7B6C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（八）企业价值评估其他必需材料</w:t>
      </w:r>
    </w:p>
    <w:p w14:paraId="2AB0DCE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企业近三年（含评估基准日）财务报表和年度审计报告、电子账套及记账凭证、账册，企业中长期发展规划，国有资产产权登记表。</w:t>
      </w:r>
    </w:p>
    <w:p w14:paraId="5B42023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企业价值评估中，涉及流动资产、递延资产和其他资产，长期股权投资，机器设备及车辆，投资性房地产，房屋建筑物、构筑物及其他辅助设施、管道及沟槽、在建工程，土地使用权，其他无形资产，负债时，则需要按照本资料清单中相应类别资产所列示清单收集相关材料。</w:t>
      </w:r>
    </w:p>
    <w:p w14:paraId="378DBA4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企业价值评估中，使用收益法评估的，则还需收集如下资料：企业近五年大型项目可行性研究报告、竣工验收报告，未来五年发展规划与设想，投资项目计划、项目审批情况、资金到位情况、计划可实现程度、企业面临的市场竞争性分析及其他优劣势分析。企业适用税种、税率及税收优惠，今后五年各年新增固定资产、无形资产投资、企业未来市场开发计划；工资发放政策、福利政策（含社保）等。</w:t>
      </w:r>
    </w:p>
    <w:p w14:paraId="7F47029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（九）其他一般动产评估</w:t>
      </w:r>
    </w:p>
    <w:p w14:paraId="07C5129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必需材料</w:t>
      </w:r>
    </w:p>
    <w:p w14:paraId="141F871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法院查明的财产权属、质董瑕疵等材料，以及关于财产的特殊情况说明。</w:t>
      </w:r>
    </w:p>
    <w:p w14:paraId="38574B4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—般材料</w:t>
      </w:r>
    </w:p>
    <w:p w14:paraId="2C8A979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财产的购置凭证，如发票或者合同。</w:t>
      </w:r>
    </w:p>
    <w:p w14:paraId="18DFF15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br w:type="page"/>
      </w:r>
    </w:p>
    <w:p w14:paraId="50033A92">
      <w:pPr>
        <w:pStyle w:val="5"/>
        <w:spacing w:line="440" w:lineRule="atLeast"/>
        <w:jc w:val="center"/>
        <w:rPr>
          <w:rFonts w:ascii="宋体" w:hAnsi="宋体" w:eastAsia="宋体" w:cs="宋体"/>
        </w:rPr>
      </w:pPr>
      <w:bookmarkStart w:id="39" w:name="_Toc20599"/>
      <w:r>
        <w:rPr>
          <w:rFonts w:hint="eastAsia" w:ascii="宋体" w:hAnsi="宋体" w:eastAsia="宋体" w:cs="宋体"/>
        </w:rPr>
        <w:t>人民法院委托评估专业技术评审工作规范</w:t>
      </w:r>
      <w:bookmarkEnd w:id="39"/>
    </w:p>
    <w:p w14:paraId="69D5DC2B">
      <w:pPr>
        <w:shd w:val="clear" w:color="auto" w:fill="FFFFFF"/>
        <w:spacing w:line="440" w:lineRule="atLeast"/>
        <w:jc w:val="center"/>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2019年11月22日最高人民法院办公厅　中国资产评估协会　中国土地估价师与土地登记代理人协会　中国房地产估价师与房地产经纪人学会　中国矿业权评估师协会　中国珠宝玉石首饰行业协会发布　法办〔2019〕364号</w:t>
      </w:r>
    </w:p>
    <w:p w14:paraId="11F187D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为依法规范人民法院委托评估专业技术评审工作，确保专业技术评审公开、公平、公正、高效，维护当事人、利害关系人的合法权益，根据《最高人民法院关于人民法院确定财产处置参考价若干问题的规定》（以下简称参考价规定），制定本规范。</w:t>
      </w:r>
    </w:p>
    <w:p w14:paraId="2E5A4FC3">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bCs/>
          <w:color w:val="000000"/>
          <w:kern w:val="0"/>
          <w:sz w:val="24"/>
          <w:shd w:val="clear" w:color="auto" w:fill="FFFFFF"/>
        </w:rPr>
        <w:t>一、</w:t>
      </w:r>
      <w:r>
        <w:rPr>
          <w:rFonts w:hint="eastAsia" w:ascii="宋体" w:hAnsi="宋体" w:eastAsia="宋体" w:cs="宋体"/>
          <w:color w:val="000000"/>
          <w:kern w:val="0"/>
          <w:sz w:val="24"/>
          <w:shd w:val="clear" w:color="auto" w:fill="FFFFFF"/>
        </w:rPr>
        <w:t>专业技术评审由专业技术评审人员组成专家组进行；专家组成员人数应为单数。</w:t>
      </w:r>
    </w:p>
    <w:p w14:paraId="6D09C858">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bCs/>
          <w:color w:val="000000"/>
          <w:kern w:val="0"/>
          <w:sz w:val="24"/>
          <w:shd w:val="clear" w:color="auto" w:fill="FFFFFF"/>
        </w:rPr>
        <w:t>二、</w:t>
      </w:r>
      <w:r>
        <w:rPr>
          <w:rFonts w:hint="eastAsia" w:ascii="宋体" w:hAnsi="宋体" w:eastAsia="宋体" w:cs="宋体"/>
          <w:color w:val="000000"/>
          <w:kern w:val="0"/>
          <w:sz w:val="24"/>
          <w:shd w:val="clear" w:color="auto" w:fill="FFFFFF"/>
        </w:rPr>
        <w:t>全国性评估行业协会负责对协会所属评估机构出具的评估报告进行专业技术评审的，应当建立本评估行业全国专业技术评审人员名单库。</w:t>
      </w:r>
    </w:p>
    <w:p w14:paraId="72BB064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省级评估行业协会具备专业技术评审条件的，全国性评估行业协会可以指定其负责对所属评估机构出具的评估报告进行专业技术评审；省级评估行业协会不具备专业技术评审条件的，全国性评估行业协会可以自行或指定其他具有专业技术评审条件的省级评估行业协会负责对该协会所属评估机构出具的评估报告进行专业技术评审。</w:t>
      </w:r>
    </w:p>
    <w:p w14:paraId="6229455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省级评估行业协会负责专业技术评审工作的，应当建立省级专业技术评审人员名单库。</w:t>
      </w:r>
    </w:p>
    <w:p w14:paraId="3DB71E8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专业技术评审人员名单库应当向社会公开。</w:t>
      </w:r>
    </w:p>
    <w:p w14:paraId="13E1D097">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bCs/>
          <w:color w:val="000000"/>
          <w:kern w:val="0"/>
          <w:sz w:val="24"/>
          <w:shd w:val="clear" w:color="auto" w:fill="FFFFFF"/>
        </w:rPr>
        <w:t>三、</w:t>
      </w:r>
      <w:r>
        <w:rPr>
          <w:rFonts w:hint="eastAsia" w:ascii="宋体" w:hAnsi="宋体" w:eastAsia="宋体" w:cs="宋体"/>
          <w:color w:val="000000"/>
          <w:kern w:val="0"/>
          <w:sz w:val="24"/>
          <w:shd w:val="clear" w:color="auto" w:fill="FFFFFF"/>
        </w:rPr>
        <w:t>全国性评估行业协会建立本评估行业全国专业技术评审人员名单库的，由全国性评估行业协会开展专业技术评审人员的入库和除名工作；省级评估行业协会建立本评估行业省级专业技术评审人员名单库的，由省级评估行业协会根据全国性评估行业协会制定的标准开展专业技术评审人员的入库和除名工作。</w:t>
      </w:r>
    </w:p>
    <w:p w14:paraId="65591D25">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bCs/>
          <w:color w:val="000000"/>
          <w:kern w:val="0"/>
          <w:sz w:val="24"/>
          <w:shd w:val="clear" w:color="auto" w:fill="FFFFFF"/>
        </w:rPr>
        <w:t>四、</w:t>
      </w:r>
      <w:r>
        <w:rPr>
          <w:rFonts w:hint="eastAsia" w:ascii="宋体" w:hAnsi="宋体" w:eastAsia="宋体" w:cs="宋体"/>
          <w:color w:val="000000"/>
          <w:kern w:val="0"/>
          <w:sz w:val="24"/>
          <w:shd w:val="clear" w:color="auto" w:fill="FFFFFF"/>
        </w:rPr>
        <w:t>专业技术评审人员应当从本评估行业的评估专业人员或行业专家中择优选入，具体入库标准由全国性评估行业协会自行制定，但具有下列情形之一的，不得入选专业技术评审人员名单库：</w:t>
      </w:r>
    </w:p>
    <w:p w14:paraId="6AA7624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（一）评估专业人员连续执业不满五年的；</w:t>
      </w:r>
    </w:p>
    <w:p w14:paraId="216C9D1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（二）行业专家不具备高级职称或从事本行业管理、研究工作不满十年的；</w:t>
      </w:r>
    </w:p>
    <w:p w14:paraId="4F76AE2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（三）曾因违反《中华人民共和国资产评估法》等法律法规被相关行政管理部门予以警告、责令停止从业、没收违法所得，或构成犯罪，被依法追究刑事责任的；</w:t>
      </w:r>
    </w:p>
    <w:p w14:paraId="6BEDD9E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（四）曾被判处过刑罚的；</w:t>
      </w:r>
    </w:p>
    <w:p w14:paraId="766C902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（五）近五年曾因违反所属行业协会自律管理规定，受到过自律惩戒的；</w:t>
      </w:r>
    </w:p>
    <w:p w14:paraId="69A433B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（六）曾被人民法院依法纳入失信被执行人名单的。</w:t>
      </w:r>
    </w:p>
    <w:p w14:paraId="00F96059">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bCs/>
          <w:color w:val="000000"/>
          <w:kern w:val="0"/>
          <w:sz w:val="24"/>
          <w:shd w:val="clear" w:color="auto" w:fill="FFFFFF"/>
        </w:rPr>
        <w:t>五、</w:t>
      </w:r>
      <w:r>
        <w:rPr>
          <w:rFonts w:hint="eastAsia" w:ascii="宋体" w:hAnsi="宋体" w:eastAsia="宋体" w:cs="宋体"/>
          <w:color w:val="000000"/>
          <w:kern w:val="0"/>
          <w:sz w:val="24"/>
          <w:shd w:val="clear" w:color="auto" w:fill="FFFFFF"/>
        </w:rPr>
        <w:t>专业技术评审人员有下列情形之一的，应当从专业技术评审人员名单库中除名，且五年内不得再次入库：</w:t>
      </w:r>
    </w:p>
    <w:p w14:paraId="1C51D1E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（一）专业技术评审期间就评审事项与当事人、利害关系人、出具评估报告的评估机构或参加评估的人员不正当接触的；</w:t>
      </w:r>
    </w:p>
    <w:p w14:paraId="2A07CDA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（二）泄露专业技术评审意见及专业技术评审工作情况的；</w:t>
      </w:r>
    </w:p>
    <w:p w14:paraId="48F27AB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（三）利用评审事项谋取私利或为他人谋取利益的；</w:t>
      </w:r>
    </w:p>
    <w:p w14:paraId="1DB3157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（四）串通表决或诱导表决的；</w:t>
      </w:r>
    </w:p>
    <w:p w14:paraId="106E879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（五）应当回避而未主动申请回避的；</w:t>
      </w:r>
    </w:p>
    <w:p w14:paraId="16CB723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（六）违反所属行业协会自律管理规定，受到自律惩戒的。</w:t>
      </w:r>
    </w:p>
    <w:p w14:paraId="3568295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专业技术评审人员有下列情形之一的，应当从专业技术评审人员名单库中除名，不得再次入库：</w:t>
      </w:r>
    </w:p>
    <w:p w14:paraId="0F593CD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（一）因违反《中华人民共和国资产评估法》等法律法规被相关行政管理部门予以警告、责令停止从业、没收违法所得，或构成犯罪，被依法追究刑事责任的；</w:t>
      </w:r>
    </w:p>
    <w:p w14:paraId="7A0C3C2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（二）被判处刑罚的；</w:t>
      </w:r>
    </w:p>
    <w:p w14:paraId="4677D40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（三）被人民法院依法纳入失信被执行人名单的。</w:t>
      </w:r>
    </w:p>
    <w:p w14:paraId="1D04F5E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最高人民法院应当向社会公开除名情况。</w:t>
      </w:r>
    </w:p>
    <w:p w14:paraId="2E121063">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bCs/>
          <w:color w:val="000000"/>
          <w:kern w:val="0"/>
          <w:sz w:val="24"/>
          <w:shd w:val="clear" w:color="auto" w:fill="FFFFFF"/>
        </w:rPr>
        <w:t>六、</w:t>
      </w:r>
      <w:r>
        <w:rPr>
          <w:rFonts w:hint="eastAsia" w:ascii="宋体" w:hAnsi="宋体" w:eastAsia="宋体" w:cs="宋体"/>
          <w:color w:val="000000"/>
          <w:kern w:val="0"/>
          <w:sz w:val="24"/>
          <w:shd w:val="clear" w:color="auto" w:fill="FFFFFF"/>
        </w:rPr>
        <w:t>当事人、利害关系人提供证据证明专家组成员具有本规范第五条第一款规定情形的，应当向人民法院书面提出申请。</w:t>
      </w:r>
    </w:p>
    <w:p w14:paraId="41750BC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经查证属实的，人民法院应当函告负责专业技术评审工作的行业协会更换专家组成员重新进行专业技术评审和将该人从专业技术评审人员名单库中除名。相关行业协会不予更换的，人民法院应当撤回委托评审工作，另行委托下一顺序的评估机构重新进行评估。经查证不属实的，人民法院应当书面通知申请人。</w:t>
      </w:r>
    </w:p>
    <w:p w14:paraId="6A2A0726">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bCs/>
          <w:color w:val="000000"/>
          <w:kern w:val="0"/>
          <w:sz w:val="24"/>
          <w:shd w:val="clear" w:color="auto" w:fill="FFFFFF"/>
        </w:rPr>
        <w:t>七、</w:t>
      </w:r>
      <w:r>
        <w:rPr>
          <w:rFonts w:hint="eastAsia" w:ascii="宋体" w:hAnsi="宋体" w:eastAsia="宋体" w:cs="宋体"/>
          <w:color w:val="000000"/>
          <w:kern w:val="0"/>
          <w:sz w:val="24"/>
          <w:shd w:val="clear" w:color="auto" w:fill="FFFFFF"/>
        </w:rPr>
        <w:t>人民法院依据参考价规定第二十三条第一款规定需要进行专业技术评审的，应当通知评估机构在五个工作日内提交评估技术报告或评估工作底稿。</w:t>
      </w:r>
    </w:p>
    <w:p w14:paraId="2690CA3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人民法院收到评估机构提交的评估技术报告或评估工作底稿，应当在五个工作日内制作专业技术评审委托书，连同评估报告、当事人或利害关系人的书面异议和提交的证明材料，以及委托评估时提交的相关材料、评估机构的书面说明、评估技术报告或工作底稿，交评估机构所属全国性或省级评估行业协会。</w:t>
      </w:r>
    </w:p>
    <w:p w14:paraId="3834801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评估机构未按期提交评估技术报告或工作底稿的，不影响人民法院委托进行专业技术评审。</w:t>
      </w:r>
    </w:p>
    <w:p w14:paraId="5DE078E1">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bCs/>
          <w:color w:val="000000"/>
          <w:kern w:val="0"/>
          <w:sz w:val="24"/>
          <w:shd w:val="clear" w:color="auto" w:fill="FFFFFF"/>
        </w:rPr>
        <w:t>八、</w:t>
      </w:r>
      <w:r>
        <w:rPr>
          <w:rFonts w:hint="eastAsia" w:ascii="宋体" w:hAnsi="宋体" w:eastAsia="宋体" w:cs="宋体"/>
          <w:color w:val="000000"/>
          <w:kern w:val="0"/>
          <w:sz w:val="24"/>
          <w:shd w:val="clear" w:color="auto" w:fill="FFFFFF"/>
        </w:rPr>
        <w:t>人民法院未按照参考价规定第二十三条第一款和本规范规定委托专业技术评审的，全国性或省级评估行业协会可以退回委托。</w:t>
      </w:r>
    </w:p>
    <w:p w14:paraId="12112E12">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bCs/>
          <w:color w:val="000000"/>
          <w:kern w:val="0"/>
          <w:sz w:val="24"/>
          <w:shd w:val="clear" w:color="auto" w:fill="FFFFFF"/>
        </w:rPr>
        <w:t>九、</w:t>
      </w:r>
      <w:r>
        <w:rPr>
          <w:rFonts w:hint="eastAsia" w:ascii="宋体" w:hAnsi="宋体" w:eastAsia="宋体" w:cs="宋体"/>
          <w:color w:val="000000"/>
          <w:kern w:val="0"/>
          <w:sz w:val="24"/>
          <w:shd w:val="clear" w:color="auto" w:fill="FFFFFF"/>
        </w:rPr>
        <w:t>全国性或省级评估行业协会应当自收到人民法院专业技术评审委托后五个工作日内在全国或省级专业技术评审人员名单库中随机确定不少于三人组成专家组进行专业技术评审。</w:t>
      </w:r>
    </w:p>
    <w:p w14:paraId="587ECE2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评估机构未在期限内向人民法院提交评估技术报告或工作底稿的，全国性或省级评估行业协会应当责令其在五个工作日内提交；评估机构在期限内仍未提交的，全国性或省级评估行业协会应当将情况函复人民法院。人民法院收到复函后，应当参照参考价规定第十九条第三款规定，另行委托下一顺序的评估机构重新进行评估。</w:t>
      </w:r>
    </w:p>
    <w:p w14:paraId="1BA8960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全国性评估行业协会应当对未在期限内提交评估技术报告或工作底稿的评估机构进行行业自律惩戒，同时函告最高人民法院将该评估机构从人民法院涉执财产处置司法评估机构名单库中除名。</w:t>
      </w:r>
    </w:p>
    <w:p w14:paraId="1B96D96F">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bCs/>
          <w:color w:val="000000"/>
          <w:kern w:val="0"/>
          <w:sz w:val="24"/>
          <w:shd w:val="clear" w:color="auto" w:fill="FFFFFF"/>
        </w:rPr>
        <w:t>十、</w:t>
      </w:r>
      <w:r>
        <w:rPr>
          <w:rFonts w:hint="eastAsia" w:ascii="宋体" w:hAnsi="宋体" w:eastAsia="宋体" w:cs="宋体"/>
          <w:color w:val="000000"/>
          <w:kern w:val="0"/>
          <w:sz w:val="24"/>
          <w:shd w:val="clear" w:color="auto" w:fill="FFFFFF"/>
        </w:rPr>
        <w:t>专家组成员有下列情形之一的，应当回避：</w:t>
      </w:r>
    </w:p>
    <w:p w14:paraId="0D2F156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（一）是本案当事人、利害关系人、诉讼代理人或当事人、利害关系人、诉讼代理人近亲属的；</w:t>
      </w:r>
    </w:p>
    <w:p w14:paraId="2338265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（二）与本案当事人、利害关系人、诉讼代理人有其他关系，可能影响专业技术评审的；</w:t>
      </w:r>
    </w:p>
    <w:p w14:paraId="451C16D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（三）与本案有利害关系的；</w:t>
      </w:r>
    </w:p>
    <w:p w14:paraId="70F56BA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（四）与评估对象有利害关系的；</w:t>
      </w:r>
    </w:p>
    <w:p w14:paraId="584EFA1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（五）除受行政部门委托外，近五年曾参与过对评估对象的评估工作的；</w:t>
      </w:r>
    </w:p>
    <w:p w14:paraId="7C5EAF9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（六）本人或所在评估机构在过去五年曾为当事人、利害关系人提供过评估服务的；</w:t>
      </w:r>
    </w:p>
    <w:p w14:paraId="20D273C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（七）近五年曾经或现登记、注册在出具评估报告的评估机构的；</w:t>
      </w:r>
    </w:p>
    <w:p w14:paraId="0F5AB2A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（八）与评估报告署名的评估人员有近亲属关系，或有其他关系可能影响专业技术评审的；</w:t>
      </w:r>
    </w:p>
    <w:p w14:paraId="6FA2FB7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（九）可能影响专业技术评审的其他情形。</w:t>
      </w:r>
    </w:p>
    <w:p w14:paraId="1911530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当事人、利害关系人提供证据证明专家组成员具有前款规定情形的，应当向人民法院书面提出申请。人民法院应当按照本规范第六条第二款规定办理。</w:t>
      </w:r>
    </w:p>
    <w:p w14:paraId="37422845">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bCs/>
          <w:color w:val="000000"/>
          <w:kern w:val="0"/>
          <w:sz w:val="24"/>
          <w:shd w:val="clear" w:color="auto" w:fill="FFFFFF"/>
        </w:rPr>
        <w:t>十一、</w:t>
      </w:r>
      <w:r>
        <w:rPr>
          <w:rFonts w:hint="eastAsia" w:ascii="宋体" w:hAnsi="宋体" w:eastAsia="宋体" w:cs="宋体"/>
          <w:color w:val="000000"/>
          <w:kern w:val="0"/>
          <w:sz w:val="24"/>
          <w:shd w:val="clear" w:color="auto" w:fill="FFFFFF"/>
        </w:rPr>
        <w:t>专业技术评审应通过集中评审的方式进行，实行少数服从多数的原则。</w:t>
      </w:r>
    </w:p>
    <w:p w14:paraId="5C285139">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bCs/>
          <w:color w:val="000000"/>
          <w:kern w:val="0"/>
          <w:sz w:val="24"/>
          <w:shd w:val="clear" w:color="auto" w:fill="FFFFFF"/>
        </w:rPr>
        <w:t>十二、</w:t>
      </w:r>
      <w:r>
        <w:rPr>
          <w:rFonts w:hint="eastAsia" w:ascii="宋体" w:hAnsi="宋体" w:eastAsia="宋体" w:cs="宋体"/>
          <w:color w:val="000000"/>
          <w:kern w:val="0"/>
          <w:sz w:val="24"/>
          <w:shd w:val="clear" w:color="auto" w:fill="FFFFFF"/>
        </w:rPr>
        <w:t>专家组应当自组建的次日起十个工作日内完成专业技术评审，并出具专业技术评审报告。专业技术评审报告应当由专家组成员署名。</w:t>
      </w:r>
    </w:p>
    <w:p w14:paraId="62E56BD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专业技术评审报告应当载明：专业技术评审工作开展情况、对有关评估报告的概括性描述、对当事人和利害关系人提出的书面异议中涉及参照标准、计算方法或评估结果等问题逐一进行回复,并列示法律法规或者相关准则依据，以及专业技术评审结论。</w:t>
      </w:r>
    </w:p>
    <w:p w14:paraId="552872A1">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bCs/>
          <w:color w:val="000000"/>
          <w:kern w:val="0"/>
          <w:sz w:val="24"/>
          <w:shd w:val="clear" w:color="auto" w:fill="FFFFFF"/>
        </w:rPr>
        <w:t>十三、</w:t>
      </w:r>
      <w:r>
        <w:rPr>
          <w:rFonts w:hint="eastAsia" w:ascii="宋体" w:hAnsi="宋体" w:eastAsia="宋体" w:cs="宋体"/>
          <w:color w:val="000000"/>
          <w:kern w:val="0"/>
          <w:sz w:val="24"/>
          <w:shd w:val="clear" w:color="auto" w:fill="FFFFFF"/>
        </w:rPr>
        <w:t>专家组认为不能在指定的期限内完成评审工作的，应在期限届满前五个工作日通过所属全国性或省级评估行业协会向人民法院提出书面延期申请，说明延期理由和延长期限，延长期限不得超过十个工作日。</w:t>
      </w:r>
    </w:p>
    <w:p w14:paraId="3155BDBA">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bCs/>
          <w:color w:val="000000"/>
          <w:kern w:val="0"/>
          <w:sz w:val="24"/>
          <w:shd w:val="clear" w:color="auto" w:fill="FFFFFF"/>
        </w:rPr>
        <w:t>十四、</w:t>
      </w:r>
      <w:r>
        <w:rPr>
          <w:rFonts w:hint="eastAsia" w:ascii="宋体" w:hAnsi="宋体" w:eastAsia="宋体" w:cs="宋体"/>
          <w:color w:val="000000"/>
          <w:kern w:val="0"/>
          <w:sz w:val="24"/>
          <w:shd w:val="clear" w:color="auto" w:fill="FFFFFF"/>
        </w:rPr>
        <w:t>专家组在评审工作中应当形成专业技术评审工作底稿，并由专家组成员签字。专业技术评审工作底稿应如实记载专业技术评审情况和专家组成员的个人评审意见，并附专业技术评审报告及相关材料。</w:t>
      </w:r>
    </w:p>
    <w:p w14:paraId="0C6A13D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专业技术评审工作结束后，全国性或省级评估行业协会应当将专业技术评审报告和专业技术评审工作底稿一并提交给人民法院。</w:t>
      </w:r>
    </w:p>
    <w:p w14:paraId="549B92A5">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bCs/>
          <w:color w:val="000000"/>
          <w:kern w:val="0"/>
          <w:sz w:val="24"/>
          <w:shd w:val="clear" w:color="auto" w:fill="FFFFFF"/>
        </w:rPr>
        <w:t>十五、</w:t>
      </w:r>
      <w:r>
        <w:rPr>
          <w:rFonts w:hint="eastAsia" w:ascii="宋体" w:hAnsi="宋体" w:eastAsia="宋体" w:cs="宋体"/>
          <w:color w:val="000000"/>
          <w:kern w:val="0"/>
          <w:sz w:val="24"/>
          <w:shd w:val="clear" w:color="auto" w:fill="FFFFFF"/>
        </w:rPr>
        <w:t>专业技术评审可以收取评审费用。收费标准由全国性评估行业协会自行制定，但不得违反法律、法规、规范性文件的规定。</w:t>
      </w:r>
    </w:p>
    <w:p w14:paraId="4834131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评审费用由异议人垫付。人民法院根据专业技术评审结论认定评估结果，一人提出异议的，评审费用由异议人承担；多人提出异议的，评审费用由异议人平均分担。人民法院根据专业技术评审结论责令原评估机构予以补正的，评审费用由评估机构承担，从评估费用中扣除。</w:t>
      </w:r>
    </w:p>
    <w:p w14:paraId="0D153AD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人民法院依照本规范第八条第二款规定另行委托评估机构重新进行评估的，应当依照参考价规定第三十二条第三款规定对原评估机构不计付评估费用。</w:t>
      </w:r>
    </w:p>
    <w:p w14:paraId="5CF4D55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当事人或利害关系人对评估报告提出书面异议，依法需要进行专业技术评审的，人民法院应当暂缓向评估机构支付预估评估费用，待专业技术评审后，按照前两款规定计付。</w:t>
      </w:r>
    </w:p>
    <w:p w14:paraId="594BDD1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人民法院依照本规范第六条、第十条规定，撤回委托专业技术评审的，不得计付评审费用。</w:t>
      </w:r>
    </w:p>
    <w:p w14:paraId="0659FD67">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bCs/>
          <w:color w:val="000000"/>
          <w:kern w:val="0"/>
          <w:sz w:val="24"/>
          <w:shd w:val="clear" w:color="auto" w:fill="FFFFFF"/>
        </w:rPr>
        <w:t>十六、</w:t>
      </w:r>
      <w:r>
        <w:rPr>
          <w:rFonts w:hint="eastAsia" w:ascii="宋体" w:hAnsi="宋体" w:eastAsia="宋体" w:cs="宋体"/>
          <w:color w:val="000000"/>
          <w:kern w:val="0"/>
          <w:sz w:val="24"/>
          <w:shd w:val="clear" w:color="auto" w:fill="FFFFFF"/>
        </w:rPr>
        <w:t>本规范所述相关通知、报告等材料应当通过全国法院询价评估系统与全国性评估行业协会的系统实现数据交互；全国法院询价评估系统与全国性评估行业协会的系统未对接完毕或材料无法通过线上传输的，人民法院应当将上述材料通过邮寄或直接送达的方式交全国性或省级评估行业协会。</w:t>
      </w:r>
    </w:p>
    <w:p w14:paraId="0E65E0CE">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bCs/>
          <w:color w:val="000000"/>
          <w:kern w:val="0"/>
          <w:sz w:val="24"/>
          <w:shd w:val="clear" w:color="auto" w:fill="FFFFFF"/>
        </w:rPr>
        <w:t>十七、</w:t>
      </w:r>
      <w:r>
        <w:rPr>
          <w:rFonts w:hint="eastAsia" w:ascii="宋体" w:hAnsi="宋体" w:eastAsia="宋体" w:cs="宋体"/>
          <w:color w:val="000000"/>
          <w:kern w:val="0"/>
          <w:sz w:val="24"/>
          <w:shd w:val="clear" w:color="auto" w:fill="FFFFFF"/>
        </w:rPr>
        <w:t>全国性评估行业协会可以根据本规范制定本行业专业技术评审细则。全国性评估行业协会应当将其制定的本行业专业技术评审细则向最高人民法院报备。</w:t>
      </w:r>
    </w:p>
    <w:p w14:paraId="12EE513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全国性评估行业协会制定的专业技术评审细则与参考价规定、《人民法院委托评估规范》（以下简称委托评估规范）和本规范规定的内容相抵触的，最高人民法院可以要求全国性评估行业协会进行修正；全国性或省级评估行业协会未按照参考价规定、委托评估规范和本规范开展专业技术评审工作的，最高人民法院可以函告该协会进行纠正。全国性评估行业协会未按照最高人民法院的要求对专业技术评审细则进行修正，以及全国性或省级评估行业协会未按照最高人民法院的要求纠正或开展专业技术评审工作，最高人民法院可以将上述情况函告相关部门或监察部门，同时将该全国性评估行业协会推荐入人民法院涉执财产处置司法评估机构名单库的评估机构予以除名，且不再接收该全国性评估行业协会推荐的评估机构入选人民法院涉执财产处置司法评估机构名单库。</w:t>
      </w:r>
    </w:p>
    <w:p w14:paraId="77FD1B6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br w:type="page"/>
      </w:r>
    </w:p>
    <w:p w14:paraId="458B39AF">
      <w:pPr>
        <w:pStyle w:val="5"/>
        <w:spacing w:line="440" w:lineRule="atLeast"/>
        <w:jc w:val="center"/>
        <w:rPr>
          <w:rFonts w:ascii="宋体" w:hAnsi="宋体" w:eastAsia="宋体" w:cs="宋体"/>
        </w:rPr>
      </w:pPr>
      <w:bookmarkStart w:id="40" w:name="_Toc1527"/>
      <w:r>
        <w:rPr>
          <w:rFonts w:hint="eastAsia" w:ascii="宋体" w:hAnsi="宋体" w:eastAsia="宋体" w:cs="宋体"/>
        </w:rPr>
        <w:t>关于进一步规范银行函证及回函工作的通知</w:t>
      </w:r>
      <w:bookmarkEnd w:id="40"/>
    </w:p>
    <w:p w14:paraId="3E8B9C93">
      <w:pPr>
        <w:shd w:val="clear" w:color="auto" w:fill="FFFFFF"/>
        <w:spacing w:line="440" w:lineRule="atLeast"/>
        <w:jc w:val="center"/>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2020年8月10日财政部　</w:t>
      </w:r>
      <w:r>
        <w:rPr>
          <w:rFonts w:hint="eastAsia" w:ascii="宋体" w:hAnsi="宋体" w:eastAsia="宋体" w:cs="宋体"/>
          <w:color w:val="000000"/>
          <w:kern w:val="0"/>
          <w:sz w:val="24"/>
          <w:shd w:val="clear" w:color="auto" w:fill="FFFFFF"/>
          <w:lang w:eastAsia="zh-Hans"/>
        </w:rPr>
        <w:t>银保监会</w:t>
      </w:r>
      <w:r>
        <w:rPr>
          <w:rFonts w:hint="eastAsia" w:ascii="宋体" w:hAnsi="宋体" w:eastAsia="宋体" w:cs="宋体"/>
          <w:color w:val="000000"/>
          <w:kern w:val="0"/>
          <w:sz w:val="24"/>
          <w:shd w:val="clear" w:color="auto" w:fill="FFFFFF"/>
        </w:rPr>
        <w:t>发布　财会〔2020〕12号</w:t>
      </w:r>
    </w:p>
    <w:p w14:paraId="099835F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各省、自治区、直辖市、计划单列市财政厅（局），各银保监局，中国注册会计师协会，中国银行业协会，各政策性银行、大型银行、股份制银行、外资银行：</w:t>
      </w:r>
    </w:p>
    <w:p w14:paraId="73EAE16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为进一步规范银行函证及回函工作，提升审计工作质量，维护金融市场秩序，推动社会信用体系建设，防范银行业金融机构操作风险和声誉风险，现将有关事项通知如下：</w:t>
      </w:r>
    </w:p>
    <w:p w14:paraId="438459C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一、高度重视银行函证及回函工作</w:t>
      </w:r>
    </w:p>
    <w:p w14:paraId="195B9C4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银行函证及回函，是注册会计师在获取被审计单位授权后，直接向银行业金融机构发出询证函，银行业金融机构针对所收到的询证函，查询、核对相关信息并直接提供书面回函的过程。银行函证及回函工作是夯实市场主体会计信息质量、防范金融风险、维护市场秩序的重要途径。银行函证是注册会计师独立审计的核心程序之一，银行函证回函对于注册会计师在审计工作中识别财务报表错误与舞弊行为至关重要。规范银行函证回函工作，有利于银行业金融机构加强内部控制、防范风险。</w:t>
      </w:r>
    </w:p>
    <w:p w14:paraId="50339CB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注册会计师和银行业金融机构应当充分认识银行函证及回函工作的重要性。注册会计师应当充分履行职责，在银行业金融机构回函的基础上，审慎考虑实施函证获取的审计证据是否充分、适当、可靠。银行业金融机构应当加强内部控制，切实防范风险、承担社会责任、提升服务意识，高度重视并做好银行函证的回函工作。</w:t>
      </w:r>
    </w:p>
    <w:p w14:paraId="4A17F74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二、强化银行函证及回函工作管理</w:t>
      </w:r>
    </w:p>
    <w:p w14:paraId="322CF62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注册会计师应当按照中国注册会计师审计准则的要求实施银行函证程序。在实施时，注册会计师应当根据具体业务的需要，从《银行函证及回函工作操作指引》（以下简称操作指引）中选择适当的银行询证函格式，并严格按照操作指引的要求操作、填写。注册会计师应当对银行询证函（包括回函）中所列信息严格保密，仅用于执业目的。</w:t>
      </w:r>
    </w:p>
    <w:p w14:paraId="7635276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银行业金融机构应当规范银行函证回函工作，严格按照本通知要求及操作指引进行回函。银行业金融机构应当严格按照操作指引要求提供资金池等创新业务相关信息。</w:t>
      </w:r>
    </w:p>
    <w:p w14:paraId="6BE76C6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银行业金融机构应当明确业务牵头部门和各函证事项的业务主管部门，建立统一牵头、分工负责的内部管理机制和工作流程，完善对函证回函工作的内部控制，对回函信息的真实性、准确性负责；有效实施授权和制衡机制，分离不相容的职责；加强回函用章管理，明确回函用章，鼓励使用有防伪功能的电子印章；按照操作指引要求，认真校验询证函印章；加强回函的复核控制，建立完备的回函操作记录；进一步通过内部审计、内控评价等方式对回函工作进行内部监督和问责。</w:t>
      </w:r>
    </w:p>
    <w:p w14:paraId="0319BD7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三、切实提升回函服务质效</w:t>
      </w:r>
    </w:p>
    <w:p w14:paraId="670A2B9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银行业金融机构应当提升服务意识，进一步改进函证回函工作质量和效率。银行业金融机构应当自收到符合规定的询证函之日起10个工作日内，按照要求将回函直接回复会计师事务所或交付跟函注册会计师。在采用纸质方式回函的情况下，银行业金融机构原则上应当在银行询证函原件上确认、填写相关信息并签章。如银行业金融机构因询证函不符合规定拒绝回函，应当在收到询证函3个工作日内通知会计师事务所，以保证回函效率。会计师事务所对回函真实性有疑虑或回函内容不完整、回函不及时的，可向被询证银行业金融机构的上级行或集中处理部门反映，上级行或集中处理部门应及时督促被询证银行业金融机构办理或直接予以办理。银行业金融机构应当在官方网站公布银行函证受理部门、联系方式及地址。</w:t>
      </w:r>
    </w:p>
    <w:p w14:paraId="30D12CB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四、推动回函集中处理和数字化</w:t>
      </w:r>
    </w:p>
    <w:p w14:paraId="67E22C5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银行业金融机构应当指定专门部门负责函证回函工作，并于2023年1月1日前实现集中处理。银行业金融机构应当逐步完善信息系统建设，争取实现汇总提供企业在本机构的所有相关业务信息。鼓励具备条件的银行业金融机构和第三方平台按照国家有关规定，基于安全、可靠、效率的原则推动函证数字化工作。</w:t>
      </w:r>
    </w:p>
    <w:p w14:paraId="04B9F1A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五、加强监督管理和行业自律</w:t>
      </w:r>
    </w:p>
    <w:p w14:paraId="64411C7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财政部门依法对注册会计师的银行函证工作进行指导和监督。银行保险监管部门依法对银行业金融机构回函工作进行监督和检查。银行业金融机构在回函工作中存在违法违规行为的，银行保险监管部门应当依法采取监管措施或实施行政处罚。注册会计师和银行业金融机构在银行函证及回函工作中涉嫌违法犯罪的，应当移交司法机关处理。</w:t>
      </w:r>
    </w:p>
    <w:p w14:paraId="024DDC7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中国注册会计师协会、中国银行业协会应当依法充分履行行业自律职责，定期组织研究、拟订操作指引；引导银行业金融机构与注册会计师之间加强沟通交流，及时回应行业的问题与意见；研究推动函证数字化建设工作。中国注册会计师协会应当公示接受函证回函的会计师事务所地址和联系方式，并代表会计师事务所反映银行函证方面的诉求。中国银行业协会应当公示集中处理函证业务的银行业金融机构名单、具体负责部门和联系方式，加强函证业务的自律管理。</w:t>
      </w:r>
    </w:p>
    <w:p w14:paraId="78EB205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本通知所称银行业金融机构是指在中华人民共和国境内设立的商业银行、农村信用合作社等吸收公众存款的金融机构以及政策性银行。企业集团财务公司参照适用本通知对银行业金融机构的要求。银行业金融机构收到资产评估机构等其他第三方机构依法获取企业授权后发出的银行询证函，可以参照本通知要求办理。</w:t>
      </w:r>
    </w:p>
    <w:p w14:paraId="3E885B8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本通知自2021年1月1日起施行，《财政部　银监会关于进一步规范银行函证及回函工作的通知》（财会〔2016〕13号）同时废止。</w:t>
      </w:r>
    </w:p>
    <w:p w14:paraId="020B51D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请各银保监局将本通知转发至辖内银保监分局与地方法人银行业金融机构。</w:t>
      </w:r>
    </w:p>
    <w:p w14:paraId="0FD23D38">
      <w:pPr>
        <w:shd w:val="clear" w:color="auto" w:fill="FFFFFF"/>
        <w:spacing w:line="440" w:lineRule="atLeast"/>
        <w:ind w:firstLine="480" w:firstLineChars="200"/>
        <w:jc w:val="right"/>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财政部　银保监会</w:t>
      </w:r>
    </w:p>
    <w:p w14:paraId="356B1ADD">
      <w:pPr>
        <w:shd w:val="clear" w:color="auto" w:fill="FFFFFF"/>
        <w:spacing w:line="440" w:lineRule="atLeast"/>
        <w:ind w:firstLine="480" w:firstLineChars="200"/>
        <w:jc w:val="right"/>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2020年8月10日</w:t>
      </w:r>
    </w:p>
    <w:p w14:paraId="55A01A8B">
      <w:pPr>
        <w:shd w:val="clear" w:color="auto" w:fill="FFFFFF"/>
        <w:spacing w:line="440" w:lineRule="atLeast"/>
        <w:ind w:firstLine="482" w:firstLineChars="200"/>
        <w:rPr>
          <w:rFonts w:ascii="宋体" w:hAnsi="宋体" w:eastAsia="宋体" w:cs="宋体"/>
          <w:b/>
          <w:color w:val="000000"/>
          <w:kern w:val="0"/>
          <w:sz w:val="24"/>
          <w:shd w:val="clear" w:color="auto" w:fill="FFFFFF"/>
        </w:rPr>
      </w:pPr>
      <w:r>
        <w:rPr>
          <w:rFonts w:hint="eastAsia" w:ascii="宋体" w:hAnsi="宋体" w:eastAsia="宋体" w:cs="宋体"/>
          <w:b/>
          <w:color w:val="000000"/>
          <w:kern w:val="0"/>
          <w:sz w:val="24"/>
          <w:shd w:val="clear" w:color="auto" w:fill="FFFFFF"/>
        </w:rPr>
        <w:br w:type="page"/>
      </w:r>
    </w:p>
    <w:p w14:paraId="118D906C">
      <w:pPr>
        <w:pStyle w:val="5"/>
        <w:spacing w:line="440" w:lineRule="atLeast"/>
        <w:jc w:val="center"/>
        <w:rPr>
          <w:rFonts w:ascii="宋体" w:hAnsi="宋体" w:eastAsia="宋体" w:cs="宋体"/>
        </w:rPr>
      </w:pPr>
      <w:bookmarkStart w:id="41" w:name="_Toc2477"/>
      <w:r>
        <w:rPr>
          <w:rFonts w:hint="eastAsia" w:ascii="宋体" w:hAnsi="宋体" w:eastAsia="宋体" w:cs="宋体"/>
        </w:rPr>
        <w:t>关于联合印发《资产评估机构从事</w:t>
      </w:r>
      <w:bookmarkEnd w:id="41"/>
    </w:p>
    <w:p w14:paraId="1E90838B">
      <w:pPr>
        <w:pStyle w:val="5"/>
        <w:spacing w:line="440" w:lineRule="atLeast"/>
        <w:jc w:val="center"/>
        <w:rPr>
          <w:rFonts w:ascii="宋体" w:hAnsi="宋体" w:eastAsia="宋体" w:cs="宋体"/>
        </w:rPr>
      </w:pPr>
      <w:bookmarkStart w:id="42" w:name="_Toc29085"/>
      <w:r>
        <w:rPr>
          <w:rFonts w:hint="eastAsia" w:ascii="宋体" w:hAnsi="宋体" w:eastAsia="宋体" w:cs="宋体"/>
        </w:rPr>
        <w:t>证券服务业务备案办法》的通知</w:t>
      </w:r>
      <w:bookmarkEnd w:id="42"/>
    </w:p>
    <w:p w14:paraId="11FF40D0">
      <w:pPr>
        <w:shd w:val="clear" w:color="auto" w:fill="FFFFFF"/>
        <w:spacing w:line="440" w:lineRule="atLeast"/>
        <w:jc w:val="center"/>
        <w:rPr>
          <w:rFonts w:ascii="宋体" w:hAnsi="宋体" w:eastAsia="宋体" w:cs="宋体"/>
          <w:bCs/>
          <w:color w:val="000000"/>
          <w:kern w:val="0"/>
          <w:sz w:val="24"/>
          <w:shd w:val="clear" w:color="auto" w:fill="FFFFFF"/>
        </w:rPr>
      </w:pPr>
      <w:r>
        <w:rPr>
          <w:rFonts w:hint="eastAsia" w:ascii="宋体" w:hAnsi="宋体" w:eastAsia="宋体" w:cs="宋体"/>
          <w:bCs/>
          <w:color w:val="000000"/>
          <w:kern w:val="0"/>
          <w:sz w:val="24"/>
          <w:shd w:val="clear" w:color="auto" w:fill="FFFFFF"/>
        </w:rPr>
        <w:t>2020年10月21日财政部　证监会发布　　财资〔2020〕114号</w:t>
      </w:r>
    </w:p>
    <w:p w14:paraId="026AB108">
      <w:pPr>
        <w:shd w:val="clear" w:color="auto" w:fill="FFFFFF"/>
        <w:spacing w:line="440" w:lineRule="atLeast"/>
        <w:rPr>
          <w:rFonts w:ascii="宋体" w:hAnsi="宋体" w:eastAsia="宋体" w:cs="宋体"/>
          <w:bCs/>
          <w:color w:val="000000"/>
          <w:kern w:val="0"/>
          <w:sz w:val="24"/>
          <w:shd w:val="clear" w:color="auto" w:fill="FFFFFF"/>
        </w:rPr>
      </w:pPr>
      <w:r>
        <w:rPr>
          <w:rFonts w:hint="eastAsia" w:ascii="宋体" w:hAnsi="宋体" w:eastAsia="宋体" w:cs="宋体"/>
          <w:bCs/>
          <w:color w:val="000000"/>
          <w:kern w:val="0"/>
          <w:sz w:val="24"/>
          <w:shd w:val="clear" w:color="auto" w:fill="FFFFFF"/>
        </w:rPr>
        <w:t>有关资产评估机构：</w:t>
      </w:r>
    </w:p>
    <w:p w14:paraId="79DFD8BB">
      <w:pPr>
        <w:shd w:val="clear" w:color="auto" w:fill="FFFFFF"/>
        <w:spacing w:line="440" w:lineRule="atLeast"/>
        <w:ind w:firstLine="480" w:firstLineChars="200"/>
        <w:rPr>
          <w:rFonts w:ascii="宋体" w:hAnsi="宋体" w:eastAsia="宋体" w:cs="宋体"/>
          <w:bCs/>
          <w:color w:val="000000"/>
          <w:kern w:val="0"/>
          <w:sz w:val="24"/>
          <w:shd w:val="clear" w:color="auto" w:fill="FFFFFF"/>
        </w:rPr>
      </w:pPr>
      <w:r>
        <w:rPr>
          <w:rFonts w:hint="eastAsia" w:ascii="宋体" w:hAnsi="宋体" w:eastAsia="宋体" w:cs="宋体"/>
          <w:bCs/>
          <w:color w:val="000000"/>
          <w:kern w:val="0"/>
          <w:sz w:val="24"/>
          <w:shd w:val="clear" w:color="auto" w:fill="FFFFFF"/>
        </w:rPr>
        <w:t>2019年12月28日十三届全国人大常委会第十五次会议审议通过了修订后的《中华人民共和国证券法》，新修订的《中华人民共和国证券法》要求，将资产评估机构等证券服务机构从事证券业务由行政审批改为备案管理。为加强对资产评估机构从事证券服务业务的监督管理，规范资产评估机构从事证券服务业务备案行为，根据《中华人民共和国资产评估法》、《中华人民共和国证券法》等规定，财政部会同证监会制定了《资产评估机构从事证券服务业务备案办法》，现予印发，自2020年11月9日起施行。有关事项通知如下：</w:t>
      </w:r>
    </w:p>
    <w:p w14:paraId="5F157DCF">
      <w:pPr>
        <w:shd w:val="clear" w:color="auto" w:fill="FFFFFF"/>
        <w:spacing w:line="440" w:lineRule="atLeast"/>
        <w:ind w:firstLine="480" w:firstLineChars="200"/>
        <w:rPr>
          <w:rFonts w:ascii="宋体" w:hAnsi="宋体" w:eastAsia="宋体" w:cs="宋体"/>
          <w:bCs/>
          <w:color w:val="000000"/>
          <w:kern w:val="0"/>
          <w:sz w:val="24"/>
          <w:shd w:val="clear" w:color="auto" w:fill="FFFFFF"/>
        </w:rPr>
      </w:pPr>
      <w:r>
        <w:rPr>
          <w:rFonts w:hint="eastAsia" w:ascii="宋体" w:hAnsi="宋体" w:eastAsia="宋体" w:cs="宋体"/>
          <w:bCs/>
          <w:color w:val="000000"/>
          <w:kern w:val="0"/>
          <w:sz w:val="24"/>
          <w:shd w:val="clear" w:color="auto" w:fill="FFFFFF"/>
        </w:rPr>
        <w:t>一、关于备案渠道</w:t>
      </w:r>
    </w:p>
    <w:p w14:paraId="36777EBA">
      <w:pPr>
        <w:shd w:val="clear" w:color="auto" w:fill="FFFFFF"/>
        <w:spacing w:line="440" w:lineRule="atLeast"/>
        <w:ind w:firstLine="480" w:firstLineChars="200"/>
        <w:rPr>
          <w:rFonts w:ascii="宋体" w:hAnsi="宋体" w:eastAsia="宋体" w:cs="宋体"/>
          <w:bCs/>
          <w:color w:val="000000"/>
          <w:kern w:val="0"/>
          <w:sz w:val="24"/>
          <w:shd w:val="clear" w:color="auto" w:fill="FFFFFF"/>
        </w:rPr>
      </w:pPr>
      <w:r>
        <w:rPr>
          <w:rFonts w:hint="eastAsia" w:ascii="宋体" w:hAnsi="宋体" w:eastAsia="宋体" w:cs="宋体"/>
          <w:bCs/>
          <w:color w:val="000000"/>
          <w:kern w:val="0"/>
          <w:sz w:val="24"/>
          <w:shd w:val="clear" w:color="auto" w:fill="FFFFFF"/>
        </w:rPr>
        <w:t>资产评估机构从事证券服务业务，可以选择登录资产评估机构备案信息管理系统或证监会会计师事务所与资产评估机构备案系统（以下简称证监会备案系统）填报备案信息。财政部、证监会贯彻落实国务院“放管服”改革要求，通过系统间信息推送的方式实现备案信息共享。资产评估机构只需在一个系统填报备案信息，并在另一个系统确认提交，无需重复填报。</w:t>
      </w:r>
    </w:p>
    <w:p w14:paraId="1852A14A">
      <w:pPr>
        <w:shd w:val="clear" w:color="auto" w:fill="FFFFFF"/>
        <w:spacing w:line="440" w:lineRule="atLeast"/>
        <w:ind w:firstLine="480" w:firstLineChars="200"/>
        <w:rPr>
          <w:rFonts w:ascii="宋体" w:hAnsi="宋体" w:eastAsia="宋体" w:cs="宋体"/>
          <w:bCs/>
          <w:color w:val="000000"/>
          <w:kern w:val="0"/>
          <w:sz w:val="24"/>
          <w:shd w:val="clear" w:color="auto" w:fill="FFFFFF"/>
        </w:rPr>
      </w:pPr>
      <w:r>
        <w:rPr>
          <w:rFonts w:hint="eastAsia" w:ascii="宋体" w:hAnsi="宋体" w:eastAsia="宋体" w:cs="宋体"/>
          <w:bCs/>
          <w:color w:val="000000"/>
          <w:kern w:val="0"/>
          <w:sz w:val="24"/>
          <w:shd w:val="clear" w:color="auto" w:fill="FFFFFF"/>
        </w:rPr>
        <w:t>二、关于首次备案</w:t>
      </w:r>
    </w:p>
    <w:p w14:paraId="3618E3D0">
      <w:pPr>
        <w:shd w:val="clear" w:color="auto" w:fill="FFFFFF"/>
        <w:spacing w:line="440" w:lineRule="atLeast"/>
        <w:ind w:firstLine="480" w:firstLineChars="200"/>
        <w:rPr>
          <w:rFonts w:ascii="宋体" w:hAnsi="宋体" w:eastAsia="宋体" w:cs="宋体"/>
          <w:bCs/>
          <w:color w:val="000000"/>
          <w:kern w:val="0"/>
          <w:sz w:val="24"/>
          <w:shd w:val="clear" w:color="auto" w:fill="FFFFFF"/>
        </w:rPr>
      </w:pPr>
      <w:r>
        <w:rPr>
          <w:rFonts w:hint="eastAsia" w:ascii="宋体" w:hAnsi="宋体" w:eastAsia="宋体" w:cs="宋体"/>
          <w:bCs/>
          <w:color w:val="000000"/>
          <w:kern w:val="0"/>
          <w:sz w:val="24"/>
          <w:shd w:val="clear" w:color="auto" w:fill="FFFFFF"/>
        </w:rPr>
        <w:t>资产评估机构登录资产评估机构备案信息管理系统填报证券服务业务备案信息的：资产评估机构备案信息管理系统自动导出已有信息，资产评估机构核对、补充后提交；资产评估机构备案信息管理系统自动将备案信息推送至证监会备案系统；资产评估机构登录证监会备案系统确认提交。</w:t>
      </w:r>
    </w:p>
    <w:p w14:paraId="38DC140F">
      <w:pPr>
        <w:shd w:val="clear" w:color="auto" w:fill="FFFFFF"/>
        <w:spacing w:line="440" w:lineRule="atLeast"/>
        <w:ind w:firstLine="480" w:firstLineChars="200"/>
        <w:rPr>
          <w:rFonts w:ascii="宋体" w:hAnsi="宋体" w:eastAsia="宋体" w:cs="宋体"/>
          <w:bCs/>
          <w:color w:val="000000"/>
          <w:kern w:val="0"/>
          <w:sz w:val="24"/>
          <w:shd w:val="clear" w:color="auto" w:fill="FFFFFF"/>
        </w:rPr>
      </w:pPr>
      <w:r>
        <w:rPr>
          <w:rFonts w:hint="eastAsia" w:ascii="宋体" w:hAnsi="宋体" w:eastAsia="宋体" w:cs="宋体"/>
          <w:bCs/>
          <w:color w:val="000000"/>
          <w:kern w:val="0"/>
          <w:sz w:val="24"/>
          <w:shd w:val="clear" w:color="auto" w:fill="FFFFFF"/>
        </w:rPr>
        <w:t>资产评估机构登录证监会备案系统填报证券服务业务备案信息的：可在线下将备案表格填写完整后按要求上传，证监会备案系统将备案信息推送至资产评估机构备案信息管理系统；资产评估机构在证监会备案系统中填报的信息与资产评估机构备案信息管理系统中已有信息不符的，将予以退回，并需在证监会备案系统中核对更正相关信息后重新提交。</w:t>
      </w:r>
    </w:p>
    <w:p w14:paraId="342C551E">
      <w:pPr>
        <w:shd w:val="clear" w:color="auto" w:fill="FFFFFF"/>
        <w:spacing w:line="440" w:lineRule="atLeast"/>
        <w:ind w:firstLine="480" w:firstLineChars="200"/>
        <w:rPr>
          <w:rFonts w:ascii="宋体" w:hAnsi="宋体" w:eastAsia="宋体" w:cs="宋体"/>
          <w:bCs/>
          <w:color w:val="000000"/>
          <w:kern w:val="0"/>
          <w:sz w:val="24"/>
          <w:shd w:val="clear" w:color="auto" w:fill="FFFFFF"/>
        </w:rPr>
      </w:pPr>
      <w:r>
        <w:rPr>
          <w:rFonts w:hint="eastAsia" w:ascii="宋体" w:hAnsi="宋体" w:eastAsia="宋体" w:cs="宋体"/>
          <w:bCs/>
          <w:color w:val="000000"/>
          <w:kern w:val="0"/>
          <w:sz w:val="24"/>
          <w:shd w:val="clear" w:color="auto" w:fill="FFFFFF"/>
        </w:rPr>
        <w:t>三、关于重大事项备案</w:t>
      </w:r>
    </w:p>
    <w:p w14:paraId="1245B5C5">
      <w:pPr>
        <w:shd w:val="clear" w:color="auto" w:fill="FFFFFF"/>
        <w:spacing w:line="440" w:lineRule="atLeast"/>
        <w:ind w:firstLine="480" w:firstLineChars="200"/>
        <w:rPr>
          <w:rFonts w:ascii="宋体" w:hAnsi="宋体" w:eastAsia="宋体" w:cs="宋体"/>
          <w:bCs/>
          <w:color w:val="000000"/>
          <w:kern w:val="0"/>
          <w:sz w:val="24"/>
          <w:shd w:val="clear" w:color="auto" w:fill="FFFFFF"/>
        </w:rPr>
      </w:pPr>
      <w:r>
        <w:rPr>
          <w:rFonts w:hint="eastAsia" w:ascii="宋体" w:hAnsi="宋体" w:eastAsia="宋体" w:cs="宋体"/>
          <w:bCs/>
          <w:color w:val="000000"/>
          <w:kern w:val="0"/>
          <w:sz w:val="24"/>
          <w:shd w:val="clear" w:color="auto" w:fill="FFFFFF"/>
        </w:rPr>
        <w:t>已备案资产评估机构发生本办法第九条第（一）至（六）项变更的，按照《资产评估行业财政监督管理办法》规定在省级财政部门履行相关程序后，资产评估机构备案信息管理系统同步将相关变更信息推送至证监会备案系统，资产评估机构登录证监会备案系统确认提交。</w:t>
      </w:r>
    </w:p>
    <w:p w14:paraId="7DB8E0CB">
      <w:pPr>
        <w:shd w:val="clear" w:color="auto" w:fill="FFFFFF"/>
        <w:spacing w:line="440" w:lineRule="atLeast"/>
        <w:ind w:firstLine="480" w:firstLineChars="200"/>
        <w:rPr>
          <w:rFonts w:ascii="宋体" w:hAnsi="宋体" w:eastAsia="宋体" w:cs="宋体"/>
          <w:bCs/>
          <w:color w:val="000000"/>
          <w:kern w:val="0"/>
          <w:sz w:val="24"/>
          <w:shd w:val="clear" w:color="auto" w:fill="FFFFFF"/>
        </w:rPr>
      </w:pPr>
      <w:r>
        <w:rPr>
          <w:rFonts w:hint="eastAsia" w:ascii="宋体" w:hAnsi="宋体" w:eastAsia="宋体" w:cs="宋体"/>
          <w:bCs/>
          <w:color w:val="000000"/>
          <w:kern w:val="0"/>
          <w:sz w:val="24"/>
          <w:shd w:val="clear" w:color="auto" w:fill="FFFFFF"/>
        </w:rPr>
        <w:t>已备案资产评估机构发生本办法第九条其他变更事项的，可以选择资产评估机构备案信息管理系统或证监会备案系统填报备案信息。</w:t>
      </w:r>
    </w:p>
    <w:p w14:paraId="533FDAF9">
      <w:pPr>
        <w:shd w:val="clear" w:color="auto" w:fill="FFFFFF"/>
        <w:spacing w:line="440" w:lineRule="atLeast"/>
        <w:ind w:firstLine="480" w:firstLineChars="200"/>
        <w:rPr>
          <w:rFonts w:ascii="宋体" w:hAnsi="宋体" w:eastAsia="宋体" w:cs="宋体"/>
          <w:bCs/>
          <w:color w:val="000000"/>
          <w:kern w:val="0"/>
          <w:sz w:val="24"/>
          <w:shd w:val="clear" w:color="auto" w:fill="FFFFFF"/>
        </w:rPr>
      </w:pPr>
      <w:r>
        <w:rPr>
          <w:rFonts w:hint="eastAsia" w:ascii="宋体" w:hAnsi="宋体" w:eastAsia="宋体" w:cs="宋体"/>
          <w:bCs/>
          <w:color w:val="000000"/>
          <w:kern w:val="0"/>
          <w:sz w:val="24"/>
          <w:shd w:val="clear" w:color="auto" w:fill="FFFFFF"/>
        </w:rPr>
        <w:t>四、年度备案</w:t>
      </w:r>
    </w:p>
    <w:p w14:paraId="639B03F0">
      <w:pPr>
        <w:shd w:val="clear" w:color="auto" w:fill="FFFFFF"/>
        <w:spacing w:line="440" w:lineRule="atLeast"/>
        <w:ind w:firstLine="480" w:firstLineChars="200"/>
        <w:rPr>
          <w:rFonts w:ascii="宋体" w:hAnsi="宋体" w:eastAsia="宋体" w:cs="宋体"/>
          <w:bCs/>
          <w:color w:val="000000"/>
          <w:kern w:val="0"/>
          <w:sz w:val="24"/>
          <w:shd w:val="clear" w:color="auto" w:fill="FFFFFF"/>
        </w:rPr>
      </w:pPr>
      <w:r>
        <w:rPr>
          <w:rFonts w:hint="eastAsia" w:ascii="宋体" w:hAnsi="宋体" w:eastAsia="宋体" w:cs="宋体"/>
          <w:bCs/>
          <w:color w:val="000000"/>
          <w:kern w:val="0"/>
          <w:sz w:val="24"/>
          <w:shd w:val="clear" w:color="auto" w:fill="FFFFFF"/>
        </w:rPr>
        <w:t>资产评估机构从事证券服务业务，应当在每年4月30日前按本办法规定进行年度备案，年度备案信息可以选择资产评估机构备案信息管理系统或证监会备案系统填报。</w:t>
      </w:r>
    </w:p>
    <w:p w14:paraId="009EA227">
      <w:pPr>
        <w:shd w:val="clear" w:color="auto" w:fill="FFFFFF"/>
        <w:spacing w:line="440" w:lineRule="atLeast"/>
        <w:ind w:firstLine="480" w:firstLineChars="200"/>
        <w:rPr>
          <w:rFonts w:ascii="宋体" w:hAnsi="宋体" w:eastAsia="宋体" w:cs="宋体"/>
          <w:bCs/>
          <w:color w:val="000000"/>
          <w:kern w:val="0"/>
          <w:sz w:val="24"/>
          <w:shd w:val="clear" w:color="auto" w:fill="FFFFFF"/>
        </w:rPr>
      </w:pPr>
      <w:r>
        <w:rPr>
          <w:rFonts w:hint="eastAsia" w:ascii="宋体" w:hAnsi="宋体" w:eastAsia="宋体" w:cs="宋体"/>
          <w:bCs/>
          <w:color w:val="000000"/>
          <w:kern w:val="0"/>
          <w:sz w:val="24"/>
          <w:shd w:val="clear" w:color="auto" w:fill="FFFFFF"/>
        </w:rPr>
        <w:t>五、原证券资格资产评估机构首次备案信息填报方式</w:t>
      </w:r>
    </w:p>
    <w:p w14:paraId="0CE8FB8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本办法实施后，资产评估机构备案信息管理系统、证监会备案系统自动生成原证券资格资产评估机构备案信息，相关资产评估机构可以选择资产评估机构备案信息管理系统或证监会备案系统进行核对、补充填报。</w:t>
      </w:r>
    </w:p>
    <w:p w14:paraId="777E1AE2">
      <w:pPr>
        <w:shd w:val="clear" w:color="auto" w:fill="FFFFFF"/>
        <w:spacing w:line="440" w:lineRule="atLeast"/>
        <w:ind w:firstLine="480" w:firstLineChars="200"/>
        <w:rPr>
          <w:rFonts w:ascii="宋体" w:hAnsi="宋体" w:eastAsia="宋体" w:cs="宋体"/>
          <w:color w:val="000000"/>
          <w:kern w:val="0"/>
          <w:sz w:val="24"/>
          <w:shd w:val="clear" w:color="auto" w:fill="FFFFFF"/>
        </w:rPr>
      </w:pPr>
      <w:bookmarkStart w:id="43" w:name="_Toc32188"/>
      <w:r>
        <w:rPr>
          <w:rFonts w:hint="eastAsia" w:ascii="宋体" w:hAnsi="宋体" w:eastAsia="宋体" w:cs="宋体"/>
          <w:color w:val="000000"/>
          <w:kern w:val="0"/>
          <w:sz w:val="24"/>
          <w:shd w:val="clear" w:color="auto" w:fill="FFFFFF"/>
        </w:rPr>
        <w:t>附件：1.资产评估机构从事证券服务业务备案办法</w:t>
      </w:r>
      <w:bookmarkEnd w:id="43"/>
    </w:p>
    <w:p w14:paraId="7F6F0E7C">
      <w:pPr>
        <w:shd w:val="clear" w:color="auto" w:fill="FFFFFF"/>
        <w:spacing w:line="440" w:lineRule="atLeast"/>
        <w:ind w:firstLine="1200" w:firstLineChars="5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2.附表</w:t>
      </w:r>
    </w:p>
    <w:p w14:paraId="4EEA25AB">
      <w:pPr>
        <w:shd w:val="clear" w:color="auto" w:fill="FFFFFF"/>
        <w:spacing w:line="440" w:lineRule="atLeast"/>
        <w:ind w:firstLine="480" w:firstLineChars="200"/>
        <w:jc w:val="right"/>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财政部　　证监会</w:t>
      </w:r>
    </w:p>
    <w:p w14:paraId="54A21006">
      <w:pPr>
        <w:shd w:val="clear" w:color="auto" w:fill="FFFFFF"/>
        <w:spacing w:line="440" w:lineRule="atLeast"/>
        <w:ind w:firstLine="480" w:firstLineChars="200"/>
        <w:jc w:val="right"/>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2020年10月21日</w:t>
      </w:r>
    </w:p>
    <w:p w14:paraId="195944DA">
      <w:pPr>
        <w:rPr>
          <w:rFonts w:ascii="宋体" w:hAnsi="宋体" w:eastAsia="宋体" w:cs="宋体"/>
          <w:color w:val="000000"/>
          <w:kern w:val="0"/>
          <w:sz w:val="24"/>
          <w:shd w:val="clear" w:color="auto" w:fill="FFFFFF"/>
        </w:rPr>
      </w:pPr>
      <w:bookmarkStart w:id="44" w:name="_Toc13999"/>
      <w:r>
        <w:rPr>
          <w:rFonts w:hint="eastAsia" w:ascii="宋体" w:hAnsi="宋体" w:eastAsia="宋体" w:cs="宋体"/>
          <w:color w:val="000000"/>
          <w:kern w:val="0"/>
          <w:sz w:val="24"/>
          <w:shd w:val="clear" w:color="auto" w:fill="FFFFFF"/>
        </w:rPr>
        <w:br w:type="page"/>
      </w:r>
    </w:p>
    <w:p w14:paraId="53424655">
      <w:pPr>
        <w:shd w:val="clear" w:color="auto" w:fill="FFFFFF"/>
        <w:spacing w:line="440" w:lineRule="atLeast"/>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附件1</w:t>
      </w:r>
      <w:bookmarkEnd w:id="44"/>
      <w:r>
        <w:rPr>
          <w:rFonts w:hint="eastAsia" w:ascii="宋体" w:hAnsi="宋体" w:eastAsia="宋体" w:cs="宋体"/>
          <w:color w:val="000000"/>
          <w:kern w:val="0"/>
          <w:sz w:val="24"/>
          <w:shd w:val="clear" w:color="auto" w:fill="FFFFFF"/>
        </w:rPr>
        <w:t>:</w:t>
      </w:r>
    </w:p>
    <w:p w14:paraId="2EBFE517">
      <w:pPr>
        <w:shd w:val="clear" w:color="auto" w:fill="FFFFFF"/>
        <w:spacing w:line="440" w:lineRule="atLeast"/>
        <w:jc w:val="center"/>
        <w:rPr>
          <w:rFonts w:ascii="宋体" w:hAnsi="宋体" w:eastAsia="宋体" w:cs="宋体"/>
          <w:b/>
          <w:bCs/>
          <w:color w:val="000000"/>
          <w:kern w:val="0"/>
          <w:sz w:val="32"/>
          <w:szCs w:val="32"/>
          <w:shd w:val="clear" w:color="auto" w:fill="FFFFFF"/>
        </w:rPr>
      </w:pPr>
      <w:r>
        <w:rPr>
          <w:rFonts w:hint="eastAsia" w:ascii="宋体" w:hAnsi="宋体" w:eastAsia="宋体" w:cs="宋体"/>
          <w:b/>
          <w:bCs/>
          <w:color w:val="000000"/>
          <w:kern w:val="0"/>
          <w:sz w:val="32"/>
          <w:szCs w:val="32"/>
          <w:shd w:val="clear" w:color="auto" w:fill="FFFFFF"/>
        </w:rPr>
        <w:t>资产评估机构从事证券服务业务备案办法</w:t>
      </w:r>
    </w:p>
    <w:p w14:paraId="54825E15">
      <w:pPr>
        <w:shd w:val="clear" w:color="auto" w:fill="FFFFFF"/>
        <w:spacing w:line="440" w:lineRule="atLeast"/>
        <w:jc w:val="center"/>
        <w:rPr>
          <w:rFonts w:ascii="黑体" w:hAnsi="黑体" w:eastAsia="黑体" w:cs="黑体"/>
          <w:color w:val="000000"/>
          <w:kern w:val="0"/>
          <w:sz w:val="28"/>
          <w:szCs w:val="28"/>
          <w:shd w:val="clear" w:color="auto" w:fill="FFFFFF"/>
        </w:rPr>
      </w:pPr>
      <w:r>
        <w:rPr>
          <w:rFonts w:hint="eastAsia" w:ascii="黑体" w:hAnsi="黑体" w:eastAsia="黑体" w:cs="黑体"/>
          <w:color w:val="000000"/>
          <w:kern w:val="0"/>
          <w:sz w:val="28"/>
          <w:szCs w:val="28"/>
          <w:shd w:val="clear" w:color="auto" w:fill="FFFFFF"/>
        </w:rPr>
        <w:t>第一章　总则</w:t>
      </w:r>
    </w:p>
    <w:p w14:paraId="145CD69A">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第一条</w:t>
      </w:r>
      <w:r>
        <w:rPr>
          <w:rFonts w:hint="eastAsia" w:ascii="宋体" w:hAnsi="宋体" w:eastAsia="宋体" w:cs="宋体"/>
          <w:color w:val="000000"/>
          <w:kern w:val="0"/>
          <w:sz w:val="24"/>
          <w:shd w:val="clear" w:color="auto" w:fill="FFFFFF"/>
        </w:rPr>
        <w:t>　为加强对资产评估机构从事证券服务业务的监督管理，规范资产评估机构从事证券服务业务备案行为，推动形成市场化筛选及科学管理格局，根据《中华人民共和国资产评估法》、《中华人民共和国证券法》等规定，制定本办法。</w:t>
      </w:r>
    </w:p>
    <w:p w14:paraId="7F0E4384">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第二条</w:t>
      </w:r>
      <w:r>
        <w:rPr>
          <w:rFonts w:hint="eastAsia" w:ascii="宋体" w:hAnsi="宋体" w:eastAsia="宋体" w:cs="宋体"/>
          <w:color w:val="000000"/>
          <w:kern w:val="0"/>
          <w:sz w:val="24"/>
          <w:shd w:val="clear" w:color="auto" w:fill="FFFFFF"/>
        </w:rPr>
        <w:t>　资产评估机构从事证券服务业务,应当遵守《资产评估行业财政监督管理办法》有关规定。</w:t>
      </w:r>
    </w:p>
    <w:p w14:paraId="6F920B5B">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第三条</w:t>
      </w:r>
      <w:r>
        <w:rPr>
          <w:rFonts w:hint="eastAsia" w:ascii="宋体" w:hAnsi="宋体" w:eastAsia="宋体" w:cs="宋体"/>
          <w:color w:val="000000"/>
          <w:kern w:val="0"/>
          <w:sz w:val="24"/>
          <w:shd w:val="clear" w:color="auto" w:fill="FFFFFF"/>
        </w:rPr>
        <w:t>　资产评估机构从事证券服务业务备案应当贯彻落实国务院“放管服”改革要求，根据《国务院关于加快推进“互联网+政务服务”工作的指导意见》（国发〔2016〕55号文），优化办事服务，加强信息共享，资产评估机构无需重复提交材料。</w:t>
      </w:r>
    </w:p>
    <w:p w14:paraId="7A827438">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第四条</w:t>
      </w:r>
      <w:r>
        <w:rPr>
          <w:rFonts w:hint="eastAsia" w:ascii="宋体" w:hAnsi="宋体" w:eastAsia="宋体" w:cs="宋体"/>
          <w:color w:val="000000"/>
          <w:kern w:val="0"/>
          <w:sz w:val="24"/>
          <w:shd w:val="clear" w:color="auto" w:fill="FFFFFF"/>
        </w:rPr>
        <w:t>　资产评估机构从事下列证券服务业务，应当按照本办法进行备案：</w:t>
      </w:r>
    </w:p>
    <w:p w14:paraId="1450745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（一）为证券发行、上市、挂牌、交易的主体及其控制的主体、并购标的等制作、出具资产评估报告。</w:t>
      </w:r>
    </w:p>
    <w:p w14:paraId="67883B6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（二）为证券公司及其资产管理产品制作、出具资产评估报告。</w:t>
      </w:r>
    </w:p>
    <w:p w14:paraId="680C0B7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（三）财政部、证监会规定的其他业务。</w:t>
      </w:r>
    </w:p>
    <w:p w14:paraId="1CF50260">
      <w:pPr>
        <w:shd w:val="clear" w:color="auto" w:fill="FFFFFF"/>
        <w:spacing w:line="440" w:lineRule="atLeast"/>
        <w:jc w:val="center"/>
        <w:rPr>
          <w:rFonts w:ascii="黑体" w:hAnsi="黑体" w:eastAsia="黑体" w:cs="黑体"/>
          <w:color w:val="000000"/>
          <w:kern w:val="0"/>
          <w:sz w:val="28"/>
          <w:szCs w:val="28"/>
          <w:shd w:val="clear" w:color="auto" w:fill="FFFFFF"/>
        </w:rPr>
      </w:pPr>
      <w:r>
        <w:rPr>
          <w:rFonts w:hint="eastAsia" w:ascii="黑体" w:hAnsi="黑体" w:eastAsia="黑体" w:cs="黑体"/>
          <w:color w:val="000000"/>
          <w:kern w:val="0"/>
          <w:sz w:val="28"/>
          <w:szCs w:val="28"/>
          <w:shd w:val="clear" w:color="auto" w:fill="FFFFFF"/>
        </w:rPr>
        <w:t>第二章　备案材料和备案方式</w:t>
      </w:r>
    </w:p>
    <w:p w14:paraId="513E549E">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第五条</w:t>
      </w:r>
      <w:r>
        <w:rPr>
          <w:rFonts w:hint="eastAsia" w:ascii="宋体" w:hAnsi="宋体" w:eastAsia="宋体" w:cs="宋体"/>
          <w:color w:val="000000"/>
          <w:kern w:val="0"/>
          <w:sz w:val="24"/>
          <w:shd w:val="clear" w:color="auto" w:fill="FFFFFF"/>
        </w:rPr>
        <w:t>　资产评估机构从事证券服务业务备案按业务环节分为首次从事证券服务业务备案、重大事项备案、年度备案。</w:t>
      </w:r>
    </w:p>
    <w:p w14:paraId="4C2048ED">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第六条</w:t>
      </w:r>
      <w:r>
        <w:rPr>
          <w:rFonts w:hint="eastAsia" w:ascii="宋体" w:hAnsi="宋体" w:eastAsia="宋体" w:cs="宋体"/>
          <w:color w:val="000000"/>
          <w:kern w:val="0"/>
          <w:sz w:val="24"/>
          <w:shd w:val="clear" w:color="auto" w:fill="FFFFFF"/>
        </w:rPr>
        <w:t>　资产评估机构从事证券服务业务，应当向财政部、证监会备案，并保证备案材料和信息真实、准确、完整、及时。</w:t>
      </w:r>
    </w:p>
    <w:p w14:paraId="7EDDF82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财政部、证监会建立信息共享工作机制，切实加强数据信息的共享和运用。</w:t>
      </w:r>
    </w:p>
    <w:p w14:paraId="13503DE8">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第七条</w:t>
      </w:r>
      <w:r>
        <w:rPr>
          <w:rFonts w:hint="eastAsia" w:ascii="宋体" w:hAnsi="宋体" w:eastAsia="宋体" w:cs="宋体"/>
          <w:color w:val="000000"/>
          <w:kern w:val="0"/>
          <w:sz w:val="24"/>
          <w:shd w:val="clear" w:color="auto" w:fill="FFFFFF"/>
        </w:rPr>
        <w:t>　资产评估机构首次从事证券服务业务，应当在订立委托合同之日（不含）起10个工作日内，报送下列材料：</w:t>
      </w:r>
    </w:p>
    <w:p w14:paraId="1A68283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（一）资产评估机构首次从事证券服务业务备案表（附1）；</w:t>
      </w:r>
    </w:p>
    <w:p w14:paraId="524F43D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（二）从事证券服务业务质量控制制度及执行情况说明；</w:t>
      </w:r>
    </w:p>
    <w:p w14:paraId="26760DE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（三）资产评估机构营业执照及从事资产评估业务的备案公告信息；</w:t>
      </w:r>
    </w:p>
    <w:p w14:paraId="53FD9EB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（四）截至备案上月末资产评估师及股东（合伙人）情况表（附2）；</w:t>
      </w:r>
    </w:p>
    <w:p w14:paraId="627A9DC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资产评估机构及其资产评估专业人员因执业行为涉嫌违法违规被立案调查，或者被司法机关侦查，以及近三年因执业行为受到刑事处罚、行政处罚、监督管理措施、自律监管措施、纪律处分的情况（附3）；</w:t>
      </w:r>
    </w:p>
    <w:p w14:paraId="1C15038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（六）上一年度财务报表审计报告；</w:t>
      </w:r>
    </w:p>
    <w:p w14:paraId="2A9200E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（七）职业责任保险保单信息（如有）；</w:t>
      </w:r>
    </w:p>
    <w:p w14:paraId="55416B2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（八）财政部、证监会规定的其他材料。</w:t>
      </w:r>
    </w:p>
    <w:p w14:paraId="1D933BC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资产评估机构首次从事证券服务业务的实际时间早于订立委托合同时间的,应当在实际从事证券服务业务之日起　10　个工作日内备案。</w:t>
      </w:r>
    </w:p>
    <w:p w14:paraId="2A2D118A">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第八条</w:t>
      </w:r>
      <w:r>
        <w:rPr>
          <w:rFonts w:hint="eastAsia" w:ascii="宋体" w:hAnsi="宋体" w:eastAsia="宋体" w:cs="宋体"/>
          <w:color w:val="000000"/>
          <w:kern w:val="0"/>
          <w:sz w:val="24"/>
          <w:shd w:val="clear" w:color="auto" w:fill="FFFFFF"/>
        </w:rPr>
        <w:t>　在2020年3月1日前取得从事证券、期货相关业务资格的资产评估机构，拟继续从事证券服务业务的，应当在本办法实施之日（不含）起10个工作日内进行备案。</w:t>
      </w:r>
    </w:p>
    <w:p w14:paraId="3EDDDB88">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第九条</w:t>
      </w:r>
      <w:r>
        <w:rPr>
          <w:rFonts w:hint="eastAsia" w:ascii="宋体" w:hAnsi="宋体" w:eastAsia="宋体" w:cs="宋体"/>
          <w:color w:val="000000"/>
          <w:kern w:val="0"/>
          <w:sz w:val="24"/>
          <w:shd w:val="clear" w:color="auto" w:fill="FFFFFF"/>
        </w:rPr>
        <w:t>　资产评估机构从事证券服务业务，发生下列重大事项的，应当进行备案：</w:t>
      </w:r>
    </w:p>
    <w:p w14:paraId="66787E4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（一）名称变更；</w:t>
      </w:r>
    </w:p>
    <w:p w14:paraId="7C3CF09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（二）法定代表人（执行合伙事务的合伙人）变更；</w:t>
      </w:r>
    </w:p>
    <w:p w14:paraId="013F84E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（三）合伙人或持有百分之五以上股份的股东变更；</w:t>
      </w:r>
    </w:p>
    <w:p w14:paraId="4D61378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（四）经营场所变更；</w:t>
      </w:r>
    </w:p>
    <w:p w14:paraId="376E268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（五）组织形式变更；</w:t>
      </w:r>
    </w:p>
    <w:p w14:paraId="1A12ADA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（六）设立或撤销分支机构；</w:t>
      </w:r>
    </w:p>
    <w:p w14:paraId="0CA7F20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（七）质量控制负责人变更；</w:t>
      </w:r>
    </w:p>
    <w:p w14:paraId="41FAB93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（八）与证券服务业务有关的质量控制制度发生重大变更；</w:t>
      </w:r>
    </w:p>
    <w:p w14:paraId="1B4821C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（九）资产评估机构及其资产评估专业人员因执业行为涉嫌违法违规被立案调查,或者被司法机关侦查,以及因执业行为受到刑事处罚、行政处罚、监督管理措施、自律监管措施、纪律处分；</w:t>
      </w:r>
    </w:p>
    <w:p w14:paraId="67549BC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（十）资产评估机构及其资产评估专业人员因执业行为与委托人、投资者发生民事纠纷,进行诉讼或仲裁；</w:t>
      </w:r>
    </w:p>
    <w:p w14:paraId="3E38BEF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（十一）财政部、证监会规定的其他重大事项。</w:t>
      </w:r>
    </w:p>
    <w:p w14:paraId="0637015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资产评估机构发生上述第（一）至（六）项重大事项，应当按照规定在财政部门履行相关变更程序后10个工作日内进行证券服务业务重大事项备案；发生其他重大事项的，应当在该事项发生之日起10个工作日内进行证券服务业务重大事项备案。</w:t>
      </w:r>
    </w:p>
    <w:p w14:paraId="656B727C">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第十条</w:t>
      </w:r>
      <w:r>
        <w:rPr>
          <w:rFonts w:hint="eastAsia" w:ascii="宋体" w:hAnsi="宋体" w:eastAsia="宋体" w:cs="宋体"/>
          <w:color w:val="000000"/>
          <w:kern w:val="0"/>
          <w:sz w:val="24"/>
          <w:shd w:val="clear" w:color="auto" w:fill="FFFFFF"/>
        </w:rPr>
        <w:t>　资产评估机构从事证券服务业务，应当在每年4月30日前提交年度备案表（附4）。</w:t>
      </w:r>
    </w:p>
    <w:p w14:paraId="4BA1C46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年度备案内容包括资产评估机构基本情况和经营情况、资产评估专业人员变动情况、从事证券服务业务质量控制制度执行情况和变动情况，以及财政部、证监会规定的其他事项。</w:t>
      </w:r>
    </w:p>
    <w:p w14:paraId="2CE46E0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资产评估机构连续一个自然年度未从事证券服务业务的，可以不按本办法</w:t>
      </w:r>
      <w:r>
        <w:rPr>
          <w:rFonts w:hint="eastAsia" w:ascii="宋体" w:hAnsi="宋体" w:eastAsia="宋体" w:cs="宋体"/>
          <w:b/>
          <w:color w:val="000000"/>
          <w:kern w:val="0"/>
          <w:sz w:val="24"/>
          <w:shd w:val="clear" w:color="auto" w:fill="FFFFFF"/>
        </w:rPr>
        <w:t>第九条</w:t>
      </w:r>
      <w:r>
        <w:rPr>
          <w:rFonts w:hint="eastAsia" w:ascii="宋体" w:hAnsi="宋体" w:eastAsia="宋体" w:cs="宋体"/>
          <w:color w:val="000000"/>
          <w:kern w:val="0"/>
          <w:sz w:val="24"/>
          <w:shd w:val="clear" w:color="auto" w:fill="FFFFFF"/>
        </w:rPr>
        <w:t>和</w:t>
      </w:r>
      <w:r>
        <w:rPr>
          <w:rFonts w:hint="eastAsia" w:ascii="宋体" w:hAnsi="宋体" w:eastAsia="宋体" w:cs="宋体"/>
          <w:b/>
          <w:color w:val="000000"/>
          <w:kern w:val="0"/>
          <w:sz w:val="24"/>
          <w:shd w:val="clear" w:color="auto" w:fill="FFFFFF"/>
        </w:rPr>
        <w:t>第十条</w:t>
      </w:r>
      <w:r>
        <w:rPr>
          <w:rFonts w:hint="eastAsia" w:ascii="宋体" w:hAnsi="宋体" w:eastAsia="宋体" w:cs="宋体"/>
          <w:color w:val="000000"/>
          <w:kern w:val="0"/>
          <w:sz w:val="24"/>
          <w:shd w:val="clear" w:color="auto" w:fill="FFFFFF"/>
        </w:rPr>
        <w:t>的规定进行重大事项备案和年度备案。未进行重大事项备案和年度备案的资产评估机构，再次从事证券服务业务的，应当按本办法</w:t>
      </w:r>
      <w:r>
        <w:rPr>
          <w:rFonts w:hint="eastAsia" w:ascii="宋体" w:hAnsi="宋体" w:eastAsia="宋体" w:cs="宋体"/>
          <w:b/>
          <w:color w:val="000000"/>
          <w:kern w:val="0"/>
          <w:sz w:val="24"/>
          <w:shd w:val="clear" w:color="auto" w:fill="FFFFFF"/>
        </w:rPr>
        <w:t>第七条</w:t>
      </w:r>
      <w:r>
        <w:rPr>
          <w:rFonts w:hint="eastAsia" w:ascii="宋体" w:hAnsi="宋体" w:eastAsia="宋体" w:cs="宋体"/>
          <w:color w:val="000000"/>
          <w:kern w:val="0"/>
          <w:sz w:val="24"/>
          <w:shd w:val="clear" w:color="auto" w:fill="FFFFFF"/>
        </w:rPr>
        <w:t>的规定提交材料。</w:t>
      </w:r>
    </w:p>
    <w:p w14:paraId="59E1C6BD">
      <w:pPr>
        <w:shd w:val="clear" w:color="auto" w:fill="FFFFFF"/>
        <w:spacing w:line="440" w:lineRule="atLeast"/>
        <w:jc w:val="center"/>
        <w:rPr>
          <w:rFonts w:ascii="黑体" w:hAnsi="黑体" w:eastAsia="黑体" w:cs="黑体"/>
          <w:color w:val="000000"/>
          <w:kern w:val="0"/>
          <w:sz w:val="28"/>
          <w:szCs w:val="28"/>
          <w:shd w:val="clear" w:color="auto" w:fill="FFFFFF"/>
        </w:rPr>
      </w:pPr>
      <w:r>
        <w:rPr>
          <w:rFonts w:hint="eastAsia" w:ascii="黑体" w:hAnsi="黑体" w:eastAsia="黑体" w:cs="黑体"/>
          <w:color w:val="000000"/>
          <w:kern w:val="0"/>
          <w:sz w:val="28"/>
          <w:szCs w:val="28"/>
          <w:shd w:val="clear" w:color="auto" w:fill="FFFFFF"/>
        </w:rPr>
        <w:t>第三章　备案核验和公告</w:t>
      </w:r>
    </w:p>
    <w:p w14:paraId="2C0096D3">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第十一条</w:t>
      </w:r>
      <w:r>
        <w:rPr>
          <w:rFonts w:hint="eastAsia" w:ascii="宋体" w:hAnsi="宋体" w:eastAsia="宋体" w:cs="宋体"/>
          <w:color w:val="000000"/>
          <w:kern w:val="0"/>
          <w:sz w:val="24"/>
          <w:shd w:val="clear" w:color="auto" w:fill="FFFFFF"/>
        </w:rPr>
        <w:t>　财政部、证监会发现首次从事证券服务业务的备案材料不完备或者不符合规定的，应当在收到材料之日（不含）起10个工作日内一次性告知资产评估机构补正备案材料，资产评估机构应当在被告知之日（不含）起10个工作日内补正。逾期未补正的，视为未提交备案材料。</w:t>
      </w:r>
    </w:p>
    <w:p w14:paraId="5AA778DA">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第十二条</w:t>
      </w:r>
      <w:r>
        <w:rPr>
          <w:rFonts w:hint="eastAsia" w:ascii="宋体" w:hAnsi="宋体" w:eastAsia="宋体" w:cs="宋体"/>
          <w:color w:val="000000"/>
          <w:kern w:val="0"/>
          <w:sz w:val="24"/>
          <w:shd w:val="clear" w:color="auto" w:fill="FFFFFF"/>
        </w:rPr>
        <w:t>　资产评估机构提供的备案材料完备且符合规定的，自收齐备案材料之日（不含）起20个工作日内，财政部、证监会沟通一致后分别通过网站等方式，同时公告各备案资产评估机构名单及相关基本信息。</w:t>
      </w:r>
    </w:p>
    <w:p w14:paraId="4DA7D18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为资产评估机构从事证券服务业务备案,不代表对其从事证券服务业务执业能力的认可。申请材料不齐全或者不符合法定形式的，应当当场或者在五日内一次告知申请人需要补正的全部内容，逾期不告知的，自收到申请材料之日起即为受理申请材料不齐全或者不符合法定形式的，应当当场或者在五日内一次告知申请人需要补正的全部内容，逾期不告知的，自收到申请材料之日起即为受理申请材料不齐全或者不符合法定形式的，应当当场或者在五日内一次告知申请人需要补正的全部内容，逾期不告知的，自收到申请材料之日起即为受理申请材料不齐全或者不符合法定形式的，应当当场或者在五日内一次告知申请人需要补正的全部内容，逾期不告知的，自收到申请材料之日起即为受理</w:t>
      </w:r>
    </w:p>
    <w:p w14:paraId="484346E1">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第十三条</w:t>
      </w:r>
      <w:r>
        <w:rPr>
          <w:rFonts w:hint="eastAsia" w:ascii="宋体" w:hAnsi="宋体" w:eastAsia="宋体" w:cs="宋体"/>
          <w:color w:val="000000"/>
          <w:kern w:val="0"/>
          <w:sz w:val="24"/>
          <w:shd w:val="clear" w:color="auto" w:fill="FFFFFF"/>
        </w:rPr>
        <w:t>　资产评估机构应当在每年5月31日前按财政部、证监会规定的格式公开上一年度基本情况、诚信记录、执业情况等相关信息。</w:t>
      </w:r>
    </w:p>
    <w:p w14:paraId="2BC97DE3">
      <w:pPr>
        <w:shd w:val="clear" w:color="auto" w:fill="FFFFFF"/>
        <w:spacing w:line="440" w:lineRule="atLeast"/>
        <w:jc w:val="center"/>
        <w:rPr>
          <w:rFonts w:ascii="黑体" w:hAnsi="黑体" w:eastAsia="黑体" w:cs="黑体"/>
          <w:color w:val="000000"/>
          <w:kern w:val="0"/>
          <w:sz w:val="28"/>
          <w:szCs w:val="28"/>
          <w:shd w:val="clear" w:color="auto" w:fill="FFFFFF"/>
        </w:rPr>
      </w:pPr>
      <w:r>
        <w:rPr>
          <w:rFonts w:hint="eastAsia" w:ascii="黑体" w:hAnsi="黑体" w:eastAsia="黑体" w:cs="黑体"/>
          <w:color w:val="000000"/>
          <w:kern w:val="0"/>
          <w:sz w:val="28"/>
          <w:szCs w:val="28"/>
          <w:shd w:val="clear" w:color="auto" w:fill="FFFFFF"/>
        </w:rPr>
        <w:t>第四章　法律责任</w:t>
      </w:r>
    </w:p>
    <w:p w14:paraId="066FEB57">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第十四条</w:t>
      </w:r>
      <w:r>
        <w:rPr>
          <w:rFonts w:hint="eastAsia" w:ascii="宋体" w:hAnsi="宋体" w:eastAsia="宋体" w:cs="宋体"/>
          <w:color w:val="000000"/>
          <w:kern w:val="0"/>
          <w:sz w:val="24"/>
          <w:shd w:val="clear" w:color="auto" w:fill="FFFFFF"/>
        </w:rPr>
        <w:t>　资产评估机构未按照本办法规定备案的，依法承担法律责任。</w:t>
      </w:r>
    </w:p>
    <w:p w14:paraId="774D9C0A">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第十五条</w:t>
      </w:r>
      <w:r>
        <w:rPr>
          <w:rFonts w:hint="eastAsia" w:ascii="宋体" w:hAnsi="宋体" w:eastAsia="宋体" w:cs="宋体"/>
          <w:color w:val="000000"/>
          <w:kern w:val="0"/>
          <w:sz w:val="24"/>
          <w:shd w:val="clear" w:color="auto" w:fill="FFFFFF"/>
        </w:rPr>
        <w:t>　财政部、证监会及其工作人员在资产评估机构从事证券服务业务备案相关工作中，存在违反本办法规定的行为，以及其他滥用职权、玩忽职守、徇私舞弊等违纪违法行为的，按照《中华人民共和国公务员法》、《中华人民共和国监察法》、《中华人民共和国证券法》等国家有关规定追究相应责任。构成犯罪的，依法追究刑事责任。</w:t>
      </w:r>
    </w:p>
    <w:p w14:paraId="7BA4D284">
      <w:pPr>
        <w:shd w:val="clear" w:color="auto" w:fill="FFFFFF"/>
        <w:spacing w:line="440" w:lineRule="atLeast"/>
        <w:jc w:val="center"/>
        <w:rPr>
          <w:rFonts w:ascii="黑体" w:hAnsi="黑体" w:eastAsia="黑体" w:cs="黑体"/>
          <w:color w:val="000000"/>
          <w:kern w:val="0"/>
          <w:sz w:val="28"/>
          <w:szCs w:val="28"/>
          <w:shd w:val="clear" w:color="auto" w:fill="FFFFFF"/>
        </w:rPr>
      </w:pPr>
      <w:r>
        <w:rPr>
          <w:rFonts w:hint="eastAsia" w:ascii="黑体" w:hAnsi="黑体" w:eastAsia="黑体" w:cs="黑体"/>
          <w:color w:val="000000"/>
          <w:kern w:val="0"/>
          <w:sz w:val="28"/>
          <w:szCs w:val="28"/>
          <w:shd w:val="clear" w:color="auto" w:fill="FFFFFF"/>
        </w:rPr>
        <w:t>第五章　附则</w:t>
      </w:r>
    </w:p>
    <w:p w14:paraId="1FE2E1CD">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第十六条</w:t>
      </w:r>
      <w:r>
        <w:rPr>
          <w:rFonts w:hint="eastAsia" w:ascii="宋体" w:hAnsi="宋体" w:eastAsia="宋体" w:cs="宋体"/>
          <w:color w:val="000000"/>
          <w:kern w:val="0"/>
          <w:sz w:val="24"/>
          <w:shd w:val="clear" w:color="auto" w:fill="FFFFFF"/>
        </w:rPr>
        <w:t>　本办法自2020年11月9日起施行。《财政部　证监会关于从事证券期货相关业务的资产评估机构有关管理问题的通知》（财企〔2008〕81号）、《财政部　证监会关于加强证券评估机构后续管理有关问题的通知》（财企〔2009〕235号）同时废止。</w:t>
      </w:r>
    </w:p>
    <w:p w14:paraId="12B29AA5">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第十七条</w:t>
      </w:r>
      <w:r>
        <w:rPr>
          <w:rFonts w:hint="eastAsia" w:ascii="宋体" w:hAnsi="宋体" w:eastAsia="宋体" w:cs="宋体"/>
          <w:color w:val="000000"/>
          <w:kern w:val="0"/>
          <w:sz w:val="24"/>
          <w:shd w:val="clear" w:color="auto" w:fill="FFFFFF"/>
        </w:rPr>
        <w:t>　资产评估机构为基金期货经营机构及其发行的产品等提供证券服务业务的，参照适用本规定。</w:t>
      </w:r>
    </w:p>
    <w:p w14:paraId="76671226">
      <w:pPr>
        <w:shd w:val="clear" w:color="auto" w:fill="FFFFFF"/>
        <w:spacing w:line="440" w:lineRule="atLeast"/>
        <w:ind w:firstLine="480" w:firstLineChars="200"/>
        <w:rPr>
          <w:rFonts w:ascii="宋体" w:hAnsi="宋体" w:eastAsia="宋体" w:cs="宋体"/>
          <w:color w:val="000000"/>
          <w:kern w:val="0"/>
          <w:sz w:val="24"/>
          <w:shd w:val="clear" w:color="auto" w:fill="FFFFFF"/>
        </w:rPr>
      </w:pPr>
      <w:bookmarkStart w:id="45" w:name="_Toc7363"/>
    </w:p>
    <w:p w14:paraId="5C3319A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附：1.资产评估机构首次从事证券服务业务备案表</w:t>
      </w:r>
      <w:bookmarkEnd w:id="45"/>
    </w:p>
    <w:p w14:paraId="70F65FCB">
      <w:pPr>
        <w:shd w:val="clear" w:color="auto" w:fill="FFFFFF"/>
        <w:spacing w:line="440" w:lineRule="atLeast"/>
        <w:ind w:firstLine="960" w:firstLineChars="4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2.资产评估师及股东（合伙人）情况表</w:t>
      </w:r>
    </w:p>
    <w:p w14:paraId="7173949F">
      <w:pPr>
        <w:shd w:val="clear" w:color="auto" w:fill="FFFFFF"/>
        <w:spacing w:line="440" w:lineRule="atLeast"/>
        <w:ind w:firstLine="960" w:firstLineChars="4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3.资产评估机构及其专业人员处罚处理情况表</w:t>
      </w:r>
    </w:p>
    <w:p w14:paraId="2F7032BE">
      <w:pPr>
        <w:shd w:val="clear" w:color="auto" w:fill="FFFFFF"/>
        <w:spacing w:line="440" w:lineRule="atLeast"/>
        <w:ind w:firstLine="960" w:firstLineChars="4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4.资产评估机构从事证券服务业务年度备案表</w:t>
      </w:r>
    </w:p>
    <w:p w14:paraId="6078B6D2">
      <w:pPr>
        <w:shd w:val="clear" w:color="auto" w:fill="FFFFFF"/>
        <w:spacing w:line="440" w:lineRule="atLeast"/>
        <w:ind w:firstLine="480" w:firstLineChars="200"/>
        <w:rPr>
          <w:rFonts w:ascii="宋体" w:hAnsi="宋体" w:eastAsia="宋体" w:cs="宋体"/>
          <w:color w:val="000000"/>
          <w:kern w:val="0"/>
          <w:sz w:val="24"/>
          <w:shd w:val="clear" w:color="auto" w:fill="FFFFFF"/>
        </w:rPr>
        <w:sectPr>
          <w:pgSz w:w="12240" w:h="15840"/>
          <w:pgMar w:top="1440" w:right="1800" w:bottom="1440" w:left="1800" w:header="720" w:footer="720" w:gutter="0"/>
          <w:cols w:space="720" w:num="1"/>
        </w:sectPr>
      </w:pPr>
    </w:p>
    <w:p w14:paraId="26B01FEE">
      <w:pPr>
        <w:spacing w:line="440" w:lineRule="atLeast"/>
        <w:rPr>
          <w:rFonts w:ascii="宋体" w:hAnsi="宋体" w:eastAsia="宋体" w:cs="宋体"/>
          <w:bCs/>
          <w:sz w:val="24"/>
        </w:rPr>
      </w:pPr>
      <w:bookmarkStart w:id="46" w:name="_Toc7211"/>
      <w:r>
        <w:rPr>
          <w:rFonts w:hint="eastAsia" w:ascii="宋体" w:hAnsi="宋体" w:eastAsia="宋体" w:cs="宋体"/>
          <w:bCs/>
          <w:sz w:val="24"/>
        </w:rPr>
        <w:t>附1：</w:t>
      </w:r>
      <w:bookmarkEnd w:id="46"/>
    </w:p>
    <w:p w14:paraId="1A156015">
      <w:pPr>
        <w:spacing w:line="440" w:lineRule="atLeast"/>
        <w:jc w:val="center"/>
        <w:rPr>
          <w:rFonts w:ascii="宋体" w:hAnsi="宋体" w:eastAsia="宋体" w:cs="宋体"/>
          <w:b/>
          <w:sz w:val="32"/>
          <w:szCs w:val="32"/>
        </w:rPr>
      </w:pPr>
      <w:r>
        <w:rPr>
          <w:rFonts w:hint="eastAsia" w:ascii="宋体" w:hAnsi="宋体" w:eastAsia="宋体" w:cs="宋体"/>
          <w:b/>
          <w:sz w:val="32"/>
          <w:szCs w:val="32"/>
        </w:rPr>
        <w:t>资产评估机构首次从事证券服务业务备案表</w:t>
      </w:r>
    </w:p>
    <w:p w14:paraId="7C489E29">
      <w:pPr>
        <w:spacing w:line="440" w:lineRule="atLeast"/>
        <w:jc w:val="left"/>
        <w:rPr>
          <w:rFonts w:ascii="仿宋_GB2312" w:hAnsi="仿宋_GB2312" w:eastAsia="仿宋_GB2312" w:cs="仿宋_GB2312"/>
          <w:sz w:val="24"/>
        </w:rPr>
      </w:pPr>
      <w:r>
        <w:rPr>
          <w:rFonts w:hint="eastAsia" w:ascii="仿宋_GB2312" w:hAnsi="仿宋_GB2312" w:eastAsia="仿宋_GB2312" w:cs="仿宋_GB2312"/>
          <w:sz w:val="24"/>
        </w:rPr>
        <w:t>资产评估机构名称：</w:t>
      </w:r>
    </w:p>
    <w:p w14:paraId="419BB3BE">
      <w:pPr>
        <w:spacing w:line="440" w:lineRule="atLeast"/>
        <w:jc w:val="left"/>
        <w:rPr>
          <w:rFonts w:ascii="仿宋_GB2312" w:hAnsi="仿宋_GB2312" w:eastAsia="仿宋_GB2312" w:cs="仿宋_GB2312"/>
          <w:b/>
          <w:sz w:val="24"/>
        </w:rPr>
      </w:pPr>
      <w:r>
        <w:rPr>
          <w:rFonts w:hint="eastAsia" w:ascii="仿宋_GB2312" w:hAnsi="仿宋_GB2312" w:eastAsia="仿宋_GB2312" w:cs="仿宋_GB2312"/>
          <w:bCs/>
          <w:sz w:val="24"/>
        </w:rPr>
        <w:t>填报日期：　　　　　年　　　月　　　日</w:t>
      </w:r>
    </w:p>
    <w:tbl>
      <w:tblPr>
        <w:tblStyle w:val="24"/>
        <w:tblW w:w="85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9"/>
        <w:gridCol w:w="60"/>
        <w:gridCol w:w="705"/>
        <w:gridCol w:w="535"/>
        <w:gridCol w:w="726"/>
        <w:gridCol w:w="1258"/>
        <w:gridCol w:w="1229"/>
        <w:gridCol w:w="841"/>
        <w:gridCol w:w="374"/>
        <w:gridCol w:w="964"/>
        <w:gridCol w:w="1094"/>
      </w:tblGrid>
      <w:tr w14:paraId="57F2E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09" w:type="dxa"/>
            <w:vAlign w:val="center"/>
          </w:tcPr>
          <w:p w14:paraId="6D5BEF60">
            <w:pPr>
              <w:spacing w:line="440" w:lineRule="atLeast"/>
              <w:rPr>
                <w:rFonts w:ascii="仿宋_GB2312" w:hAnsi="仿宋_GB2312" w:eastAsia="仿宋_GB2312" w:cs="仿宋_GB2312"/>
                <w:sz w:val="24"/>
              </w:rPr>
            </w:pPr>
            <w:r>
              <w:rPr>
                <w:rFonts w:hint="eastAsia" w:ascii="仿宋_GB2312" w:hAnsi="仿宋_GB2312" w:eastAsia="仿宋_GB2312" w:cs="仿宋_GB2312"/>
                <w:sz w:val="24"/>
              </w:rPr>
              <w:t>成立</w:t>
            </w:r>
          </w:p>
          <w:p w14:paraId="42232F8D">
            <w:pPr>
              <w:spacing w:line="440" w:lineRule="atLeast"/>
              <w:rPr>
                <w:rFonts w:ascii="仿宋_GB2312" w:hAnsi="仿宋_GB2312" w:eastAsia="仿宋_GB2312" w:cs="仿宋_GB2312"/>
                <w:sz w:val="24"/>
              </w:rPr>
            </w:pPr>
            <w:r>
              <w:rPr>
                <w:rFonts w:hint="eastAsia" w:ascii="仿宋_GB2312" w:hAnsi="仿宋_GB2312" w:eastAsia="仿宋_GB2312" w:cs="仿宋_GB2312"/>
                <w:sz w:val="24"/>
              </w:rPr>
              <w:t>时间</w:t>
            </w:r>
          </w:p>
        </w:tc>
        <w:tc>
          <w:tcPr>
            <w:tcW w:w="765" w:type="dxa"/>
            <w:gridSpan w:val="2"/>
            <w:vAlign w:val="center"/>
          </w:tcPr>
          <w:p w14:paraId="496680DB">
            <w:pPr>
              <w:spacing w:line="440" w:lineRule="atLeast"/>
              <w:rPr>
                <w:rFonts w:ascii="仿宋_GB2312" w:hAnsi="仿宋_GB2312" w:eastAsia="仿宋_GB2312" w:cs="仿宋_GB2312"/>
                <w:sz w:val="24"/>
              </w:rPr>
            </w:pPr>
          </w:p>
        </w:tc>
        <w:tc>
          <w:tcPr>
            <w:tcW w:w="1261" w:type="dxa"/>
            <w:gridSpan w:val="2"/>
            <w:vAlign w:val="center"/>
          </w:tcPr>
          <w:p w14:paraId="4BFADE8A">
            <w:pPr>
              <w:spacing w:line="440" w:lineRule="atLeast"/>
              <w:rPr>
                <w:rFonts w:ascii="仿宋_GB2312" w:hAnsi="仿宋_GB2312" w:eastAsia="仿宋_GB2312" w:cs="仿宋_GB2312"/>
                <w:sz w:val="24"/>
              </w:rPr>
            </w:pPr>
            <w:r>
              <w:rPr>
                <w:rFonts w:hint="eastAsia" w:ascii="仿宋_GB2312" w:hAnsi="仿宋_GB2312" w:eastAsia="仿宋_GB2312" w:cs="仿宋_GB2312"/>
                <w:sz w:val="24"/>
              </w:rPr>
              <w:t>设立备案机关</w:t>
            </w:r>
          </w:p>
        </w:tc>
        <w:tc>
          <w:tcPr>
            <w:tcW w:w="1258" w:type="dxa"/>
            <w:vAlign w:val="center"/>
          </w:tcPr>
          <w:p w14:paraId="20957165">
            <w:pPr>
              <w:spacing w:line="440" w:lineRule="atLeast"/>
              <w:rPr>
                <w:rFonts w:ascii="仿宋_GB2312" w:hAnsi="仿宋_GB2312" w:eastAsia="仿宋_GB2312" w:cs="仿宋_GB2312"/>
                <w:sz w:val="24"/>
              </w:rPr>
            </w:pPr>
          </w:p>
        </w:tc>
        <w:tc>
          <w:tcPr>
            <w:tcW w:w="1229" w:type="dxa"/>
            <w:vAlign w:val="center"/>
          </w:tcPr>
          <w:p w14:paraId="4C86C4D7">
            <w:pPr>
              <w:spacing w:line="440" w:lineRule="atLeast"/>
              <w:rPr>
                <w:rFonts w:ascii="仿宋_GB2312" w:hAnsi="仿宋_GB2312" w:eastAsia="仿宋_GB2312" w:cs="仿宋_GB2312"/>
                <w:sz w:val="24"/>
              </w:rPr>
            </w:pPr>
            <w:r>
              <w:rPr>
                <w:rFonts w:hint="eastAsia" w:ascii="仿宋_GB2312" w:hAnsi="仿宋_GB2312" w:eastAsia="仿宋_GB2312" w:cs="仿宋_GB2312"/>
                <w:sz w:val="24"/>
              </w:rPr>
              <w:t>公函日期</w:t>
            </w:r>
          </w:p>
        </w:tc>
        <w:tc>
          <w:tcPr>
            <w:tcW w:w="1215" w:type="dxa"/>
            <w:gridSpan w:val="2"/>
            <w:vAlign w:val="center"/>
          </w:tcPr>
          <w:p w14:paraId="2D646FF7">
            <w:pPr>
              <w:spacing w:line="440" w:lineRule="atLeast"/>
              <w:rPr>
                <w:rFonts w:ascii="仿宋_GB2312" w:hAnsi="仿宋_GB2312" w:eastAsia="仿宋_GB2312" w:cs="仿宋_GB2312"/>
                <w:sz w:val="24"/>
              </w:rPr>
            </w:pPr>
          </w:p>
        </w:tc>
        <w:tc>
          <w:tcPr>
            <w:tcW w:w="964" w:type="dxa"/>
            <w:vAlign w:val="center"/>
          </w:tcPr>
          <w:p w14:paraId="24B06AD8">
            <w:pPr>
              <w:spacing w:line="440" w:lineRule="atLeast"/>
              <w:rPr>
                <w:rFonts w:ascii="仿宋_GB2312" w:hAnsi="仿宋_GB2312" w:eastAsia="仿宋_GB2312" w:cs="仿宋_GB2312"/>
                <w:sz w:val="24"/>
              </w:rPr>
            </w:pPr>
            <w:r>
              <w:rPr>
                <w:rFonts w:hint="eastAsia" w:ascii="仿宋_GB2312" w:hAnsi="仿宋_GB2312" w:eastAsia="仿宋_GB2312" w:cs="仿宋_GB2312"/>
                <w:sz w:val="24"/>
              </w:rPr>
              <w:t>公函</w:t>
            </w:r>
          </w:p>
          <w:p w14:paraId="5BDCE234">
            <w:pPr>
              <w:spacing w:line="440" w:lineRule="atLeast"/>
              <w:rPr>
                <w:rFonts w:ascii="仿宋_GB2312" w:hAnsi="仿宋_GB2312" w:eastAsia="仿宋_GB2312" w:cs="仿宋_GB2312"/>
                <w:sz w:val="24"/>
              </w:rPr>
            </w:pPr>
            <w:r>
              <w:rPr>
                <w:rFonts w:hint="eastAsia" w:ascii="仿宋_GB2312" w:hAnsi="仿宋_GB2312" w:eastAsia="仿宋_GB2312" w:cs="仿宋_GB2312"/>
                <w:sz w:val="24"/>
              </w:rPr>
              <w:t>编号</w:t>
            </w:r>
          </w:p>
        </w:tc>
        <w:tc>
          <w:tcPr>
            <w:tcW w:w="1094" w:type="dxa"/>
            <w:vAlign w:val="center"/>
          </w:tcPr>
          <w:p w14:paraId="1133E35D">
            <w:pPr>
              <w:spacing w:line="440" w:lineRule="atLeast"/>
              <w:rPr>
                <w:rFonts w:ascii="仿宋_GB2312" w:hAnsi="仿宋_GB2312" w:eastAsia="仿宋_GB2312" w:cs="仿宋_GB2312"/>
                <w:sz w:val="24"/>
              </w:rPr>
            </w:pPr>
          </w:p>
        </w:tc>
      </w:tr>
      <w:tr w14:paraId="61A1A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7" w:hRule="atLeast"/>
          <w:jc w:val="center"/>
        </w:trPr>
        <w:tc>
          <w:tcPr>
            <w:tcW w:w="1574" w:type="dxa"/>
            <w:gridSpan w:val="3"/>
            <w:vAlign w:val="center"/>
          </w:tcPr>
          <w:p w14:paraId="5881105F">
            <w:pPr>
              <w:spacing w:line="440" w:lineRule="atLeast"/>
              <w:rPr>
                <w:rFonts w:ascii="仿宋_GB2312" w:hAnsi="仿宋_GB2312" w:eastAsia="仿宋_GB2312" w:cs="仿宋_GB2312"/>
                <w:sz w:val="24"/>
              </w:rPr>
            </w:pPr>
            <w:r>
              <w:rPr>
                <w:rFonts w:hint="eastAsia" w:ascii="仿宋_GB2312" w:hAnsi="仿宋_GB2312" w:eastAsia="仿宋_GB2312" w:cs="仿宋_GB2312"/>
                <w:sz w:val="24"/>
              </w:rPr>
              <w:t>注册资本（万元）</w:t>
            </w:r>
          </w:p>
        </w:tc>
        <w:tc>
          <w:tcPr>
            <w:tcW w:w="1261" w:type="dxa"/>
            <w:gridSpan w:val="2"/>
            <w:vAlign w:val="center"/>
          </w:tcPr>
          <w:p w14:paraId="4CFDDF65">
            <w:pPr>
              <w:spacing w:line="440" w:lineRule="atLeast"/>
              <w:rPr>
                <w:rFonts w:ascii="仿宋_GB2312" w:hAnsi="仿宋_GB2312" w:eastAsia="仿宋_GB2312" w:cs="仿宋_GB2312"/>
                <w:sz w:val="24"/>
              </w:rPr>
            </w:pPr>
          </w:p>
        </w:tc>
        <w:tc>
          <w:tcPr>
            <w:tcW w:w="1258" w:type="dxa"/>
            <w:vAlign w:val="center"/>
          </w:tcPr>
          <w:p w14:paraId="4352D0FC">
            <w:pPr>
              <w:spacing w:line="440" w:lineRule="atLeast"/>
              <w:rPr>
                <w:rFonts w:ascii="仿宋_GB2312" w:hAnsi="仿宋_GB2312" w:eastAsia="仿宋_GB2312" w:cs="仿宋_GB2312"/>
                <w:sz w:val="24"/>
              </w:rPr>
            </w:pPr>
            <w:r>
              <w:rPr>
                <w:rFonts w:hint="eastAsia" w:ascii="仿宋_GB2312" w:hAnsi="仿宋_GB2312" w:eastAsia="仿宋_GB2312" w:cs="仿宋_GB2312"/>
                <w:sz w:val="24"/>
              </w:rPr>
              <w:t>法定代表人（执行合伙事务的合伙人）</w:t>
            </w:r>
          </w:p>
        </w:tc>
        <w:tc>
          <w:tcPr>
            <w:tcW w:w="1229" w:type="dxa"/>
            <w:vAlign w:val="center"/>
          </w:tcPr>
          <w:p w14:paraId="4F539911">
            <w:pPr>
              <w:spacing w:line="440" w:lineRule="atLeast"/>
              <w:rPr>
                <w:rFonts w:ascii="仿宋_GB2312" w:hAnsi="仿宋_GB2312" w:eastAsia="仿宋_GB2312" w:cs="仿宋_GB2312"/>
                <w:sz w:val="24"/>
              </w:rPr>
            </w:pPr>
          </w:p>
        </w:tc>
        <w:tc>
          <w:tcPr>
            <w:tcW w:w="1215" w:type="dxa"/>
            <w:gridSpan w:val="2"/>
            <w:vAlign w:val="center"/>
          </w:tcPr>
          <w:p w14:paraId="552B4163">
            <w:pPr>
              <w:spacing w:line="440" w:lineRule="atLeast"/>
              <w:rPr>
                <w:rFonts w:ascii="仿宋_GB2312" w:hAnsi="仿宋_GB2312" w:eastAsia="仿宋_GB2312" w:cs="仿宋_GB2312"/>
                <w:sz w:val="24"/>
              </w:rPr>
            </w:pPr>
            <w:r>
              <w:rPr>
                <w:rFonts w:hint="eastAsia" w:ascii="仿宋_GB2312" w:hAnsi="仿宋_GB2312" w:eastAsia="仿宋_GB2312" w:cs="仿宋_GB2312"/>
                <w:sz w:val="24"/>
              </w:rPr>
              <w:t>法定代表人（执行合伙事务的合伙人）电话</w:t>
            </w:r>
          </w:p>
        </w:tc>
        <w:tc>
          <w:tcPr>
            <w:tcW w:w="2058" w:type="dxa"/>
            <w:gridSpan w:val="2"/>
            <w:vAlign w:val="center"/>
          </w:tcPr>
          <w:p w14:paraId="710500AA">
            <w:pPr>
              <w:spacing w:line="440" w:lineRule="atLeast"/>
              <w:rPr>
                <w:rFonts w:ascii="仿宋_GB2312" w:hAnsi="仿宋_GB2312" w:eastAsia="仿宋_GB2312" w:cs="仿宋_GB2312"/>
                <w:sz w:val="24"/>
              </w:rPr>
            </w:pPr>
          </w:p>
        </w:tc>
      </w:tr>
      <w:tr w14:paraId="6F09B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7" w:hRule="atLeast"/>
          <w:jc w:val="center"/>
        </w:trPr>
        <w:tc>
          <w:tcPr>
            <w:tcW w:w="1574" w:type="dxa"/>
            <w:gridSpan w:val="3"/>
            <w:vAlign w:val="center"/>
          </w:tcPr>
          <w:p w14:paraId="1B5BDE2B">
            <w:pPr>
              <w:spacing w:line="440" w:lineRule="atLeast"/>
              <w:rPr>
                <w:rFonts w:ascii="仿宋_GB2312" w:hAnsi="仿宋_GB2312" w:eastAsia="仿宋_GB2312" w:cs="仿宋_GB2312"/>
                <w:sz w:val="24"/>
              </w:rPr>
            </w:pPr>
            <w:r>
              <w:rPr>
                <w:rFonts w:hint="eastAsia" w:ascii="仿宋_GB2312" w:hAnsi="仿宋_GB2312" w:eastAsia="仿宋_GB2312" w:cs="仿宋_GB2312"/>
                <w:sz w:val="24"/>
              </w:rPr>
              <w:t>监管联系人</w:t>
            </w:r>
          </w:p>
        </w:tc>
        <w:tc>
          <w:tcPr>
            <w:tcW w:w="1261" w:type="dxa"/>
            <w:gridSpan w:val="2"/>
            <w:vAlign w:val="center"/>
          </w:tcPr>
          <w:p w14:paraId="52E399A3">
            <w:pPr>
              <w:spacing w:line="440" w:lineRule="atLeast"/>
              <w:rPr>
                <w:rFonts w:ascii="仿宋_GB2312" w:hAnsi="仿宋_GB2312" w:eastAsia="仿宋_GB2312" w:cs="仿宋_GB2312"/>
                <w:sz w:val="24"/>
              </w:rPr>
            </w:pPr>
          </w:p>
        </w:tc>
        <w:tc>
          <w:tcPr>
            <w:tcW w:w="1258" w:type="dxa"/>
            <w:vAlign w:val="center"/>
          </w:tcPr>
          <w:p w14:paraId="17F61159">
            <w:pPr>
              <w:spacing w:line="440" w:lineRule="atLeast"/>
              <w:rPr>
                <w:rFonts w:ascii="仿宋_GB2312" w:hAnsi="仿宋_GB2312" w:eastAsia="仿宋_GB2312" w:cs="仿宋_GB2312"/>
                <w:sz w:val="24"/>
              </w:rPr>
            </w:pPr>
            <w:r>
              <w:rPr>
                <w:rFonts w:hint="eastAsia" w:ascii="仿宋_GB2312" w:hAnsi="仿宋_GB2312" w:eastAsia="仿宋_GB2312" w:cs="仿宋_GB2312"/>
                <w:sz w:val="24"/>
              </w:rPr>
              <w:t>监管联系人职务</w:t>
            </w:r>
          </w:p>
        </w:tc>
        <w:tc>
          <w:tcPr>
            <w:tcW w:w="1229" w:type="dxa"/>
            <w:vAlign w:val="center"/>
          </w:tcPr>
          <w:p w14:paraId="1E076EF2">
            <w:pPr>
              <w:spacing w:line="440" w:lineRule="atLeast"/>
              <w:rPr>
                <w:rFonts w:ascii="仿宋_GB2312" w:hAnsi="仿宋_GB2312" w:eastAsia="仿宋_GB2312" w:cs="仿宋_GB2312"/>
                <w:sz w:val="24"/>
              </w:rPr>
            </w:pPr>
          </w:p>
        </w:tc>
        <w:tc>
          <w:tcPr>
            <w:tcW w:w="1215" w:type="dxa"/>
            <w:gridSpan w:val="2"/>
            <w:vAlign w:val="center"/>
          </w:tcPr>
          <w:p w14:paraId="58311630">
            <w:pPr>
              <w:spacing w:line="440" w:lineRule="atLeast"/>
              <w:rPr>
                <w:rFonts w:ascii="仿宋_GB2312" w:hAnsi="仿宋_GB2312" w:eastAsia="仿宋_GB2312" w:cs="仿宋_GB2312"/>
                <w:sz w:val="24"/>
              </w:rPr>
            </w:pPr>
            <w:r>
              <w:rPr>
                <w:rFonts w:hint="eastAsia" w:ascii="仿宋_GB2312" w:hAnsi="仿宋_GB2312" w:eastAsia="仿宋_GB2312" w:cs="仿宋_GB2312"/>
                <w:sz w:val="24"/>
              </w:rPr>
              <w:t>监管联系人电话</w:t>
            </w:r>
          </w:p>
        </w:tc>
        <w:tc>
          <w:tcPr>
            <w:tcW w:w="2058" w:type="dxa"/>
            <w:gridSpan w:val="2"/>
            <w:vAlign w:val="center"/>
          </w:tcPr>
          <w:p w14:paraId="14117516">
            <w:pPr>
              <w:spacing w:line="440" w:lineRule="atLeast"/>
              <w:rPr>
                <w:rFonts w:ascii="仿宋_GB2312" w:hAnsi="仿宋_GB2312" w:eastAsia="仿宋_GB2312" w:cs="仿宋_GB2312"/>
                <w:sz w:val="24"/>
              </w:rPr>
            </w:pPr>
          </w:p>
        </w:tc>
      </w:tr>
      <w:tr w14:paraId="61226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1574" w:type="dxa"/>
            <w:gridSpan w:val="3"/>
            <w:tcBorders>
              <w:bottom w:val="nil"/>
            </w:tcBorders>
            <w:vAlign w:val="center"/>
          </w:tcPr>
          <w:p w14:paraId="4F0F47DD">
            <w:pPr>
              <w:spacing w:line="440" w:lineRule="atLeast"/>
              <w:rPr>
                <w:rFonts w:ascii="仿宋_GB2312" w:hAnsi="仿宋_GB2312" w:eastAsia="仿宋_GB2312" w:cs="仿宋_GB2312"/>
                <w:sz w:val="24"/>
              </w:rPr>
            </w:pPr>
            <w:r>
              <w:rPr>
                <w:rFonts w:hint="eastAsia" w:ascii="仿宋_GB2312" w:hAnsi="仿宋_GB2312" w:eastAsia="仿宋_GB2312" w:cs="仿宋_GB2312"/>
                <w:sz w:val="24"/>
              </w:rPr>
              <w:t>监管联系人传真</w:t>
            </w:r>
          </w:p>
        </w:tc>
        <w:tc>
          <w:tcPr>
            <w:tcW w:w="1261" w:type="dxa"/>
            <w:gridSpan w:val="2"/>
            <w:tcBorders>
              <w:bottom w:val="nil"/>
            </w:tcBorders>
            <w:vAlign w:val="center"/>
          </w:tcPr>
          <w:p w14:paraId="23406D52">
            <w:pPr>
              <w:spacing w:line="440" w:lineRule="atLeast"/>
              <w:rPr>
                <w:rFonts w:ascii="仿宋_GB2312" w:hAnsi="仿宋_GB2312" w:eastAsia="仿宋_GB2312" w:cs="仿宋_GB2312"/>
                <w:sz w:val="24"/>
              </w:rPr>
            </w:pPr>
          </w:p>
        </w:tc>
        <w:tc>
          <w:tcPr>
            <w:tcW w:w="1258" w:type="dxa"/>
            <w:tcBorders>
              <w:bottom w:val="nil"/>
            </w:tcBorders>
            <w:vAlign w:val="center"/>
          </w:tcPr>
          <w:p w14:paraId="641CADB5">
            <w:pPr>
              <w:spacing w:line="440" w:lineRule="atLeast"/>
              <w:rPr>
                <w:rFonts w:ascii="仿宋_GB2312" w:hAnsi="仿宋_GB2312" w:eastAsia="仿宋_GB2312" w:cs="仿宋_GB2312"/>
                <w:sz w:val="24"/>
              </w:rPr>
            </w:pPr>
            <w:r>
              <w:rPr>
                <w:rFonts w:hint="eastAsia" w:ascii="仿宋_GB2312" w:hAnsi="仿宋_GB2312" w:eastAsia="仿宋_GB2312" w:cs="仿宋_GB2312"/>
                <w:sz w:val="24"/>
              </w:rPr>
              <w:t>监管联系人电子邮箱</w:t>
            </w:r>
          </w:p>
        </w:tc>
        <w:tc>
          <w:tcPr>
            <w:tcW w:w="1229" w:type="dxa"/>
            <w:tcBorders>
              <w:bottom w:val="nil"/>
            </w:tcBorders>
            <w:vAlign w:val="center"/>
          </w:tcPr>
          <w:p w14:paraId="65C9BF3F">
            <w:pPr>
              <w:spacing w:line="440" w:lineRule="atLeast"/>
              <w:rPr>
                <w:rFonts w:ascii="仿宋_GB2312" w:hAnsi="仿宋_GB2312" w:eastAsia="仿宋_GB2312" w:cs="仿宋_GB2312"/>
                <w:sz w:val="24"/>
              </w:rPr>
            </w:pPr>
          </w:p>
        </w:tc>
        <w:tc>
          <w:tcPr>
            <w:tcW w:w="1215" w:type="dxa"/>
            <w:gridSpan w:val="2"/>
            <w:tcBorders>
              <w:bottom w:val="nil"/>
            </w:tcBorders>
            <w:vAlign w:val="center"/>
          </w:tcPr>
          <w:p w14:paraId="7D67A766">
            <w:pPr>
              <w:spacing w:line="440" w:lineRule="atLeast"/>
              <w:rPr>
                <w:rFonts w:ascii="仿宋_GB2312" w:hAnsi="仿宋_GB2312" w:eastAsia="仿宋_GB2312" w:cs="仿宋_GB2312"/>
                <w:sz w:val="24"/>
              </w:rPr>
            </w:pPr>
            <w:r>
              <w:rPr>
                <w:rFonts w:hint="eastAsia" w:ascii="仿宋_GB2312" w:hAnsi="仿宋_GB2312" w:eastAsia="仿宋_GB2312" w:cs="仿宋_GB2312"/>
                <w:sz w:val="24"/>
              </w:rPr>
              <w:t>负责执业质量控制的股东（合伙人）</w:t>
            </w:r>
          </w:p>
        </w:tc>
        <w:tc>
          <w:tcPr>
            <w:tcW w:w="2058" w:type="dxa"/>
            <w:gridSpan w:val="2"/>
            <w:tcBorders>
              <w:bottom w:val="nil"/>
            </w:tcBorders>
            <w:vAlign w:val="center"/>
          </w:tcPr>
          <w:p w14:paraId="685A9F41">
            <w:pPr>
              <w:spacing w:line="440" w:lineRule="atLeast"/>
              <w:rPr>
                <w:rFonts w:ascii="仿宋_GB2312" w:hAnsi="仿宋_GB2312" w:eastAsia="仿宋_GB2312" w:cs="仿宋_GB2312"/>
                <w:sz w:val="24"/>
              </w:rPr>
            </w:pPr>
          </w:p>
        </w:tc>
      </w:tr>
      <w:tr w14:paraId="72A27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9" w:hRule="atLeast"/>
          <w:jc w:val="center"/>
        </w:trPr>
        <w:tc>
          <w:tcPr>
            <w:tcW w:w="1574" w:type="dxa"/>
            <w:gridSpan w:val="3"/>
            <w:tcBorders>
              <w:bottom w:val="nil"/>
            </w:tcBorders>
            <w:vAlign w:val="center"/>
          </w:tcPr>
          <w:p w14:paraId="41ADABEC">
            <w:pPr>
              <w:spacing w:line="440" w:lineRule="atLeast"/>
              <w:rPr>
                <w:rFonts w:ascii="仿宋_GB2312" w:hAnsi="仿宋_GB2312" w:eastAsia="仿宋_GB2312" w:cs="仿宋_GB2312"/>
                <w:sz w:val="24"/>
              </w:rPr>
            </w:pPr>
            <w:r>
              <w:rPr>
                <w:rFonts w:hint="eastAsia" w:ascii="仿宋_GB2312" w:hAnsi="仿宋_GB2312" w:eastAsia="仿宋_GB2312" w:cs="仿宋_GB2312"/>
                <w:sz w:val="24"/>
              </w:rPr>
              <w:t>负责执业质量控制的股东（合伙人）电话</w:t>
            </w:r>
          </w:p>
        </w:tc>
        <w:tc>
          <w:tcPr>
            <w:tcW w:w="2519" w:type="dxa"/>
            <w:gridSpan w:val="3"/>
            <w:tcBorders>
              <w:bottom w:val="nil"/>
            </w:tcBorders>
            <w:vAlign w:val="center"/>
          </w:tcPr>
          <w:p w14:paraId="6AC937EF">
            <w:pPr>
              <w:spacing w:line="440" w:lineRule="atLeast"/>
              <w:rPr>
                <w:rFonts w:ascii="仿宋_GB2312" w:hAnsi="仿宋_GB2312" w:eastAsia="仿宋_GB2312" w:cs="仿宋_GB2312"/>
                <w:sz w:val="24"/>
              </w:rPr>
            </w:pPr>
          </w:p>
        </w:tc>
        <w:tc>
          <w:tcPr>
            <w:tcW w:w="1229" w:type="dxa"/>
            <w:tcBorders>
              <w:bottom w:val="nil"/>
            </w:tcBorders>
            <w:vAlign w:val="center"/>
          </w:tcPr>
          <w:p w14:paraId="3CD26AF4">
            <w:pPr>
              <w:spacing w:line="440" w:lineRule="atLeast"/>
              <w:rPr>
                <w:rFonts w:ascii="仿宋_GB2312" w:hAnsi="仿宋_GB2312" w:eastAsia="仿宋_GB2312" w:cs="仿宋_GB2312"/>
                <w:sz w:val="24"/>
              </w:rPr>
            </w:pPr>
            <w:r>
              <w:rPr>
                <w:rFonts w:hint="eastAsia" w:ascii="仿宋_GB2312" w:hAnsi="仿宋_GB2312" w:eastAsia="仿宋_GB2312" w:cs="仿宋_GB2312"/>
                <w:sz w:val="24"/>
              </w:rPr>
              <w:t>注册地</w:t>
            </w:r>
          </w:p>
        </w:tc>
        <w:tc>
          <w:tcPr>
            <w:tcW w:w="3273" w:type="dxa"/>
            <w:gridSpan w:val="4"/>
            <w:tcBorders>
              <w:bottom w:val="nil"/>
            </w:tcBorders>
            <w:vAlign w:val="center"/>
          </w:tcPr>
          <w:p w14:paraId="34B8C867">
            <w:pPr>
              <w:spacing w:line="440" w:lineRule="atLeast"/>
              <w:rPr>
                <w:rFonts w:ascii="仿宋_GB2312" w:hAnsi="仿宋_GB2312" w:eastAsia="仿宋_GB2312" w:cs="仿宋_GB2312"/>
                <w:sz w:val="24"/>
              </w:rPr>
            </w:pPr>
          </w:p>
        </w:tc>
      </w:tr>
      <w:tr w14:paraId="706C4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0" w:hRule="atLeast"/>
          <w:jc w:val="center"/>
        </w:trPr>
        <w:tc>
          <w:tcPr>
            <w:tcW w:w="1574" w:type="dxa"/>
            <w:gridSpan w:val="3"/>
            <w:tcBorders>
              <w:bottom w:val="nil"/>
            </w:tcBorders>
            <w:vAlign w:val="center"/>
          </w:tcPr>
          <w:p w14:paraId="1BB7166E">
            <w:pPr>
              <w:spacing w:line="440" w:lineRule="atLeast"/>
              <w:rPr>
                <w:rFonts w:ascii="仿宋_GB2312" w:hAnsi="仿宋_GB2312" w:eastAsia="仿宋_GB2312" w:cs="仿宋_GB2312"/>
                <w:sz w:val="24"/>
              </w:rPr>
            </w:pPr>
            <w:r>
              <w:rPr>
                <w:rFonts w:hint="eastAsia" w:ascii="仿宋_GB2312" w:hAnsi="仿宋_GB2312" w:eastAsia="仿宋_GB2312" w:cs="仿宋_GB2312"/>
                <w:sz w:val="24"/>
              </w:rPr>
              <w:t>通　讯　地　址</w:t>
            </w:r>
          </w:p>
        </w:tc>
        <w:tc>
          <w:tcPr>
            <w:tcW w:w="3748" w:type="dxa"/>
            <w:gridSpan w:val="4"/>
            <w:tcBorders>
              <w:bottom w:val="nil"/>
            </w:tcBorders>
            <w:vAlign w:val="center"/>
          </w:tcPr>
          <w:p w14:paraId="078A5F59">
            <w:pPr>
              <w:spacing w:line="440" w:lineRule="atLeast"/>
              <w:rPr>
                <w:rFonts w:ascii="仿宋_GB2312" w:hAnsi="仿宋_GB2312" w:eastAsia="仿宋_GB2312" w:cs="仿宋_GB2312"/>
                <w:sz w:val="24"/>
              </w:rPr>
            </w:pPr>
          </w:p>
        </w:tc>
        <w:tc>
          <w:tcPr>
            <w:tcW w:w="1215" w:type="dxa"/>
            <w:gridSpan w:val="2"/>
            <w:tcBorders>
              <w:bottom w:val="nil"/>
            </w:tcBorders>
            <w:vAlign w:val="center"/>
          </w:tcPr>
          <w:p w14:paraId="304AED84">
            <w:pPr>
              <w:spacing w:line="440" w:lineRule="atLeast"/>
              <w:rPr>
                <w:rFonts w:ascii="仿宋_GB2312" w:hAnsi="仿宋_GB2312" w:eastAsia="仿宋_GB2312" w:cs="仿宋_GB2312"/>
                <w:sz w:val="24"/>
              </w:rPr>
            </w:pPr>
            <w:r>
              <w:rPr>
                <w:rFonts w:hint="eastAsia" w:ascii="仿宋_GB2312" w:hAnsi="仿宋_GB2312" w:eastAsia="仿宋_GB2312" w:cs="仿宋_GB2312"/>
                <w:sz w:val="24"/>
              </w:rPr>
              <w:t>邮政编码</w:t>
            </w:r>
          </w:p>
        </w:tc>
        <w:tc>
          <w:tcPr>
            <w:tcW w:w="2058" w:type="dxa"/>
            <w:gridSpan w:val="2"/>
            <w:tcBorders>
              <w:bottom w:val="nil"/>
            </w:tcBorders>
            <w:vAlign w:val="center"/>
          </w:tcPr>
          <w:p w14:paraId="40987A1E">
            <w:pPr>
              <w:spacing w:line="440" w:lineRule="atLeast"/>
              <w:rPr>
                <w:rFonts w:ascii="仿宋_GB2312" w:hAnsi="仿宋_GB2312" w:eastAsia="仿宋_GB2312" w:cs="仿宋_GB2312"/>
                <w:sz w:val="24"/>
              </w:rPr>
            </w:pPr>
          </w:p>
        </w:tc>
      </w:tr>
      <w:tr w14:paraId="2847E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574" w:type="dxa"/>
            <w:gridSpan w:val="3"/>
            <w:tcBorders>
              <w:bottom w:val="nil"/>
            </w:tcBorders>
            <w:vAlign w:val="center"/>
          </w:tcPr>
          <w:p w14:paraId="3AF558DC">
            <w:pPr>
              <w:spacing w:line="440" w:lineRule="atLeast"/>
              <w:rPr>
                <w:rFonts w:ascii="仿宋_GB2312" w:hAnsi="仿宋_GB2312" w:eastAsia="仿宋_GB2312" w:cs="仿宋_GB2312"/>
                <w:sz w:val="24"/>
              </w:rPr>
            </w:pPr>
            <w:r>
              <w:rPr>
                <w:rFonts w:hint="eastAsia" w:ascii="仿宋_GB2312" w:hAnsi="仿宋_GB2312" w:eastAsia="仿宋_GB2312" w:cs="仿宋_GB2312"/>
                <w:sz w:val="24"/>
              </w:rPr>
              <w:t>统一社会信用代码</w:t>
            </w:r>
          </w:p>
        </w:tc>
        <w:tc>
          <w:tcPr>
            <w:tcW w:w="7021" w:type="dxa"/>
            <w:gridSpan w:val="8"/>
            <w:tcBorders>
              <w:bottom w:val="nil"/>
            </w:tcBorders>
            <w:vAlign w:val="center"/>
          </w:tcPr>
          <w:p w14:paraId="18EB781C">
            <w:pPr>
              <w:spacing w:line="440" w:lineRule="atLeast"/>
              <w:rPr>
                <w:rFonts w:ascii="仿宋_GB2312" w:hAnsi="仿宋_GB2312" w:eastAsia="仿宋_GB2312" w:cs="仿宋_GB2312"/>
                <w:sz w:val="24"/>
              </w:rPr>
            </w:pPr>
          </w:p>
        </w:tc>
      </w:tr>
      <w:tr w14:paraId="110FB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574" w:type="dxa"/>
            <w:gridSpan w:val="3"/>
            <w:tcBorders>
              <w:bottom w:val="nil"/>
            </w:tcBorders>
            <w:vAlign w:val="center"/>
          </w:tcPr>
          <w:p w14:paraId="08EE3481">
            <w:pPr>
              <w:spacing w:line="440" w:lineRule="atLeast"/>
              <w:rPr>
                <w:rFonts w:ascii="仿宋_GB2312" w:hAnsi="仿宋_GB2312" w:eastAsia="仿宋_GB2312" w:cs="仿宋_GB2312"/>
                <w:sz w:val="24"/>
              </w:rPr>
            </w:pPr>
            <w:r>
              <w:rPr>
                <w:rFonts w:hint="eastAsia" w:ascii="仿宋_GB2312" w:hAnsi="仿宋_GB2312" w:eastAsia="仿宋_GB2312" w:cs="仿宋_GB2312"/>
                <w:sz w:val="24"/>
              </w:rPr>
              <w:t>资产评估机构员工总数</w:t>
            </w:r>
          </w:p>
        </w:tc>
        <w:tc>
          <w:tcPr>
            <w:tcW w:w="1261" w:type="dxa"/>
            <w:gridSpan w:val="2"/>
            <w:tcBorders>
              <w:bottom w:val="nil"/>
            </w:tcBorders>
            <w:vAlign w:val="center"/>
          </w:tcPr>
          <w:p w14:paraId="522866FD">
            <w:pPr>
              <w:spacing w:line="440" w:lineRule="atLeast"/>
              <w:rPr>
                <w:rFonts w:ascii="仿宋_GB2312" w:hAnsi="仿宋_GB2312" w:eastAsia="仿宋_GB2312" w:cs="仿宋_GB2312"/>
                <w:sz w:val="24"/>
              </w:rPr>
            </w:pPr>
          </w:p>
        </w:tc>
        <w:tc>
          <w:tcPr>
            <w:tcW w:w="2487" w:type="dxa"/>
            <w:gridSpan w:val="2"/>
            <w:tcBorders>
              <w:bottom w:val="nil"/>
            </w:tcBorders>
            <w:vAlign w:val="center"/>
          </w:tcPr>
          <w:p w14:paraId="033838A4">
            <w:pPr>
              <w:spacing w:line="440" w:lineRule="atLeast"/>
              <w:jc w:val="left"/>
              <w:rPr>
                <w:rFonts w:ascii="仿宋_GB2312" w:hAnsi="仿宋_GB2312" w:eastAsia="仿宋_GB2312" w:cs="仿宋_GB2312"/>
                <w:sz w:val="24"/>
              </w:rPr>
            </w:pPr>
            <w:r>
              <w:rPr>
                <w:rFonts w:hint="eastAsia" w:ascii="仿宋_GB2312" w:hAnsi="仿宋_GB2312" w:eastAsia="仿宋_GB2312" w:cs="仿宋_GB2312"/>
                <w:sz w:val="24"/>
              </w:rPr>
              <w:t>资产评估师总数</w:t>
            </w:r>
          </w:p>
        </w:tc>
        <w:tc>
          <w:tcPr>
            <w:tcW w:w="3273" w:type="dxa"/>
            <w:gridSpan w:val="4"/>
            <w:tcBorders>
              <w:bottom w:val="nil"/>
            </w:tcBorders>
            <w:vAlign w:val="center"/>
          </w:tcPr>
          <w:p w14:paraId="22CABDBF">
            <w:pPr>
              <w:spacing w:line="440" w:lineRule="atLeast"/>
              <w:rPr>
                <w:rFonts w:ascii="仿宋_GB2312" w:hAnsi="仿宋_GB2312" w:eastAsia="仿宋_GB2312" w:cs="仿宋_GB2312"/>
                <w:sz w:val="24"/>
              </w:rPr>
            </w:pPr>
          </w:p>
        </w:tc>
      </w:tr>
      <w:tr w14:paraId="0E654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574" w:type="dxa"/>
            <w:gridSpan w:val="3"/>
            <w:tcBorders>
              <w:top w:val="single" w:color="auto" w:sz="4" w:space="0"/>
              <w:left w:val="single" w:color="auto" w:sz="4" w:space="0"/>
              <w:bottom w:val="single" w:color="auto" w:sz="4" w:space="0"/>
              <w:right w:val="single" w:color="auto" w:sz="4" w:space="0"/>
            </w:tcBorders>
            <w:vAlign w:val="center"/>
          </w:tcPr>
          <w:p w14:paraId="4EEBA9EA">
            <w:pPr>
              <w:spacing w:line="440" w:lineRule="atLeast"/>
              <w:jc w:val="center"/>
              <w:rPr>
                <w:rFonts w:ascii="仿宋_GB2312" w:hAnsi="仿宋_GB2312" w:eastAsia="仿宋_GB2312" w:cs="仿宋_GB2312"/>
                <w:sz w:val="24"/>
              </w:rPr>
            </w:pPr>
            <w:r>
              <w:rPr>
                <w:rFonts w:hint="eastAsia" w:ascii="仿宋_GB2312" w:hAnsi="仿宋_GB2312" w:eastAsia="仿宋_GB2312" w:cs="仿宋_GB2312"/>
                <w:sz w:val="24"/>
              </w:rPr>
              <w:t>上一年度</w:t>
            </w:r>
          </w:p>
          <w:p w14:paraId="07DCCCD6">
            <w:pPr>
              <w:spacing w:line="440" w:lineRule="atLeast"/>
              <w:jc w:val="center"/>
              <w:rPr>
                <w:rFonts w:ascii="仿宋_GB2312" w:hAnsi="仿宋_GB2312" w:eastAsia="仿宋_GB2312" w:cs="仿宋_GB2312"/>
                <w:sz w:val="24"/>
              </w:rPr>
            </w:pPr>
            <w:r>
              <w:rPr>
                <w:rFonts w:hint="eastAsia" w:ascii="仿宋_GB2312" w:hAnsi="仿宋_GB2312" w:eastAsia="仿宋_GB2312" w:cs="仿宋_GB2312"/>
                <w:sz w:val="24"/>
              </w:rPr>
              <w:t>资产评估</w:t>
            </w:r>
          </w:p>
          <w:p w14:paraId="21625D21">
            <w:pPr>
              <w:spacing w:line="440" w:lineRule="atLeast"/>
              <w:jc w:val="center"/>
              <w:rPr>
                <w:rFonts w:ascii="仿宋_GB2312" w:hAnsi="仿宋_GB2312" w:eastAsia="仿宋_GB2312" w:cs="仿宋_GB2312"/>
                <w:sz w:val="24"/>
              </w:rPr>
            </w:pPr>
            <w:r>
              <w:rPr>
                <w:rFonts w:hint="eastAsia" w:ascii="仿宋_GB2312" w:hAnsi="仿宋_GB2312" w:eastAsia="仿宋_GB2312" w:cs="仿宋_GB2312"/>
                <w:sz w:val="24"/>
              </w:rPr>
              <w:t>业务收入</w:t>
            </w:r>
          </w:p>
        </w:tc>
        <w:tc>
          <w:tcPr>
            <w:tcW w:w="2519" w:type="dxa"/>
            <w:gridSpan w:val="3"/>
            <w:tcBorders>
              <w:top w:val="single" w:color="auto" w:sz="4" w:space="0"/>
              <w:left w:val="single" w:color="auto" w:sz="4" w:space="0"/>
              <w:bottom w:val="single" w:color="auto" w:sz="4" w:space="0"/>
              <w:right w:val="single" w:color="auto" w:sz="4" w:space="0"/>
            </w:tcBorders>
            <w:vAlign w:val="center"/>
          </w:tcPr>
          <w:p w14:paraId="7F7FBC6B">
            <w:pPr>
              <w:spacing w:line="440" w:lineRule="atLeast"/>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2070" w:type="dxa"/>
            <w:gridSpan w:val="2"/>
            <w:tcBorders>
              <w:top w:val="single" w:color="auto" w:sz="4" w:space="0"/>
              <w:left w:val="single" w:color="auto" w:sz="4" w:space="0"/>
              <w:bottom w:val="single" w:color="auto" w:sz="4" w:space="0"/>
              <w:right w:val="single" w:color="auto" w:sz="4" w:space="0"/>
            </w:tcBorders>
            <w:vAlign w:val="center"/>
          </w:tcPr>
          <w:p w14:paraId="740DBC8A">
            <w:pPr>
              <w:spacing w:line="440" w:lineRule="atLeast"/>
              <w:jc w:val="center"/>
              <w:rPr>
                <w:rFonts w:ascii="仿宋_GB2312" w:hAnsi="仿宋_GB2312" w:eastAsia="仿宋_GB2312" w:cs="仿宋_GB2312"/>
                <w:sz w:val="24"/>
              </w:rPr>
            </w:pPr>
            <w:r>
              <w:rPr>
                <w:rFonts w:hint="eastAsia" w:ascii="仿宋_GB2312" w:hAnsi="仿宋_GB2312" w:eastAsia="仿宋_GB2312" w:cs="仿宋_GB2312"/>
                <w:sz w:val="24"/>
              </w:rPr>
              <w:t>上年末净资产</w:t>
            </w:r>
          </w:p>
        </w:tc>
        <w:tc>
          <w:tcPr>
            <w:tcW w:w="2432" w:type="dxa"/>
            <w:gridSpan w:val="3"/>
            <w:tcBorders>
              <w:top w:val="single" w:color="auto" w:sz="4" w:space="0"/>
              <w:left w:val="single" w:color="auto" w:sz="4" w:space="0"/>
              <w:bottom w:val="single" w:color="auto" w:sz="4" w:space="0"/>
              <w:right w:val="single" w:color="auto" w:sz="4" w:space="0"/>
            </w:tcBorders>
            <w:vAlign w:val="center"/>
          </w:tcPr>
          <w:p w14:paraId="64E2D13E">
            <w:pPr>
              <w:spacing w:line="440" w:lineRule="atLeast"/>
              <w:jc w:val="center"/>
              <w:rPr>
                <w:rFonts w:ascii="仿宋_GB2312" w:hAnsi="仿宋_GB2312" w:eastAsia="仿宋_GB2312" w:cs="仿宋_GB2312"/>
                <w:sz w:val="24"/>
              </w:rPr>
            </w:pPr>
            <w:r>
              <w:rPr>
                <w:rFonts w:hint="eastAsia" w:ascii="仿宋_GB2312" w:hAnsi="仿宋_GB2312" w:eastAsia="仿宋_GB2312" w:cs="仿宋_GB2312"/>
                <w:sz w:val="24"/>
              </w:rPr>
              <w:t>万元</w:t>
            </w:r>
          </w:p>
        </w:tc>
      </w:tr>
      <w:tr w14:paraId="431C7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574" w:type="dxa"/>
            <w:gridSpan w:val="3"/>
            <w:tcBorders>
              <w:top w:val="single" w:color="auto" w:sz="4" w:space="0"/>
              <w:left w:val="single" w:color="auto" w:sz="4" w:space="0"/>
              <w:bottom w:val="single" w:color="auto" w:sz="4" w:space="0"/>
              <w:right w:val="single" w:color="auto" w:sz="4" w:space="0"/>
            </w:tcBorders>
            <w:vAlign w:val="center"/>
          </w:tcPr>
          <w:p w14:paraId="07670776">
            <w:pPr>
              <w:spacing w:line="440" w:lineRule="atLeast"/>
              <w:jc w:val="center"/>
              <w:rPr>
                <w:rFonts w:ascii="仿宋_GB2312" w:hAnsi="仿宋_GB2312" w:eastAsia="仿宋_GB2312" w:cs="仿宋_GB2312"/>
                <w:sz w:val="24"/>
              </w:rPr>
            </w:pPr>
            <w:r>
              <w:rPr>
                <w:rFonts w:hint="eastAsia" w:ascii="仿宋_GB2312" w:hAnsi="仿宋_GB2312" w:eastAsia="仿宋_GB2312" w:cs="仿宋_GB2312"/>
                <w:sz w:val="24"/>
              </w:rPr>
              <w:t>累计职业</w:t>
            </w:r>
          </w:p>
          <w:p w14:paraId="7ED874D2">
            <w:pPr>
              <w:spacing w:line="440" w:lineRule="atLeast"/>
              <w:jc w:val="center"/>
              <w:rPr>
                <w:rFonts w:ascii="仿宋_GB2312" w:hAnsi="仿宋_GB2312" w:eastAsia="仿宋_GB2312" w:cs="仿宋_GB2312"/>
                <w:sz w:val="24"/>
              </w:rPr>
            </w:pPr>
            <w:r>
              <w:rPr>
                <w:rFonts w:hint="eastAsia" w:ascii="仿宋_GB2312" w:hAnsi="仿宋_GB2312" w:eastAsia="仿宋_GB2312" w:cs="仿宋_GB2312"/>
                <w:sz w:val="24"/>
              </w:rPr>
              <w:t>风险基金</w:t>
            </w:r>
          </w:p>
        </w:tc>
        <w:tc>
          <w:tcPr>
            <w:tcW w:w="2519" w:type="dxa"/>
            <w:gridSpan w:val="3"/>
            <w:tcBorders>
              <w:top w:val="single" w:color="auto" w:sz="4" w:space="0"/>
              <w:left w:val="single" w:color="auto" w:sz="4" w:space="0"/>
              <w:bottom w:val="single" w:color="auto" w:sz="4" w:space="0"/>
              <w:right w:val="single" w:color="auto" w:sz="4" w:space="0"/>
            </w:tcBorders>
            <w:vAlign w:val="center"/>
          </w:tcPr>
          <w:p w14:paraId="09C0DFE3">
            <w:pPr>
              <w:spacing w:line="440" w:lineRule="atLeast"/>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2070" w:type="dxa"/>
            <w:gridSpan w:val="2"/>
            <w:tcBorders>
              <w:top w:val="single" w:color="auto" w:sz="4" w:space="0"/>
              <w:left w:val="single" w:color="auto" w:sz="4" w:space="0"/>
              <w:bottom w:val="single" w:color="auto" w:sz="4" w:space="0"/>
              <w:right w:val="single" w:color="auto" w:sz="4" w:space="0"/>
            </w:tcBorders>
            <w:vAlign w:val="center"/>
          </w:tcPr>
          <w:p w14:paraId="5FF760B7">
            <w:pPr>
              <w:spacing w:line="440" w:lineRule="atLeast"/>
              <w:jc w:val="center"/>
              <w:rPr>
                <w:rFonts w:ascii="仿宋_GB2312" w:hAnsi="仿宋_GB2312" w:eastAsia="仿宋_GB2312" w:cs="仿宋_GB2312"/>
                <w:sz w:val="24"/>
              </w:rPr>
            </w:pPr>
            <w:r>
              <w:rPr>
                <w:rFonts w:hint="eastAsia" w:ascii="仿宋_GB2312" w:hAnsi="仿宋_GB2312" w:eastAsia="仿宋_GB2312" w:cs="仿宋_GB2312"/>
                <w:sz w:val="24"/>
              </w:rPr>
              <w:t>保险合同有效期内职业保险累计赔偿限额</w:t>
            </w:r>
          </w:p>
        </w:tc>
        <w:tc>
          <w:tcPr>
            <w:tcW w:w="2432" w:type="dxa"/>
            <w:gridSpan w:val="3"/>
            <w:tcBorders>
              <w:top w:val="single" w:color="auto" w:sz="4" w:space="0"/>
              <w:left w:val="single" w:color="auto" w:sz="4" w:space="0"/>
              <w:bottom w:val="single" w:color="auto" w:sz="4" w:space="0"/>
              <w:right w:val="single" w:color="auto" w:sz="4" w:space="0"/>
            </w:tcBorders>
            <w:vAlign w:val="center"/>
          </w:tcPr>
          <w:p w14:paraId="49463245">
            <w:pPr>
              <w:spacing w:line="440" w:lineRule="atLeast"/>
              <w:jc w:val="center"/>
              <w:rPr>
                <w:rFonts w:ascii="仿宋_GB2312" w:hAnsi="仿宋_GB2312" w:eastAsia="仿宋_GB2312" w:cs="仿宋_GB2312"/>
                <w:sz w:val="24"/>
              </w:rPr>
            </w:pPr>
            <w:r>
              <w:rPr>
                <w:rFonts w:hint="eastAsia" w:ascii="仿宋_GB2312" w:hAnsi="仿宋_GB2312" w:eastAsia="仿宋_GB2312" w:cs="仿宋_GB2312"/>
                <w:sz w:val="24"/>
              </w:rPr>
              <w:t>万元</w:t>
            </w:r>
          </w:p>
        </w:tc>
      </w:tr>
      <w:tr w14:paraId="71550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69" w:type="dxa"/>
            <w:gridSpan w:val="2"/>
            <w:tcBorders>
              <w:top w:val="single" w:color="auto" w:sz="4" w:space="0"/>
              <w:left w:val="single" w:color="auto" w:sz="4" w:space="0"/>
              <w:bottom w:val="single" w:color="auto" w:sz="4" w:space="0"/>
              <w:right w:val="single" w:color="auto" w:sz="4" w:space="0"/>
            </w:tcBorders>
            <w:vAlign w:val="center"/>
          </w:tcPr>
          <w:p w14:paraId="5808F46D">
            <w:pPr>
              <w:spacing w:line="440" w:lineRule="atLeast"/>
              <w:rPr>
                <w:rFonts w:ascii="仿宋_GB2312" w:hAnsi="仿宋_GB2312" w:eastAsia="仿宋_GB2312" w:cs="仿宋_GB2312"/>
                <w:sz w:val="24"/>
              </w:rPr>
            </w:pPr>
            <w:r>
              <w:rPr>
                <w:rFonts w:hint="eastAsia" w:ascii="仿宋_GB2312" w:hAnsi="仿宋_GB2312" w:eastAsia="仿宋_GB2312" w:cs="仿宋_GB2312"/>
                <w:sz w:val="24"/>
              </w:rPr>
              <w:t>分支机构名称</w:t>
            </w:r>
          </w:p>
        </w:tc>
        <w:tc>
          <w:tcPr>
            <w:tcW w:w="705" w:type="dxa"/>
            <w:tcBorders>
              <w:top w:val="single" w:color="auto" w:sz="4" w:space="0"/>
              <w:left w:val="single" w:color="auto" w:sz="4" w:space="0"/>
              <w:bottom w:val="single" w:color="auto" w:sz="4" w:space="0"/>
              <w:right w:val="single" w:color="auto" w:sz="4" w:space="0"/>
            </w:tcBorders>
            <w:vAlign w:val="center"/>
          </w:tcPr>
          <w:p w14:paraId="3EB7B2FC">
            <w:pPr>
              <w:spacing w:line="440" w:lineRule="atLeast"/>
              <w:jc w:val="center"/>
              <w:rPr>
                <w:rFonts w:ascii="仿宋_GB2312" w:hAnsi="仿宋_GB2312" w:eastAsia="仿宋_GB2312" w:cs="仿宋_GB2312"/>
                <w:sz w:val="24"/>
              </w:rPr>
            </w:pPr>
            <w:r>
              <w:rPr>
                <w:rFonts w:hint="eastAsia" w:ascii="仿宋_GB2312" w:hAnsi="仿宋_GB2312" w:eastAsia="仿宋_GB2312" w:cs="仿宋_GB2312"/>
                <w:sz w:val="24"/>
              </w:rPr>
              <w:t>注册地</w:t>
            </w:r>
          </w:p>
        </w:tc>
        <w:tc>
          <w:tcPr>
            <w:tcW w:w="535" w:type="dxa"/>
            <w:tcBorders>
              <w:top w:val="single" w:color="auto" w:sz="4" w:space="0"/>
              <w:left w:val="single" w:color="auto" w:sz="4" w:space="0"/>
              <w:bottom w:val="single" w:color="auto" w:sz="4" w:space="0"/>
              <w:right w:val="single" w:color="auto" w:sz="4" w:space="0"/>
            </w:tcBorders>
            <w:vAlign w:val="center"/>
          </w:tcPr>
          <w:p w14:paraId="22E9D6D0">
            <w:pPr>
              <w:spacing w:line="440" w:lineRule="atLeast"/>
              <w:jc w:val="center"/>
              <w:rPr>
                <w:rFonts w:ascii="仿宋_GB2312" w:hAnsi="仿宋_GB2312" w:eastAsia="仿宋_GB2312" w:cs="仿宋_GB2312"/>
                <w:sz w:val="24"/>
              </w:rPr>
            </w:pPr>
            <w:r>
              <w:rPr>
                <w:rFonts w:hint="eastAsia" w:ascii="仿宋_GB2312" w:hAnsi="仿宋_GB2312" w:eastAsia="仿宋_GB2312" w:cs="仿宋_GB2312"/>
                <w:sz w:val="24"/>
              </w:rPr>
              <w:t>负责人</w:t>
            </w:r>
          </w:p>
        </w:tc>
        <w:tc>
          <w:tcPr>
            <w:tcW w:w="726" w:type="dxa"/>
            <w:tcBorders>
              <w:top w:val="single" w:color="auto" w:sz="4" w:space="0"/>
              <w:left w:val="single" w:color="auto" w:sz="4" w:space="0"/>
              <w:bottom w:val="single" w:color="auto" w:sz="4" w:space="0"/>
              <w:right w:val="single" w:color="auto" w:sz="4" w:space="0"/>
            </w:tcBorders>
            <w:vAlign w:val="center"/>
          </w:tcPr>
          <w:p w14:paraId="2246C792">
            <w:pPr>
              <w:spacing w:line="440" w:lineRule="atLeast"/>
              <w:jc w:val="center"/>
              <w:rPr>
                <w:rFonts w:ascii="仿宋_GB2312" w:hAnsi="仿宋_GB2312" w:eastAsia="仿宋_GB2312" w:cs="仿宋_GB2312"/>
                <w:sz w:val="24"/>
              </w:rPr>
            </w:pPr>
            <w:r>
              <w:rPr>
                <w:rFonts w:hint="eastAsia" w:ascii="仿宋_GB2312" w:hAnsi="仿宋_GB2312" w:eastAsia="仿宋_GB2312" w:cs="仿宋_GB2312"/>
                <w:sz w:val="24"/>
              </w:rPr>
              <w:t>监管联系人</w:t>
            </w:r>
          </w:p>
        </w:tc>
        <w:tc>
          <w:tcPr>
            <w:tcW w:w="1258" w:type="dxa"/>
            <w:tcBorders>
              <w:top w:val="single" w:color="auto" w:sz="4" w:space="0"/>
              <w:left w:val="single" w:color="auto" w:sz="4" w:space="0"/>
              <w:bottom w:val="single" w:color="auto" w:sz="4" w:space="0"/>
              <w:right w:val="single" w:color="auto" w:sz="4" w:space="0"/>
            </w:tcBorders>
            <w:vAlign w:val="center"/>
          </w:tcPr>
          <w:p w14:paraId="66D8F092">
            <w:pPr>
              <w:spacing w:line="440" w:lineRule="atLeast"/>
              <w:jc w:val="center"/>
              <w:rPr>
                <w:rFonts w:ascii="仿宋_GB2312" w:hAnsi="仿宋_GB2312" w:eastAsia="仿宋_GB2312" w:cs="仿宋_GB2312"/>
                <w:sz w:val="24"/>
              </w:rPr>
            </w:pPr>
            <w:r>
              <w:rPr>
                <w:rFonts w:hint="eastAsia" w:ascii="仿宋_GB2312" w:hAnsi="仿宋_GB2312" w:eastAsia="仿宋_GB2312" w:cs="仿宋_GB2312"/>
                <w:sz w:val="24"/>
              </w:rPr>
              <w:t>监管联系人电话</w:t>
            </w:r>
          </w:p>
        </w:tc>
        <w:tc>
          <w:tcPr>
            <w:tcW w:w="4502" w:type="dxa"/>
            <w:gridSpan w:val="5"/>
            <w:tcBorders>
              <w:top w:val="single" w:color="auto" w:sz="4" w:space="0"/>
              <w:left w:val="single" w:color="auto" w:sz="4" w:space="0"/>
              <w:bottom w:val="single" w:color="auto" w:sz="4" w:space="0"/>
              <w:right w:val="single" w:color="auto" w:sz="4" w:space="0"/>
            </w:tcBorders>
            <w:vAlign w:val="center"/>
          </w:tcPr>
          <w:p w14:paraId="7D963358">
            <w:pPr>
              <w:spacing w:line="440" w:lineRule="atLeast"/>
              <w:jc w:val="center"/>
              <w:rPr>
                <w:rFonts w:ascii="仿宋_GB2312" w:hAnsi="仿宋_GB2312" w:eastAsia="仿宋_GB2312" w:cs="仿宋_GB2312"/>
                <w:sz w:val="24"/>
              </w:rPr>
            </w:pPr>
            <w:r>
              <w:rPr>
                <w:rFonts w:hint="eastAsia" w:ascii="仿宋_GB2312" w:hAnsi="仿宋_GB2312" w:eastAsia="仿宋_GB2312" w:cs="仿宋_GB2312"/>
                <w:sz w:val="24"/>
              </w:rPr>
              <w:t>资产评估师总数</w:t>
            </w:r>
          </w:p>
        </w:tc>
      </w:tr>
      <w:tr w14:paraId="2A4DE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1" w:hRule="atLeast"/>
          <w:jc w:val="center"/>
        </w:trPr>
        <w:tc>
          <w:tcPr>
            <w:tcW w:w="869" w:type="dxa"/>
            <w:gridSpan w:val="2"/>
          </w:tcPr>
          <w:p w14:paraId="510E5106">
            <w:pPr>
              <w:spacing w:line="440" w:lineRule="atLeast"/>
              <w:jc w:val="center"/>
              <w:rPr>
                <w:rFonts w:ascii="仿宋_GB2312" w:hAnsi="仿宋_GB2312" w:eastAsia="仿宋_GB2312" w:cs="仿宋_GB2312"/>
                <w:sz w:val="24"/>
              </w:rPr>
            </w:pPr>
          </w:p>
        </w:tc>
        <w:tc>
          <w:tcPr>
            <w:tcW w:w="705" w:type="dxa"/>
          </w:tcPr>
          <w:p w14:paraId="77958488">
            <w:pPr>
              <w:spacing w:line="440" w:lineRule="atLeast"/>
              <w:jc w:val="center"/>
              <w:rPr>
                <w:rFonts w:ascii="仿宋_GB2312" w:hAnsi="仿宋_GB2312" w:eastAsia="仿宋_GB2312" w:cs="仿宋_GB2312"/>
                <w:sz w:val="24"/>
              </w:rPr>
            </w:pPr>
          </w:p>
        </w:tc>
        <w:tc>
          <w:tcPr>
            <w:tcW w:w="535" w:type="dxa"/>
          </w:tcPr>
          <w:p w14:paraId="7C2551FB">
            <w:pPr>
              <w:spacing w:line="440" w:lineRule="atLeast"/>
              <w:jc w:val="center"/>
              <w:rPr>
                <w:rFonts w:ascii="仿宋_GB2312" w:hAnsi="仿宋_GB2312" w:eastAsia="仿宋_GB2312" w:cs="仿宋_GB2312"/>
                <w:sz w:val="24"/>
              </w:rPr>
            </w:pPr>
          </w:p>
        </w:tc>
        <w:tc>
          <w:tcPr>
            <w:tcW w:w="726" w:type="dxa"/>
          </w:tcPr>
          <w:p w14:paraId="364AF719">
            <w:pPr>
              <w:spacing w:line="440" w:lineRule="atLeast"/>
              <w:jc w:val="center"/>
              <w:rPr>
                <w:rFonts w:ascii="仿宋_GB2312" w:hAnsi="仿宋_GB2312" w:eastAsia="仿宋_GB2312" w:cs="仿宋_GB2312"/>
                <w:sz w:val="24"/>
              </w:rPr>
            </w:pPr>
          </w:p>
        </w:tc>
        <w:tc>
          <w:tcPr>
            <w:tcW w:w="1258" w:type="dxa"/>
          </w:tcPr>
          <w:p w14:paraId="146917E1">
            <w:pPr>
              <w:spacing w:line="440" w:lineRule="atLeast"/>
              <w:rPr>
                <w:rFonts w:ascii="仿宋_GB2312" w:hAnsi="仿宋_GB2312" w:eastAsia="仿宋_GB2312" w:cs="仿宋_GB2312"/>
                <w:sz w:val="24"/>
              </w:rPr>
            </w:pPr>
          </w:p>
        </w:tc>
        <w:tc>
          <w:tcPr>
            <w:tcW w:w="4502" w:type="dxa"/>
            <w:gridSpan w:val="5"/>
          </w:tcPr>
          <w:p w14:paraId="461148E8">
            <w:pPr>
              <w:spacing w:line="440" w:lineRule="atLeast"/>
              <w:rPr>
                <w:rFonts w:ascii="仿宋_GB2312" w:hAnsi="仿宋_GB2312" w:eastAsia="仿宋_GB2312" w:cs="仿宋_GB2312"/>
                <w:sz w:val="24"/>
              </w:rPr>
            </w:pPr>
          </w:p>
        </w:tc>
      </w:tr>
      <w:tr w14:paraId="7C32C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1" w:hRule="atLeast"/>
          <w:jc w:val="center"/>
        </w:trPr>
        <w:tc>
          <w:tcPr>
            <w:tcW w:w="869" w:type="dxa"/>
            <w:gridSpan w:val="2"/>
          </w:tcPr>
          <w:p w14:paraId="3ED3868E">
            <w:pPr>
              <w:spacing w:line="440" w:lineRule="atLeast"/>
              <w:jc w:val="center"/>
              <w:rPr>
                <w:rFonts w:ascii="仿宋_GB2312" w:hAnsi="仿宋_GB2312" w:eastAsia="仿宋_GB2312" w:cs="仿宋_GB2312"/>
                <w:sz w:val="24"/>
              </w:rPr>
            </w:pPr>
          </w:p>
        </w:tc>
        <w:tc>
          <w:tcPr>
            <w:tcW w:w="705" w:type="dxa"/>
          </w:tcPr>
          <w:p w14:paraId="4A01BAA9">
            <w:pPr>
              <w:spacing w:line="440" w:lineRule="atLeast"/>
              <w:jc w:val="center"/>
              <w:rPr>
                <w:rFonts w:ascii="仿宋_GB2312" w:hAnsi="仿宋_GB2312" w:eastAsia="仿宋_GB2312" w:cs="仿宋_GB2312"/>
                <w:sz w:val="24"/>
              </w:rPr>
            </w:pPr>
          </w:p>
        </w:tc>
        <w:tc>
          <w:tcPr>
            <w:tcW w:w="535" w:type="dxa"/>
          </w:tcPr>
          <w:p w14:paraId="312CBFC6">
            <w:pPr>
              <w:spacing w:line="440" w:lineRule="atLeast"/>
              <w:jc w:val="center"/>
              <w:rPr>
                <w:rFonts w:ascii="仿宋_GB2312" w:hAnsi="仿宋_GB2312" w:eastAsia="仿宋_GB2312" w:cs="仿宋_GB2312"/>
                <w:sz w:val="24"/>
              </w:rPr>
            </w:pPr>
          </w:p>
        </w:tc>
        <w:tc>
          <w:tcPr>
            <w:tcW w:w="726" w:type="dxa"/>
          </w:tcPr>
          <w:p w14:paraId="26A8B1EA">
            <w:pPr>
              <w:spacing w:line="440" w:lineRule="atLeast"/>
              <w:jc w:val="center"/>
              <w:rPr>
                <w:rFonts w:ascii="仿宋_GB2312" w:hAnsi="仿宋_GB2312" w:eastAsia="仿宋_GB2312" w:cs="仿宋_GB2312"/>
                <w:sz w:val="24"/>
              </w:rPr>
            </w:pPr>
          </w:p>
        </w:tc>
        <w:tc>
          <w:tcPr>
            <w:tcW w:w="1258" w:type="dxa"/>
          </w:tcPr>
          <w:p w14:paraId="688623BC">
            <w:pPr>
              <w:spacing w:line="440" w:lineRule="atLeast"/>
              <w:rPr>
                <w:rFonts w:ascii="仿宋_GB2312" w:hAnsi="仿宋_GB2312" w:eastAsia="仿宋_GB2312" w:cs="仿宋_GB2312"/>
                <w:sz w:val="24"/>
              </w:rPr>
            </w:pPr>
          </w:p>
        </w:tc>
        <w:tc>
          <w:tcPr>
            <w:tcW w:w="4502" w:type="dxa"/>
            <w:gridSpan w:val="5"/>
          </w:tcPr>
          <w:p w14:paraId="3C1B7CF5">
            <w:pPr>
              <w:spacing w:line="440" w:lineRule="atLeast"/>
              <w:rPr>
                <w:rFonts w:ascii="仿宋_GB2312" w:hAnsi="仿宋_GB2312" w:eastAsia="仿宋_GB2312" w:cs="仿宋_GB2312"/>
                <w:sz w:val="24"/>
              </w:rPr>
            </w:pPr>
          </w:p>
        </w:tc>
      </w:tr>
      <w:tr w14:paraId="1200B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1" w:hRule="atLeast"/>
          <w:jc w:val="center"/>
        </w:trPr>
        <w:tc>
          <w:tcPr>
            <w:tcW w:w="4093" w:type="dxa"/>
            <w:gridSpan w:val="6"/>
          </w:tcPr>
          <w:p w14:paraId="6BB2DF63">
            <w:pPr>
              <w:spacing w:line="440" w:lineRule="atLeast"/>
              <w:jc w:val="center"/>
              <w:rPr>
                <w:rFonts w:ascii="仿宋_GB2312" w:hAnsi="仿宋_GB2312" w:eastAsia="仿宋_GB2312" w:cs="仿宋_GB2312"/>
                <w:sz w:val="24"/>
              </w:rPr>
            </w:pPr>
            <w:r>
              <w:rPr>
                <w:rFonts w:hint="eastAsia" w:ascii="仿宋_GB2312" w:hAnsi="仿宋_GB2312" w:eastAsia="仿宋_GB2312" w:cs="仿宋_GB2312"/>
                <w:sz w:val="24"/>
              </w:rPr>
              <w:t>合计</w:t>
            </w:r>
          </w:p>
        </w:tc>
        <w:tc>
          <w:tcPr>
            <w:tcW w:w="4502" w:type="dxa"/>
            <w:gridSpan w:val="5"/>
          </w:tcPr>
          <w:p w14:paraId="1633F185">
            <w:pPr>
              <w:spacing w:line="440" w:lineRule="atLeast"/>
              <w:rPr>
                <w:rFonts w:ascii="仿宋_GB2312" w:hAnsi="仿宋_GB2312" w:eastAsia="仿宋_GB2312" w:cs="仿宋_GB2312"/>
                <w:sz w:val="24"/>
              </w:rPr>
            </w:pPr>
          </w:p>
        </w:tc>
      </w:tr>
      <w:tr w14:paraId="3919F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88" w:hRule="atLeast"/>
          <w:jc w:val="center"/>
        </w:trPr>
        <w:tc>
          <w:tcPr>
            <w:tcW w:w="8595" w:type="dxa"/>
            <w:gridSpan w:val="11"/>
          </w:tcPr>
          <w:p w14:paraId="23738DA8">
            <w:pPr>
              <w:spacing w:line="440" w:lineRule="atLeast"/>
              <w:rPr>
                <w:rFonts w:ascii="仿宋_GB2312" w:hAnsi="仿宋_GB2312" w:eastAsia="仿宋_GB2312" w:cs="仿宋_GB2312"/>
                <w:sz w:val="24"/>
              </w:rPr>
            </w:pPr>
            <w:r>
              <w:rPr>
                <w:rFonts w:hint="eastAsia" w:ascii="仿宋_GB2312" w:hAnsi="仿宋_GB2312" w:eastAsia="仿宋_GB2312" w:cs="仿宋_GB2312"/>
                <w:sz w:val="24"/>
              </w:rPr>
              <w:t>本机构承诺提交的备案材料真实、准确、完整，不存在虚假记载、误导性陈述或重大遗漏。</w:t>
            </w:r>
          </w:p>
          <w:p w14:paraId="06E9901F">
            <w:pPr>
              <w:spacing w:line="440" w:lineRule="atLeast"/>
              <w:rPr>
                <w:rFonts w:ascii="仿宋_GB2312" w:hAnsi="仿宋_GB2312" w:eastAsia="仿宋_GB2312" w:cs="仿宋_GB2312"/>
                <w:sz w:val="24"/>
              </w:rPr>
            </w:pPr>
            <w:r>
              <w:rPr>
                <w:rFonts w:hint="eastAsia" w:ascii="仿宋_GB2312" w:hAnsi="仿宋_GB2312" w:eastAsia="仿宋_GB2312" w:cs="仿宋_GB2312"/>
                <w:sz w:val="24"/>
              </w:rPr>
              <w:t>法定代表人（执行合伙事务的合伙人）资产评估机构</w:t>
            </w:r>
          </w:p>
          <w:p w14:paraId="45CC8ED2">
            <w:pPr>
              <w:spacing w:line="440" w:lineRule="atLeast"/>
              <w:rPr>
                <w:rFonts w:ascii="仿宋_GB2312" w:hAnsi="仿宋_GB2312" w:eastAsia="仿宋_GB2312" w:cs="仿宋_GB2312"/>
                <w:sz w:val="24"/>
              </w:rPr>
            </w:pPr>
            <w:r>
              <w:rPr>
                <w:rFonts w:hint="eastAsia" w:ascii="仿宋_GB2312" w:hAnsi="仿宋_GB2312" w:eastAsia="仿宋_GB2312" w:cs="仿宋_GB2312"/>
                <w:sz w:val="24"/>
              </w:rPr>
              <w:t>（签章）　　（盖章）</w:t>
            </w:r>
          </w:p>
          <w:p w14:paraId="24082D3A">
            <w:pPr>
              <w:spacing w:line="440" w:lineRule="atLeast"/>
              <w:rPr>
                <w:rFonts w:ascii="仿宋_GB2312" w:hAnsi="仿宋_GB2312" w:eastAsia="仿宋_GB2312" w:cs="仿宋_GB2312"/>
                <w:sz w:val="24"/>
              </w:rPr>
            </w:pPr>
            <w:r>
              <w:rPr>
                <w:rFonts w:hint="eastAsia" w:ascii="仿宋_GB2312" w:hAnsi="仿宋_GB2312" w:eastAsia="仿宋_GB2312" w:cs="仿宋_GB2312"/>
                <w:sz w:val="24"/>
              </w:rPr>
              <w:t>年　　　月　　　日</w:t>
            </w:r>
          </w:p>
        </w:tc>
      </w:tr>
    </w:tbl>
    <w:p w14:paraId="68C7491D">
      <w:pPr>
        <w:spacing w:line="440" w:lineRule="atLeast"/>
        <w:rPr>
          <w:rFonts w:ascii="仿宋_GB2312" w:hAnsi="仿宋_GB2312" w:eastAsia="仿宋_GB2312" w:cs="仿宋_GB2312"/>
          <w:bCs/>
          <w:sz w:val="24"/>
        </w:rPr>
      </w:pPr>
      <w:r>
        <w:rPr>
          <w:rFonts w:hint="eastAsia" w:ascii="仿宋_GB2312" w:hAnsi="仿宋_GB2312" w:eastAsia="仿宋_GB2312" w:cs="仿宋_GB2312"/>
          <w:bCs/>
          <w:sz w:val="24"/>
        </w:rPr>
        <w:t>注：1.设立备案机关指资产评估机构设立时备案的有关评估行政管理部门。</w:t>
      </w:r>
    </w:p>
    <w:p w14:paraId="105B876F">
      <w:pPr>
        <w:spacing w:line="440" w:lineRule="atLeast"/>
        <w:rPr>
          <w:rFonts w:ascii="仿宋_GB2312" w:hAnsi="仿宋_GB2312" w:eastAsia="仿宋_GB2312" w:cs="仿宋_GB2312"/>
          <w:bCs/>
          <w:sz w:val="24"/>
        </w:rPr>
      </w:pPr>
      <w:r>
        <w:rPr>
          <w:rFonts w:hint="eastAsia" w:ascii="仿宋_GB2312" w:hAnsi="仿宋_GB2312" w:eastAsia="仿宋_GB2312" w:cs="仿宋_GB2312"/>
          <w:bCs/>
          <w:sz w:val="24"/>
        </w:rPr>
        <w:t>2.资产评估机构员工总数、资产评估师总数、上一年度资产评估业务收入、上年末净资产、累计职业风险基金、保险合同有效期内职业保险累计赔偿限额均包含分公司但不包含子公司。</w:t>
      </w:r>
    </w:p>
    <w:p w14:paraId="094438F4">
      <w:pPr>
        <w:spacing w:line="440" w:lineRule="atLeast"/>
        <w:rPr>
          <w:rFonts w:ascii="仿宋_GB2312" w:hAnsi="仿宋_GB2312" w:eastAsia="仿宋_GB2312" w:cs="仿宋_GB2312"/>
          <w:bCs/>
          <w:sz w:val="24"/>
        </w:rPr>
      </w:pPr>
      <w:r>
        <w:rPr>
          <w:rFonts w:hint="eastAsia" w:ascii="仿宋_GB2312" w:hAnsi="仿宋_GB2312" w:eastAsia="仿宋_GB2312" w:cs="仿宋_GB2312"/>
          <w:bCs/>
          <w:sz w:val="24"/>
        </w:rPr>
        <w:t>3.注册地填写到地级市。</w:t>
      </w:r>
    </w:p>
    <w:p w14:paraId="47C4F055">
      <w:pPr>
        <w:spacing w:line="440" w:lineRule="atLeast"/>
        <w:rPr>
          <w:rFonts w:ascii="仿宋_GB2312" w:hAnsi="仿宋_GB2312" w:eastAsia="仿宋_GB2312" w:cs="仿宋_GB2312"/>
          <w:bCs/>
          <w:sz w:val="24"/>
        </w:rPr>
      </w:pPr>
      <w:r>
        <w:rPr>
          <w:rFonts w:hint="eastAsia" w:ascii="仿宋_GB2312" w:hAnsi="仿宋_GB2312" w:eastAsia="仿宋_GB2312" w:cs="仿宋_GB2312"/>
          <w:bCs/>
          <w:sz w:val="24"/>
        </w:rPr>
        <w:t>4.电话应包含固定电话和手机号码。</w:t>
      </w:r>
    </w:p>
    <w:p w14:paraId="32F9003D">
      <w:pPr>
        <w:spacing w:line="440" w:lineRule="atLeast"/>
        <w:rPr>
          <w:rFonts w:ascii="仿宋_GB2312" w:hAnsi="仿宋_GB2312" w:eastAsia="仿宋_GB2312" w:cs="仿宋_GB2312"/>
          <w:bCs/>
          <w:sz w:val="24"/>
        </w:rPr>
      </w:pPr>
      <w:r>
        <w:rPr>
          <w:rFonts w:hint="eastAsia" w:ascii="仿宋_GB2312" w:hAnsi="仿宋_GB2312" w:eastAsia="仿宋_GB2312" w:cs="仿宋_GB2312"/>
          <w:bCs/>
          <w:sz w:val="24"/>
        </w:rPr>
        <w:t>5.上一年度资产评估业务收入不含增值税。</w:t>
      </w:r>
    </w:p>
    <w:p w14:paraId="03CF486B">
      <w:pPr>
        <w:spacing w:line="440" w:lineRule="atLeast"/>
        <w:rPr>
          <w:rFonts w:ascii="仿宋_GB2312" w:hAnsi="仿宋_GB2312" w:eastAsia="仿宋_GB2312" w:cs="仿宋_GB2312"/>
          <w:bCs/>
          <w:sz w:val="24"/>
        </w:rPr>
      </w:pPr>
      <w:r>
        <w:rPr>
          <w:rFonts w:hint="eastAsia" w:ascii="仿宋_GB2312" w:hAnsi="仿宋_GB2312" w:eastAsia="仿宋_GB2312" w:cs="仿宋_GB2312"/>
          <w:bCs/>
          <w:sz w:val="24"/>
        </w:rPr>
        <w:t>6.分支机构包括分公司、子公司等。</w:t>
      </w:r>
    </w:p>
    <w:p w14:paraId="4841B892">
      <w:pPr>
        <w:spacing w:line="440" w:lineRule="atLeast"/>
        <w:rPr>
          <w:rFonts w:ascii="仿宋_GB2312" w:hAnsi="仿宋_GB2312" w:eastAsia="仿宋_GB2312" w:cs="仿宋_GB2312"/>
          <w:bCs/>
          <w:sz w:val="24"/>
        </w:rPr>
      </w:pPr>
      <w:r>
        <w:rPr>
          <w:rFonts w:hint="eastAsia" w:ascii="仿宋_GB2312" w:hAnsi="仿宋_GB2312" w:eastAsia="仿宋_GB2312" w:cs="仿宋_GB2312"/>
          <w:bCs/>
          <w:sz w:val="24"/>
        </w:rPr>
        <w:t>7.如无特别说明，本附表中，人数、金额按</w:t>
      </w:r>
      <w:r>
        <w:rPr>
          <w:rFonts w:hint="eastAsia" w:ascii="仿宋_GB2312" w:hAnsi="仿宋_GB2312" w:eastAsia="仿宋_GB2312" w:cs="仿宋_GB2312"/>
          <w:sz w:val="24"/>
        </w:rPr>
        <w:t>截至备案申请上月末数字填列。</w:t>
      </w:r>
    </w:p>
    <w:p w14:paraId="4E31D119">
      <w:pPr>
        <w:spacing w:line="440" w:lineRule="atLeast"/>
        <w:rPr>
          <w:rFonts w:ascii="仿宋_GB2312" w:hAnsi="仿宋_GB2312" w:eastAsia="仿宋_GB2312" w:cs="仿宋_GB2312"/>
          <w:sz w:val="32"/>
          <w:szCs w:val="32"/>
        </w:rPr>
        <w:sectPr>
          <w:footerReference r:id="rId9" w:type="default"/>
          <w:pgSz w:w="11906" w:h="16838"/>
          <w:pgMar w:top="1440" w:right="1417" w:bottom="1440" w:left="1417" w:header="851" w:footer="992" w:gutter="0"/>
          <w:cols w:space="0" w:num="1"/>
          <w:docGrid w:type="lines" w:linePitch="319" w:charSpace="0"/>
        </w:sectPr>
      </w:pPr>
      <w:r>
        <w:rPr>
          <w:rFonts w:hint="eastAsia" w:ascii="仿宋_GB2312" w:hAnsi="仿宋_GB2312" w:eastAsia="仿宋_GB2312" w:cs="仿宋_GB2312"/>
          <w:sz w:val="32"/>
          <w:szCs w:val="32"/>
        </w:rPr>
        <w:br w:type="page"/>
      </w:r>
    </w:p>
    <w:p w14:paraId="7FCBFA8A">
      <w:pPr>
        <w:spacing w:line="440" w:lineRule="atLeast"/>
        <w:rPr>
          <w:rFonts w:ascii="宋体" w:hAnsi="宋体" w:eastAsia="宋体" w:cs="宋体"/>
          <w:b/>
          <w:sz w:val="24"/>
        </w:rPr>
      </w:pPr>
      <w:bookmarkStart w:id="47" w:name="_Toc7093"/>
      <w:r>
        <w:rPr>
          <w:rFonts w:hint="eastAsia" w:ascii="宋体" w:hAnsi="宋体" w:eastAsia="宋体" w:cs="宋体"/>
          <w:sz w:val="24"/>
        </w:rPr>
        <w:t>附2：</w:t>
      </w:r>
      <w:bookmarkEnd w:id="47"/>
    </w:p>
    <w:p w14:paraId="1F27CD58">
      <w:pPr>
        <w:spacing w:line="440" w:lineRule="atLeast"/>
        <w:jc w:val="center"/>
        <w:rPr>
          <w:rFonts w:ascii="宋体" w:hAnsi="宋体" w:eastAsia="宋体" w:cs="宋体"/>
          <w:b/>
          <w:sz w:val="32"/>
          <w:szCs w:val="32"/>
        </w:rPr>
      </w:pPr>
      <w:r>
        <w:rPr>
          <w:rFonts w:hint="eastAsia" w:ascii="宋体" w:hAnsi="宋体" w:eastAsia="宋体" w:cs="宋体"/>
          <w:b/>
          <w:sz w:val="32"/>
          <w:szCs w:val="32"/>
        </w:rPr>
        <w:t>资产评估师及股东（合伙人）情况表</w:t>
      </w:r>
    </w:p>
    <w:p w14:paraId="7303247B">
      <w:pPr>
        <w:spacing w:line="440" w:lineRule="atLeast"/>
        <w:rPr>
          <w:rFonts w:ascii="仿宋_GB2312" w:hAnsi="仿宋_GB2312" w:eastAsia="仿宋_GB2312" w:cs="仿宋_GB2312"/>
          <w:sz w:val="24"/>
        </w:rPr>
      </w:pPr>
      <w:r>
        <w:rPr>
          <w:rFonts w:hint="eastAsia" w:ascii="仿宋_GB2312" w:hAnsi="仿宋_GB2312" w:eastAsia="仿宋_GB2312" w:cs="仿宋_GB2312"/>
          <w:bCs/>
          <w:sz w:val="24"/>
        </w:rPr>
        <w:t>资产评估机构名称（盖章）：　　　　　　　　　　　　　　　填报基准日:　　　　　　年　　　月　　　日（</w:t>
      </w:r>
      <w:r>
        <w:rPr>
          <w:rFonts w:hint="eastAsia" w:ascii="仿宋_GB2312" w:hAnsi="仿宋_GB2312" w:eastAsia="仿宋_GB2312" w:cs="仿宋_GB2312"/>
          <w:sz w:val="24"/>
        </w:rPr>
        <w:t>备案申请上月末）</w:t>
      </w:r>
    </w:p>
    <w:p w14:paraId="2063A4B7">
      <w:pPr>
        <w:spacing w:line="440" w:lineRule="atLeast"/>
        <w:rPr>
          <w:rFonts w:ascii="仿宋_GB2312" w:hAnsi="仿宋_GB2312" w:eastAsia="仿宋_GB2312" w:cs="仿宋_GB2312"/>
          <w:bCs/>
          <w:sz w:val="24"/>
        </w:rPr>
      </w:pPr>
      <w:r>
        <w:rPr>
          <w:rFonts w:hint="eastAsia" w:ascii="仿宋_GB2312" w:hAnsi="仿宋_GB2312" w:eastAsia="仿宋_GB2312" w:cs="仿宋_GB2312"/>
          <w:bCs/>
          <w:sz w:val="24"/>
        </w:rPr>
        <w:t>填报日期:　　　　　年　　　月　　　日</w:t>
      </w:r>
    </w:p>
    <w:tbl>
      <w:tblPr>
        <w:tblStyle w:val="24"/>
        <w:tblW w:w="142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2"/>
        <w:gridCol w:w="522"/>
        <w:gridCol w:w="628"/>
        <w:gridCol w:w="731"/>
        <w:gridCol w:w="667"/>
        <w:gridCol w:w="849"/>
        <w:gridCol w:w="849"/>
        <w:gridCol w:w="680"/>
        <w:gridCol w:w="955"/>
        <w:gridCol w:w="1147"/>
        <w:gridCol w:w="621"/>
        <w:gridCol w:w="827"/>
        <w:gridCol w:w="827"/>
        <w:gridCol w:w="827"/>
        <w:gridCol w:w="888"/>
        <w:gridCol w:w="862"/>
        <w:gridCol w:w="862"/>
        <w:gridCol w:w="862"/>
      </w:tblGrid>
      <w:tr w14:paraId="15AB0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2" w:type="dxa"/>
            <w:vAlign w:val="center"/>
          </w:tcPr>
          <w:p w14:paraId="7C2812DA">
            <w:pPr>
              <w:spacing w:line="440" w:lineRule="atLeas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522" w:type="dxa"/>
            <w:vAlign w:val="center"/>
          </w:tcPr>
          <w:p w14:paraId="46C8B247">
            <w:pPr>
              <w:spacing w:line="440" w:lineRule="atLeast"/>
              <w:jc w:val="center"/>
              <w:rPr>
                <w:rFonts w:ascii="仿宋_GB2312" w:hAnsi="仿宋_GB2312" w:eastAsia="仿宋_GB2312" w:cs="仿宋_GB2312"/>
                <w:sz w:val="24"/>
              </w:rPr>
            </w:pPr>
            <w:r>
              <w:rPr>
                <w:rFonts w:hint="eastAsia" w:ascii="仿宋_GB2312" w:hAnsi="仿宋_GB2312" w:eastAsia="仿宋_GB2312" w:cs="仿宋_GB2312"/>
                <w:sz w:val="24"/>
              </w:rPr>
              <w:t>姓　名</w:t>
            </w:r>
          </w:p>
        </w:tc>
        <w:tc>
          <w:tcPr>
            <w:tcW w:w="628" w:type="dxa"/>
            <w:vAlign w:val="center"/>
          </w:tcPr>
          <w:p w14:paraId="7872C2F0">
            <w:pPr>
              <w:spacing w:line="440" w:lineRule="atLeast"/>
              <w:jc w:val="center"/>
              <w:rPr>
                <w:rFonts w:ascii="仿宋_GB2312" w:hAnsi="仿宋_GB2312" w:eastAsia="仿宋_GB2312" w:cs="仿宋_GB2312"/>
                <w:sz w:val="24"/>
              </w:rPr>
            </w:pPr>
            <w:r>
              <w:rPr>
                <w:rFonts w:hint="eastAsia" w:ascii="仿宋_GB2312" w:hAnsi="仿宋_GB2312" w:eastAsia="仿宋_GB2312" w:cs="仿宋_GB2312"/>
                <w:sz w:val="24"/>
              </w:rPr>
              <w:t>证件类型</w:t>
            </w:r>
          </w:p>
        </w:tc>
        <w:tc>
          <w:tcPr>
            <w:tcW w:w="731" w:type="dxa"/>
            <w:vAlign w:val="center"/>
          </w:tcPr>
          <w:p w14:paraId="78791E93">
            <w:pPr>
              <w:spacing w:line="440" w:lineRule="atLeast"/>
              <w:jc w:val="center"/>
              <w:rPr>
                <w:rFonts w:ascii="仿宋_GB2312" w:hAnsi="仿宋_GB2312" w:eastAsia="仿宋_GB2312" w:cs="仿宋_GB2312"/>
                <w:sz w:val="24"/>
              </w:rPr>
            </w:pPr>
            <w:r>
              <w:rPr>
                <w:rFonts w:hint="eastAsia" w:ascii="仿宋_GB2312" w:hAnsi="仿宋_GB2312" w:eastAsia="仿宋_GB2312" w:cs="仿宋_GB2312"/>
                <w:sz w:val="24"/>
              </w:rPr>
              <w:t>证件号码</w:t>
            </w:r>
          </w:p>
        </w:tc>
        <w:tc>
          <w:tcPr>
            <w:tcW w:w="667" w:type="dxa"/>
            <w:vAlign w:val="center"/>
          </w:tcPr>
          <w:p w14:paraId="446D154C">
            <w:pPr>
              <w:spacing w:line="440" w:lineRule="atLeast"/>
              <w:jc w:val="center"/>
              <w:rPr>
                <w:rFonts w:ascii="仿宋_GB2312" w:hAnsi="仿宋_GB2312" w:eastAsia="仿宋_GB2312" w:cs="仿宋_GB2312"/>
                <w:sz w:val="24"/>
              </w:rPr>
            </w:pPr>
            <w:r>
              <w:rPr>
                <w:rFonts w:hint="eastAsia" w:ascii="仿宋_GB2312" w:hAnsi="仿宋_GB2312" w:eastAsia="仿宋_GB2312" w:cs="仿宋_GB2312"/>
                <w:sz w:val="24"/>
              </w:rPr>
              <w:t>所在分支机构</w:t>
            </w:r>
          </w:p>
        </w:tc>
        <w:tc>
          <w:tcPr>
            <w:tcW w:w="849" w:type="dxa"/>
            <w:vAlign w:val="center"/>
          </w:tcPr>
          <w:p w14:paraId="0140B117">
            <w:pPr>
              <w:spacing w:line="440" w:lineRule="atLeast"/>
              <w:jc w:val="center"/>
              <w:rPr>
                <w:rFonts w:ascii="仿宋_GB2312" w:hAnsi="仿宋_GB2312" w:eastAsia="仿宋_GB2312" w:cs="仿宋_GB2312"/>
                <w:sz w:val="24"/>
              </w:rPr>
            </w:pPr>
            <w:r>
              <w:rPr>
                <w:rFonts w:hint="eastAsia" w:ascii="仿宋_GB2312" w:hAnsi="仿宋_GB2312" w:eastAsia="仿宋_GB2312" w:cs="仿宋_GB2312"/>
                <w:sz w:val="24"/>
              </w:rPr>
              <w:t>入职</w:t>
            </w:r>
          </w:p>
          <w:p w14:paraId="57B7D3FB">
            <w:pPr>
              <w:spacing w:line="440" w:lineRule="atLeast"/>
              <w:jc w:val="center"/>
              <w:rPr>
                <w:rFonts w:ascii="仿宋_GB2312" w:hAnsi="仿宋_GB2312" w:eastAsia="仿宋_GB2312" w:cs="仿宋_GB2312"/>
                <w:sz w:val="24"/>
              </w:rPr>
            </w:pPr>
            <w:r>
              <w:rPr>
                <w:rFonts w:hint="eastAsia" w:ascii="仿宋_GB2312" w:hAnsi="仿宋_GB2312" w:eastAsia="仿宋_GB2312" w:cs="仿宋_GB2312"/>
                <w:sz w:val="24"/>
              </w:rPr>
              <w:t>时间</w:t>
            </w:r>
          </w:p>
        </w:tc>
        <w:tc>
          <w:tcPr>
            <w:tcW w:w="849" w:type="dxa"/>
            <w:vAlign w:val="center"/>
          </w:tcPr>
          <w:p w14:paraId="3D00010F">
            <w:pPr>
              <w:spacing w:line="440" w:lineRule="atLeast"/>
              <w:jc w:val="center"/>
              <w:rPr>
                <w:rFonts w:ascii="仿宋_GB2312" w:hAnsi="仿宋_GB2312" w:eastAsia="仿宋_GB2312" w:cs="仿宋_GB2312"/>
                <w:sz w:val="24"/>
              </w:rPr>
            </w:pPr>
            <w:r>
              <w:rPr>
                <w:rFonts w:hint="eastAsia" w:ascii="仿宋_GB2312" w:hAnsi="仿宋_GB2312" w:eastAsia="仿宋_GB2312" w:cs="仿宋_GB2312"/>
                <w:sz w:val="24"/>
              </w:rPr>
              <w:t>资产评估师职业资格证书登记卡登记编号</w:t>
            </w:r>
          </w:p>
        </w:tc>
        <w:tc>
          <w:tcPr>
            <w:tcW w:w="680" w:type="dxa"/>
            <w:vAlign w:val="center"/>
          </w:tcPr>
          <w:p w14:paraId="451308DF">
            <w:pPr>
              <w:spacing w:line="440" w:lineRule="atLeast"/>
              <w:jc w:val="center"/>
              <w:rPr>
                <w:rFonts w:ascii="仿宋_GB2312" w:hAnsi="仿宋_GB2312" w:eastAsia="仿宋_GB2312" w:cs="仿宋_GB2312"/>
                <w:sz w:val="24"/>
              </w:rPr>
            </w:pPr>
            <w:r>
              <w:rPr>
                <w:rFonts w:hint="eastAsia" w:ascii="仿宋_GB2312" w:hAnsi="仿宋_GB2312" w:eastAsia="仿宋_GB2312" w:cs="仿宋_GB2312"/>
                <w:sz w:val="24"/>
              </w:rPr>
              <w:t>初次登记时间</w:t>
            </w:r>
          </w:p>
        </w:tc>
        <w:tc>
          <w:tcPr>
            <w:tcW w:w="955" w:type="dxa"/>
            <w:vAlign w:val="center"/>
          </w:tcPr>
          <w:p w14:paraId="3B4E4271">
            <w:pPr>
              <w:spacing w:line="440" w:lineRule="atLeast"/>
              <w:jc w:val="center"/>
              <w:rPr>
                <w:rFonts w:ascii="仿宋_GB2312" w:hAnsi="仿宋_GB2312" w:eastAsia="仿宋_GB2312" w:cs="仿宋_GB2312"/>
                <w:sz w:val="24"/>
              </w:rPr>
            </w:pPr>
            <w:r>
              <w:rPr>
                <w:rFonts w:hint="eastAsia" w:ascii="仿宋_GB2312" w:hAnsi="仿宋_GB2312" w:eastAsia="仿宋_GB2312" w:cs="仿宋_GB2312"/>
                <w:sz w:val="24"/>
              </w:rPr>
              <w:t>最近连续执业时间</w:t>
            </w:r>
          </w:p>
        </w:tc>
        <w:tc>
          <w:tcPr>
            <w:tcW w:w="1147" w:type="dxa"/>
            <w:vAlign w:val="center"/>
          </w:tcPr>
          <w:p w14:paraId="4D3CDEAD">
            <w:pPr>
              <w:spacing w:line="440" w:lineRule="atLeast"/>
              <w:jc w:val="center"/>
              <w:rPr>
                <w:rFonts w:ascii="仿宋_GB2312" w:hAnsi="仿宋_GB2312" w:eastAsia="仿宋_GB2312" w:cs="仿宋_GB2312"/>
                <w:sz w:val="24"/>
              </w:rPr>
            </w:pPr>
            <w:r>
              <w:rPr>
                <w:rFonts w:hint="eastAsia" w:ascii="仿宋_GB2312" w:hAnsi="仿宋_GB2312" w:eastAsia="仿宋_GB2312" w:cs="仿宋_GB2312"/>
                <w:sz w:val="24"/>
              </w:rPr>
              <w:t>是否从事过证券服务业务</w:t>
            </w:r>
          </w:p>
        </w:tc>
        <w:tc>
          <w:tcPr>
            <w:tcW w:w="621" w:type="dxa"/>
            <w:vAlign w:val="center"/>
          </w:tcPr>
          <w:p w14:paraId="327AB3F3">
            <w:pPr>
              <w:spacing w:line="440" w:lineRule="atLeast"/>
              <w:jc w:val="center"/>
              <w:rPr>
                <w:rFonts w:ascii="仿宋_GB2312" w:hAnsi="仿宋_GB2312" w:eastAsia="仿宋_GB2312" w:cs="仿宋_GB2312"/>
                <w:sz w:val="24"/>
              </w:rPr>
            </w:pPr>
            <w:r>
              <w:rPr>
                <w:rFonts w:hint="eastAsia" w:ascii="仿宋_GB2312" w:hAnsi="仿宋_GB2312" w:eastAsia="仿宋_GB2312" w:cs="仿宋_GB2312"/>
                <w:sz w:val="24"/>
              </w:rPr>
              <w:t>是否担任质量控制人员</w:t>
            </w:r>
          </w:p>
        </w:tc>
        <w:tc>
          <w:tcPr>
            <w:tcW w:w="827" w:type="dxa"/>
            <w:vAlign w:val="center"/>
          </w:tcPr>
          <w:p w14:paraId="66C3A4BE">
            <w:pPr>
              <w:spacing w:line="440" w:lineRule="atLeast"/>
              <w:jc w:val="center"/>
              <w:rPr>
                <w:rFonts w:ascii="仿宋_GB2312" w:hAnsi="仿宋_GB2312" w:eastAsia="仿宋_GB2312" w:cs="仿宋_GB2312"/>
                <w:sz w:val="24"/>
              </w:rPr>
            </w:pPr>
            <w:r>
              <w:rPr>
                <w:rFonts w:hint="eastAsia" w:ascii="仿宋_GB2312" w:hAnsi="仿宋_GB2312" w:eastAsia="仿宋_GB2312" w:cs="仿宋_GB2312"/>
                <w:sz w:val="24"/>
              </w:rPr>
              <w:t>是否为公司高管成　员</w:t>
            </w:r>
          </w:p>
        </w:tc>
        <w:tc>
          <w:tcPr>
            <w:tcW w:w="827" w:type="dxa"/>
            <w:vAlign w:val="center"/>
          </w:tcPr>
          <w:p w14:paraId="66C2178E">
            <w:pPr>
              <w:spacing w:line="440" w:lineRule="atLeast"/>
              <w:jc w:val="center"/>
              <w:rPr>
                <w:rFonts w:ascii="仿宋_GB2312" w:hAnsi="仿宋_GB2312" w:eastAsia="仿宋_GB2312" w:cs="仿宋_GB2312"/>
                <w:sz w:val="24"/>
              </w:rPr>
            </w:pPr>
            <w:r>
              <w:rPr>
                <w:rFonts w:hint="eastAsia" w:ascii="仿宋_GB2312" w:hAnsi="仿宋_GB2312" w:eastAsia="仿宋_GB2312" w:cs="仿宋_GB2312"/>
                <w:sz w:val="24"/>
              </w:rPr>
              <w:t>在公司高管中的分工情况</w:t>
            </w:r>
          </w:p>
        </w:tc>
        <w:tc>
          <w:tcPr>
            <w:tcW w:w="827" w:type="dxa"/>
            <w:vAlign w:val="center"/>
          </w:tcPr>
          <w:p w14:paraId="000764FA">
            <w:pPr>
              <w:spacing w:line="440" w:lineRule="atLeast"/>
              <w:jc w:val="center"/>
              <w:rPr>
                <w:rFonts w:ascii="仿宋_GB2312" w:hAnsi="仿宋_GB2312" w:eastAsia="仿宋_GB2312" w:cs="仿宋_GB2312"/>
                <w:sz w:val="24"/>
              </w:rPr>
            </w:pPr>
            <w:r>
              <w:rPr>
                <w:rFonts w:hint="eastAsia" w:ascii="仿宋_GB2312" w:hAnsi="仿宋_GB2312" w:eastAsia="仿宋_GB2312" w:cs="仿宋_GB2312"/>
                <w:sz w:val="24"/>
              </w:rPr>
              <w:t>是否为股东（合伙人）</w:t>
            </w:r>
          </w:p>
        </w:tc>
        <w:tc>
          <w:tcPr>
            <w:tcW w:w="888" w:type="dxa"/>
            <w:vAlign w:val="center"/>
          </w:tcPr>
          <w:p w14:paraId="4BC74079">
            <w:pPr>
              <w:spacing w:line="440" w:lineRule="atLeast"/>
              <w:jc w:val="center"/>
              <w:rPr>
                <w:rFonts w:ascii="仿宋_GB2312" w:hAnsi="仿宋_GB2312" w:eastAsia="仿宋_GB2312" w:cs="仿宋_GB2312"/>
                <w:sz w:val="24"/>
              </w:rPr>
            </w:pPr>
            <w:r>
              <w:rPr>
                <w:rFonts w:hint="eastAsia" w:ascii="仿宋_GB2312" w:hAnsi="仿宋_GB2312" w:eastAsia="仿宋_GB2312" w:cs="仿宋_GB2312"/>
                <w:sz w:val="24"/>
              </w:rPr>
              <w:t>担任股东（合伙人）的起始时　间</w:t>
            </w:r>
          </w:p>
        </w:tc>
        <w:tc>
          <w:tcPr>
            <w:tcW w:w="862" w:type="dxa"/>
            <w:vAlign w:val="center"/>
          </w:tcPr>
          <w:p w14:paraId="7D748C1E">
            <w:pPr>
              <w:spacing w:line="440" w:lineRule="atLeast"/>
              <w:jc w:val="center"/>
              <w:rPr>
                <w:rFonts w:ascii="仿宋_GB2312" w:hAnsi="仿宋_GB2312" w:eastAsia="仿宋_GB2312" w:cs="仿宋_GB2312"/>
                <w:sz w:val="24"/>
              </w:rPr>
            </w:pPr>
            <w:r>
              <w:rPr>
                <w:rFonts w:hint="eastAsia" w:ascii="仿宋_GB2312" w:hAnsi="仿宋_GB2312" w:eastAsia="仿宋_GB2312" w:cs="仿宋_GB2312"/>
                <w:sz w:val="24"/>
              </w:rPr>
              <w:t>出资性质</w:t>
            </w:r>
          </w:p>
        </w:tc>
        <w:tc>
          <w:tcPr>
            <w:tcW w:w="862" w:type="dxa"/>
            <w:vAlign w:val="center"/>
          </w:tcPr>
          <w:p w14:paraId="56B7311E">
            <w:pPr>
              <w:spacing w:line="440" w:lineRule="atLeast"/>
              <w:jc w:val="center"/>
              <w:rPr>
                <w:rFonts w:ascii="仿宋_GB2312" w:hAnsi="仿宋_GB2312" w:eastAsia="仿宋_GB2312" w:cs="仿宋_GB2312"/>
                <w:sz w:val="24"/>
              </w:rPr>
            </w:pPr>
            <w:r>
              <w:rPr>
                <w:rFonts w:hint="eastAsia" w:ascii="仿宋_GB2312" w:hAnsi="仿宋_GB2312" w:eastAsia="仿宋_GB2312" w:cs="仿宋_GB2312"/>
                <w:sz w:val="24"/>
              </w:rPr>
              <w:t>出资额（万元）</w:t>
            </w:r>
          </w:p>
        </w:tc>
        <w:tc>
          <w:tcPr>
            <w:tcW w:w="862" w:type="dxa"/>
            <w:vAlign w:val="center"/>
          </w:tcPr>
          <w:p w14:paraId="56DA4B15">
            <w:pPr>
              <w:spacing w:line="440" w:lineRule="atLeast"/>
              <w:jc w:val="center"/>
              <w:rPr>
                <w:rFonts w:ascii="仿宋_GB2312" w:hAnsi="仿宋_GB2312" w:eastAsia="仿宋_GB2312" w:cs="仿宋_GB2312"/>
                <w:sz w:val="24"/>
              </w:rPr>
            </w:pPr>
            <w:r>
              <w:rPr>
                <w:rFonts w:hint="eastAsia" w:ascii="仿宋_GB2312" w:hAnsi="仿宋_GB2312" w:eastAsia="仿宋_GB2312" w:cs="仿宋_GB2312"/>
                <w:sz w:val="24"/>
              </w:rPr>
              <w:t>持股比例</w:t>
            </w:r>
          </w:p>
        </w:tc>
      </w:tr>
      <w:tr w14:paraId="130CC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2" w:type="dxa"/>
          </w:tcPr>
          <w:p w14:paraId="17007C60">
            <w:pPr>
              <w:spacing w:line="440" w:lineRule="atLeast"/>
              <w:jc w:val="center"/>
              <w:rPr>
                <w:rFonts w:ascii="仿宋_GB2312" w:hAnsi="仿宋_GB2312" w:eastAsia="仿宋_GB2312" w:cs="仿宋_GB2312"/>
                <w:sz w:val="24"/>
              </w:rPr>
            </w:pPr>
          </w:p>
        </w:tc>
        <w:tc>
          <w:tcPr>
            <w:tcW w:w="522" w:type="dxa"/>
          </w:tcPr>
          <w:p w14:paraId="205AF7B7">
            <w:pPr>
              <w:spacing w:line="440" w:lineRule="atLeast"/>
              <w:jc w:val="center"/>
              <w:rPr>
                <w:rFonts w:ascii="仿宋_GB2312" w:hAnsi="仿宋_GB2312" w:eastAsia="仿宋_GB2312" w:cs="仿宋_GB2312"/>
                <w:sz w:val="24"/>
              </w:rPr>
            </w:pPr>
          </w:p>
        </w:tc>
        <w:tc>
          <w:tcPr>
            <w:tcW w:w="628" w:type="dxa"/>
          </w:tcPr>
          <w:p w14:paraId="06035F6A">
            <w:pPr>
              <w:spacing w:line="440" w:lineRule="atLeast"/>
              <w:jc w:val="center"/>
              <w:rPr>
                <w:rFonts w:ascii="仿宋_GB2312" w:hAnsi="仿宋_GB2312" w:eastAsia="仿宋_GB2312" w:cs="仿宋_GB2312"/>
                <w:sz w:val="24"/>
              </w:rPr>
            </w:pPr>
          </w:p>
        </w:tc>
        <w:tc>
          <w:tcPr>
            <w:tcW w:w="731" w:type="dxa"/>
          </w:tcPr>
          <w:p w14:paraId="7A78B318">
            <w:pPr>
              <w:spacing w:line="440" w:lineRule="atLeast"/>
              <w:jc w:val="center"/>
              <w:rPr>
                <w:rFonts w:ascii="仿宋_GB2312" w:hAnsi="仿宋_GB2312" w:eastAsia="仿宋_GB2312" w:cs="仿宋_GB2312"/>
                <w:sz w:val="24"/>
              </w:rPr>
            </w:pPr>
          </w:p>
        </w:tc>
        <w:tc>
          <w:tcPr>
            <w:tcW w:w="667" w:type="dxa"/>
          </w:tcPr>
          <w:p w14:paraId="5C5C9F4F">
            <w:pPr>
              <w:spacing w:line="440" w:lineRule="atLeast"/>
              <w:jc w:val="center"/>
              <w:rPr>
                <w:rFonts w:ascii="仿宋_GB2312" w:hAnsi="仿宋_GB2312" w:eastAsia="仿宋_GB2312" w:cs="仿宋_GB2312"/>
                <w:sz w:val="24"/>
              </w:rPr>
            </w:pPr>
          </w:p>
        </w:tc>
        <w:tc>
          <w:tcPr>
            <w:tcW w:w="849" w:type="dxa"/>
          </w:tcPr>
          <w:p w14:paraId="38C6D9B4">
            <w:pPr>
              <w:spacing w:line="440" w:lineRule="atLeast"/>
              <w:jc w:val="center"/>
              <w:rPr>
                <w:rFonts w:ascii="仿宋_GB2312" w:hAnsi="仿宋_GB2312" w:eastAsia="仿宋_GB2312" w:cs="仿宋_GB2312"/>
                <w:sz w:val="24"/>
              </w:rPr>
            </w:pPr>
          </w:p>
        </w:tc>
        <w:tc>
          <w:tcPr>
            <w:tcW w:w="849" w:type="dxa"/>
          </w:tcPr>
          <w:p w14:paraId="083D5FEA">
            <w:pPr>
              <w:spacing w:line="440" w:lineRule="atLeast"/>
              <w:jc w:val="center"/>
              <w:rPr>
                <w:rFonts w:ascii="仿宋_GB2312" w:hAnsi="仿宋_GB2312" w:eastAsia="仿宋_GB2312" w:cs="仿宋_GB2312"/>
                <w:sz w:val="24"/>
              </w:rPr>
            </w:pPr>
          </w:p>
        </w:tc>
        <w:tc>
          <w:tcPr>
            <w:tcW w:w="680" w:type="dxa"/>
          </w:tcPr>
          <w:p w14:paraId="0E3C354A">
            <w:pPr>
              <w:spacing w:line="440" w:lineRule="atLeast"/>
              <w:jc w:val="center"/>
              <w:rPr>
                <w:rFonts w:ascii="仿宋_GB2312" w:hAnsi="仿宋_GB2312" w:eastAsia="仿宋_GB2312" w:cs="仿宋_GB2312"/>
                <w:sz w:val="24"/>
              </w:rPr>
            </w:pPr>
          </w:p>
        </w:tc>
        <w:tc>
          <w:tcPr>
            <w:tcW w:w="955" w:type="dxa"/>
          </w:tcPr>
          <w:p w14:paraId="01474946">
            <w:pPr>
              <w:spacing w:line="440" w:lineRule="atLeast"/>
              <w:jc w:val="center"/>
              <w:rPr>
                <w:rFonts w:ascii="仿宋_GB2312" w:hAnsi="仿宋_GB2312" w:eastAsia="仿宋_GB2312" w:cs="仿宋_GB2312"/>
                <w:sz w:val="24"/>
              </w:rPr>
            </w:pPr>
          </w:p>
        </w:tc>
        <w:tc>
          <w:tcPr>
            <w:tcW w:w="1147" w:type="dxa"/>
          </w:tcPr>
          <w:p w14:paraId="1D6E4BFD">
            <w:pPr>
              <w:spacing w:line="440" w:lineRule="atLeast"/>
              <w:jc w:val="center"/>
              <w:rPr>
                <w:rFonts w:ascii="仿宋_GB2312" w:hAnsi="仿宋_GB2312" w:eastAsia="仿宋_GB2312" w:cs="仿宋_GB2312"/>
                <w:sz w:val="24"/>
              </w:rPr>
            </w:pPr>
          </w:p>
        </w:tc>
        <w:tc>
          <w:tcPr>
            <w:tcW w:w="621" w:type="dxa"/>
          </w:tcPr>
          <w:p w14:paraId="2905111A">
            <w:pPr>
              <w:spacing w:line="440" w:lineRule="atLeast"/>
              <w:jc w:val="center"/>
              <w:rPr>
                <w:rFonts w:ascii="仿宋_GB2312" w:hAnsi="仿宋_GB2312" w:eastAsia="仿宋_GB2312" w:cs="仿宋_GB2312"/>
                <w:sz w:val="24"/>
              </w:rPr>
            </w:pPr>
          </w:p>
        </w:tc>
        <w:tc>
          <w:tcPr>
            <w:tcW w:w="827" w:type="dxa"/>
          </w:tcPr>
          <w:p w14:paraId="1675EC6D">
            <w:pPr>
              <w:spacing w:line="440" w:lineRule="atLeast"/>
              <w:jc w:val="center"/>
              <w:rPr>
                <w:rFonts w:ascii="仿宋_GB2312" w:hAnsi="仿宋_GB2312" w:eastAsia="仿宋_GB2312" w:cs="仿宋_GB2312"/>
                <w:sz w:val="24"/>
              </w:rPr>
            </w:pPr>
          </w:p>
        </w:tc>
        <w:tc>
          <w:tcPr>
            <w:tcW w:w="827" w:type="dxa"/>
          </w:tcPr>
          <w:p w14:paraId="0F40F61A">
            <w:pPr>
              <w:spacing w:line="440" w:lineRule="atLeast"/>
              <w:jc w:val="center"/>
              <w:rPr>
                <w:rFonts w:ascii="仿宋_GB2312" w:hAnsi="仿宋_GB2312" w:eastAsia="仿宋_GB2312" w:cs="仿宋_GB2312"/>
                <w:sz w:val="24"/>
              </w:rPr>
            </w:pPr>
          </w:p>
        </w:tc>
        <w:tc>
          <w:tcPr>
            <w:tcW w:w="827" w:type="dxa"/>
          </w:tcPr>
          <w:p w14:paraId="2F4125C8">
            <w:pPr>
              <w:spacing w:line="440" w:lineRule="atLeast"/>
              <w:jc w:val="center"/>
              <w:rPr>
                <w:rFonts w:ascii="仿宋_GB2312" w:hAnsi="仿宋_GB2312" w:eastAsia="仿宋_GB2312" w:cs="仿宋_GB2312"/>
                <w:sz w:val="24"/>
              </w:rPr>
            </w:pPr>
          </w:p>
        </w:tc>
        <w:tc>
          <w:tcPr>
            <w:tcW w:w="888" w:type="dxa"/>
          </w:tcPr>
          <w:p w14:paraId="62E5AEAD">
            <w:pPr>
              <w:spacing w:line="440" w:lineRule="atLeast"/>
              <w:jc w:val="center"/>
              <w:rPr>
                <w:rFonts w:ascii="仿宋_GB2312" w:hAnsi="仿宋_GB2312" w:eastAsia="仿宋_GB2312" w:cs="仿宋_GB2312"/>
                <w:sz w:val="24"/>
              </w:rPr>
            </w:pPr>
          </w:p>
        </w:tc>
        <w:tc>
          <w:tcPr>
            <w:tcW w:w="862" w:type="dxa"/>
          </w:tcPr>
          <w:p w14:paraId="5EB0EF76">
            <w:pPr>
              <w:spacing w:line="440" w:lineRule="atLeast"/>
              <w:jc w:val="center"/>
              <w:rPr>
                <w:rFonts w:ascii="仿宋_GB2312" w:hAnsi="仿宋_GB2312" w:eastAsia="仿宋_GB2312" w:cs="仿宋_GB2312"/>
                <w:sz w:val="24"/>
              </w:rPr>
            </w:pPr>
          </w:p>
        </w:tc>
        <w:tc>
          <w:tcPr>
            <w:tcW w:w="862" w:type="dxa"/>
          </w:tcPr>
          <w:p w14:paraId="1645147C">
            <w:pPr>
              <w:spacing w:line="440" w:lineRule="atLeast"/>
              <w:jc w:val="center"/>
              <w:rPr>
                <w:rFonts w:ascii="仿宋_GB2312" w:hAnsi="仿宋_GB2312" w:eastAsia="仿宋_GB2312" w:cs="仿宋_GB2312"/>
                <w:sz w:val="24"/>
              </w:rPr>
            </w:pPr>
          </w:p>
        </w:tc>
        <w:tc>
          <w:tcPr>
            <w:tcW w:w="862" w:type="dxa"/>
          </w:tcPr>
          <w:p w14:paraId="5691623E">
            <w:pPr>
              <w:spacing w:line="440" w:lineRule="atLeast"/>
              <w:jc w:val="center"/>
              <w:rPr>
                <w:rFonts w:ascii="仿宋_GB2312" w:hAnsi="仿宋_GB2312" w:eastAsia="仿宋_GB2312" w:cs="仿宋_GB2312"/>
                <w:sz w:val="24"/>
              </w:rPr>
            </w:pPr>
          </w:p>
        </w:tc>
      </w:tr>
      <w:tr w14:paraId="039B3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2" w:type="dxa"/>
          </w:tcPr>
          <w:p w14:paraId="400B5DE5">
            <w:pPr>
              <w:spacing w:line="440" w:lineRule="atLeast"/>
              <w:jc w:val="center"/>
              <w:rPr>
                <w:rFonts w:ascii="仿宋_GB2312" w:hAnsi="仿宋_GB2312" w:eastAsia="仿宋_GB2312" w:cs="仿宋_GB2312"/>
                <w:sz w:val="24"/>
              </w:rPr>
            </w:pPr>
          </w:p>
        </w:tc>
        <w:tc>
          <w:tcPr>
            <w:tcW w:w="522" w:type="dxa"/>
          </w:tcPr>
          <w:p w14:paraId="1B9A21B3">
            <w:pPr>
              <w:spacing w:line="440" w:lineRule="atLeast"/>
              <w:jc w:val="center"/>
              <w:rPr>
                <w:rFonts w:ascii="仿宋_GB2312" w:hAnsi="仿宋_GB2312" w:eastAsia="仿宋_GB2312" w:cs="仿宋_GB2312"/>
                <w:sz w:val="24"/>
              </w:rPr>
            </w:pPr>
          </w:p>
        </w:tc>
        <w:tc>
          <w:tcPr>
            <w:tcW w:w="628" w:type="dxa"/>
          </w:tcPr>
          <w:p w14:paraId="5F5BEDF0">
            <w:pPr>
              <w:spacing w:line="440" w:lineRule="atLeast"/>
              <w:jc w:val="center"/>
              <w:rPr>
                <w:rFonts w:ascii="仿宋_GB2312" w:hAnsi="仿宋_GB2312" w:eastAsia="仿宋_GB2312" w:cs="仿宋_GB2312"/>
                <w:sz w:val="24"/>
              </w:rPr>
            </w:pPr>
          </w:p>
        </w:tc>
        <w:tc>
          <w:tcPr>
            <w:tcW w:w="731" w:type="dxa"/>
          </w:tcPr>
          <w:p w14:paraId="432E8799">
            <w:pPr>
              <w:spacing w:line="440" w:lineRule="atLeast"/>
              <w:jc w:val="center"/>
              <w:rPr>
                <w:rFonts w:ascii="仿宋_GB2312" w:hAnsi="仿宋_GB2312" w:eastAsia="仿宋_GB2312" w:cs="仿宋_GB2312"/>
                <w:sz w:val="24"/>
              </w:rPr>
            </w:pPr>
          </w:p>
        </w:tc>
        <w:tc>
          <w:tcPr>
            <w:tcW w:w="667" w:type="dxa"/>
          </w:tcPr>
          <w:p w14:paraId="651F229F">
            <w:pPr>
              <w:spacing w:line="440" w:lineRule="atLeast"/>
              <w:jc w:val="center"/>
              <w:rPr>
                <w:rFonts w:ascii="仿宋_GB2312" w:hAnsi="仿宋_GB2312" w:eastAsia="仿宋_GB2312" w:cs="仿宋_GB2312"/>
                <w:sz w:val="24"/>
              </w:rPr>
            </w:pPr>
          </w:p>
        </w:tc>
        <w:tc>
          <w:tcPr>
            <w:tcW w:w="849" w:type="dxa"/>
          </w:tcPr>
          <w:p w14:paraId="1D033CDB">
            <w:pPr>
              <w:spacing w:line="440" w:lineRule="atLeast"/>
              <w:jc w:val="center"/>
              <w:rPr>
                <w:rFonts w:ascii="仿宋_GB2312" w:hAnsi="仿宋_GB2312" w:eastAsia="仿宋_GB2312" w:cs="仿宋_GB2312"/>
                <w:sz w:val="24"/>
              </w:rPr>
            </w:pPr>
          </w:p>
        </w:tc>
        <w:tc>
          <w:tcPr>
            <w:tcW w:w="849" w:type="dxa"/>
          </w:tcPr>
          <w:p w14:paraId="10717E07">
            <w:pPr>
              <w:spacing w:line="440" w:lineRule="atLeast"/>
              <w:jc w:val="center"/>
              <w:rPr>
                <w:rFonts w:ascii="仿宋_GB2312" w:hAnsi="仿宋_GB2312" w:eastAsia="仿宋_GB2312" w:cs="仿宋_GB2312"/>
                <w:sz w:val="24"/>
              </w:rPr>
            </w:pPr>
          </w:p>
        </w:tc>
        <w:tc>
          <w:tcPr>
            <w:tcW w:w="680" w:type="dxa"/>
          </w:tcPr>
          <w:p w14:paraId="6B57BFA1">
            <w:pPr>
              <w:spacing w:line="440" w:lineRule="atLeast"/>
              <w:jc w:val="center"/>
              <w:rPr>
                <w:rFonts w:ascii="仿宋_GB2312" w:hAnsi="仿宋_GB2312" w:eastAsia="仿宋_GB2312" w:cs="仿宋_GB2312"/>
                <w:sz w:val="24"/>
              </w:rPr>
            </w:pPr>
          </w:p>
        </w:tc>
        <w:tc>
          <w:tcPr>
            <w:tcW w:w="955" w:type="dxa"/>
          </w:tcPr>
          <w:p w14:paraId="45FA2424">
            <w:pPr>
              <w:spacing w:line="440" w:lineRule="atLeast"/>
              <w:jc w:val="center"/>
              <w:rPr>
                <w:rFonts w:ascii="仿宋_GB2312" w:hAnsi="仿宋_GB2312" w:eastAsia="仿宋_GB2312" w:cs="仿宋_GB2312"/>
                <w:sz w:val="24"/>
              </w:rPr>
            </w:pPr>
          </w:p>
        </w:tc>
        <w:tc>
          <w:tcPr>
            <w:tcW w:w="1147" w:type="dxa"/>
          </w:tcPr>
          <w:p w14:paraId="1D9608D1">
            <w:pPr>
              <w:spacing w:line="440" w:lineRule="atLeast"/>
              <w:jc w:val="center"/>
              <w:rPr>
                <w:rFonts w:ascii="仿宋_GB2312" w:hAnsi="仿宋_GB2312" w:eastAsia="仿宋_GB2312" w:cs="仿宋_GB2312"/>
                <w:sz w:val="24"/>
              </w:rPr>
            </w:pPr>
          </w:p>
        </w:tc>
        <w:tc>
          <w:tcPr>
            <w:tcW w:w="621" w:type="dxa"/>
          </w:tcPr>
          <w:p w14:paraId="1D611931">
            <w:pPr>
              <w:spacing w:line="440" w:lineRule="atLeast"/>
              <w:jc w:val="center"/>
              <w:rPr>
                <w:rFonts w:ascii="仿宋_GB2312" w:hAnsi="仿宋_GB2312" w:eastAsia="仿宋_GB2312" w:cs="仿宋_GB2312"/>
                <w:sz w:val="24"/>
              </w:rPr>
            </w:pPr>
          </w:p>
        </w:tc>
        <w:tc>
          <w:tcPr>
            <w:tcW w:w="827" w:type="dxa"/>
          </w:tcPr>
          <w:p w14:paraId="319361D9">
            <w:pPr>
              <w:spacing w:line="440" w:lineRule="atLeast"/>
              <w:jc w:val="center"/>
              <w:rPr>
                <w:rFonts w:ascii="仿宋_GB2312" w:hAnsi="仿宋_GB2312" w:eastAsia="仿宋_GB2312" w:cs="仿宋_GB2312"/>
                <w:sz w:val="24"/>
              </w:rPr>
            </w:pPr>
          </w:p>
        </w:tc>
        <w:tc>
          <w:tcPr>
            <w:tcW w:w="827" w:type="dxa"/>
          </w:tcPr>
          <w:p w14:paraId="4D0B21D3">
            <w:pPr>
              <w:spacing w:line="440" w:lineRule="atLeast"/>
              <w:jc w:val="center"/>
              <w:rPr>
                <w:rFonts w:ascii="仿宋_GB2312" w:hAnsi="仿宋_GB2312" w:eastAsia="仿宋_GB2312" w:cs="仿宋_GB2312"/>
                <w:sz w:val="24"/>
              </w:rPr>
            </w:pPr>
          </w:p>
        </w:tc>
        <w:tc>
          <w:tcPr>
            <w:tcW w:w="827" w:type="dxa"/>
          </w:tcPr>
          <w:p w14:paraId="7A7F6ADF">
            <w:pPr>
              <w:spacing w:line="440" w:lineRule="atLeast"/>
              <w:jc w:val="center"/>
              <w:rPr>
                <w:rFonts w:ascii="仿宋_GB2312" w:hAnsi="仿宋_GB2312" w:eastAsia="仿宋_GB2312" w:cs="仿宋_GB2312"/>
                <w:sz w:val="24"/>
              </w:rPr>
            </w:pPr>
          </w:p>
        </w:tc>
        <w:tc>
          <w:tcPr>
            <w:tcW w:w="888" w:type="dxa"/>
          </w:tcPr>
          <w:p w14:paraId="3F0FFE2B">
            <w:pPr>
              <w:spacing w:line="440" w:lineRule="atLeast"/>
              <w:jc w:val="center"/>
              <w:rPr>
                <w:rFonts w:ascii="仿宋_GB2312" w:hAnsi="仿宋_GB2312" w:eastAsia="仿宋_GB2312" w:cs="仿宋_GB2312"/>
                <w:sz w:val="24"/>
              </w:rPr>
            </w:pPr>
          </w:p>
        </w:tc>
        <w:tc>
          <w:tcPr>
            <w:tcW w:w="862" w:type="dxa"/>
          </w:tcPr>
          <w:p w14:paraId="22E3A109">
            <w:pPr>
              <w:spacing w:line="440" w:lineRule="atLeast"/>
              <w:jc w:val="center"/>
              <w:rPr>
                <w:rFonts w:ascii="仿宋_GB2312" w:hAnsi="仿宋_GB2312" w:eastAsia="仿宋_GB2312" w:cs="仿宋_GB2312"/>
                <w:sz w:val="24"/>
              </w:rPr>
            </w:pPr>
          </w:p>
        </w:tc>
        <w:tc>
          <w:tcPr>
            <w:tcW w:w="862" w:type="dxa"/>
          </w:tcPr>
          <w:p w14:paraId="1797537C">
            <w:pPr>
              <w:spacing w:line="440" w:lineRule="atLeast"/>
              <w:jc w:val="center"/>
              <w:rPr>
                <w:rFonts w:ascii="仿宋_GB2312" w:hAnsi="仿宋_GB2312" w:eastAsia="仿宋_GB2312" w:cs="仿宋_GB2312"/>
                <w:sz w:val="24"/>
              </w:rPr>
            </w:pPr>
          </w:p>
        </w:tc>
        <w:tc>
          <w:tcPr>
            <w:tcW w:w="862" w:type="dxa"/>
          </w:tcPr>
          <w:p w14:paraId="4336BE02">
            <w:pPr>
              <w:spacing w:line="440" w:lineRule="atLeast"/>
              <w:jc w:val="center"/>
              <w:rPr>
                <w:rFonts w:ascii="仿宋_GB2312" w:hAnsi="仿宋_GB2312" w:eastAsia="仿宋_GB2312" w:cs="仿宋_GB2312"/>
                <w:sz w:val="24"/>
              </w:rPr>
            </w:pPr>
          </w:p>
        </w:tc>
      </w:tr>
      <w:tr w14:paraId="668C1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02" w:type="dxa"/>
          </w:tcPr>
          <w:p w14:paraId="4E636495">
            <w:pPr>
              <w:spacing w:line="440" w:lineRule="atLeast"/>
              <w:jc w:val="center"/>
              <w:rPr>
                <w:rFonts w:ascii="仿宋_GB2312" w:hAnsi="仿宋_GB2312" w:eastAsia="仿宋_GB2312" w:cs="仿宋_GB2312"/>
                <w:sz w:val="24"/>
              </w:rPr>
            </w:pPr>
          </w:p>
        </w:tc>
        <w:tc>
          <w:tcPr>
            <w:tcW w:w="522" w:type="dxa"/>
          </w:tcPr>
          <w:p w14:paraId="6E3107EF">
            <w:pPr>
              <w:spacing w:line="440" w:lineRule="atLeast"/>
              <w:jc w:val="center"/>
              <w:rPr>
                <w:rFonts w:ascii="仿宋_GB2312" w:hAnsi="仿宋_GB2312" w:eastAsia="仿宋_GB2312" w:cs="仿宋_GB2312"/>
                <w:sz w:val="24"/>
              </w:rPr>
            </w:pPr>
          </w:p>
        </w:tc>
        <w:tc>
          <w:tcPr>
            <w:tcW w:w="628" w:type="dxa"/>
          </w:tcPr>
          <w:p w14:paraId="1EA882AE">
            <w:pPr>
              <w:spacing w:line="440" w:lineRule="atLeast"/>
              <w:jc w:val="center"/>
              <w:rPr>
                <w:rFonts w:ascii="仿宋_GB2312" w:hAnsi="仿宋_GB2312" w:eastAsia="仿宋_GB2312" w:cs="仿宋_GB2312"/>
                <w:sz w:val="24"/>
              </w:rPr>
            </w:pPr>
          </w:p>
        </w:tc>
        <w:tc>
          <w:tcPr>
            <w:tcW w:w="731" w:type="dxa"/>
          </w:tcPr>
          <w:p w14:paraId="788E987B">
            <w:pPr>
              <w:spacing w:line="440" w:lineRule="atLeast"/>
              <w:jc w:val="center"/>
              <w:rPr>
                <w:rFonts w:ascii="仿宋_GB2312" w:hAnsi="仿宋_GB2312" w:eastAsia="仿宋_GB2312" w:cs="仿宋_GB2312"/>
                <w:sz w:val="24"/>
              </w:rPr>
            </w:pPr>
          </w:p>
        </w:tc>
        <w:tc>
          <w:tcPr>
            <w:tcW w:w="667" w:type="dxa"/>
          </w:tcPr>
          <w:p w14:paraId="3875BD5C">
            <w:pPr>
              <w:spacing w:line="440" w:lineRule="atLeast"/>
              <w:jc w:val="center"/>
              <w:rPr>
                <w:rFonts w:ascii="仿宋_GB2312" w:hAnsi="仿宋_GB2312" w:eastAsia="仿宋_GB2312" w:cs="仿宋_GB2312"/>
                <w:sz w:val="24"/>
              </w:rPr>
            </w:pPr>
          </w:p>
        </w:tc>
        <w:tc>
          <w:tcPr>
            <w:tcW w:w="849" w:type="dxa"/>
          </w:tcPr>
          <w:p w14:paraId="761E5E75">
            <w:pPr>
              <w:spacing w:line="440" w:lineRule="atLeast"/>
              <w:jc w:val="center"/>
              <w:rPr>
                <w:rFonts w:ascii="仿宋_GB2312" w:hAnsi="仿宋_GB2312" w:eastAsia="仿宋_GB2312" w:cs="仿宋_GB2312"/>
                <w:sz w:val="24"/>
              </w:rPr>
            </w:pPr>
          </w:p>
        </w:tc>
        <w:tc>
          <w:tcPr>
            <w:tcW w:w="849" w:type="dxa"/>
          </w:tcPr>
          <w:p w14:paraId="6197DA4E">
            <w:pPr>
              <w:spacing w:line="440" w:lineRule="atLeast"/>
              <w:jc w:val="center"/>
              <w:rPr>
                <w:rFonts w:ascii="仿宋_GB2312" w:hAnsi="仿宋_GB2312" w:eastAsia="仿宋_GB2312" w:cs="仿宋_GB2312"/>
                <w:sz w:val="24"/>
              </w:rPr>
            </w:pPr>
          </w:p>
        </w:tc>
        <w:tc>
          <w:tcPr>
            <w:tcW w:w="680" w:type="dxa"/>
          </w:tcPr>
          <w:p w14:paraId="1E56BBB9">
            <w:pPr>
              <w:spacing w:line="440" w:lineRule="atLeast"/>
              <w:jc w:val="center"/>
              <w:rPr>
                <w:rFonts w:ascii="仿宋_GB2312" w:hAnsi="仿宋_GB2312" w:eastAsia="仿宋_GB2312" w:cs="仿宋_GB2312"/>
                <w:sz w:val="24"/>
              </w:rPr>
            </w:pPr>
          </w:p>
        </w:tc>
        <w:tc>
          <w:tcPr>
            <w:tcW w:w="955" w:type="dxa"/>
          </w:tcPr>
          <w:p w14:paraId="025CCBBA">
            <w:pPr>
              <w:spacing w:line="440" w:lineRule="atLeast"/>
              <w:jc w:val="center"/>
              <w:rPr>
                <w:rFonts w:ascii="仿宋_GB2312" w:hAnsi="仿宋_GB2312" w:eastAsia="仿宋_GB2312" w:cs="仿宋_GB2312"/>
                <w:sz w:val="24"/>
              </w:rPr>
            </w:pPr>
          </w:p>
        </w:tc>
        <w:tc>
          <w:tcPr>
            <w:tcW w:w="1147" w:type="dxa"/>
          </w:tcPr>
          <w:p w14:paraId="5E9D0E63">
            <w:pPr>
              <w:spacing w:line="440" w:lineRule="atLeast"/>
              <w:jc w:val="center"/>
              <w:rPr>
                <w:rFonts w:ascii="仿宋_GB2312" w:hAnsi="仿宋_GB2312" w:eastAsia="仿宋_GB2312" w:cs="仿宋_GB2312"/>
                <w:sz w:val="24"/>
              </w:rPr>
            </w:pPr>
          </w:p>
        </w:tc>
        <w:tc>
          <w:tcPr>
            <w:tcW w:w="621" w:type="dxa"/>
          </w:tcPr>
          <w:p w14:paraId="1B7DBC9D">
            <w:pPr>
              <w:spacing w:line="440" w:lineRule="atLeast"/>
              <w:jc w:val="center"/>
              <w:rPr>
                <w:rFonts w:ascii="仿宋_GB2312" w:hAnsi="仿宋_GB2312" w:eastAsia="仿宋_GB2312" w:cs="仿宋_GB2312"/>
                <w:sz w:val="24"/>
              </w:rPr>
            </w:pPr>
          </w:p>
        </w:tc>
        <w:tc>
          <w:tcPr>
            <w:tcW w:w="827" w:type="dxa"/>
          </w:tcPr>
          <w:p w14:paraId="01DD61EB">
            <w:pPr>
              <w:spacing w:line="440" w:lineRule="atLeast"/>
              <w:jc w:val="center"/>
              <w:rPr>
                <w:rFonts w:ascii="仿宋_GB2312" w:hAnsi="仿宋_GB2312" w:eastAsia="仿宋_GB2312" w:cs="仿宋_GB2312"/>
                <w:sz w:val="24"/>
              </w:rPr>
            </w:pPr>
          </w:p>
        </w:tc>
        <w:tc>
          <w:tcPr>
            <w:tcW w:w="827" w:type="dxa"/>
          </w:tcPr>
          <w:p w14:paraId="5CF49083">
            <w:pPr>
              <w:spacing w:line="440" w:lineRule="atLeast"/>
              <w:jc w:val="center"/>
              <w:rPr>
                <w:rFonts w:ascii="仿宋_GB2312" w:hAnsi="仿宋_GB2312" w:eastAsia="仿宋_GB2312" w:cs="仿宋_GB2312"/>
                <w:sz w:val="24"/>
              </w:rPr>
            </w:pPr>
          </w:p>
        </w:tc>
        <w:tc>
          <w:tcPr>
            <w:tcW w:w="827" w:type="dxa"/>
          </w:tcPr>
          <w:p w14:paraId="021D77C3">
            <w:pPr>
              <w:spacing w:line="440" w:lineRule="atLeast"/>
              <w:jc w:val="center"/>
              <w:rPr>
                <w:rFonts w:ascii="仿宋_GB2312" w:hAnsi="仿宋_GB2312" w:eastAsia="仿宋_GB2312" w:cs="仿宋_GB2312"/>
                <w:sz w:val="24"/>
              </w:rPr>
            </w:pPr>
          </w:p>
        </w:tc>
        <w:tc>
          <w:tcPr>
            <w:tcW w:w="888" w:type="dxa"/>
          </w:tcPr>
          <w:p w14:paraId="30A93641">
            <w:pPr>
              <w:spacing w:line="440" w:lineRule="atLeast"/>
              <w:jc w:val="center"/>
              <w:rPr>
                <w:rFonts w:ascii="仿宋_GB2312" w:hAnsi="仿宋_GB2312" w:eastAsia="仿宋_GB2312" w:cs="仿宋_GB2312"/>
                <w:sz w:val="24"/>
              </w:rPr>
            </w:pPr>
          </w:p>
        </w:tc>
        <w:tc>
          <w:tcPr>
            <w:tcW w:w="862" w:type="dxa"/>
          </w:tcPr>
          <w:p w14:paraId="46004F6F">
            <w:pPr>
              <w:spacing w:line="440" w:lineRule="atLeast"/>
              <w:jc w:val="center"/>
              <w:rPr>
                <w:rFonts w:ascii="仿宋_GB2312" w:hAnsi="仿宋_GB2312" w:eastAsia="仿宋_GB2312" w:cs="仿宋_GB2312"/>
                <w:sz w:val="24"/>
              </w:rPr>
            </w:pPr>
          </w:p>
        </w:tc>
        <w:tc>
          <w:tcPr>
            <w:tcW w:w="862" w:type="dxa"/>
          </w:tcPr>
          <w:p w14:paraId="57B53241">
            <w:pPr>
              <w:spacing w:line="440" w:lineRule="atLeast"/>
              <w:jc w:val="center"/>
              <w:rPr>
                <w:rFonts w:ascii="仿宋_GB2312" w:hAnsi="仿宋_GB2312" w:eastAsia="仿宋_GB2312" w:cs="仿宋_GB2312"/>
                <w:sz w:val="24"/>
              </w:rPr>
            </w:pPr>
          </w:p>
        </w:tc>
        <w:tc>
          <w:tcPr>
            <w:tcW w:w="862" w:type="dxa"/>
          </w:tcPr>
          <w:p w14:paraId="23779DD9">
            <w:pPr>
              <w:spacing w:line="440" w:lineRule="atLeast"/>
              <w:jc w:val="center"/>
              <w:rPr>
                <w:rFonts w:ascii="仿宋_GB2312" w:hAnsi="仿宋_GB2312" w:eastAsia="仿宋_GB2312" w:cs="仿宋_GB2312"/>
                <w:sz w:val="24"/>
              </w:rPr>
            </w:pPr>
          </w:p>
        </w:tc>
      </w:tr>
      <w:tr w14:paraId="7DA84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2" w:type="dxa"/>
          </w:tcPr>
          <w:p w14:paraId="2E492ECA">
            <w:pPr>
              <w:spacing w:line="440" w:lineRule="atLeast"/>
              <w:jc w:val="center"/>
              <w:rPr>
                <w:rFonts w:ascii="仿宋_GB2312" w:hAnsi="仿宋_GB2312" w:eastAsia="仿宋_GB2312" w:cs="仿宋_GB2312"/>
                <w:sz w:val="24"/>
              </w:rPr>
            </w:pPr>
          </w:p>
        </w:tc>
        <w:tc>
          <w:tcPr>
            <w:tcW w:w="522" w:type="dxa"/>
          </w:tcPr>
          <w:p w14:paraId="0DB83813">
            <w:pPr>
              <w:spacing w:line="440" w:lineRule="atLeast"/>
              <w:jc w:val="center"/>
              <w:rPr>
                <w:rFonts w:ascii="仿宋_GB2312" w:hAnsi="仿宋_GB2312" w:eastAsia="仿宋_GB2312" w:cs="仿宋_GB2312"/>
                <w:sz w:val="24"/>
              </w:rPr>
            </w:pPr>
          </w:p>
        </w:tc>
        <w:tc>
          <w:tcPr>
            <w:tcW w:w="628" w:type="dxa"/>
          </w:tcPr>
          <w:p w14:paraId="391150CA">
            <w:pPr>
              <w:spacing w:line="440" w:lineRule="atLeast"/>
              <w:jc w:val="center"/>
              <w:rPr>
                <w:rFonts w:ascii="仿宋_GB2312" w:hAnsi="仿宋_GB2312" w:eastAsia="仿宋_GB2312" w:cs="仿宋_GB2312"/>
                <w:sz w:val="24"/>
              </w:rPr>
            </w:pPr>
          </w:p>
        </w:tc>
        <w:tc>
          <w:tcPr>
            <w:tcW w:w="731" w:type="dxa"/>
          </w:tcPr>
          <w:p w14:paraId="0D99F0D2">
            <w:pPr>
              <w:spacing w:line="440" w:lineRule="atLeast"/>
              <w:jc w:val="center"/>
              <w:rPr>
                <w:rFonts w:ascii="仿宋_GB2312" w:hAnsi="仿宋_GB2312" w:eastAsia="仿宋_GB2312" w:cs="仿宋_GB2312"/>
                <w:sz w:val="24"/>
              </w:rPr>
            </w:pPr>
          </w:p>
        </w:tc>
        <w:tc>
          <w:tcPr>
            <w:tcW w:w="667" w:type="dxa"/>
          </w:tcPr>
          <w:p w14:paraId="5FA2E3F5">
            <w:pPr>
              <w:spacing w:line="440" w:lineRule="atLeast"/>
              <w:jc w:val="center"/>
              <w:rPr>
                <w:rFonts w:ascii="仿宋_GB2312" w:hAnsi="仿宋_GB2312" w:eastAsia="仿宋_GB2312" w:cs="仿宋_GB2312"/>
                <w:sz w:val="24"/>
              </w:rPr>
            </w:pPr>
          </w:p>
        </w:tc>
        <w:tc>
          <w:tcPr>
            <w:tcW w:w="849" w:type="dxa"/>
          </w:tcPr>
          <w:p w14:paraId="25D8EB2B">
            <w:pPr>
              <w:spacing w:line="440" w:lineRule="atLeast"/>
              <w:jc w:val="center"/>
              <w:rPr>
                <w:rFonts w:ascii="仿宋_GB2312" w:hAnsi="仿宋_GB2312" w:eastAsia="仿宋_GB2312" w:cs="仿宋_GB2312"/>
                <w:sz w:val="24"/>
              </w:rPr>
            </w:pPr>
          </w:p>
        </w:tc>
        <w:tc>
          <w:tcPr>
            <w:tcW w:w="849" w:type="dxa"/>
          </w:tcPr>
          <w:p w14:paraId="2D99B4DF">
            <w:pPr>
              <w:spacing w:line="440" w:lineRule="atLeast"/>
              <w:jc w:val="center"/>
              <w:rPr>
                <w:rFonts w:ascii="仿宋_GB2312" w:hAnsi="仿宋_GB2312" w:eastAsia="仿宋_GB2312" w:cs="仿宋_GB2312"/>
                <w:sz w:val="24"/>
              </w:rPr>
            </w:pPr>
          </w:p>
        </w:tc>
        <w:tc>
          <w:tcPr>
            <w:tcW w:w="680" w:type="dxa"/>
          </w:tcPr>
          <w:p w14:paraId="67243CDC">
            <w:pPr>
              <w:spacing w:line="440" w:lineRule="atLeast"/>
              <w:jc w:val="center"/>
              <w:rPr>
                <w:rFonts w:ascii="仿宋_GB2312" w:hAnsi="仿宋_GB2312" w:eastAsia="仿宋_GB2312" w:cs="仿宋_GB2312"/>
                <w:sz w:val="24"/>
              </w:rPr>
            </w:pPr>
          </w:p>
        </w:tc>
        <w:tc>
          <w:tcPr>
            <w:tcW w:w="955" w:type="dxa"/>
          </w:tcPr>
          <w:p w14:paraId="34659BA3">
            <w:pPr>
              <w:spacing w:line="440" w:lineRule="atLeast"/>
              <w:jc w:val="center"/>
              <w:rPr>
                <w:rFonts w:ascii="仿宋_GB2312" w:hAnsi="仿宋_GB2312" w:eastAsia="仿宋_GB2312" w:cs="仿宋_GB2312"/>
                <w:sz w:val="24"/>
              </w:rPr>
            </w:pPr>
          </w:p>
        </w:tc>
        <w:tc>
          <w:tcPr>
            <w:tcW w:w="1147" w:type="dxa"/>
          </w:tcPr>
          <w:p w14:paraId="030E3AC0">
            <w:pPr>
              <w:spacing w:line="440" w:lineRule="atLeast"/>
              <w:jc w:val="center"/>
              <w:rPr>
                <w:rFonts w:ascii="仿宋_GB2312" w:hAnsi="仿宋_GB2312" w:eastAsia="仿宋_GB2312" w:cs="仿宋_GB2312"/>
                <w:sz w:val="24"/>
              </w:rPr>
            </w:pPr>
          </w:p>
        </w:tc>
        <w:tc>
          <w:tcPr>
            <w:tcW w:w="621" w:type="dxa"/>
          </w:tcPr>
          <w:p w14:paraId="52626768">
            <w:pPr>
              <w:spacing w:line="440" w:lineRule="atLeast"/>
              <w:jc w:val="center"/>
              <w:rPr>
                <w:rFonts w:ascii="仿宋_GB2312" w:hAnsi="仿宋_GB2312" w:eastAsia="仿宋_GB2312" w:cs="仿宋_GB2312"/>
                <w:sz w:val="24"/>
              </w:rPr>
            </w:pPr>
          </w:p>
        </w:tc>
        <w:tc>
          <w:tcPr>
            <w:tcW w:w="827" w:type="dxa"/>
          </w:tcPr>
          <w:p w14:paraId="64BE4CEF">
            <w:pPr>
              <w:spacing w:line="440" w:lineRule="atLeast"/>
              <w:jc w:val="center"/>
              <w:rPr>
                <w:rFonts w:ascii="仿宋_GB2312" w:hAnsi="仿宋_GB2312" w:eastAsia="仿宋_GB2312" w:cs="仿宋_GB2312"/>
                <w:sz w:val="24"/>
              </w:rPr>
            </w:pPr>
          </w:p>
        </w:tc>
        <w:tc>
          <w:tcPr>
            <w:tcW w:w="827" w:type="dxa"/>
          </w:tcPr>
          <w:p w14:paraId="24F5A817">
            <w:pPr>
              <w:spacing w:line="440" w:lineRule="atLeast"/>
              <w:jc w:val="center"/>
              <w:rPr>
                <w:rFonts w:ascii="仿宋_GB2312" w:hAnsi="仿宋_GB2312" w:eastAsia="仿宋_GB2312" w:cs="仿宋_GB2312"/>
                <w:sz w:val="24"/>
              </w:rPr>
            </w:pPr>
          </w:p>
        </w:tc>
        <w:tc>
          <w:tcPr>
            <w:tcW w:w="827" w:type="dxa"/>
          </w:tcPr>
          <w:p w14:paraId="256E7FE4">
            <w:pPr>
              <w:spacing w:line="440" w:lineRule="atLeast"/>
              <w:jc w:val="center"/>
              <w:rPr>
                <w:rFonts w:ascii="仿宋_GB2312" w:hAnsi="仿宋_GB2312" w:eastAsia="仿宋_GB2312" w:cs="仿宋_GB2312"/>
                <w:sz w:val="24"/>
              </w:rPr>
            </w:pPr>
          </w:p>
        </w:tc>
        <w:tc>
          <w:tcPr>
            <w:tcW w:w="888" w:type="dxa"/>
          </w:tcPr>
          <w:p w14:paraId="66BB24CB">
            <w:pPr>
              <w:spacing w:line="440" w:lineRule="atLeast"/>
              <w:jc w:val="center"/>
              <w:rPr>
                <w:rFonts w:ascii="仿宋_GB2312" w:hAnsi="仿宋_GB2312" w:eastAsia="仿宋_GB2312" w:cs="仿宋_GB2312"/>
                <w:sz w:val="24"/>
              </w:rPr>
            </w:pPr>
          </w:p>
        </w:tc>
        <w:tc>
          <w:tcPr>
            <w:tcW w:w="862" w:type="dxa"/>
          </w:tcPr>
          <w:p w14:paraId="6AB5BF3F">
            <w:pPr>
              <w:spacing w:line="440" w:lineRule="atLeast"/>
              <w:jc w:val="center"/>
              <w:rPr>
                <w:rFonts w:ascii="仿宋_GB2312" w:hAnsi="仿宋_GB2312" w:eastAsia="仿宋_GB2312" w:cs="仿宋_GB2312"/>
                <w:sz w:val="24"/>
              </w:rPr>
            </w:pPr>
          </w:p>
        </w:tc>
        <w:tc>
          <w:tcPr>
            <w:tcW w:w="862" w:type="dxa"/>
          </w:tcPr>
          <w:p w14:paraId="041DFAB8">
            <w:pPr>
              <w:spacing w:line="440" w:lineRule="atLeast"/>
              <w:jc w:val="center"/>
              <w:rPr>
                <w:rFonts w:ascii="仿宋_GB2312" w:hAnsi="仿宋_GB2312" w:eastAsia="仿宋_GB2312" w:cs="仿宋_GB2312"/>
                <w:sz w:val="24"/>
              </w:rPr>
            </w:pPr>
          </w:p>
        </w:tc>
        <w:tc>
          <w:tcPr>
            <w:tcW w:w="862" w:type="dxa"/>
          </w:tcPr>
          <w:p w14:paraId="0DB100D2">
            <w:pPr>
              <w:spacing w:line="440" w:lineRule="atLeast"/>
              <w:jc w:val="center"/>
              <w:rPr>
                <w:rFonts w:ascii="仿宋_GB2312" w:hAnsi="仿宋_GB2312" w:eastAsia="仿宋_GB2312" w:cs="仿宋_GB2312"/>
                <w:sz w:val="24"/>
              </w:rPr>
            </w:pPr>
          </w:p>
        </w:tc>
      </w:tr>
      <w:tr w14:paraId="565FB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2" w:type="dxa"/>
          </w:tcPr>
          <w:p w14:paraId="44782436">
            <w:pPr>
              <w:spacing w:line="440" w:lineRule="atLeast"/>
              <w:jc w:val="center"/>
              <w:rPr>
                <w:rFonts w:ascii="仿宋_GB2312" w:hAnsi="仿宋_GB2312" w:eastAsia="仿宋_GB2312" w:cs="仿宋_GB2312"/>
                <w:sz w:val="24"/>
              </w:rPr>
            </w:pPr>
          </w:p>
        </w:tc>
        <w:tc>
          <w:tcPr>
            <w:tcW w:w="522" w:type="dxa"/>
          </w:tcPr>
          <w:p w14:paraId="2162A72B">
            <w:pPr>
              <w:spacing w:line="440" w:lineRule="atLeast"/>
              <w:jc w:val="center"/>
              <w:rPr>
                <w:rFonts w:ascii="仿宋_GB2312" w:hAnsi="仿宋_GB2312" w:eastAsia="仿宋_GB2312" w:cs="仿宋_GB2312"/>
                <w:sz w:val="24"/>
              </w:rPr>
            </w:pPr>
          </w:p>
        </w:tc>
        <w:tc>
          <w:tcPr>
            <w:tcW w:w="628" w:type="dxa"/>
          </w:tcPr>
          <w:p w14:paraId="7B14344E">
            <w:pPr>
              <w:spacing w:line="440" w:lineRule="atLeast"/>
              <w:jc w:val="center"/>
              <w:rPr>
                <w:rFonts w:ascii="仿宋_GB2312" w:hAnsi="仿宋_GB2312" w:eastAsia="仿宋_GB2312" w:cs="仿宋_GB2312"/>
                <w:sz w:val="24"/>
              </w:rPr>
            </w:pPr>
          </w:p>
        </w:tc>
        <w:tc>
          <w:tcPr>
            <w:tcW w:w="731" w:type="dxa"/>
          </w:tcPr>
          <w:p w14:paraId="5B1DD22C">
            <w:pPr>
              <w:spacing w:line="440" w:lineRule="atLeast"/>
              <w:jc w:val="center"/>
              <w:rPr>
                <w:rFonts w:ascii="仿宋_GB2312" w:hAnsi="仿宋_GB2312" w:eastAsia="仿宋_GB2312" w:cs="仿宋_GB2312"/>
                <w:sz w:val="24"/>
              </w:rPr>
            </w:pPr>
          </w:p>
        </w:tc>
        <w:tc>
          <w:tcPr>
            <w:tcW w:w="667" w:type="dxa"/>
          </w:tcPr>
          <w:p w14:paraId="2A48DB7A">
            <w:pPr>
              <w:spacing w:line="440" w:lineRule="atLeast"/>
              <w:jc w:val="center"/>
              <w:rPr>
                <w:rFonts w:ascii="仿宋_GB2312" w:hAnsi="仿宋_GB2312" w:eastAsia="仿宋_GB2312" w:cs="仿宋_GB2312"/>
                <w:sz w:val="24"/>
              </w:rPr>
            </w:pPr>
          </w:p>
        </w:tc>
        <w:tc>
          <w:tcPr>
            <w:tcW w:w="849" w:type="dxa"/>
          </w:tcPr>
          <w:p w14:paraId="025ED066">
            <w:pPr>
              <w:spacing w:line="440" w:lineRule="atLeast"/>
              <w:jc w:val="center"/>
              <w:rPr>
                <w:rFonts w:ascii="仿宋_GB2312" w:hAnsi="仿宋_GB2312" w:eastAsia="仿宋_GB2312" w:cs="仿宋_GB2312"/>
                <w:sz w:val="24"/>
              </w:rPr>
            </w:pPr>
          </w:p>
        </w:tc>
        <w:tc>
          <w:tcPr>
            <w:tcW w:w="849" w:type="dxa"/>
          </w:tcPr>
          <w:p w14:paraId="1288BE0E">
            <w:pPr>
              <w:spacing w:line="440" w:lineRule="atLeast"/>
              <w:jc w:val="center"/>
              <w:rPr>
                <w:rFonts w:ascii="仿宋_GB2312" w:hAnsi="仿宋_GB2312" w:eastAsia="仿宋_GB2312" w:cs="仿宋_GB2312"/>
                <w:sz w:val="24"/>
              </w:rPr>
            </w:pPr>
          </w:p>
        </w:tc>
        <w:tc>
          <w:tcPr>
            <w:tcW w:w="680" w:type="dxa"/>
          </w:tcPr>
          <w:p w14:paraId="5F53B505">
            <w:pPr>
              <w:spacing w:line="440" w:lineRule="atLeast"/>
              <w:jc w:val="center"/>
              <w:rPr>
                <w:rFonts w:ascii="仿宋_GB2312" w:hAnsi="仿宋_GB2312" w:eastAsia="仿宋_GB2312" w:cs="仿宋_GB2312"/>
                <w:sz w:val="24"/>
              </w:rPr>
            </w:pPr>
          </w:p>
        </w:tc>
        <w:tc>
          <w:tcPr>
            <w:tcW w:w="955" w:type="dxa"/>
          </w:tcPr>
          <w:p w14:paraId="163EC654">
            <w:pPr>
              <w:spacing w:line="440" w:lineRule="atLeast"/>
              <w:jc w:val="center"/>
              <w:rPr>
                <w:rFonts w:ascii="仿宋_GB2312" w:hAnsi="仿宋_GB2312" w:eastAsia="仿宋_GB2312" w:cs="仿宋_GB2312"/>
                <w:sz w:val="24"/>
              </w:rPr>
            </w:pPr>
          </w:p>
        </w:tc>
        <w:tc>
          <w:tcPr>
            <w:tcW w:w="1147" w:type="dxa"/>
          </w:tcPr>
          <w:p w14:paraId="2B56EDEB">
            <w:pPr>
              <w:spacing w:line="440" w:lineRule="atLeast"/>
              <w:jc w:val="center"/>
              <w:rPr>
                <w:rFonts w:ascii="仿宋_GB2312" w:hAnsi="仿宋_GB2312" w:eastAsia="仿宋_GB2312" w:cs="仿宋_GB2312"/>
                <w:sz w:val="24"/>
              </w:rPr>
            </w:pPr>
          </w:p>
        </w:tc>
        <w:tc>
          <w:tcPr>
            <w:tcW w:w="621" w:type="dxa"/>
          </w:tcPr>
          <w:p w14:paraId="34BDE3F8">
            <w:pPr>
              <w:spacing w:line="440" w:lineRule="atLeast"/>
              <w:jc w:val="center"/>
              <w:rPr>
                <w:rFonts w:ascii="仿宋_GB2312" w:hAnsi="仿宋_GB2312" w:eastAsia="仿宋_GB2312" w:cs="仿宋_GB2312"/>
                <w:sz w:val="24"/>
              </w:rPr>
            </w:pPr>
          </w:p>
        </w:tc>
        <w:tc>
          <w:tcPr>
            <w:tcW w:w="827" w:type="dxa"/>
          </w:tcPr>
          <w:p w14:paraId="491A8634">
            <w:pPr>
              <w:spacing w:line="440" w:lineRule="atLeast"/>
              <w:jc w:val="center"/>
              <w:rPr>
                <w:rFonts w:ascii="仿宋_GB2312" w:hAnsi="仿宋_GB2312" w:eastAsia="仿宋_GB2312" w:cs="仿宋_GB2312"/>
                <w:sz w:val="24"/>
              </w:rPr>
            </w:pPr>
          </w:p>
        </w:tc>
        <w:tc>
          <w:tcPr>
            <w:tcW w:w="827" w:type="dxa"/>
          </w:tcPr>
          <w:p w14:paraId="13492666">
            <w:pPr>
              <w:spacing w:line="440" w:lineRule="atLeast"/>
              <w:jc w:val="center"/>
              <w:rPr>
                <w:rFonts w:ascii="仿宋_GB2312" w:hAnsi="仿宋_GB2312" w:eastAsia="仿宋_GB2312" w:cs="仿宋_GB2312"/>
                <w:sz w:val="24"/>
              </w:rPr>
            </w:pPr>
          </w:p>
        </w:tc>
        <w:tc>
          <w:tcPr>
            <w:tcW w:w="827" w:type="dxa"/>
          </w:tcPr>
          <w:p w14:paraId="7A4B0A4E">
            <w:pPr>
              <w:spacing w:line="440" w:lineRule="atLeast"/>
              <w:jc w:val="center"/>
              <w:rPr>
                <w:rFonts w:ascii="仿宋_GB2312" w:hAnsi="仿宋_GB2312" w:eastAsia="仿宋_GB2312" w:cs="仿宋_GB2312"/>
                <w:sz w:val="24"/>
              </w:rPr>
            </w:pPr>
          </w:p>
        </w:tc>
        <w:tc>
          <w:tcPr>
            <w:tcW w:w="888" w:type="dxa"/>
          </w:tcPr>
          <w:p w14:paraId="40ED2204">
            <w:pPr>
              <w:spacing w:line="440" w:lineRule="atLeast"/>
              <w:jc w:val="center"/>
              <w:rPr>
                <w:rFonts w:ascii="仿宋_GB2312" w:hAnsi="仿宋_GB2312" w:eastAsia="仿宋_GB2312" w:cs="仿宋_GB2312"/>
                <w:sz w:val="24"/>
              </w:rPr>
            </w:pPr>
          </w:p>
        </w:tc>
        <w:tc>
          <w:tcPr>
            <w:tcW w:w="862" w:type="dxa"/>
          </w:tcPr>
          <w:p w14:paraId="1E11E4B8">
            <w:pPr>
              <w:spacing w:line="440" w:lineRule="atLeast"/>
              <w:jc w:val="center"/>
              <w:rPr>
                <w:rFonts w:ascii="仿宋_GB2312" w:hAnsi="仿宋_GB2312" w:eastAsia="仿宋_GB2312" w:cs="仿宋_GB2312"/>
                <w:sz w:val="24"/>
              </w:rPr>
            </w:pPr>
          </w:p>
        </w:tc>
        <w:tc>
          <w:tcPr>
            <w:tcW w:w="862" w:type="dxa"/>
          </w:tcPr>
          <w:p w14:paraId="2E1FCB03">
            <w:pPr>
              <w:spacing w:line="440" w:lineRule="atLeast"/>
              <w:jc w:val="center"/>
              <w:rPr>
                <w:rFonts w:ascii="仿宋_GB2312" w:hAnsi="仿宋_GB2312" w:eastAsia="仿宋_GB2312" w:cs="仿宋_GB2312"/>
                <w:sz w:val="24"/>
              </w:rPr>
            </w:pPr>
          </w:p>
        </w:tc>
        <w:tc>
          <w:tcPr>
            <w:tcW w:w="862" w:type="dxa"/>
          </w:tcPr>
          <w:p w14:paraId="4575C7B9">
            <w:pPr>
              <w:spacing w:line="440" w:lineRule="atLeast"/>
              <w:jc w:val="center"/>
              <w:rPr>
                <w:rFonts w:ascii="仿宋_GB2312" w:hAnsi="仿宋_GB2312" w:eastAsia="仿宋_GB2312" w:cs="仿宋_GB2312"/>
                <w:sz w:val="24"/>
              </w:rPr>
            </w:pPr>
          </w:p>
        </w:tc>
      </w:tr>
    </w:tbl>
    <w:p w14:paraId="3A9B3A23">
      <w:pPr>
        <w:spacing w:line="440" w:lineRule="atLeast"/>
        <w:rPr>
          <w:rFonts w:ascii="仿宋_GB2312" w:hAnsi="仿宋_GB2312" w:eastAsia="仿宋_GB2312" w:cs="仿宋_GB2312"/>
          <w:sz w:val="24"/>
        </w:rPr>
      </w:pPr>
      <w:r>
        <w:rPr>
          <w:rFonts w:hint="eastAsia" w:ascii="仿宋_GB2312" w:hAnsi="仿宋_GB2312" w:eastAsia="仿宋_GB2312" w:cs="仿宋_GB2312"/>
          <w:sz w:val="24"/>
        </w:rPr>
        <w:t>注：1.该表中资产评估师包含分公司但不包含子公司，资产评估师按照登记时间的先后顺序填写。</w:t>
      </w:r>
    </w:p>
    <w:p w14:paraId="4EBE6F30">
      <w:pPr>
        <w:spacing w:line="440" w:lineRule="atLeast"/>
        <w:rPr>
          <w:rFonts w:ascii="仿宋_GB2312" w:hAnsi="仿宋_GB2312" w:eastAsia="仿宋_GB2312" w:cs="仿宋_GB2312"/>
          <w:sz w:val="24"/>
        </w:rPr>
      </w:pPr>
      <w:r>
        <w:rPr>
          <w:rFonts w:hint="eastAsia" w:ascii="仿宋_GB2312" w:hAnsi="仿宋_GB2312" w:eastAsia="仿宋_GB2312" w:cs="仿宋_GB2312"/>
          <w:sz w:val="24"/>
        </w:rPr>
        <w:t>2.所在分支机构填写资产评估机构或分支机构的全称。</w:t>
      </w:r>
    </w:p>
    <w:p w14:paraId="1CD28403">
      <w:pPr>
        <w:spacing w:line="440" w:lineRule="atLeast"/>
        <w:rPr>
          <w:rFonts w:ascii="仿宋_GB2312" w:hAnsi="仿宋_GB2312" w:eastAsia="仿宋_GB2312" w:cs="仿宋_GB2312"/>
          <w:sz w:val="24"/>
        </w:rPr>
      </w:pPr>
      <w:r>
        <w:rPr>
          <w:rFonts w:hint="eastAsia" w:ascii="仿宋_GB2312" w:hAnsi="仿宋_GB2312" w:eastAsia="仿宋_GB2312" w:cs="仿宋_GB2312"/>
          <w:sz w:val="24"/>
        </w:rPr>
        <w:t>3.资产评估师有身份证的，身份证件类型必须填写身份证。股东（合伙人）为自然人的，有身份证的，身份证件类型必须填写身份证。股东（合伙人）为法人的，身份证件类型为统一社会信用代码。</w:t>
      </w:r>
    </w:p>
    <w:p w14:paraId="79C0496A">
      <w:pPr>
        <w:spacing w:line="440" w:lineRule="atLeast"/>
        <w:rPr>
          <w:rFonts w:ascii="仿宋_GB2312" w:hAnsi="仿宋_GB2312" w:eastAsia="仿宋_GB2312" w:cs="仿宋_GB2312"/>
          <w:sz w:val="24"/>
        </w:rPr>
      </w:pPr>
      <w:r>
        <w:rPr>
          <w:rFonts w:hint="eastAsia" w:ascii="仿宋_GB2312" w:hAnsi="仿宋_GB2312" w:eastAsia="仿宋_GB2312" w:cs="仿宋_GB2312"/>
          <w:sz w:val="24"/>
        </w:rPr>
        <w:t>4.初次登记时间、担任股东（合伙人）的起始时间格式为年-月-日。</w:t>
      </w:r>
    </w:p>
    <w:p w14:paraId="5DCFCB68">
      <w:pPr>
        <w:spacing w:line="440" w:lineRule="atLeast"/>
        <w:rPr>
          <w:rFonts w:ascii="仿宋_GB2312" w:hAnsi="仿宋_GB2312" w:eastAsia="仿宋_GB2312" w:cs="仿宋_GB2312"/>
          <w:sz w:val="24"/>
        </w:rPr>
      </w:pPr>
      <w:r>
        <w:rPr>
          <w:rFonts w:hint="eastAsia" w:ascii="仿宋_GB2312" w:hAnsi="仿宋_GB2312" w:eastAsia="仿宋_GB2312" w:cs="仿宋_GB2312"/>
          <w:sz w:val="24"/>
        </w:rPr>
        <w:t>5.最近连续执业时间精确到月。</w:t>
      </w:r>
    </w:p>
    <w:p w14:paraId="44B4BBD4">
      <w:pPr>
        <w:spacing w:line="440" w:lineRule="atLeast"/>
        <w:rPr>
          <w:rFonts w:ascii="仿宋_GB2312" w:hAnsi="仿宋_GB2312" w:eastAsia="仿宋_GB2312" w:cs="仿宋_GB2312"/>
          <w:sz w:val="24"/>
        </w:rPr>
      </w:pPr>
      <w:r>
        <w:rPr>
          <w:rFonts w:hint="eastAsia" w:ascii="仿宋_GB2312" w:hAnsi="仿宋_GB2312" w:eastAsia="仿宋_GB2312" w:cs="仿宋_GB2312"/>
          <w:sz w:val="24"/>
        </w:rPr>
        <w:t>6.全部资产评估师及股东（合伙人）均应填写该表，如股东（合伙人）不是资产评估师，无需填写资产评估师职业资格证书登记卡登记编号、初次登记时间、最近连续执业时间。</w:t>
      </w:r>
    </w:p>
    <w:p w14:paraId="1E58E523">
      <w:pPr>
        <w:spacing w:line="440" w:lineRule="atLeast"/>
        <w:rPr>
          <w:rFonts w:ascii="仿宋_GB2312" w:hAnsi="仿宋_GB2312" w:eastAsia="仿宋_GB2312" w:cs="仿宋_GB2312"/>
          <w:sz w:val="24"/>
        </w:rPr>
      </w:pPr>
      <w:r>
        <w:rPr>
          <w:rFonts w:hint="eastAsia" w:ascii="仿宋_GB2312" w:hAnsi="仿宋_GB2312" w:eastAsia="仿宋_GB2312" w:cs="仿宋_GB2312"/>
          <w:sz w:val="24"/>
        </w:rPr>
        <w:t>7.从事过证券服务业务是指曾在证券服务业务报告上签字。</w:t>
      </w:r>
    </w:p>
    <w:p w14:paraId="5A729741">
      <w:pPr>
        <w:spacing w:line="440" w:lineRule="atLeast"/>
        <w:rPr>
          <w:rFonts w:ascii="仿宋_GB2312" w:hAnsi="仿宋_GB2312" w:eastAsia="仿宋_GB2312" w:cs="仿宋_GB2312"/>
          <w:sz w:val="24"/>
        </w:rPr>
      </w:pPr>
      <w:r>
        <w:rPr>
          <w:rFonts w:hint="eastAsia" w:ascii="仿宋_GB2312" w:hAnsi="仿宋_GB2312" w:eastAsia="仿宋_GB2312" w:cs="仿宋_GB2312"/>
          <w:sz w:val="24"/>
        </w:rPr>
        <w:t>8.</w:t>
      </w:r>
      <w:r>
        <w:rPr>
          <w:rFonts w:ascii="仿宋_GB2312" w:hAnsi="仿宋_GB2312" w:eastAsia="仿宋_GB2312" w:cs="仿宋_GB2312"/>
          <w:sz w:val="24"/>
        </w:rPr>
        <w:t>质量</w:t>
      </w:r>
      <w:r>
        <w:rPr>
          <w:rFonts w:hint="eastAsia" w:ascii="仿宋_GB2312" w:hAnsi="仿宋_GB2312" w:eastAsia="仿宋_GB2312" w:cs="仿宋_GB2312"/>
          <w:sz w:val="24"/>
        </w:rPr>
        <w:t>控制</w:t>
      </w:r>
      <w:r>
        <w:rPr>
          <w:rFonts w:ascii="仿宋_GB2312" w:hAnsi="仿宋_GB2312" w:eastAsia="仿宋_GB2312" w:cs="仿宋_GB2312"/>
          <w:sz w:val="24"/>
        </w:rPr>
        <w:t>人员是指资产评估机构质量</w:t>
      </w:r>
      <w:r>
        <w:rPr>
          <w:rFonts w:hint="eastAsia" w:ascii="仿宋_GB2312" w:hAnsi="仿宋_GB2312" w:eastAsia="仿宋_GB2312" w:cs="仿宋_GB2312"/>
          <w:sz w:val="24"/>
        </w:rPr>
        <w:t>控制</w:t>
      </w:r>
      <w:r>
        <w:rPr>
          <w:rFonts w:ascii="仿宋_GB2312" w:hAnsi="仿宋_GB2312" w:eastAsia="仿宋_GB2312" w:cs="仿宋_GB2312"/>
          <w:sz w:val="24"/>
        </w:rPr>
        <w:t>部门人员或</w:t>
      </w:r>
      <w:r>
        <w:rPr>
          <w:rFonts w:hint="eastAsia" w:ascii="仿宋_GB2312" w:hAnsi="仿宋_GB2312" w:eastAsia="仿宋_GB2312" w:cs="仿宋_GB2312"/>
          <w:sz w:val="24"/>
        </w:rPr>
        <w:t>负责执业质量控制的股东（合伙人）。</w:t>
      </w:r>
    </w:p>
    <w:p w14:paraId="4D6955BF">
      <w:pPr>
        <w:spacing w:line="440" w:lineRule="atLeast"/>
        <w:rPr>
          <w:rFonts w:ascii="仿宋_GB2312" w:hAnsi="仿宋_GB2312" w:eastAsia="仿宋_GB2312" w:cs="仿宋_GB2312"/>
          <w:sz w:val="24"/>
        </w:rPr>
      </w:pPr>
      <w:r>
        <w:rPr>
          <w:rFonts w:hint="eastAsia" w:ascii="仿宋_GB2312" w:hAnsi="仿宋_GB2312" w:eastAsia="仿宋_GB2312" w:cs="仿宋_GB2312"/>
          <w:sz w:val="24"/>
        </w:rPr>
        <w:t>9.出资性质包括自然人与法人。</w:t>
      </w:r>
    </w:p>
    <w:p w14:paraId="2D1EFD10">
      <w:pPr>
        <w:spacing w:line="440" w:lineRule="atLeast"/>
        <w:rPr>
          <w:rFonts w:ascii="仿宋_GB2312" w:hAnsi="仿宋_GB2312" w:eastAsia="仿宋_GB2312" w:cs="仿宋_GB2312"/>
          <w:sz w:val="24"/>
        </w:rPr>
        <w:sectPr>
          <w:pgSz w:w="16838" w:h="11906" w:orient="landscape"/>
          <w:pgMar w:top="1417" w:right="1440" w:bottom="1417" w:left="1440" w:header="851" w:footer="992" w:gutter="0"/>
          <w:cols w:space="0" w:num="1"/>
          <w:docGrid w:type="lines" w:linePitch="319" w:charSpace="0"/>
        </w:sectPr>
      </w:pPr>
      <w:r>
        <w:rPr>
          <w:rFonts w:hint="eastAsia" w:ascii="仿宋_GB2312" w:hAnsi="仿宋_GB2312" w:eastAsia="仿宋_GB2312" w:cs="仿宋_GB2312"/>
          <w:sz w:val="24"/>
        </w:rPr>
        <w:t>10.持股比例需带％并保留小数点后两位，比如</w:t>
      </w:r>
      <w:r>
        <w:rPr>
          <w:rFonts w:ascii="仿宋_GB2312" w:hAnsi="仿宋_GB2312" w:eastAsia="仿宋_GB2312" w:cs="仿宋_GB2312"/>
          <w:sz w:val="24"/>
        </w:rPr>
        <w:t>52.35％</w:t>
      </w:r>
      <w:r>
        <w:rPr>
          <w:rFonts w:hint="eastAsia" w:ascii="仿宋_GB2312" w:hAnsi="仿宋_GB2312" w:eastAsia="仿宋_GB2312" w:cs="仿宋_GB2312"/>
          <w:sz w:val="24"/>
        </w:rPr>
        <w:t>。</w:t>
      </w:r>
    </w:p>
    <w:p w14:paraId="682E16AC">
      <w:pPr>
        <w:spacing w:line="440" w:lineRule="atLeast"/>
        <w:rPr>
          <w:rFonts w:ascii="宋体" w:hAnsi="宋体" w:eastAsia="宋体" w:cs="宋体"/>
          <w:sz w:val="24"/>
        </w:rPr>
      </w:pPr>
      <w:bookmarkStart w:id="48" w:name="_Toc11203"/>
      <w:r>
        <w:rPr>
          <w:rFonts w:hint="eastAsia" w:ascii="宋体" w:hAnsi="宋体" w:eastAsia="宋体" w:cs="宋体"/>
          <w:sz w:val="24"/>
        </w:rPr>
        <w:t>附3：</w:t>
      </w:r>
      <w:bookmarkEnd w:id="48"/>
    </w:p>
    <w:p w14:paraId="2A89A108">
      <w:pPr>
        <w:spacing w:line="440" w:lineRule="atLeast"/>
        <w:jc w:val="center"/>
        <w:rPr>
          <w:rFonts w:ascii="宋体" w:hAnsi="宋体" w:eastAsia="宋体" w:cs="宋体"/>
          <w:b/>
          <w:sz w:val="32"/>
          <w:szCs w:val="32"/>
        </w:rPr>
      </w:pPr>
      <w:r>
        <w:rPr>
          <w:rFonts w:hint="eastAsia" w:ascii="宋体" w:hAnsi="宋体" w:eastAsia="宋体" w:cs="宋体"/>
          <w:b/>
          <w:sz w:val="32"/>
          <w:szCs w:val="32"/>
        </w:rPr>
        <w:t>资产评估机构及其专业人员处罚处理情况表</w:t>
      </w:r>
    </w:p>
    <w:p w14:paraId="765A3F45">
      <w:pPr>
        <w:pStyle w:val="41"/>
        <w:tabs>
          <w:tab w:val="left" w:pos="10280"/>
          <w:tab w:val="left" w:pos="10310"/>
        </w:tabs>
        <w:spacing w:after="0" w:line="440" w:lineRule="atLeast"/>
        <w:rPr>
          <w:rFonts w:ascii="仿宋_GB2312" w:hAnsi="仿宋_GB2312" w:eastAsia="仿宋_GB2312" w:cs="仿宋_GB2312"/>
          <w:bCs/>
          <w:color w:val="auto"/>
          <w:sz w:val="24"/>
          <w:lang w:val="en-US" w:eastAsia="zh-CN" w:bidi="ar-SA"/>
        </w:rPr>
      </w:pPr>
      <w:r>
        <w:rPr>
          <w:rFonts w:hint="eastAsia" w:ascii="仿宋_GB2312" w:hAnsi="仿宋_GB2312" w:eastAsia="仿宋_GB2312" w:cs="仿宋_GB2312"/>
          <w:bCs/>
          <w:color w:val="auto"/>
          <w:sz w:val="24"/>
          <w:lang w:val="en-US" w:eastAsia="zh-CN" w:bidi="ar-SA"/>
        </w:rPr>
        <w:t>资产评估机构名称（盖章）：                                              填报日期：　　　　年　　　　月　　　　日</w:t>
      </w:r>
    </w:p>
    <w:tbl>
      <w:tblPr>
        <w:tblStyle w:val="24"/>
        <w:tblW w:w="13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1001"/>
        <w:gridCol w:w="1148"/>
        <w:gridCol w:w="1148"/>
        <w:gridCol w:w="1290"/>
        <w:gridCol w:w="1005"/>
        <w:gridCol w:w="1179"/>
        <w:gridCol w:w="1425"/>
        <w:gridCol w:w="1335"/>
        <w:gridCol w:w="960"/>
        <w:gridCol w:w="2795"/>
      </w:tblGrid>
      <w:tr w14:paraId="32C46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67" w:hRule="exact"/>
          <w:jc w:val="center"/>
        </w:trPr>
        <w:tc>
          <w:tcPr>
            <w:tcW w:w="1001" w:type="dxa"/>
            <w:shd w:val="clear" w:color="auto" w:fill="auto"/>
            <w:vAlign w:val="center"/>
          </w:tcPr>
          <w:p w14:paraId="467C0F5F">
            <w:pPr>
              <w:spacing w:line="440" w:lineRule="atLeast"/>
              <w:jc w:val="center"/>
              <w:rPr>
                <w:rFonts w:ascii="仿宋_GB2312" w:hAnsi="仿宋_GB2312" w:eastAsia="仿宋_GB2312" w:cs="仿宋_GB2312"/>
                <w:sz w:val="24"/>
              </w:rPr>
            </w:pPr>
            <w:r>
              <w:rPr>
                <w:rFonts w:hint="eastAsia" w:ascii="仿宋_GB2312" w:hAnsi="仿宋_GB2312" w:eastAsia="仿宋_GB2312" w:cs="仿宋_GB2312"/>
                <w:sz w:val="24"/>
              </w:rPr>
              <w:t>序　号</w:t>
            </w:r>
          </w:p>
        </w:tc>
        <w:tc>
          <w:tcPr>
            <w:tcW w:w="1148" w:type="dxa"/>
            <w:shd w:val="clear" w:color="auto" w:fill="auto"/>
            <w:vAlign w:val="center"/>
          </w:tcPr>
          <w:p w14:paraId="38F85FBB">
            <w:pPr>
              <w:spacing w:line="440" w:lineRule="atLeast"/>
              <w:jc w:val="center"/>
              <w:rPr>
                <w:rFonts w:ascii="仿宋_GB2312" w:hAnsi="仿宋_GB2312" w:eastAsia="仿宋_GB2312" w:cs="仿宋_GB2312"/>
                <w:sz w:val="24"/>
              </w:rPr>
            </w:pPr>
            <w:r>
              <w:rPr>
                <w:rFonts w:hint="eastAsia" w:ascii="仿宋_GB2312" w:hAnsi="仿宋_GB2312" w:eastAsia="仿宋_GB2312" w:cs="仿宋_GB2312"/>
                <w:sz w:val="24"/>
              </w:rPr>
              <w:t>处罚处理对象</w:t>
            </w:r>
          </w:p>
        </w:tc>
        <w:tc>
          <w:tcPr>
            <w:tcW w:w="1148" w:type="dxa"/>
            <w:shd w:val="clear" w:color="auto" w:fill="auto"/>
            <w:vAlign w:val="center"/>
          </w:tcPr>
          <w:p w14:paraId="70DE5BAD">
            <w:pPr>
              <w:spacing w:line="440" w:lineRule="atLeast"/>
              <w:jc w:val="center"/>
              <w:rPr>
                <w:rFonts w:ascii="仿宋_GB2312" w:hAnsi="仿宋_GB2312" w:eastAsia="仿宋_GB2312" w:cs="仿宋_GB2312"/>
                <w:sz w:val="24"/>
              </w:rPr>
            </w:pPr>
            <w:r>
              <w:rPr>
                <w:rFonts w:hint="eastAsia" w:ascii="仿宋_GB2312" w:hAnsi="仿宋_GB2312" w:eastAsia="仿宋_GB2312" w:cs="仿宋_GB2312"/>
                <w:sz w:val="24"/>
              </w:rPr>
              <w:t>证件</w:t>
            </w:r>
          </w:p>
          <w:p w14:paraId="5558819B">
            <w:pPr>
              <w:spacing w:line="440" w:lineRule="atLeast"/>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290" w:type="dxa"/>
            <w:shd w:val="clear" w:color="auto" w:fill="auto"/>
            <w:vAlign w:val="center"/>
          </w:tcPr>
          <w:p w14:paraId="36B04A3D">
            <w:pPr>
              <w:spacing w:line="440" w:lineRule="atLeast"/>
              <w:jc w:val="center"/>
              <w:rPr>
                <w:rFonts w:ascii="仿宋_GB2312" w:hAnsi="仿宋_GB2312" w:eastAsia="仿宋_GB2312" w:cs="仿宋_GB2312"/>
                <w:sz w:val="24"/>
              </w:rPr>
            </w:pPr>
            <w:r>
              <w:rPr>
                <w:rFonts w:hint="eastAsia" w:ascii="仿宋_GB2312" w:hAnsi="仿宋_GB2312" w:eastAsia="仿宋_GB2312" w:cs="仿宋_GB2312"/>
                <w:sz w:val="24"/>
              </w:rPr>
              <w:t>证件</w:t>
            </w:r>
          </w:p>
          <w:p w14:paraId="347BAB93">
            <w:pPr>
              <w:spacing w:line="440" w:lineRule="atLeast"/>
              <w:jc w:val="center"/>
              <w:rPr>
                <w:rFonts w:ascii="仿宋_GB2312" w:hAnsi="仿宋_GB2312" w:eastAsia="仿宋_GB2312" w:cs="仿宋_GB2312"/>
                <w:sz w:val="24"/>
              </w:rPr>
            </w:pPr>
            <w:r>
              <w:rPr>
                <w:rFonts w:hint="eastAsia" w:ascii="仿宋_GB2312" w:hAnsi="仿宋_GB2312" w:eastAsia="仿宋_GB2312" w:cs="仿宋_GB2312"/>
                <w:sz w:val="24"/>
              </w:rPr>
              <w:t>号码</w:t>
            </w:r>
          </w:p>
        </w:tc>
        <w:tc>
          <w:tcPr>
            <w:tcW w:w="1005" w:type="dxa"/>
            <w:shd w:val="clear" w:color="auto" w:fill="auto"/>
            <w:vAlign w:val="center"/>
          </w:tcPr>
          <w:p w14:paraId="782F231E">
            <w:pPr>
              <w:spacing w:line="440" w:lineRule="atLeast"/>
              <w:jc w:val="center"/>
              <w:rPr>
                <w:rFonts w:ascii="仿宋_GB2312" w:hAnsi="仿宋_GB2312" w:eastAsia="仿宋_GB2312" w:cs="仿宋_GB2312"/>
                <w:sz w:val="24"/>
              </w:rPr>
            </w:pPr>
            <w:r>
              <w:rPr>
                <w:rFonts w:hint="eastAsia" w:ascii="仿宋_GB2312" w:hAnsi="仿宋_GB2312" w:eastAsia="仿宋_GB2312" w:cs="仿宋_GB2312"/>
                <w:sz w:val="24"/>
              </w:rPr>
              <w:t>处罚处理类型</w:t>
            </w:r>
          </w:p>
        </w:tc>
        <w:tc>
          <w:tcPr>
            <w:tcW w:w="1179" w:type="dxa"/>
            <w:shd w:val="clear" w:color="auto" w:fill="auto"/>
            <w:vAlign w:val="center"/>
          </w:tcPr>
          <w:p w14:paraId="35F45A34">
            <w:pPr>
              <w:spacing w:line="440" w:lineRule="atLeast"/>
              <w:jc w:val="center"/>
              <w:rPr>
                <w:rFonts w:ascii="仿宋_GB2312" w:hAnsi="仿宋_GB2312" w:eastAsia="仿宋_GB2312" w:cs="仿宋_GB2312"/>
                <w:sz w:val="24"/>
              </w:rPr>
            </w:pPr>
            <w:r>
              <w:rPr>
                <w:rFonts w:hint="eastAsia" w:ascii="仿宋_GB2312" w:hAnsi="仿宋_GB2312" w:eastAsia="仿宋_GB2312" w:cs="仿宋_GB2312"/>
                <w:sz w:val="24"/>
              </w:rPr>
              <w:t>处罚处理决定文号</w:t>
            </w:r>
          </w:p>
        </w:tc>
        <w:tc>
          <w:tcPr>
            <w:tcW w:w="1425" w:type="dxa"/>
            <w:shd w:val="clear" w:color="auto" w:fill="auto"/>
            <w:vAlign w:val="center"/>
          </w:tcPr>
          <w:p w14:paraId="0C6BEFB9">
            <w:pPr>
              <w:spacing w:line="440" w:lineRule="atLeast"/>
              <w:jc w:val="center"/>
              <w:rPr>
                <w:rFonts w:ascii="仿宋_GB2312" w:hAnsi="仿宋_GB2312" w:eastAsia="仿宋_GB2312" w:cs="仿宋_GB2312"/>
                <w:sz w:val="24"/>
              </w:rPr>
            </w:pPr>
            <w:r>
              <w:rPr>
                <w:rFonts w:hint="eastAsia" w:ascii="仿宋_GB2312" w:hAnsi="仿宋_GB2312" w:eastAsia="仿宋_GB2312" w:cs="仿宋_GB2312"/>
                <w:sz w:val="24"/>
              </w:rPr>
              <w:t>处罚处理决定名称</w:t>
            </w:r>
          </w:p>
        </w:tc>
        <w:tc>
          <w:tcPr>
            <w:tcW w:w="1335" w:type="dxa"/>
            <w:shd w:val="clear" w:color="auto" w:fill="auto"/>
            <w:vAlign w:val="center"/>
          </w:tcPr>
          <w:p w14:paraId="1BC0DABA">
            <w:pPr>
              <w:spacing w:line="440" w:lineRule="atLeast"/>
              <w:jc w:val="center"/>
              <w:rPr>
                <w:rFonts w:ascii="仿宋_GB2312" w:hAnsi="仿宋_GB2312" w:eastAsia="仿宋_GB2312" w:cs="仿宋_GB2312"/>
                <w:sz w:val="24"/>
              </w:rPr>
            </w:pPr>
            <w:r>
              <w:rPr>
                <w:rFonts w:hint="eastAsia" w:ascii="仿宋_GB2312" w:hAnsi="仿宋_GB2312" w:eastAsia="仿宋_GB2312" w:cs="仿宋_GB2312"/>
                <w:sz w:val="24"/>
              </w:rPr>
              <w:t>处罚处理</w:t>
            </w:r>
          </w:p>
          <w:p w14:paraId="7B403553">
            <w:pPr>
              <w:spacing w:line="440" w:lineRule="atLeast"/>
              <w:jc w:val="center"/>
              <w:rPr>
                <w:rFonts w:ascii="仿宋_GB2312" w:hAnsi="仿宋_GB2312" w:eastAsia="仿宋_GB2312" w:cs="仿宋_GB2312"/>
                <w:sz w:val="24"/>
              </w:rPr>
            </w:pPr>
            <w:r>
              <w:rPr>
                <w:rFonts w:hint="eastAsia" w:ascii="仿宋_GB2312" w:hAnsi="仿宋_GB2312" w:eastAsia="仿宋_GB2312" w:cs="仿宋_GB2312"/>
                <w:sz w:val="24"/>
              </w:rPr>
              <w:t>机关</w:t>
            </w:r>
          </w:p>
        </w:tc>
        <w:tc>
          <w:tcPr>
            <w:tcW w:w="960" w:type="dxa"/>
            <w:shd w:val="clear" w:color="auto" w:fill="auto"/>
            <w:vAlign w:val="center"/>
          </w:tcPr>
          <w:p w14:paraId="28A1A6FC">
            <w:pPr>
              <w:spacing w:line="440" w:lineRule="atLeast"/>
              <w:jc w:val="center"/>
              <w:rPr>
                <w:rFonts w:ascii="仿宋_GB2312" w:hAnsi="仿宋_GB2312" w:eastAsia="仿宋_GB2312" w:cs="仿宋_GB2312"/>
                <w:sz w:val="24"/>
              </w:rPr>
            </w:pPr>
            <w:r>
              <w:rPr>
                <w:rFonts w:hint="eastAsia" w:ascii="仿宋_GB2312" w:hAnsi="仿宋_GB2312" w:eastAsia="仿宋_GB2312" w:cs="仿宋_GB2312"/>
                <w:sz w:val="24"/>
              </w:rPr>
              <w:t>处罚处理日期</w:t>
            </w:r>
          </w:p>
        </w:tc>
        <w:tc>
          <w:tcPr>
            <w:tcW w:w="2795" w:type="dxa"/>
            <w:shd w:val="clear" w:color="auto" w:fill="auto"/>
            <w:vAlign w:val="center"/>
          </w:tcPr>
          <w:p w14:paraId="41BD8733">
            <w:pPr>
              <w:spacing w:line="440" w:lineRule="atLeast"/>
              <w:jc w:val="center"/>
              <w:rPr>
                <w:rFonts w:ascii="仿宋_GB2312" w:hAnsi="仿宋_GB2312" w:eastAsia="仿宋_GB2312" w:cs="仿宋_GB2312"/>
                <w:sz w:val="24"/>
              </w:rPr>
            </w:pPr>
            <w:r>
              <w:rPr>
                <w:rFonts w:hint="eastAsia" w:ascii="仿宋_GB2312" w:hAnsi="仿宋_GB2312" w:eastAsia="仿宋_GB2312" w:cs="仿宋_GB2312"/>
                <w:sz w:val="24"/>
              </w:rPr>
              <w:t>处罚处理事由</w:t>
            </w:r>
          </w:p>
        </w:tc>
      </w:tr>
      <w:tr w14:paraId="04E25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97" w:hRule="exact"/>
          <w:jc w:val="center"/>
        </w:trPr>
        <w:tc>
          <w:tcPr>
            <w:tcW w:w="1001" w:type="dxa"/>
            <w:shd w:val="clear" w:color="auto" w:fill="auto"/>
            <w:vAlign w:val="center"/>
          </w:tcPr>
          <w:p w14:paraId="714B4B53">
            <w:pPr>
              <w:pStyle w:val="42"/>
              <w:spacing w:line="440" w:lineRule="atLeast"/>
              <w:jc w:val="center"/>
              <w:rPr>
                <w:rFonts w:ascii="仿宋" w:hAnsi="仿宋" w:eastAsia="仿宋"/>
                <w:sz w:val="23"/>
                <w:szCs w:val="23"/>
              </w:rPr>
            </w:pPr>
          </w:p>
        </w:tc>
        <w:tc>
          <w:tcPr>
            <w:tcW w:w="1148" w:type="dxa"/>
            <w:shd w:val="clear" w:color="auto" w:fill="auto"/>
            <w:vAlign w:val="center"/>
          </w:tcPr>
          <w:p w14:paraId="3EBE602A">
            <w:pPr>
              <w:pStyle w:val="42"/>
              <w:spacing w:line="440" w:lineRule="atLeast"/>
              <w:jc w:val="center"/>
              <w:rPr>
                <w:rFonts w:ascii="仿宋" w:hAnsi="仿宋" w:eastAsia="仿宋"/>
                <w:sz w:val="23"/>
                <w:szCs w:val="23"/>
              </w:rPr>
            </w:pPr>
          </w:p>
        </w:tc>
        <w:tc>
          <w:tcPr>
            <w:tcW w:w="1148" w:type="dxa"/>
            <w:shd w:val="clear" w:color="auto" w:fill="auto"/>
            <w:vAlign w:val="center"/>
          </w:tcPr>
          <w:p w14:paraId="787CD1C1">
            <w:pPr>
              <w:pStyle w:val="42"/>
              <w:spacing w:line="440" w:lineRule="atLeast"/>
              <w:jc w:val="center"/>
              <w:rPr>
                <w:rFonts w:ascii="仿宋" w:hAnsi="仿宋" w:eastAsia="仿宋"/>
                <w:sz w:val="23"/>
                <w:szCs w:val="23"/>
              </w:rPr>
            </w:pPr>
          </w:p>
        </w:tc>
        <w:tc>
          <w:tcPr>
            <w:tcW w:w="1290" w:type="dxa"/>
            <w:shd w:val="clear" w:color="auto" w:fill="auto"/>
            <w:vAlign w:val="center"/>
          </w:tcPr>
          <w:p w14:paraId="6C06DD6C">
            <w:pPr>
              <w:pStyle w:val="42"/>
              <w:spacing w:line="440" w:lineRule="atLeast"/>
              <w:jc w:val="center"/>
              <w:rPr>
                <w:rFonts w:ascii="仿宋" w:hAnsi="仿宋" w:eastAsia="仿宋"/>
                <w:sz w:val="23"/>
                <w:szCs w:val="23"/>
              </w:rPr>
            </w:pPr>
          </w:p>
        </w:tc>
        <w:tc>
          <w:tcPr>
            <w:tcW w:w="1005" w:type="dxa"/>
            <w:shd w:val="clear" w:color="auto" w:fill="auto"/>
            <w:vAlign w:val="center"/>
          </w:tcPr>
          <w:p w14:paraId="54F697DA">
            <w:pPr>
              <w:pStyle w:val="42"/>
              <w:spacing w:line="440" w:lineRule="atLeast"/>
              <w:jc w:val="center"/>
              <w:rPr>
                <w:rFonts w:ascii="仿宋" w:hAnsi="仿宋" w:eastAsia="仿宋"/>
                <w:sz w:val="23"/>
                <w:szCs w:val="23"/>
              </w:rPr>
            </w:pPr>
          </w:p>
        </w:tc>
        <w:tc>
          <w:tcPr>
            <w:tcW w:w="1179" w:type="dxa"/>
            <w:shd w:val="clear" w:color="auto" w:fill="auto"/>
            <w:vAlign w:val="center"/>
          </w:tcPr>
          <w:p w14:paraId="6100E3FB">
            <w:pPr>
              <w:pStyle w:val="42"/>
              <w:spacing w:line="440" w:lineRule="atLeast"/>
              <w:jc w:val="center"/>
              <w:rPr>
                <w:rFonts w:ascii="仿宋" w:hAnsi="仿宋" w:eastAsia="仿宋"/>
                <w:sz w:val="23"/>
                <w:szCs w:val="23"/>
                <w:lang w:eastAsia="zh-CN"/>
              </w:rPr>
            </w:pPr>
          </w:p>
        </w:tc>
        <w:tc>
          <w:tcPr>
            <w:tcW w:w="1425" w:type="dxa"/>
            <w:shd w:val="clear" w:color="auto" w:fill="auto"/>
            <w:vAlign w:val="center"/>
          </w:tcPr>
          <w:p w14:paraId="446EBF8B">
            <w:pPr>
              <w:pStyle w:val="42"/>
              <w:spacing w:line="440" w:lineRule="atLeast"/>
              <w:jc w:val="center"/>
              <w:rPr>
                <w:rFonts w:ascii="仿宋" w:hAnsi="仿宋" w:eastAsia="仿宋"/>
                <w:sz w:val="23"/>
                <w:szCs w:val="23"/>
                <w:lang w:eastAsia="zh-CN"/>
              </w:rPr>
            </w:pPr>
          </w:p>
        </w:tc>
        <w:tc>
          <w:tcPr>
            <w:tcW w:w="1335" w:type="dxa"/>
            <w:shd w:val="clear" w:color="auto" w:fill="auto"/>
            <w:vAlign w:val="center"/>
          </w:tcPr>
          <w:p w14:paraId="69A879E6">
            <w:pPr>
              <w:pStyle w:val="42"/>
              <w:spacing w:line="440" w:lineRule="atLeast"/>
              <w:jc w:val="center"/>
              <w:rPr>
                <w:rFonts w:ascii="仿宋" w:hAnsi="仿宋" w:eastAsia="仿宋"/>
                <w:sz w:val="23"/>
                <w:szCs w:val="23"/>
                <w:lang w:eastAsia="zh-CN"/>
              </w:rPr>
            </w:pPr>
          </w:p>
        </w:tc>
        <w:tc>
          <w:tcPr>
            <w:tcW w:w="960" w:type="dxa"/>
            <w:shd w:val="clear" w:color="auto" w:fill="auto"/>
            <w:vAlign w:val="center"/>
          </w:tcPr>
          <w:p w14:paraId="5CA0019D">
            <w:pPr>
              <w:pStyle w:val="42"/>
              <w:spacing w:line="440" w:lineRule="atLeast"/>
              <w:jc w:val="center"/>
              <w:rPr>
                <w:rFonts w:ascii="仿宋" w:hAnsi="仿宋" w:eastAsia="仿宋"/>
                <w:sz w:val="23"/>
                <w:szCs w:val="23"/>
                <w:lang w:eastAsia="zh-CN"/>
              </w:rPr>
            </w:pPr>
          </w:p>
        </w:tc>
        <w:tc>
          <w:tcPr>
            <w:tcW w:w="2795" w:type="dxa"/>
            <w:shd w:val="clear" w:color="auto" w:fill="auto"/>
            <w:vAlign w:val="center"/>
          </w:tcPr>
          <w:p w14:paraId="3287DB28">
            <w:pPr>
              <w:pStyle w:val="42"/>
              <w:spacing w:line="440" w:lineRule="atLeast"/>
              <w:jc w:val="center"/>
              <w:rPr>
                <w:rFonts w:ascii="仿宋" w:hAnsi="仿宋" w:eastAsia="仿宋"/>
                <w:sz w:val="23"/>
                <w:szCs w:val="23"/>
                <w:lang w:eastAsia="zh-CN"/>
              </w:rPr>
            </w:pPr>
          </w:p>
        </w:tc>
      </w:tr>
      <w:tr w14:paraId="6266B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97" w:hRule="exact"/>
          <w:jc w:val="center"/>
        </w:trPr>
        <w:tc>
          <w:tcPr>
            <w:tcW w:w="1001" w:type="dxa"/>
            <w:shd w:val="clear" w:color="auto" w:fill="auto"/>
            <w:vAlign w:val="center"/>
          </w:tcPr>
          <w:p w14:paraId="6FE154DD">
            <w:pPr>
              <w:pStyle w:val="42"/>
              <w:spacing w:line="440" w:lineRule="atLeast"/>
              <w:jc w:val="center"/>
              <w:rPr>
                <w:rFonts w:ascii="仿宋" w:hAnsi="仿宋" w:eastAsia="仿宋"/>
                <w:sz w:val="23"/>
                <w:szCs w:val="23"/>
              </w:rPr>
            </w:pPr>
          </w:p>
        </w:tc>
        <w:tc>
          <w:tcPr>
            <w:tcW w:w="1148" w:type="dxa"/>
            <w:shd w:val="clear" w:color="auto" w:fill="auto"/>
            <w:vAlign w:val="center"/>
          </w:tcPr>
          <w:p w14:paraId="1CC98AC0">
            <w:pPr>
              <w:pStyle w:val="42"/>
              <w:spacing w:line="440" w:lineRule="atLeast"/>
              <w:jc w:val="center"/>
              <w:rPr>
                <w:rFonts w:ascii="仿宋" w:hAnsi="仿宋" w:eastAsia="仿宋"/>
                <w:sz w:val="23"/>
                <w:szCs w:val="23"/>
              </w:rPr>
            </w:pPr>
          </w:p>
        </w:tc>
        <w:tc>
          <w:tcPr>
            <w:tcW w:w="1148" w:type="dxa"/>
            <w:shd w:val="clear" w:color="auto" w:fill="auto"/>
            <w:vAlign w:val="center"/>
          </w:tcPr>
          <w:p w14:paraId="44B73A6F">
            <w:pPr>
              <w:pStyle w:val="42"/>
              <w:spacing w:line="440" w:lineRule="atLeast"/>
              <w:jc w:val="center"/>
              <w:rPr>
                <w:rFonts w:ascii="仿宋" w:hAnsi="仿宋" w:eastAsia="仿宋"/>
                <w:sz w:val="23"/>
                <w:szCs w:val="23"/>
              </w:rPr>
            </w:pPr>
          </w:p>
        </w:tc>
        <w:tc>
          <w:tcPr>
            <w:tcW w:w="1290" w:type="dxa"/>
            <w:shd w:val="clear" w:color="auto" w:fill="auto"/>
            <w:vAlign w:val="center"/>
          </w:tcPr>
          <w:p w14:paraId="7716950D">
            <w:pPr>
              <w:pStyle w:val="42"/>
              <w:spacing w:line="440" w:lineRule="atLeast"/>
              <w:jc w:val="center"/>
              <w:rPr>
                <w:rFonts w:ascii="仿宋" w:hAnsi="仿宋" w:eastAsia="仿宋"/>
                <w:sz w:val="23"/>
                <w:szCs w:val="23"/>
              </w:rPr>
            </w:pPr>
          </w:p>
        </w:tc>
        <w:tc>
          <w:tcPr>
            <w:tcW w:w="1005" w:type="dxa"/>
            <w:shd w:val="clear" w:color="auto" w:fill="auto"/>
            <w:vAlign w:val="center"/>
          </w:tcPr>
          <w:p w14:paraId="330FC57F">
            <w:pPr>
              <w:pStyle w:val="42"/>
              <w:spacing w:line="440" w:lineRule="atLeast"/>
              <w:jc w:val="center"/>
              <w:rPr>
                <w:rFonts w:ascii="仿宋" w:hAnsi="仿宋" w:eastAsia="仿宋"/>
                <w:sz w:val="23"/>
                <w:szCs w:val="23"/>
              </w:rPr>
            </w:pPr>
          </w:p>
        </w:tc>
        <w:tc>
          <w:tcPr>
            <w:tcW w:w="1179" w:type="dxa"/>
            <w:shd w:val="clear" w:color="auto" w:fill="auto"/>
            <w:vAlign w:val="center"/>
          </w:tcPr>
          <w:p w14:paraId="3AF2AE51">
            <w:pPr>
              <w:pStyle w:val="42"/>
              <w:spacing w:line="440" w:lineRule="atLeast"/>
              <w:jc w:val="center"/>
              <w:rPr>
                <w:rFonts w:ascii="仿宋" w:hAnsi="仿宋" w:eastAsia="仿宋"/>
                <w:sz w:val="23"/>
                <w:szCs w:val="23"/>
                <w:lang w:eastAsia="zh-CN"/>
              </w:rPr>
            </w:pPr>
          </w:p>
        </w:tc>
        <w:tc>
          <w:tcPr>
            <w:tcW w:w="1425" w:type="dxa"/>
            <w:shd w:val="clear" w:color="auto" w:fill="auto"/>
            <w:vAlign w:val="center"/>
          </w:tcPr>
          <w:p w14:paraId="6DF2B5A2">
            <w:pPr>
              <w:pStyle w:val="42"/>
              <w:spacing w:line="440" w:lineRule="atLeast"/>
              <w:jc w:val="center"/>
              <w:rPr>
                <w:rFonts w:ascii="仿宋" w:hAnsi="仿宋" w:eastAsia="仿宋"/>
                <w:sz w:val="23"/>
                <w:szCs w:val="23"/>
                <w:lang w:eastAsia="zh-CN"/>
              </w:rPr>
            </w:pPr>
          </w:p>
        </w:tc>
        <w:tc>
          <w:tcPr>
            <w:tcW w:w="1335" w:type="dxa"/>
            <w:shd w:val="clear" w:color="auto" w:fill="auto"/>
            <w:vAlign w:val="center"/>
          </w:tcPr>
          <w:p w14:paraId="7774AD87">
            <w:pPr>
              <w:pStyle w:val="42"/>
              <w:spacing w:line="440" w:lineRule="atLeast"/>
              <w:jc w:val="center"/>
              <w:rPr>
                <w:rFonts w:ascii="仿宋" w:hAnsi="仿宋" w:eastAsia="仿宋"/>
                <w:sz w:val="23"/>
                <w:szCs w:val="23"/>
                <w:lang w:eastAsia="zh-CN"/>
              </w:rPr>
            </w:pPr>
          </w:p>
        </w:tc>
        <w:tc>
          <w:tcPr>
            <w:tcW w:w="960" w:type="dxa"/>
            <w:shd w:val="clear" w:color="auto" w:fill="auto"/>
            <w:vAlign w:val="center"/>
          </w:tcPr>
          <w:p w14:paraId="0D7CEC7F">
            <w:pPr>
              <w:pStyle w:val="42"/>
              <w:spacing w:line="440" w:lineRule="atLeast"/>
              <w:jc w:val="center"/>
              <w:rPr>
                <w:rFonts w:ascii="仿宋" w:hAnsi="仿宋" w:eastAsia="仿宋"/>
                <w:sz w:val="23"/>
                <w:szCs w:val="23"/>
                <w:lang w:eastAsia="zh-CN"/>
              </w:rPr>
            </w:pPr>
          </w:p>
        </w:tc>
        <w:tc>
          <w:tcPr>
            <w:tcW w:w="2795" w:type="dxa"/>
            <w:shd w:val="clear" w:color="auto" w:fill="auto"/>
            <w:vAlign w:val="center"/>
          </w:tcPr>
          <w:p w14:paraId="57BA1F7D">
            <w:pPr>
              <w:pStyle w:val="42"/>
              <w:spacing w:line="440" w:lineRule="atLeast"/>
              <w:jc w:val="center"/>
              <w:rPr>
                <w:rFonts w:ascii="仿宋" w:hAnsi="仿宋" w:eastAsia="仿宋"/>
                <w:sz w:val="23"/>
                <w:szCs w:val="23"/>
                <w:lang w:eastAsia="zh-CN"/>
              </w:rPr>
            </w:pPr>
          </w:p>
        </w:tc>
      </w:tr>
      <w:tr w14:paraId="39666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97" w:hRule="exact"/>
          <w:jc w:val="center"/>
        </w:trPr>
        <w:tc>
          <w:tcPr>
            <w:tcW w:w="1001" w:type="dxa"/>
            <w:shd w:val="clear" w:color="auto" w:fill="auto"/>
            <w:vAlign w:val="center"/>
          </w:tcPr>
          <w:p w14:paraId="7DE0DC98">
            <w:pPr>
              <w:pStyle w:val="42"/>
              <w:spacing w:line="440" w:lineRule="atLeast"/>
              <w:jc w:val="center"/>
              <w:rPr>
                <w:rFonts w:ascii="仿宋" w:hAnsi="仿宋" w:eastAsia="仿宋"/>
                <w:sz w:val="23"/>
                <w:szCs w:val="23"/>
              </w:rPr>
            </w:pPr>
          </w:p>
        </w:tc>
        <w:tc>
          <w:tcPr>
            <w:tcW w:w="1148" w:type="dxa"/>
            <w:shd w:val="clear" w:color="auto" w:fill="auto"/>
            <w:vAlign w:val="center"/>
          </w:tcPr>
          <w:p w14:paraId="1D0670CB">
            <w:pPr>
              <w:pStyle w:val="42"/>
              <w:spacing w:line="440" w:lineRule="atLeast"/>
              <w:jc w:val="center"/>
              <w:rPr>
                <w:rFonts w:ascii="仿宋" w:hAnsi="仿宋" w:eastAsia="仿宋"/>
                <w:sz w:val="23"/>
                <w:szCs w:val="23"/>
              </w:rPr>
            </w:pPr>
          </w:p>
        </w:tc>
        <w:tc>
          <w:tcPr>
            <w:tcW w:w="1148" w:type="dxa"/>
            <w:shd w:val="clear" w:color="auto" w:fill="auto"/>
            <w:vAlign w:val="center"/>
          </w:tcPr>
          <w:p w14:paraId="41A3E744">
            <w:pPr>
              <w:pStyle w:val="42"/>
              <w:spacing w:line="440" w:lineRule="atLeast"/>
              <w:jc w:val="center"/>
              <w:rPr>
                <w:rFonts w:ascii="仿宋" w:hAnsi="仿宋" w:eastAsia="仿宋"/>
                <w:sz w:val="23"/>
                <w:szCs w:val="23"/>
              </w:rPr>
            </w:pPr>
          </w:p>
        </w:tc>
        <w:tc>
          <w:tcPr>
            <w:tcW w:w="1290" w:type="dxa"/>
            <w:shd w:val="clear" w:color="auto" w:fill="auto"/>
            <w:vAlign w:val="center"/>
          </w:tcPr>
          <w:p w14:paraId="0784564F">
            <w:pPr>
              <w:pStyle w:val="42"/>
              <w:spacing w:line="440" w:lineRule="atLeast"/>
              <w:jc w:val="center"/>
              <w:rPr>
                <w:rFonts w:ascii="仿宋" w:hAnsi="仿宋" w:eastAsia="仿宋"/>
                <w:sz w:val="23"/>
                <w:szCs w:val="23"/>
              </w:rPr>
            </w:pPr>
          </w:p>
        </w:tc>
        <w:tc>
          <w:tcPr>
            <w:tcW w:w="1005" w:type="dxa"/>
            <w:shd w:val="clear" w:color="auto" w:fill="auto"/>
            <w:vAlign w:val="center"/>
          </w:tcPr>
          <w:p w14:paraId="1AD36252">
            <w:pPr>
              <w:pStyle w:val="42"/>
              <w:spacing w:line="440" w:lineRule="atLeast"/>
              <w:jc w:val="center"/>
              <w:rPr>
                <w:rFonts w:ascii="仿宋" w:hAnsi="仿宋" w:eastAsia="仿宋"/>
                <w:sz w:val="23"/>
                <w:szCs w:val="23"/>
              </w:rPr>
            </w:pPr>
          </w:p>
        </w:tc>
        <w:tc>
          <w:tcPr>
            <w:tcW w:w="1179" w:type="dxa"/>
            <w:shd w:val="clear" w:color="auto" w:fill="auto"/>
            <w:vAlign w:val="center"/>
          </w:tcPr>
          <w:p w14:paraId="78B0C5F7">
            <w:pPr>
              <w:pStyle w:val="42"/>
              <w:spacing w:line="440" w:lineRule="atLeast"/>
              <w:jc w:val="center"/>
              <w:rPr>
                <w:rFonts w:ascii="仿宋" w:hAnsi="仿宋" w:eastAsia="仿宋"/>
                <w:sz w:val="23"/>
                <w:szCs w:val="23"/>
                <w:lang w:eastAsia="zh-CN"/>
              </w:rPr>
            </w:pPr>
          </w:p>
        </w:tc>
        <w:tc>
          <w:tcPr>
            <w:tcW w:w="1425" w:type="dxa"/>
            <w:shd w:val="clear" w:color="auto" w:fill="auto"/>
            <w:vAlign w:val="center"/>
          </w:tcPr>
          <w:p w14:paraId="5FAC347B">
            <w:pPr>
              <w:pStyle w:val="42"/>
              <w:spacing w:line="440" w:lineRule="atLeast"/>
              <w:jc w:val="center"/>
              <w:rPr>
                <w:rFonts w:ascii="仿宋" w:hAnsi="仿宋" w:eastAsia="仿宋"/>
                <w:sz w:val="23"/>
                <w:szCs w:val="23"/>
                <w:lang w:eastAsia="zh-CN"/>
              </w:rPr>
            </w:pPr>
          </w:p>
        </w:tc>
        <w:tc>
          <w:tcPr>
            <w:tcW w:w="1335" w:type="dxa"/>
            <w:shd w:val="clear" w:color="auto" w:fill="auto"/>
            <w:vAlign w:val="center"/>
          </w:tcPr>
          <w:p w14:paraId="5AD12425">
            <w:pPr>
              <w:pStyle w:val="42"/>
              <w:spacing w:line="440" w:lineRule="atLeast"/>
              <w:jc w:val="center"/>
              <w:rPr>
                <w:rFonts w:ascii="仿宋" w:hAnsi="仿宋" w:eastAsia="仿宋"/>
                <w:sz w:val="23"/>
                <w:szCs w:val="23"/>
                <w:lang w:eastAsia="zh-CN"/>
              </w:rPr>
            </w:pPr>
          </w:p>
        </w:tc>
        <w:tc>
          <w:tcPr>
            <w:tcW w:w="960" w:type="dxa"/>
            <w:shd w:val="clear" w:color="auto" w:fill="auto"/>
            <w:vAlign w:val="center"/>
          </w:tcPr>
          <w:p w14:paraId="3019A31D">
            <w:pPr>
              <w:pStyle w:val="42"/>
              <w:spacing w:line="440" w:lineRule="atLeast"/>
              <w:jc w:val="center"/>
              <w:rPr>
                <w:rFonts w:ascii="仿宋" w:hAnsi="仿宋" w:eastAsia="仿宋"/>
                <w:sz w:val="23"/>
                <w:szCs w:val="23"/>
                <w:lang w:eastAsia="zh-CN"/>
              </w:rPr>
            </w:pPr>
          </w:p>
        </w:tc>
        <w:tc>
          <w:tcPr>
            <w:tcW w:w="2795" w:type="dxa"/>
            <w:shd w:val="clear" w:color="auto" w:fill="auto"/>
            <w:vAlign w:val="center"/>
          </w:tcPr>
          <w:p w14:paraId="24FC2D93">
            <w:pPr>
              <w:pStyle w:val="42"/>
              <w:spacing w:line="440" w:lineRule="atLeast"/>
              <w:jc w:val="center"/>
              <w:rPr>
                <w:rFonts w:ascii="仿宋" w:hAnsi="仿宋" w:eastAsia="仿宋"/>
                <w:sz w:val="23"/>
                <w:szCs w:val="23"/>
                <w:lang w:eastAsia="zh-CN"/>
              </w:rPr>
            </w:pPr>
          </w:p>
        </w:tc>
      </w:tr>
      <w:tr w14:paraId="3C92C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97" w:hRule="exact"/>
          <w:jc w:val="center"/>
        </w:trPr>
        <w:tc>
          <w:tcPr>
            <w:tcW w:w="1001" w:type="dxa"/>
            <w:shd w:val="clear" w:color="auto" w:fill="auto"/>
            <w:vAlign w:val="center"/>
          </w:tcPr>
          <w:p w14:paraId="32CAFFA4">
            <w:pPr>
              <w:pStyle w:val="42"/>
              <w:spacing w:line="440" w:lineRule="atLeast"/>
              <w:jc w:val="center"/>
              <w:rPr>
                <w:rFonts w:ascii="仿宋" w:hAnsi="仿宋" w:eastAsia="仿宋"/>
                <w:sz w:val="23"/>
                <w:szCs w:val="23"/>
              </w:rPr>
            </w:pPr>
          </w:p>
        </w:tc>
        <w:tc>
          <w:tcPr>
            <w:tcW w:w="1148" w:type="dxa"/>
            <w:shd w:val="clear" w:color="auto" w:fill="auto"/>
            <w:vAlign w:val="center"/>
          </w:tcPr>
          <w:p w14:paraId="1DFFEB75">
            <w:pPr>
              <w:pStyle w:val="42"/>
              <w:spacing w:line="440" w:lineRule="atLeast"/>
              <w:jc w:val="center"/>
              <w:rPr>
                <w:rFonts w:ascii="仿宋" w:hAnsi="仿宋" w:eastAsia="仿宋"/>
                <w:sz w:val="23"/>
                <w:szCs w:val="23"/>
              </w:rPr>
            </w:pPr>
          </w:p>
        </w:tc>
        <w:tc>
          <w:tcPr>
            <w:tcW w:w="1148" w:type="dxa"/>
            <w:shd w:val="clear" w:color="auto" w:fill="auto"/>
            <w:vAlign w:val="center"/>
          </w:tcPr>
          <w:p w14:paraId="12137B47">
            <w:pPr>
              <w:pStyle w:val="42"/>
              <w:spacing w:line="440" w:lineRule="atLeast"/>
              <w:jc w:val="center"/>
              <w:rPr>
                <w:rFonts w:ascii="仿宋" w:hAnsi="仿宋" w:eastAsia="仿宋"/>
                <w:sz w:val="23"/>
                <w:szCs w:val="23"/>
              </w:rPr>
            </w:pPr>
          </w:p>
        </w:tc>
        <w:tc>
          <w:tcPr>
            <w:tcW w:w="1290" w:type="dxa"/>
            <w:shd w:val="clear" w:color="auto" w:fill="auto"/>
            <w:vAlign w:val="center"/>
          </w:tcPr>
          <w:p w14:paraId="2AA04A04">
            <w:pPr>
              <w:pStyle w:val="42"/>
              <w:spacing w:line="440" w:lineRule="atLeast"/>
              <w:jc w:val="center"/>
              <w:rPr>
                <w:rFonts w:ascii="仿宋" w:hAnsi="仿宋" w:eastAsia="仿宋"/>
                <w:sz w:val="23"/>
                <w:szCs w:val="23"/>
              </w:rPr>
            </w:pPr>
          </w:p>
        </w:tc>
        <w:tc>
          <w:tcPr>
            <w:tcW w:w="1005" w:type="dxa"/>
            <w:shd w:val="clear" w:color="auto" w:fill="auto"/>
            <w:vAlign w:val="center"/>
          </w:tcPr>
          <w:p w14:paraId="33702A8F">
            <w:pPr>
              <w:pStyle w:val="42"/>
              <w:spacing w:line="440" w:lineRule="atLeast"/>
              <w:jc w:val="center"/>
              <w:rPr>
                <w:rFonts w:ascii="仿宋" w:hAnsi="仿宋" w:eastAsia="仿宋"/>
                <w:sz w:val="23"/>
                <w:szCs w:val="23"/>
              </w:rPr>
            </w:pPr>
          </w:p>
        </w:tc>
        <w:tc>
          <w:tcPr>
            <w:tcW w:w="1179" w:type="dxa"/>
            <w:shd w:val="clear" w:color="auto" w:fill="auto"/>
            <w:vAlign w:val="center"/>
          </w:tcPr>
          <w:p w14:paraId="0E87CC3C">
            <w:pPr>
              <w:pStyle w:val="42"/>
              <w:spacing w:line="440" w:lineRule="atLeast"/>
              <w:jc w:val="center"/>
              <w:rPr>
                <w:rFonts w:ascii="仿宋" w:hAnsi="仿宋" w:eastAsia="仿宋"/>
                <w:sz w:val="23"/>
                <w:szCs w:val="23"/>
                <w:lang w:eastAsia="zh-CN"/>
              </w:rPr>
            </w:pPr>
          </w:p>
        </w:tc>
        <w:tc>
          <w:tcPr>
            <w:tcW w:w="1425" w:type="dxa"/>
            <w:shd w:val="clear" w:color="auto" w:fill="auto"/>
            <w:vAlign w:val="center"/>
          </w:tcPr>
          <w:p w14:paraId="6C00D342">
            <w:pPr>
              <w:pStyle w:val="42"/>
              <w:spacing w:line="440" w:lineRule="atLeast"/>
              <w:jc w:val="center"/>
              <w:rPr>
                <w:rFonts w:ascii="仿宋" w:hAnsi="仿宋" w:eastAsia="仿宋"/>
                <w:sz w:val="23"/>
                <w:szCs w:val="23"/>
                <w:lang w:eastAsia="zh-CN"/>
              </w:rPr>
            </w:pPr>
          </w:p>
        </w:tc>
        <w:tc>
          <w:tcPr>
            <w:tcW w:w="1335" w:type="dxa"/>
            <w:shd w:val="clear" w:color="auto" w:fill="auto"/>
            <w:vAlign w:val="center"/>
          </w:tcPr>
          <w:p w14:paraId="582AB241">
            <w:pPr>
              <w:pStyle w:val="42"/>
              <w:spacing w:line="440" w:lineRule="atLeast"/>
              <w:jc w:val="center"/>
              <w:rPr>
                <w:rFonts w:ascii="仿宋" w:hAnsi="仿宋" w:eastAsia="仿宋"/>
                <w:sz w:val="23"/>
                <w:szCs w:val="23"/>
                <w:lang w:eastAsia="zh-CN"/>
              </w:rPr>
            </w:pPr>
          </w:p>
        </w:tc>
        <w:tc>
          <w:tcPr>
            <w:tcW w:w="960" w:type="dxa"/>
            <w:shd w:val="clear" w:color="auto" w:fill="auto"/>
            <w:vAlign w:val="center"/>
          </w:tcPr>
          <w:p w14:paraId="511D9FFF">
            <w:pPr>
              <w:pStyle w:val="42"/>
              <w:spacing w:line="440" w:lineRule="atLeast"/>
              <w:jc w:val="center"/>
              <w:rPr>
                <w:rFonts w:ascii="仿宋" w:hAnsi="仿宋" w:eastAsia="仿宋"/>
                <w:sz w:val="23"/>
                <w:szCs w:val="23"/>
                <w:lang w:eastAsia="zh-CN"/>
              </w:rPr>
            </w:pPr>
          </w:p>
        </w:tc>
        <w:tc>
          <w:tcPr>
            <w:tcW w:w="2795" w:type="dxa"/>
            <w:shd w:val="clear" w:color="auto" w:fill="auto"/>
            <w:vAlign w:val="center"/>
          </w:tcPr>
          <w:p w14:paraId="749B69E6">
            <w:pPr>
              <w:pStyle w:val="42"/>
              <w:spacing w:line="440" w:lineRule="atLeast"/>
              <w:jc w:val="center"/>
              <w:rPr>
                <w:rFonts w:ascii="仿宋" w:hAnsi="仿宋" w:eastAsia="仿宋"/>
                <w:sz w:val="23"/>
                <w:szCs w:val="23"/>
                <w:lang w:eastAsia="zh-CN"/>
              </w:rPr>
            </w:pPr>
          </w:p>
        </w:tc>
      </w:tr>
      <w:tr w14:paraId="66266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97" w:hRule="exact"/>
          <w:jc w:val="center"/>
        </w:trPr>
        <w:tc>
          <w:tcPr>
            <w:tcW w:w="1001" w:type="dxa"/>
            <w:shd w:val="clear" w:color="auto" w:fill="auto"/>
            <w:vAlign w:val="center"/>
          </w:tcPr>
          <w:p w14:paraId="57415CC4">
            <w:pPr>
              <w:pStyle w:val="42"/>
              <w:spacing w:line="440" w:lineRule="atLeast"/>
              <w:jc w:val="center"/>
              <w:rPr>
                <w:rFonts w:ascii="仿宋" w:hAnsi="仿宋" w:eastAsia="仿宋"/>
                <w:sz w:val="23"/>
                <w:szCs w:val="23"/>
              </w:rPr>
            </w:pPr>
          </w:p>
        </w:tc>
        <w:tc>
          <w:tcPr>
            <w:tcW w:w="1148" w:type="dxa"/>
            <w:shd w:val="clear" w:color="auto" w:fill="auto"/>
            <w:vAlign w:val="center"/>
          </w:tcPr>
          <w:p w14:paraId="4743BF0B">
            <w:pPr>
              <w:pStyle w:val="42"/>
              <w:spacing w:line="440" w:lineRule="atLeast"/>
              <w:jc w:val="center"/>
              <w:rPr>
                <w:rFonts w:ascii="仿宋" w:hAnsi="仿宋" w:eastAsia="仿宋"/>
                <w:sz w:val="23"/>
                <w:szCs w:val="23"/>
              </w:rPr>
            </w:pPr>
          </w:p>
        </w:tc>
        <w:tc>
          <w:tcPr>
            <w:tcW w:w="1148" w:type="dxa"/>
            <w:shd w:val="clear" w:color="auto" w:fill="auto"/>
            <w:vAlign w:val="center"/>
          </w:tcPr>
          <w:p w14:paraId="72239234">
            <w:pPr>
              <w:pStyle w:val="42"/>
              <w:spacing w:line="440" w:lineRule="atLeast"/>
              <w:jc w:val="center"/>
              <w:rPr>
                <w:rFonts w:ascii="仿宋" w:hAnsi="仿宋" w:eastAsia="仿宋"/>
                <w:sz w:val="23"/>
                <w:szCs w:val="23"/>
              </w:rPr>
            </w:pPr>
          </w:p>
        </w:tc>
        <w:tc>
          <w:tcPr>
            <w:tcW w:w="1290" w:type="dxa"/>
            <w:shd w:val="clear" w:color="auto" w:fill="auto"/>
            <w:vAlign w:val="center"/>
          </w:tcPr>
          <w:p w14:paraId="3B070D79">
            <w:pPr>
              <w:pStyle w:val="42"/>
              <w:spacing w:line="440" w:lineRule="atLeast"/>
              <w:jc w:val="center"/>
              <w:rPr>
                <w:rFonts w:ascii="仿宋" w:hAnsi="仿宋" w:eastAsia="仿宋"/>
                <w:sz w:val="23"/>
                <w:szCs w:val="23"/>
              </w:rPr>
            </w:pPr>
          </w:p>
        </w:tc>
        <w:tc>
          <w:tcPr>
            <w:tcW w:w="1005" w:type="dxa"/>
            <w:shd w:val="clear" w:color="auto" w:fill="auto"/>
            <w:vAlign w:val="center"/>
          </w:tcPr>
          <w:p w14:paraId="42E07A0C">
            <w:pPr>
              <w:pStyle w:val="42"/>
              <w:spacing w:line="440" w:lineRule="atLeast"/>
              <w:jc w:val="center"/>
              <w:rPr>
                <w:rFonts w:ascii="仿宋" w:hAnsi="仿宋" w:eastAsia="仿宋"/>
                <w:sz w:val="23"/>
                <w:szCs w:val="23"/>
              </w:rPr>
            </w:pPr>
          </w:p>
        </w:tc>
        <w:tc>
          <w:tcPr>
            <w:tcW w:w="1179" w:type="dxa"/>
            <w:shd w:val="clear" w:color="auto" w:fill="auto"/>
            <w:vAlign w:val="center"/>
          </w:tcPr>
          <w:p w14:paraId="5F1365C6">
            <w:pPr>
              <w:pStyle w:val="42"/>
              <w:spacing w:line="440" w:lineRule="atLeast"/>
              <w:jc w:val="center"/>
              <w:rPr>
                <w:rFonts w:ascii="仿宋" w:hAnsi="仿宋" w:eastAsia="仿宋"/>
                <w:sz w:val="23"/>
                <w:szCs w:val="23"/>
                <w:lang w:eastAsia="zh-CN"/>
              </w:rPr>
            </w:pPr>
          </w:p>
        </w:tc>
        <w:tc>
          <w:tcPr>
            <w:tcW w:w="1425" w:type="dxa"/>
            <w:shd w:val="clear" w:color="auto" w:fill="auto"/>
            <w:vAlign w:val="center"/>
          </w:tcPr>
          <w:p w14:paraId="2F303ECD">
            <w:pPr>
              <w:pStyle w:val="42"/>
              <w:spacing w:line="440" w:lineRule="atLeast"/>
              <w:jc w:val="center"/>
              <w:rPr>
                <w:rFonts w:ascii="仿宋" w:hAnsi="仿宋" w:eastAsia="仿宋"/>
                <w:sz w:val="23"/>
                <w:szCs w:val="23"/>
                <w:lang w:eastAsia="zh-CN"/>
              </w:rPr>
            </w:pPr>
          </w:p>
        </w:tc>
        <w:tc>
          <w:tcPr>
            <w:tcW w:w="1335" w:type="dxa"/>
            <w:shd w:val="clear" w:color="auto" w:fill="auto"/>
            <w:vAlign w:val="center"/>
          </w:tcPr>
          <w:p w14:paraId="0893D9A4">
            <w:pPr>
              <w:pStyle w:val="42"/>
              <w:spacing w:line="440" w:lineRule="atLeast"/>
              <w:jc w:val="center"/>
              <w:rPr>
                <w:rFonts w:ascii="仿宋" w:hAnsi="仿宋" w:eastAsia="仿宋"/>
                <w:sz w:val="23"/>
                <w:szCs w:val="23"/>
                <w:lang w:eastAsia="zh-CN"/>
              </w:rPr>
            </w:pPr>
          </w:p>
        </w:tc>
        <w:tc>
          <w:tcPr>
            <w:tcW w:w="960" w:type="dxa"/>
            <w:shd w:val="clear" w:color="auto" w:fill="auto"/>
            <w:vAlign w:val="center"/>
          </w:tcPr>
          <w:p w14:paraId="063E6184">
            <w:pPr>
              <w:pStyle w:val="42"/>
              <w:spacing w:line="440" w:lineRule="atLeast"/>
              <w:jc w:val="center"/>
              <w:rPr>
                <w:rFonts w:ascii="仿宋" w:hAnsi="仿宋" w:eastAsia="仿宋"/>
                <w:sz w:val="23"/>
                <w:szCs w:val="23"/>
                <w:lang w:eastAsia="zh-CN"/>
              </w:rPr>
            </w:pPr>
          </w:p>
        </w:tc>
        <w:tc>
          <w:tcPr>
            <w:tcW w:w="2795" w:type="dxa"/>
            <w:shd w:val="clear" w:color="auto" w:fill="auto"/>
            <w:vAlign w:val="center"/>
          </w:tcPr>
          <w:p w14:paraId="348B2919">
            <w:pPr>
              <w:pStyle w:val="42"/>
              <w:spacing w:line="440" w:lineRule="atLeast"/>
              <w:jc w:val="center"/>
              <w:rPr>
                <w:rFonts w:ascii="仿宋" w:hAnsi="仿宋" w:eastAsia="仿宋"/>
                <w:sz w:val="23"/>
                <w:szCs w:val="23"/>
                <w:lang w:eastAsia="zh-CN"/>
              </w:rPr>
            </w:pPr>
          </w:p>
        </w:tc>
      </w:tr>
    </w:tbl>
    <w:p w14:paraId="582BBBF8">
      <w:pPr>
        <w:spacing w:line="440" w:lineRule="atLeast"/>
        <w:rPr>
          <w:rFonts w:ascii="仿宋_GB2312" w:hAnsi="仿宋_GB2312" w:eastAsia="仿宋_GB2312" w:cs="仿宋_GB2312"/>
          <w:sz w:val="24"/>
        </w:rPr>
      </w:pPr>
      <w:r>
        <w:rPr>
          <w:rFonts w:hint="eastAsia" w:ascii="仿宋_GB2312" w:hAnsi="仿宋_GB2312" w:eastAsia="仿宋_GB2312" w:cs="仿宋_GB2312"/>
          <w:sz w:val="24"/>
        </w:rPr>
        <w:t>注：1.处罚处理对象包括资产评估机构及其专业人员。</w:t>
      </w:r>
    </w:p>
    <w:p w14:paraId="2D0E6AE1">
      <w:pPr>
        <w:spacing w:line="440" w:lineRule="atLeast"/>
        <w:rPr>
          <w:rFonts w:ascii="仿宋_GB2312" w:hAnsi="仿宋_GB2312" w:eastAsia="仿宋_GB2312" w:cs="仿宋_GB2312"/>
          <w:sz w:val="24"/>
        </w:rPr>
      </w:pPr>
      <w:r>
        <w:rPr>
          <w:rFonts w:hint="eastAsia" w:ascii="仿宋_GB2312" w:hAnsi="仿宋_GB2312" w:eastAsia="仿宋_GB2312" w:cs="仿宋_GB2312"/>
          <w:sz w:val="24"/>
        </w:rPr>
        <w:t>2.处罚处理对象为资产评估机构的，证件类型为统一社会信用代码；处罚处理对象为专业人员的需填写具体姓名，有身份证的，身份证件类型必须填写身份证。</w:t>
      </w:r>
    </w:p>
    <w:p w14:paraId="3500DE28">
      <w:pPr>
        <w:spacing w:line="440" w:lineRule="atLeast"/>
        <w:rPr>
          <w:rFonts w:ascii="仿宋_GB2312" w:hAnsi="仿宋_GB2312" w:eastAsia="仿宋_GB2312" w:cs="仿宋_GB2312"/>
          <w:sz w:val="24"/>
        </w:rPr>
      </w:pPr>
      <w:r>
        <w:rPr>
          <w:rFonts w:hint="eastAsia" w:ascii="仿宋_GB2312" w:hAnsi="仿宋_GB2312" w:eastAsia="仿宋_GB2312" w:cs="仿宋_GB2312"/>
          <w:sz w:val="24"/>
        </w:rPr>
        <w:t>3.处罚处理类型包括被立案调查、被司法机关侦查、刑事处罚、行政处罚、监督管理措施、行业协会自律惩戒、交易所自律监管措施与交易所纪律处分，按上述处罚处理类型顺序进行排序，同一处罚处理类型按照处罚处理日期先后顺序排序。</w:t>
      </w:r>
    </w:p>
    <w:p w14:paraId="251F774D">
      <w:pPr>
        <w:spacing w:line="440" w:lineRule="atLeast"/>
        <w:rPr>
          <w:rFonts w:ascii="仿宋_GB2312" w:hAnsi="仿宋_GB2312" w:eastAsia="仿宋_GB2312" w:cs="仿宋_GB2312"/>
          <w:sz w:val="32"/>
          <w:szCs w:val="32"/>
        </w:rPr>
        <w:sectPr>
          <w:pgSz w:w="16838" w:h="11906" w:orient="landscape"/>
          <w:pgMar w:top="1417" w:right="1440" w:bottom="1417" w:left="1440" w:header="851" w:footer="992" w:gutter="0"/>
          <w:cols w:space="0" w:num="1"/>
          <w:docGrid w:type="lines" w:linePitch="319" w:charSpace="0"/>
        </w:sectPr>
      </w:pPr>
      <w:r>
        <w:br w:type="page"/>
      </w:r>
    </w:p>
    <w:p w14:paraId="21733EEE">
      <w:pPr>
        <w:spacing w:line="440" w:lineRule="atLeast"/>
        <w:rPr>
          <w:rFonts w:ascii="宋体" w:hAnsi="宋体" w:eastAsia="宋体" w:cs="宋体"/>
          <w:sz w:val="24"/>
        </w:rPr>
      </w:pPr>
      <w:bookmarkStart w:id="49" w:name="_Toc30662"/>
      <w:r>
        <w:rPr>
          <w:rFonts w:hint="eastAsia" w:ascii="宋体" w:hAnsi="宋体" w:eastAsia="宋体" w:cs="宋体"/>
          <w:sz w:val="24"/>
        </w:rPr>
        <w:t>附4：</w:t>
      </w:r>
      <w:bookmarkEnd w:id="49"/>
    </w:p>
    <w:p w14:paraId="140AF851">
      <w:pPr>
        <w:spacing w:line="440" w:lineRule="atLeast"/>
        <w:jc w:val="center"/>
        <w:rPr>
          <w:rFonts w:ascii="宋体" w:hAnsi="宋体" w:eastAsia="宋体" w:cs="宋体"/>
          <w:sz w:val="32"/>
          <w:szCs w:val="32"/>
        </w:rPr>
      </w:pPr>
      <w:r>
        <w:rPr>
          <w:rFonts w:hint="eastAsia" w:ascii="宋体" w:hAnsi="宋体" w:eastAsia="宋体" w:cs="宋体"/>
          <w:b/>
          <w:bCs/>
          <w:sz w:val="32"/>
          <w:szCs w:val="32"/>
        </w:rPr>
        <w:t>资产评估机构从事证券服务业务年度备案表</w:t>
      </w:r>
    </w:p>
    <w:p w14:paraId="0D14BE16">
      <w:pPr>
        <w:spacing w:line="440" w:lineRule="atLeast"/>
        <w:ind w:right="428"/>
        <w:rPr>
          <w:rFonts w:ascii="仿宋_GB2312" w:hAnsi="仿宋_GB2312" w:eastAsia="仿宋_GB2312" w:cs="仿宋_GB2312"/>
          <w:sz w:val="24"/>
        </w:rPr>
      </w:pPr>
      <w:r>
        <w:rPr>
          <w:rFonts w:hint="eastAsia" w:ascii="仿宋_GB2312" w:hAnsi="仿宋_GB2312" w:eastAsia="仿宋_GB2312" w:cs="仿宋_GB2312"/>
          <w:sz w:val="24"/>
        </w:rPr>
        <w:t>资产评估机构名称：　　　　　　　　　　　　</w:t>
      </w:r>
    </w:p>
    <w:p w14:paraId="1103B1EC">
      <w:pPr>
        <w:spacing w:line="440" w:lineRule="atLeast"/>
        <w:ind w:right="428"/>
        <w:rPr>
          <w:rFonts w:ascii="仿宋_GB2312" w:hAnsi="仿宋_GB2312" w:eastAsia="仿宋_GB2312" w:cs="仿宋_GB2312"/>
          <w:sz w:val="24"/>
        </w:rPr>
      </w:pPr>
      <w:r>
        <w:rPr>
          <w:rFonts w:hint="eastAsia" w:ascii="仿宋_GB2312" w:hAnsi="仿宋_GB2312" w:eastAsia="仿宋_GB2312" w:cs="仿宋_GB2312"/>
          <w:sz w:val="24"/>
        </w:rPr>
        <w:t>填报日期:　    　年　　月　　日</w:t>
      </w:r>
    </w:p>
    <w:tbl>
      <w:tblPr>
        <w:tblStyle w:val="24"/>
        <w:tblW w:w="97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7"/>
        <w:gridCol w:w="938"/>
        <w:gridCol w:w="360"/>
        <w:gridCol w:w="360"/>
        <w:gridCol w:w="1898"/>
        <w:gridCol w:w="1217"/>
        <w:gridCol w:w="1027"/>
        <w:gridCol w:w="470"/>
        <w:gridCol w:w="348"/>
        <w:gridCol w:w="1020"/>
        <w:gridCol w:w="410"/>
      </w:tblGrid>
      <w:tr w14:paraId="6089B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1657" w:type="dxa"/>
            <w:tcBorders>
              <w:bottom w:val="nil"/>
            </w:tcBorders>
            <w:vAlign w:val="center"/>
          </w:tcPr>
          <w:p w14:paraId="58527A5A">
            <w:pPr>
              <w:spacing w:line="440" w:lineRule="atLeast"/>
              <w:jc w:val="center"/>
              <w:rPr>
                <w:rFonts w:ascii="仿宋_GB2312" w:hAnsi="仿宋_GB2312" w:eastAsia="仿宋_GB2312" w:cs="仿宋_GB2312"/>
                <w:sz w:val="24"/>
              </w:rPr>
            </w:pPr>
            <w:r>
              <w:rPr>
                <w:rFonts w:hint="eastAsia" w:ascii="仿宋_GB2312" w:hAnsi="仿宋_GB2312" w:eastAsia="仿宋_GB2312" w:cs="仿宋_GB2312"/>
                <w:sz w:val="24"/>
              </w:rPr>
              <w:t>上年末员工</w:t>
            </w:r>
          </w:p>
          <w:p w14:paraId="19DDDC7A">
            <w:pPr>
              <w:spacing w:line="440" w:lineRule="atLeast"/>
              <w:jc w:val="center"/>
              <w:rPr>
                <w:rFonts w:ascii="仿宋_GB2312" w:hAnsi="仿宋_GB2312" w:eastAsia="仿宋_GB2312" w:cs="仿宋_GB2312"/>
                <w:sz w:val="24"/>
              </w:rPr>
            </w:pPr>
            <w:r>
              <w:rPr>
                <w:rFonts w:hint="eastAsia" w:ascii="仿宋_GB2312" w:hAnsi="仿宋_GB2312" w:eastAsia="仿宋_GB2312" w:cs="仿宋_GB2312"/>
                <w:sz w:val="24"/>
              </w:rPr>
              <w:t>总数</w:t>
            </w:r>
          </w:p>
        </w:tc>
        <w:tc>
          <w:tcPr>
            <w:tcW w:w="3556" w:type="dxa"/>
            <w:gridSpan w:val="4"/>
            <w:tcBorders>
              <w:bottom w:val="nil"/>
            </w:tcBorders>
            <w:vAlign w:val="center"/>
          </w:tcPr>
          <w:p w14:paraId="7707A47C">
            <w:pPr>
              <w:spacing w:line="440" w:lineRule="atLeast"/>
              <w:jc w:val="center"/>
              <w:rPr>
                <w:rFonts w:ascii="仿宋_GB2312" w:hAnsi="仿宋_GB2312" w:eastAsia="仿宋_GB2312" w:cs="仿宋_GB2312"/>
                <w:sz w:val="24"/>
              </w:rPr>
            </w:pPr>
          </w:p>
        </w:tc>
        <w:tc>
          <w:tcPr>
            <w:tcW w:w="2714" w:type="dxa"/>
            <w:gridSpan w:val="3"/>
            <w:tcBorders>
              <w:bottom w:val="nil"/>
            </w:tcBorders>
            <w:vAlign w:val="center"/>
          </w:tcPr>
          <w:p w14:paraId="66B13485">
            <w:pPr>
              <w:spacing w:line="440" w:lineRule="atLeast"/>
              <w:jc w:val="center"/>
              <w:rPr>
                <w:rFonts w:ascii="仿宋_GB2312" w:hAnsi="仿宋_GB2312" w:eastAsia="仿宋_GB2312" w:cs="仿宋_GB2312"/>
                <w:sz w:val="24"/>
              </w:rPr>
            </w:pPr>
            <w:r>
              <w:rPr>
                <w:rFonts w:hint="eastAsia" w:ascii="仿宋_GB2312" w:hAnsi="仿宋_GB2312" w:eastAsia="仿宋_GB2312" w:cs="仿宋_GB2312"/>
                <w:sz w:val="24"/>
              </w:rPr>
              <w:t>上年末资产评估师总数</w:t>
            </w:r>
          </w:p>
        </w:tc>
        <w:tc>
          <w:tcPr>
            <w:tcW w:w="1778" w:type="dxa"/>
            <w:gridSpan w:val="3"/>
            <w:tcBorders>
              <w:bottom w:val="nil"/>
            </w:tcBorders>
            <w:vAlign w:val="center"/>
          </w:tcPr>
          <w:p w14:paraId="2C56C442">
            <w:pPr>
              <w:spacing w:line="440" w:lineRule="atLeast"/>
              <w:jc w:val="center"/>
              <w:rPr>
                <w:rFonts w:ascii="仿宋_GB2312" w:hAnsi="仿宋_GB2312" w:eastAsia="仿宋_GB2312" w:cs="仿宋_GB2312"/>
                <w:sz w:val="24"/>
              </w:rPr>
            </w:pPr>
          </w:p>
        </w:tc>
      </w:tr>
      <w:tr w14:paraId="2F8DB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954" w:hRule="atLeast"/>
          <w:jc w:val="center"/>
        </w:trPr>
        <w:tc>
          <w:tcPr>
            <w:tcW w:w="1657" w:type="dxa"/>
            <w:vMerge w:val="restart"/>
            <w:tcBorders>
              <w:top w:val="single" w:color="auto" w:sz="4" w:space="0"/>
              <w:left w:val="single" w:color="auto" w:sz="4" w:space="0"/>
              <w:right w:val="single" w:color="auto" w:sz="4" w:space="0"/>
            </w:tcBorders>
            <w:vAlign w:val="center"/>
          </w:tcPr>
          <w:p w14:paraId="48397A15">
            <w:pPr>
              <w:spacing w:line="440" w:lineRule="atLeast"/>
              <w:rPr>
                <w:rFonts w:ascii="仿宋_GB2312" w:hAnsi="仿宋_GB2312" w:eastAsia="仿宋_GB2312" w:cs="仿宋_GB2312"/>
                <w:sz w:val="24"/>
              </w:rPr>
            </w:pPr>
            <w:r>
              <w:rPr>
                <w:rFonts w:hint="eastAsia" w:ascii="仿宋_GB2312" w:hAnsi="仿宋_GB2312" w:eastAsia="仿宋_GB2312" w:cs="仿宋_GB2312"/>
                <w:sz w:val="24"/>
              </w:rPr>
              <w:t>上一年度股东（合伙人）变动情况</w:t>
            </w:r>
          </w:p>
        </w:tc>
        <w:tc>
          <w:tcPr>
            <w:tcW w:w="938" w:type="dxa"/>
            <w:vMerge w:val="restart"/>
            <w:tcBorders>
              <w:top w:val="single" w:color="auto" w:sz="4" w:space="0"/>
              <w:left w:val="single" w:color="auto" w:sz="4" w:space="0"/>
              <w:right w:val="single" w:color="auto" w:sz="4" w:space="0"/>
            </w:tcBorders>
            <w:vAlign w:val="center"/>
          </w:tcPr>
          <w:p w14:paraId="16FE8C4E">
            <w:pPr>
              <w:pStyle w:val="15"/>
              <w:tabs>
                <w:tab w:val="clear" w:pos="4153"/>
                <w:tab w:val="clear" w:pos="8306"/>
              </w:tabs>
              <w:snapToGrid/>
              <w:spacing w:line="440" w:lineRule="atLeast"/>
              <w:jc w:val="center"/>
              <w:rPr>
                <w:rFonts w:ascii="仿宋_GB2312" w:hAnsi="仿宋_GB2312" w:eastAsia="仿宋_GB2312" w:cs="仿宋_GB2312"/>
                <w:spacing w:val="2"/>
                <w:sz w:val="24"/>
              </w:rPr>
            </w:pPr>
            <w:r>
              <w:rPr>
                <w:rFonts w:hint="eastAsia" w:ascii="仿宋_GB2312" w:hAnsi="仿宋_GB2312" w:eastAsia="仿宋_GB2312" w:cs="仿宋_GB2312"/>
                <w:spacing w:val="2"/>
                <w:sz w:val="24"/>
              </w:rPr>
              <w:t>新增</w:t>
            </w:r>
          </w:p>
        </w:tc>
        <w:tc>
          <w:tcPr>
            <w:tcW w:w="360" w:type="dxa"/>
            <w:tcBorders>
              <w:top w:val="single" w:color="auto" w:sz="4" w:space="0"/>
              <w:left w:val="single" w:color="auto" w:sz="4" w:space="0"/>
              <w:right w:val="single" w:color="auto" w:sz="4" w:space="0"/>
            </w:tcBorders>
            <w:vAlign w:val="center"/>
          </w:tcPr>
          <w:p w14:paraId="2C660ACF">
            <w:pPr>
              <w:spacing w:line="440" w:lineRule="atLeast"/>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360" w:type="dxa"/>
            <w:tcBorders>
              <w:top w:val="single" w:color="auto" w:sz="4" w:space="0"/>
              <w:left w:val="single" w:color="auto" w:sz="4" w:space="0"/>
              <w:right w:val="single" w:color="auto" w:sz="4" w:space="0"/>
            </w:tcBorders>
            <w:vAlign w:val="center"/>
          </w:tcPr>
          <w:p w14:paraId="26B4DD7B">
            <w:pPr>
              <w:spacing w:line="440" w:lineRule="atLeast"/>
              <w:jc w:val="center"/>
              <w:rPr>
                <w:rFonts w:ascii="仿宋_GB2312" w:hAnsi="仿宋_GB2312" w:eastAsia="仿宋_GB2312" w:cs="仿宋_GB2312"/>
                <w:sz w:val="24"/>
              </w:rPr>
            </w:pPr>
            <w:r>
              <w:rPr>
                <w:rFonts w:hint="eastAsia" w:ascii="仿宋_GB2312" w:hAnsi="仿宋_GB2312" w:eastAsia="仿宋_GB2312" w:cs="仿宋_GB2312"/>
                <w:sz w:val="24"/>
              </w:rPr>
              <w:t>持股比例</w:t>
            </w:r>
          </w:p>
        </w:tc>
        <w:tc>
          <w:tcPr>
            <w:tcW w:w="1898" w:type="dxa"/>
            <w:vMerge w:val="restart"/>
            <w:tcBorders>
              <w:top w:val="single" w:color="auto" w:sz="4" w:space="0"/>
              <w:left w:val="single" w:color="auto" w:sz="4" w:space="0"/>
              <w:right w:val="single" w:color="auto" w:sz="4" w:space="0"/>
            </w:tcBorders>
            <w:vAlign w:val="center"/>
          </w:tcPr>
          <w:p w14:paraId="27978B0F">
            <w:pPr>
              <w:spacing w:line="440" w:lineRule="atLeast"/>
              <w:jc w:val="center"/>
              <w:rPr>
                <w:rFonts w:ascii="仿宋_GB2312" w:hAnsi="仿宋_GB2312" w:eastAsia="仿宋_GB2312" w:cs="仿宋_GB2312"/>
                <w:sz w:val="24"/>
              </w:rPr>
            </w:pPr>
            <w:r>
              <w:rPr>
                <w:rFonts w:hint="eastAsia" w:ascii="仿宋_GB2312" w:hAnsi="仿宋_GB2312" w:eastAsia="仿宋_GB2312" w:cs="仿宋_GB2312"/>
                <w:sz w:val="24"/>
              </w:rPr>
              <w:t>上年末净资产（万元）</w:t>
            </w:r>
          </w:p>
        </w:tc>
        <w:tc>
          <w:tcPr>
            <w:tcW w:w="1217" w:type="dxa"/>
            <w:vMerge w:val="restart"/>
            <w:tcBorders>
              <w:top w:val="single" w:color="auto" w:sz="4" w:space="0"/>
              <w:left w:val="single" w:color="auto" w:sz="4" w:space="0"/>
              <w:right w:val="single" w:color="auto" w:sz="4" w:space="0"/>
            </w:tcBorders>
            <w:vAlign w:val="center"/>
          </w:tcPr>
          <w:p w14:paraId="09FC7FDB">
            <w:pPr>
              <w:spacing w:line="440" w:lineRule="atLeast"/>
              <w:jc w:val="center"/>
              <w:rPr>
                <w:rFonts w:ascii="仿宋_GB2312" w:hAnsi="仿宋_GB2312" w:eastAsia="仿宋_GB2312" w:cs="仿宋_GB2312"/>
                <w:sz w:val="24"/>
              </w:rPr>
            </w:pPr>
          </w:p>
        </w:tc>
        <w:tc>
          <w:tcPr>
            <w:tcW w:w="1027" w:type="dxa"/>
            <w:vMerge w:val="restart"/>
            <w:tcBorders>
              <w:top w:val="single" w:color="auto" w:sz="4" w:space="0"/>
              <w:left w:val="single" w:color="auto" w:sz="4" w:space="0"/>
              <w:right w:val="single" w:color="auto" w:sz="4" w:space="0"/>
            </w:tcBorders>
            <w:vAlign w:val="center"/>
          </w:tcPr>
          <w:p w14:paraId="24221930">
            <w:pPr>
              <w:spacing w:line="440" w:lineRule="atLeast"/>
              <w:jc w:val="center"/>
              <w:rPr>
                <w:rFonts w:ascii="仿宋_GB2312" w:hAnsi="仿宋_GB2312" w:eastAsia="仿宋_GB2312" w:cs="仿宋_GB2312"/>
                <w:sz w:val="24"/>
              </w:rPr>
            </w:pPr>
            <w:r>
              <w:rPr>
                <w:rFonts w:hint="eastAsia" w:ascii="仿宋_GB2312" w:hAnsi="仿宋_GB2312" w:eastAsia="仿宋_GB2312" w:cs="仿宋_GB2312"/>
                <w:sz w:val="24"/>
              </w:rPr>
              <w:t>上一年度资产评估业务收入（万元）</w:t>
            </w:r>
          </w:p>
        </w:tc>
        <w:tc>
          <w:tcPr>
            <w:tcW w:w="818" w:type="dxa"/>
            <w:gridSpan w:val="2"/>
            <w:vMerge w:val="restart"/>
            <w:tcBorders>
              <w:top w:val="single" w:color="auto" w:sz="4" w:space="0"/>
              <w:left w:val="single" w:color="auto" w:sz="4" w:space="0"/>
              <w:right w:val="single" w:color="auto" w:sz="4" w:space="0"/>
            </w:tcBorders>
            <w:vAlign w:val="center"/>
          </w:tcPr>
          <w:p w14:paraId="68D147B8">
            <w:pPr>
              <w:spacing w:line="440" w:lineRule="atLeast"/>
              <w:jc w:val="center"/>
              <w:rPr>
                <w:rFonts w:ascii="仿宋_GB2312" w:hAnsi="仿宋_GB2312" w:eastAsia="仿宋_GB2312" w:cs="仿宋_GB2312"/>
                <w:sz w:val="24"/>
              </w:rPr>
            </w:pPr>
          </w:p>
        </w:tc>
        <w:tc>
          <w:tcPr>
            <w:tcW w:w="1020" w:type="dxa"/>
            <w:vMerge w:val="restart"/>
            <w:tcBorders>
              <w:top w:val="single" w:color="auto" w:sz="4" w:space="0"/>
              <w:left w:val="single" w:color="auto" w:sz="4" w:space="0"/>
              <w:right w:val="single" w:color="auto" w:sz="4" w:space="0"/>
            </w:tcBorders>
            <w:vAlign w:val="center"/>
          </w:tcPr>
          <w:p w14:paraId="04738F49">
            <w:pPr>
              <w:spacing w:line="440" w:lineRule="atLeast"/>
              <w:jc w:val="center"/>
              <w:rPr>
                <w:rFonts w:ascii="仿宋_GB2312" w:hAnsi="仿宋_GB2312" w:eastAsia="仿宋_GB2312" w:cs="仿宋_GB2312"/>
                <w:sz w:val="24"/>
              </w:rPr>
            </w:pPr>
            <w:r>
              <w:rPr>
                <w:rFonts w:hint="eastAsia" w:ascii="仿宋_GB2312" w:hAnsi="仿宋_GB2312" w:eastAsia="仿宋_GB2312" w:cs="仿宋_GB2312"/>
                <w:sz w:val="24"/>
              </w:rPr>
              <w:t>上一年度业务收入（万元）</w:t>
            </w:r>
          </w:p>
        </w:tc>
        <w:tc>
          <w:tcPr>
            <w:tcW w:w="410" w:type="dxa"/>
            <w:vMerge w:val="restart"/>
            <w:tcBorders>
              <w:top w:val="single" w:color="auto" w:sz="4" w:space="0"/>
              <w:left w:val="single" w:color="auto" w:sz="4" w:space="0"/>
              <w:right w:val="single" w:color="auto" w:sz="4" w:space="0"/>
            </w:tcBorders>
            <w:vAlign w:val="center"/>
          </w:tcPr>
          <w:p w14:paraId="60C57E47">
            <w:pPr>
              <w:spacing w:line="440" w:lineRule="atLeast"/>
              <w:jc w:val="center"/>
              <w:rPr>
                <w:rFonts w:ascii="仿宋_GB2312" w:hAnsi="仿宋_GB2312" w:eastAsia="仿宋_GB2312" w:cs="仿宋_GB2312"/>
                <w:sz w:val="24"/>
              </w:rPr>
            </w:pPr>
          </w:p>
        </w:tc>
      </w:tr>
      <w:tr w14:paraId="369EA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4" w:hRule="atLeast"/>
          <w:jc w:val="center"/>
        </w:trPr>
        <w:tc>
          <w:tcPr>
            <w:tcW w:w="1657" w:type="dxa"/>
            <w:vMerge w:val="continue"/>
            <w:tcBorders>
              <w:left w:val="single" w:color="auto" w:sz="4" w:space="0"/>
              <w:right w:val="single" w:color="auto" w:sz="4" w:space="0"/>
            </w:tcBorders>
            <w:vAlign w:val="center"/>
          </w:tcPr>
          <w:p w14:paraId="6625B4EE">
            <w:pPr>
              <w:spacing w:line="440" w:lineRule="atLeast"/>
              <w:rPr>
                <w:rFonts w:ascii="仿宋_GB2312" w:hAnsi="仿宋_GB2312" w:eastAsia="仿宋_GB2312" w:cs="仿宋_GB2312"/>
                <w:sz w:val="24"/>
              </w:rPr>
            </w:pPr>
          </w:p>
        </w:tc>
        <w:tc>
          <w:tcPr>
            <w:tcW w:w="938" w:type="dxa"/>
            <w:vMerge w:val="continue"/>
            <w:tcBorders>
              <w:left w:val="single" w:color="auto" w:sz="4" w:space="0"/>
              <w:bottom w:val="single" w:color="auto" w:sz="4" w:space="0"/>
              <w:right w:val="single" w:color="auto" w:sz="4" w:space="0"/>
            </w:tcBorders>
            <w:vAlign w:val="center"/>
          </w:tcPr>
          <w:p w14:paraId="71B1D1D7">
            <w:pPr>
              <w:pStyle w:val="15"/>
              <w:tabs>
                <w:tab w:val="clear" w:pos="4153"/>
                <w:tab w:val="clear" w:pos="8306"/>
              </w:tabs>
              <w:snapToGrid/>
              <w:spacing w:line="440" w:lineRule="atLeast"/>
              <w:jc w:val="center"/>
              <w:rPr>
                <w:rFonts w:ascii="仿宋_GB2312" w:hAnsi="仿宋_GB2312" w:eastAsia="仿宋_GB2312" w:cs="仿宋_GB2312"/>
                <w:spacing w:val="2"/>
                <w:sz w:val="24"/>
              </w:rPr>
            </w:pPr>
          </w:p>
        </w:tc>
        <w:tc>
          <w:tcPr>
            <w:tcW w:w="360" w:type="dxa"/>
            <w:tcBorders>
              <w:top w:val="single" w:color="auto" w:sz="4" w:space="0"/>
              <w:left w:val="single" w:color="auto" w:sz="4" w:space="0"/>
              <w:right w:val="single" w:color="auto" w:sz="4" w:space="0"/>
            </w:tcBorders>
            <w:vAlign w:val="center"/>
          </w:tcPr>
          <w:p w14:paraId="74716B15">
            <w:pPr>
              <w:spacing w:line="440" w:lineRule="atLeast"/>
              <w:jc w:val="center"/>
              <w:rPr>
                <w:rFonts w:ascii="仿宋_GB2312" w:hAnsi="仿宋_GB2312" w:eastAsia="仿宋_GB2312" w:cs="仿宋_GB2312"/>
                <w:sz w:val="24"/>
              </w:rPr>
            </w:pPr>
          </w:p>
        </w:tc>
        <w:tc>
          <w:tcPr>
            <w:tcW w:w="360" w:type="dxa"/>
            <w:tcBorders>
              <w:top w:val="single" w:color="auto" w:sz="4" w:space="0"/>
              <w:left w:val="single" w:color="auto" w:sz="4" w:space="0"/>
              <w:right w:val="single" w:color="auto" w:sz="4" w:space="0"/>
            </w:tcBorders>
            <w:vAlign w:val="center"/>
          </w:tcPr>
          <w:p w14:paraId="0D765826">
            <w:pPr>
              <w:spacing w:line="440" w:lineRule="atLeast"/>
              <w:jc w:val="center"/>
              <w:rPr>
                <w:rFonts w:ascii="仿宋_GB2312" w:hAnsi="仿宋_GB2312" w:eastAsia="仿宋_GB2312" w:cs="仿宋_GB2312"/>
                <w:sz w:val="24"/>
              </w:rPr>
            </w:pPr>
          </w:p>
        </w:tc>
        <w:tc>
          <w:tcPr>
            <w:tcW w:w="1898" w:type="dxa"/>
            <w:vMerge w:val="continue"/>
            <w:tcBorders>
              <w:left w:val="single" w:color="auto" w:sz="4" w:space="0"/>
              <w:right w:val="single" w:color="auto" w:sz="4" w:space="0"/>
            </w:tcBorders>
            <w:vAlign w:val="center"/>
          </w:tcPr>
          <w:p w14:paraId="4DE9F1BE">
            <w:pPr>
              <w:spacing w:line="440" w:lineRule="atLeast"/>
              <w:jc w:val="center"/>
              <w:rPr>
                <w:rFonts w:ascii="仿宋_GB2312" w:hAnsi="仿宋_GB2312" w:eastAsia="仿宋_GB2312" w:cs="仿宋_GB2312"/>
                <w:sz w:val="24"/>
              </w:rPr>
            </w:pPr>
          </w:p>
        </w:tc>
        <w:tc>
          <w:tcPr>
            <w:tcW w:w="1217" w:type="dxa"/>
            <w:vMerge w:val="continue"/>
            <w:tcBorders>
              <w:left w:val="single" w:color="auto" w:sz="4" w:space="0"/>
              <w:right w:val="single" w:color="auto" w:sz="4" w:space="0"/>
            </w:tcBorders>
            <w:vAlign w:val="center"/>
          </w:tcPr>
          <w:p w14:paraId="30E0066C">
            <w:pPr>
              <w:spacing w:line="440" w:lineRule="atLeast"/>
              <w:jc w:val="center"/>
              <w:rPr>
                <w:rFonts w:ascii="仿宋_GB2312" w:hAnsi="仿宋_GB2312" w:eastAsia="仿宋_GB2312" w:cs="仿宋_GB2312"/>
                <w:sz w:val="24"/>
              </w:rPr>
            </w:pPr>
          </w:p>
        </w:tc>
        <w:tc>
          <w:tcPr>
            <w:tcW w:w="1027" w:type="dxa"/>
            <w:vMerge w:val="continue"/>
            <w:tcBorders>
              <w:left w:val="single" w:color="auto" w:sz="4" w:space="0"/>
              <w:right w:val="single" w:color="auto" w:sz="4" w:space="0"/>
            </w:tcBorders>
            <w:vAlign w:val="center"/>
          </w:tcPr>
          <w:p w14:paraId="23417C29">
            <w:pPr>
              <w:spacing w:line="440" w:lineRule="atLeast"/>
              <w:jc w:val="center"/>
              <w:rPr>
                <w:rFonts w:ascii="仿宋_GB2312" w:hAnsi="仿宋_GB2312" w:eastAsia="仿宋_GB2312" w:cs="仿宋_GB2312"/>
                <w:sz w:val="24"/>
              </w:rPr>
            </w:pPr>
          </w:p>
        </w:tc>
        <w:tc>
          <w:tcPr>
            <w:tcW w:w="818" w:type="dxa"/>
            <w:gridSpan w:val="2"/>
            <w:vMerge w:val="continue"/>
            <w:tcBorders>
              <w:left w:val="single" w:color="auto" w:sz="4" w:space="0"/>
              <w:right w:val="single" w:color="auto" w:sz="4" w:space="0"/>
            </w:tcBorders>
            <w:vAlign w:val="center"/>
          </w:tcPr>
          <w:p w14:paraId="1EC10110">
            <w:pPr>
              <w:spacing w:line="440" w:lineRule="atLeast"/>
              <w:jc w:val="center"/>
              <w:rPr>
                <w:rFonts w:ascii="仿宋_GB2312" w:hAnsi="仿宋_GB2312" w:eastAsia="仿宋_GB2312" w:cs="仿宋_GB2312"/>
                <w:sz w:val="24"/>
              </w:rPr>
            </w:pPr>
          </w:p>
        </w:tc>
        <w:tc>
          <w:tcPr>
            <w:tcW w:w="1020" w:type="dxa"/>
            <w:vMerge w:val="continue"/>
            <w:tcBorders>
              <w:left w:val="single" w:color="auto" w:sz="4" w:space="0"/>
              <w:right w:val="single" w:color="auto" w:sz="4" w:space="0"/>
            </w:tcBorders>
            <w:vAlign w:val="center"/>
          </w:tcPr>
          <w:p w14:paraId="419269A8">
            <w:pPr>
              <w:spacing w:line="440" w:lineRule="atLeast"/>
              <w:jc w:val="center"/>
              <w:rPr>
                <w:rFonts w:ascii="仿宋_GB2312" w:hAnsi="仿宋_GB2312" w:eastAsia="仿宋_GB2312" w:cs="仿宋_GB2312"/>
                <w:sz w:val="24"/>
              </w:rPr>
            </w:pPr>
          </w:p>
        </w:tc>
        <w:tc>
          <w:tcPr>
            <w:tcW w:w="410" w:type="dxa"/>
            <w:vMerge w:val="continue"/>
            <w:tcBorders>
              <w:left w:val="single" w:color="auto" w:sz="4" w:space="0"/>
              <w:right w:val="single" w:color="auto" w:sz="4" w:space="0"/>
            </w:tcBorders>
            <w:vAlign w:val="center"/>
          </w:tcPr>
          <w:p w14:paraId="0E48AE3A">
            <w:pPr>
              <w:spacing w:line="440" w:lineRule="atLeast"/>
              <w:jc w:val="center"/>
              <w:rPr>
                <w:rFonts w:ascii="仿宋_GB2312" w:hAnsi="仿宋_GB2312" w:eastAsia="仿宋_GB2312" w:cs="仿宋_GB2312"/>
                <w:sz w:val="24"/>
              </w:rPr>
            </w:pPr>
          </w:p>
        </w:tc>
      </w:tr>
      <w:tr w14:paraId="4CC74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8" w:hRule="atLeast"/>
          <w:jc w:val="center"/>
        </w:trPr>
        <w:tc>
          <w:tcPr>
            <w:tcW w:w="1657" w:type="dxa"/>
            <w:vMerge w:val="continue"/>
            <w:tcBorders>
              <w:left w:val="single" w:color="auto" w:sz="4" w:space="0"/>
              <w:right w:val="single" w:color="auto" w:sz="4" w:space="0"/>
            </w:tcBorders>
            <w:vAlign w:val="center"/>
          </w:tcPr>
          <w:p w14:paraId="69AEA827">
            <w:pPr>
              <w:spacing w:line="440" w:lineRule="atLeast"/>
              <w:jc w:val="center"/>
              <w:rPr>
                <w:rFonts w:ascii="仿宋_GB2312" w:hAnsi="仿宋_GB2312" w:eastAsia="仿宋_GB2312" w:cs="仿宋_GB2312"/>
                <w:sz w:val="24"/>
              </w:rPr>
            </w:pPr>
          </w:p>
        </w:tc>
        <w:tc>
          <w:tcPr>
            <w:tcW w:w="938" w:type="dxa"/>
            <w:vMerge w:val="restart"/>
            <w:tcBorders>
              <w:top w:val="single" w:color="auto" w:sz="4" w:space="0"/>
              <w:left w:val="single" w:color="auto" w:sz="4" w:space="0"/>
              <w:right w:val="single" w:color="auto" w:sz="4" w:space="0"/>
            </w:tcBorders>
            <w:vAlign w:val="center"/>
          </w:tcPr>
          <w:p w14:paraId="1A17C080">
            <w:pPr>
              <w:spacing w:line="440" w:lineRule="atLeast"/>
              <w:jc w:val="center"/>
              <w:rPr>
                <w:rFonts w:ascii="仿宋_GB2312" w:hAnsi="仿宋_GB2312" w:eastAsia="仿宋_GB2312" w:cs="仿宋_GB2312"/>
                <w:sz w:val="24"/>
              </w:rPr>
            </w:pPr>
            <w:r>
              <w:rPr>
                <w:rFonts w:hint="eastAsia" w:ascii="仿宋_GB2312" w:hAnsi="仿宋_GB2312" w:eastAsia="仿宋_GB2312" w:cs="仿宋_GB2312"/>
                <w:sz w:val="24"/>
              </w:rPr>
              <w:t>退出</w:t>
            </w:r>
          </w:p>
        </w:tc>
        <w:tc>
          <w:tcPr>
            <w:tcW w:w="360" w:type="dxa"/>
            <w:tcBorders>
              <w:left w:val="single" w:color="auto" w:sz="4" w:space="0"/>
              <w:right w:val="single" w:color="auto" w:sz="4" w:space="0"/>
            </w:tcBorders>
            <w:vAlign w:val="center"/>
          </w:tcPr>
          <w:p w14:paraId="5EC0DE9E">
            <w:pPr>
              <w:spacing w:line="440" w:lineRule="atLeast"/>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360" w:type="dxa"/>
            <w:tcBorders>
              <w:left w:val="single" w:color="auto" w:sz="4" w:space="0"/>
              <w:right w:val="single" w:color="auto" w:sz="4" w:space="0"/>
            </w:tcBorders>
            <w:vAlign w:val="center"/>
          </w:tcPr>
          <w:p w14:paraId="60E8F512">
            <w:pPr>
              <w:spacing w:line="440" w:lineRule="atLeast"/>
              <w:jc w:val="center"/>
              <w:rPr>
                <w:rFonts w:ascii="仿宋_GB2312" w:hAnsi="仿宋_GB2312" w:eastAsia="仿宋_GB2312" w:cs="仿宋_GB2312"/>
                <w:sz w:val="24"/>
              </w:rPr>
            </w:pPr>
            <w:r>
              <w:rPr>
                <w:rFonts w:hint="eastAsia" w:ascii="仿宋_GB2312" w:hAnsi="仿宋_GB2312" w:eastAsia="仿宋_GB2312" w:cs="仿宋_GB2312"/>
                <w:sz w:val="24"/>
              </w:rPr>
              <w:t>持股比例</w:t>
            </w:r>
          </w:p>
        </w:tc>
        <w:tc>
          <w:tcPr>
            <w:tcW w:w="1898" w:type="dxa"/>
            <w:vMerge w:val="restart"/>
            <w:tcBorders>
              <w:left w:val="single" w:color="auto" w:sz="4" w:space="0"/>
              <w:bottom w:val="nil"/>
              <w:right w:val="single" w:color="auto" w:sz="4" w:space="0"/>
            </w:tcBorders>
            <w:vAlign w:val="center"/>
          </w:tcPr>
          <w:p w14:paraId="2BC72947">
            <w:pPr>
              <w:spacing w:line="440" w:lineRule="atLeast"/>
              <w:jc w:val="center"/>
              <w:rPr>
                <w:rFonts w:ascii="仿宋_GB2312" w:hAnsi="仿宋_GB2312" w:eastAsia="仿宋_GB2312" w:cs="仿宋_GB2312"/>
                <w:sz w:val="24"/>
              </w:rPr>
            </w:pPr>
            <w:r>
              <w:rPr>
                <w:rFonts w:hint="eastAsia" w:ascii="仿宋_GB2312" w:hAnsi="仿宋_GB2312" w:eastAsia="仿宋_GB2312" w:cs="仿宋_GB2312"/>
                <w:sz w:val="24"/>
              </w:rPr>
              <w:t>上一年度证券服务业务收入</w:t>
            </w:r>
          </w:p>
          <w:p w14:paraId="575E8A30">
            <w:pPr>
              <w:spacing w:line="440" w:lineRule="atLeast"/>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217" w:type="dxa"/>
            <w:vMerge w:val="restart"/>
            <w:tcBorders>
              <w:left w:val="single" w:color="auto" w:sz="4" w:space="0"/>
              <w:right w:val="single" w:color="auto" w:sz="4" w:space="0"/>
            </w:tcBorders>
            <w:vAlign w:val="center"/>
          </w:tcPr>
          <w:p w14:paraId="61397635">
            <w:pPr>
              <w:spacing w:line="440" w:lineRule="atLeast"/>
              <w:jc w:val="center"/>
              <w:rPr>
                <w:rFonts w:ascii="仿宋_GB2312" w:hAnsi="仿宋_GB2312" w:eastAsia="仿宋_GB2312" w:cs="仿宋_GB2312"/>
                <w:sz w:val="24"/>
              </w:rPr>
            </w:pPr>
          </w:p>
        </w:tc>
        <w:tc>
          <w:tcPr>
            <w:tcW w:w="1845" w:type="dxa"/>
            <w:gridSpan w:val="3"/>
            <w:tcBorders>
              <w:left w:val="single" w:color="auto" w:sz="4" w:space="0"/>
              <w:right w:val="single" w:color="auto" w:sz="4" w:space="0"/>
            </w:tcBorders>
            <w:vAlign w:val="center"/>
          </w:tcPr>
          <w:p w14:paraId="7829F801">
            <w:pPr>
              <w:spacing w:line="440" w:lineRule="atLeast"/>
              <w:jc w:val="center"/>
              <w:rPr>
                <w:rFonts w:ascii="仿宋_GB2312" w:hAnsi="仿宋_GB2312" w:eastAsia="仿宋_GB2312" w:cs="仿宋_GB2312"/>
                <w:sz w:val="24"/>
              </w:rPr>
            </w:pPr>
            <w:r>
              <w:rPr>
                <w:rFonts w:hint="eastAsia" w:ascii="仿宋_GB2312" w:hAnsi="仿宋_GB2312" w:eastAsia="仿宋_GB2312" w:cs="仿宋_GB2312"/>
                <w:sz w:val="24"/>
              </w:rPr>
              <w:t>保险合同有效期内职业保险累计赔偿限额（万元）</w:t>
            </w:r>
          </w:p>
        </w:tc>
        <w:tc>
          <w:tcPr>
            <w:tcW w:w="1430" w:type="dxa"/>
            <w:gridSpan w:val="2"/>
            <w:tcBorders>
              <w:left w:val="single" w:color="auto" w:sz="4" w:space="0"/>
              <w:right w:val="single" w:color="auto" w:sz="4" w:space="0"/>
            </w:tcBorders>
            <w:vAlign w:val="center"/>
          </w:tcPr>
          <w:p w14:paraId="3CA403AA">
            <w:pPr>
              <w:spacing w:line="440" w:lineRule="atLeast"/>
              <w:jc w:val="center"/>
              <w:rPr>
                <w:rFonts w:ascii="仿宋_GB2312" w:hAnsi="仿宋_GB2312" w:eastAsia="仿宋_GB2312" w:cs="仿宋_GB2312"/>
                <w:sz w:val="24"/>
              </w:rPr>
            </w:pPr>
          </w:p>
        </w:tc>
      </w:tr>
      <w:tr w14:paraId="74DDF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9" w:hRule="atLeast"/>
          <w:jc w:val="center"/>
        </w:trPr>
        <w:tc>
          <w:tcPr>
            <w:tcW w:w="1657" w:type="dxa"/>
            <w:vMerge w:val="continue"/>
            <w:tcBorders>
              <w:left w:val="single" w:color="auto" w:sz="4" w:space="0"/>
              <w:bottom w:val="single" w:color="auto" w:sz="4" w:space="0"/>
              <w:right w:val="single" w:color="auto" w:sz="4" w:space="0"/>
            </w:tcBorders>
            <w:vAlign w:val="center"/>
          </w:tcPr>
          <w:p w14:paraId="076390A3">
            <w:pPr>
              <w:spacing w:line="440" w:lineRule="atLeast"/>
              <w:jc w:val="center"/>
              <w:rPr>
                <w:rFonts w:ascii="仿宋_GB2312" w:hAnsi="仿宋_GB2312" w:eastAsia="仿宋_GB2312" w:cs="仿宋_GB2312"/>
                <w:sz w:val="24"/>
              </w:rPr>
            </w:pPr>
          </w:p>
        </w:tc>
        <w:tc>
          <w:tcPr>
            <w:tcW w:w="938" w:type="dxa"/>
            <w:vMerge w:val="continue"/>
            <w:tcBorders>
              <w:left w:val="single" w:color="auto" w:sz="4" w:space="0"/>
              <w:bottom w:val="single" w:color="auto" w:sz="4" w:space="0"/>
              <w:right w:val="single" w:color="auto" w:sz="4" w:space="0"/>
            </w:tcBorders>
            <w:vAlign w:val="center"/>
          </w:tcPr>
          <w:p w14:paraId="2A8E3203">
            <w:pPr>
              <w:spacing w:line="440" w:lineRule="atLeast"/>
              <w:jc w:val="center"/>
              <w:rPr>
                <w:rFonts w:ascii="仿宋_GB2312" w:hAnsi="仿宋_GB2312" w:eastAsia="仿宋_GB2312" w:cs="仿宋_GB2312"/>
                <w:sz w:val="24"/>
              </w:rPr>
            </w:pPr>
          </w:p>
        </w:tc>
        <w:tc>
          <w:tcPr>
            <w:tcW w:w="360" w:type="dxa"/>
            <w:tcBorders>
              <w:left w:val="single" w:color="auto" w:sz="4" w:space="0"/>
              <w:bottom w:val="single" w:color="auto" w:sz="4" w:space="0"/>
              <w:right w:val="single" w:color="auto" w:sz="4" w:space="0"/>
            </w:tcBorders>
            <w:vAlign w:val="center"/>
          </w:tcPr>
          <w:p w14:paraId="4F727029">
            <w:pPr>
              <w:spacing w:line="440" w:lineRule="atLeast"/>
              <w:jc w:val="center"/>
              <w:rPr>
                <w:rFonts w:ascii="仿宋_GB2312" w:hAnsi="仿宋_GB2312" w:eastAsia="仿宋_GB2312" w:cs="仿宋_GB2312"/>
                <w:sz w:val="24"/>
              </w:rPr>
            </w:pPr>
          </w:p>
        </w:tc>
        <w:tc>
          <w:tcPr>
            <w:tcW w:w="360" w:type="dxa"/>
            <w:tcBorders>
              <w:left w:val="single" w:color="auto" w:sz="4" w:space="0"/>
              <w:bottom w:val="single" w:color="auto" w:sz="4" w:space="0"/>
              <w:right w:val="single" w:color="auto" w:sz="4" w:space="0"/>
            </w:tcBorders>
            <w:vAlign w:val="center"/>
          </w:tcPr>
          <w:p w14:paraId="63233DDE">
            <w:pPr>
              <w:spacing w:line="440" w:lineRule="atLeast"/>
              <w:jc w:val="center"/>
              <w:rPr>
                <w:rFonts w:ascii="仿宋_GB2312" w:hAnsi="仿宋_GB2312" w:eastAsia="仿宋_GB2312" w:cs="仿宋_GB2312"/>
                <w:sz w:val="24"/>
              </w:rPr>
            </w:pPr>
          </w:p>
        </w:tc>
        <w:tc>
          <w:tcPr>
            <w:tcW w:w="1898" w:type="dxa"/>
            <w:vMerge w:val="continue"/>
            <w:tcBorders>
              <w:left w:val="single" w:color="auto" w:sz="4" w:space="0"/>
              <w:bottom w:val="nil"/>
              <w:right w:val="single" w:color="auto" w:sz="4" w:space="0"/>
            </w:tcBorders>
            <w:vAlign w:val="center"/>
          </w:tcPr>
          <w:p w14:paraId="7648E055">
            <w:pPr>
              <w:spacing w:line="440" w:lineRule="atLeast"/>
              <w:jc w:val="center"/>
              <w:rPr>
                <w:rFonts w:ascii="仿宋_GB2312" w:hAnsi="仿宋_GB2312" w:eastAsia="仿宋_GB2312" w:cs="仿宋_GB2312"/>
                <w:sz w:val="24"/>
              </w:rPr>
            </w:pPr>
          </w:p>
        </w:tc>
        <w:tc>
          <w:tcPr>
            <w:tcW w:w="1217" w:type="dxa"/>
            <w:vMerge w:val="continue"/>
            <w:tcBorders>
              <w:left w:val="single" w:color="auto" w:sz="4" w:space="0"/>
              <w:bottom w:val="single" w:color="auto" w:sz="4" w:space="0"/>
              <w:right w:val="single" w:color="auto" w:sz="4" w:space="0"/>
            </w:tcBorders>
            <w:vAlign w:val="center"/>
          </w:tcPr>
          <w:p w14:paraId="3D8C930B">
            <w:pPr>
              <w:spacing w:line="440" w:lineRule="atLeast"/>
              <w:jc w:val="center"/>
              <w:rPr>
                <w:rFonts w:ascii="仿宋_GB2312" w:hAnsi="仿宋_GB2312" w:eastAsia="仿宋_GB2312" w:cs="仿宋_GB2312"/>
                <w:sz w:val="24"/>
              </w:rPr>
            </w:pPr>
          </w:p>
        </w:tc>
        <w:tc>
          <w:tcPr>
            <w:tcW w:w="1845" w:type="dxa"/>
            <w:gridSpan w:val="3"/>
            <w:tcBorders>
              <w:left w:val="single" w:color="auto" w:sz="4" w:space="0"/>
              <w:bottom w:val="single" w:color="auto" w:sz="4" w:space="0"/>
              <w:right w:val="single" w:color="auto" w:sz="4" w:space="0"/>
            </w:tcBorders>
            <w:vAlign w:val="center"/>
          </w:tcPr>
          <w:p w14:paraId="1BA67986">
            <w:pPr>
              <w:spacing w:line="440" w:lineRule="atLeast"/>
              <w:jc w:val="center"/>
              <w:rPr>
                <w:rFonts w:ascii="仿宋_GB2312" w:hAnsi="仿宋_GB2312" w:eastAsia="仿宋_GB2312" w:cs="仿宋_GB2312"/>
                <w:sz w:val="24"/>
              </w:rPr>
            </w:pPr>
            <w:r>
              <w:rPr>
                <w:rFonts w:hint="eastAsia" w:ascii="仿宋_GB2312" w:hAnsi="仿宋_GB2312" w:eastAsia="仿宋_GB2312" w:cs="仿宋_GB2312"/>
                <w:sz w:val="24"/>
              </w:rPr>
              <w:t>累计职业风险基金（万元）</w:t>
            </w:r>
          </w:p>
        </w:tc>
        <w:tc>
          <w:tcPr>
            <w:tcW w:w="1430" w:type="dxa"/>
            <w:gridSpan w:val="2"/>
            <w:tcBorders>
              <w:left w:val="single" w:color="auto" w:sz="4" w:space="0"/>
              <w:bottom w:val="single" w:color="auto" w:sz="4" w:space="0"/>
              <w:right w:val="single" w:color="auto" w:sz="4" w:space="0"/>
            </w:tcBorders>
            <w:vAlign w:val="center"/>
          </w:tcPr>
          <w:p w14:paraId="1AC65361">
            <w:pPr>
              <w:spacing w:line="440" w:lineRule="atLeast"/>
              <w:jc w:val="center"/>
              <w:rPr>
                <w:rFonts w:ascii="仿宋_GB2312" w:hAnsi="仿宋_GB2312" w:eastAsia="仿宋_GB2312" w:cs="仿宋_GB2312"/>
                <w:sz w:val="24"/>
              </w:rPr>
            </w:pPr>
          </w:p>
        </w:tc>
      </w:tr>
      <w:tr w14:paraId="6C91D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9" w:hRule="atLeast"/>
          <w:jc w:val="center"/>
        </w:trPr>
        <w:tc>
          <w:tcPr>
            <w:tcW w:w="3315" w:type="dxa"/>
            <w:gridSpan w:val="4"/>
            <w:tcBorders>
              <w:top w:val="single" w:color="auto" w:sz="4" w:space="0"/>
              <w:left w:val="single" w:color="auto" w:sz="4" w:space="0"/>
              <w:bottom w:val="single" w:color="auto" w:sz="4" w:space="0"/>
              <w:right w:val="single" w:color="auto" w:sz="4" w:space="0"/>
            </w:tcBorders>
            <w:vAlign w:val="center"/>
          </w:tcPr>
          <w:p w14:paraId="48125EF8">
            <w:pPr>
              <w:pStyle w:val="16"/>
              <w:pBdr>
                <w:bottom w:val="none" w:color="auto" w:sz="0" w:space="0"/>
              </w:pBdr>
              <w:tabs>
                <w:tab w:val="clear" w:pos="4153"/>
                <w:tab w:val="clear" w:pos="8306"/>
              </w:tabs>
              <w:snapToGrid/>
              <w:spacing w:line="440" w:lineRule="atLeast"/>
              <w:jc w:val="left"/>
              <w:rPr>
                <w:rFonts w:ascii="仿宋_GB2312" w:hAnsi="仿宋_GB2312" w:eastAsia="仿宋_GB2312" w:cs="仿宋_GB2312"/>
                <w:sz w:val="24"/>
              </w:rPr>
            </w:pPr>
            <w:r>
              <w:rPr>
                <w:rFonts w:hint="eastAsia" w:ascii="仿宋_GB2312" w:hAnsi="仿宋_GB2312" w:eastAsia="仿宋_GB2312" w:cs="仿宋_GB2312"/>
                <w:sz w:val="24"/>
              </w:rPr>
              <w:t>资产评估师与员工总数变动情况</w:t>
            </w:r>
          </w:p>
        </w:tc>
        <w:tc>
          <w:tcPr>
            <w:tcW w:w="1898" w:type="dxa"/>
            <w:tcBorders>
              <w:top w:val="single" w:color="auto" w:sz="4" w:space="0"/>
              <w:left w:val="single" w:color="auto" w:sz="4" w:space="0"/>
              <w:bottom w:val="single" w:color="auto" w:sz="4" w:space="0"/>
              <w:right w:val="single" w:color="auto" w:sz="4" w:space="0"/>
            </w:tcBorders>
            <w:vAlign w:val="center"/>
          </w:tcPr>
          <w:p w14:paraId="4D0DD659">
            <w:pPr>
              <w:spacing w:line="440" w:lineRule="atLeast"/>
              <w:jc w:val="center"/>
              <w:rPr>
                <w:rFonts w:ascii="仿宋_GB2312" w:hAnsi="仿宋_GB2312" w:eastAsia="仿宋_GB2312" w:cs="仿宋_GB2312"/>
                <w:sz w:val="24"/>
              </w:rPr>
            </w:pPr>
            <w:r>
              <w:rPr>
                <w:rFonts w:hint="eastAsia" w:ascii="仿宋_GB2312" w:hAnsi="仿宋_GB2312" w:eastAsia="仿宋_GB2312" w:cs="仿宋_GB2312"/>
                <w:sz w:val="24"/>
              </w:rPr>
              <w:t>上年初</w:t>
            </w:r>
          </w:p>
        </w:tc>
        <w:tc>
          <w:tcPr>
            <w:tcW w:w="1217" w:type="dxa"/>
            <w:tcBorders>
              <w:top w:val="single" w:color="auto" w:sz="4" w:space="0"/>
              <w:left w:val="single" w:color="auto" w:sz="4" w:space="0"/>
              <w:bottom w:val="single" w:color="auto" w:sz="4" w:space="0"/>
              <w:right w:val="single" w:color="auto" w:sz="4" w:space="0"/>
            </w:tcBorders>
            <w:vAlign w:val="center"/>
          </w:tcPr>
          <w:p w14:paraId="04A650BC">
            <w:pPr>
              <w:spacing w:line="440" w:lineRule="atLeast"/>
              <w:jc w:val="center"/>
              <w:rPr>
                <w:rFonts w:ascii="仿宋_GB2312" w:hAnsi="仿宋_GB2312" w:eastAsia="仿宋_GB2312" w:cs="仿宋_GB2312"/>
                <w:sz w:val="24"/>
              </w:rPr>
            </w:pPr>
            <w:r>
              <w:rPr>
                <w:rFonts w:hint="eastAsia" w:ascii="仿宋_GB2312" w:hAnsi="仿宋_GB2312" w:eastAsia="仿宋_GB2312" w:cs="仿宋_GB2312"/>
                <w:sz w:val="24"/>
              </w:rPr>
              <w:t>上年转入</w:t>
            </w:r>
          </w:p>
        </w:tc>
        <w:tc>
          <w:tcPr>
            <w:tcW w:w="1845" w:type="dxa"/>
            <w:gridSpan w:val="3"/>
            <w:tcBorders>
              <w:top w:val="single" w:color="auto" w:sz="4" w:space="0"/>
              <w:left w:val="single" w:color="auto" w:sz="4" w:space="0"/>
              <w:bottom w:val="single" w:color="auto" w:sz="4" w:space="0"/>
              <w:right w:val="single" w:color="auto" w:sz="4" w:space="0"/>
            </w:tcBorders>
            <w:vAlign w:val="center"/>
          </w:tcPr>
          <w:p w14:paraId="579A64FA">
            <w:pPr>
              <w:spacing w:line="440" w:lineRule="atLeast"/>
              <w:jc w:val="center"/>
              <w:rPr>
                <w:rFonts w:ascii="仿宋_GB2312" w:hAnsi="仿宋_GB2312" w:eastAsia="仿宋_GB2312" w:cs="仿宋_GB2312"/>
                <w:sz w:val="24"/>
              </w:rPr>
            </w:pPr>
            <w:r>
              <w:rPr>
                <w:rFonts w:hint="eastAsia" w:ascii="仿宋_GB2312" w:hAnsi="仿宋_GB2312" w:eastAsia="仿宋_GB2312" w:cs="仿宋_GB2312"/>
                <w:sz w:val="24"/>
              </w:rPr>
              <w:t>上年转出</w:t>
            </w:r>
          </w:p>
        </w:tc>
        <w:tc>
          <w:tcPr>
            <w:tcW w:w="1430" w:type="dxa"/>
            <w:gridSpan w:val="2"/>
            <w:tcBorders>
              <w:top w:val="single" w:color="auto" w:sz="4" w:space="0"/>
              <w:left w:val="single" w:color="auto" w:sz="4" w:space="0"/>
              <w:bottom w:val="single" w:color="auto" w:sz="4" w:space="0"/>
              <w:right w:val="single" w:color="auto" w:sz="4" w:space="0"/>
            </w:tcBorders>
            <w:vAlign w:val="center"/>
          </w:tcPr>
          <w:p w14:paraId="160C765E">
            <w:pPr>
              <w:spacing w:line="440" w:lineRule="atLeast"/>
              <w:jc w:val="center"/>
              <w:rPr>
                <w:rFonts w:ascii="仿宋_GB2312" w:hAnsi="仿宋_GB2312" w:eastAsia="仿宋_GB2312" w:cs="仿宋_GB2312"/>
                <w:sz w:val="24"/>
              </w:rPr>
            </w:pPr>
            <w:r>
              <w:rPr>
                <w:rFonts w:hint="eastAsia" w:ascii="仿宋_GB2312" w:hAnsi="仿宋_GB2312" w:eastAsia="仿宋_GB2312" w:cs="仿宋_GB2312"/>
                <w:sz w:val="24"/>
              </w:rPr>
              <w:t>上年末</w:t>
            </w:r>
          </w:p>
        </w:tc>
      </w:tr>
      <w:tr w14:paraId="121E5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6" w:hRule="atLeast"/>
          <w:jc w:val="center"/>
        </w:trPr>
        <w:tc>
          <w:tcPr>
            <w:tcW w:w="3315" w:type="dxa"/>
            <w:gridSpan w:val="4"/>
            <w:tcBorders>
              <w:top w:val="single" w:color="auto" w:sz="4" w:space="0"/>
              <w:left w:val="single" w:color="auto" w:sz="4" w:space="0"/>
              <w:bottom w:val="single" w:color="auto" w:sz="4" w:space="0"/>
              <w:right w:val="single" w:color="auto" w:sz="4" w:space="0"/>
            </w:tcBorders>
            <w:vAlign w:val="center"/>
          </w:tcPr>
          <w:p w14:paraId="4DFA0063">
            <w:pPr>
              <w:spacing w:line="440" w:lineRule="atLeast"/>
              <w:jc w:val="left"/>
              <w:rPr>
                <w:rFonts w:ascii="仿宋_GB2312" w:hAnsi="仿宋_GB2312" w:eastAsia="仿宋_GB2312" w:cs="仿宋_GB2312"/>
                <w:sz w:val="24"/>
              </w:rPr>
            </w:pPr>
            <w:r>
              <w:rPr>
                <w:rFonts w:hint="eastAsia" w:ascii="仿宋_GB2312" w:hAnsi="仿宋_GB2312" w:eastAsia="仿宋_GB2312" w:cs="仿宋_GB2312"/>
                <w:sz w:val="24"/>
              </w:rPr>
              <w:t>资产评估师总数</w:t>
            </w:r>
          </w:p>
        </w:tc>
        <w:tc>
          <w:tcPr>
            <w:tcW w:w="1898" w:type="dxa"/>
            <w:tcBorders>
              <w:top w:val="single" w:color="auto" w:sz="4" w:space="0"/>
              <w:left w:val="single" w:color="auto" w:sz="4" w:space="0"/>
              <w:bottom w:val="single" w:color="auto" w:sz="4" w:space="0"/>
              <w:right w:val="single" w:color="auto" w:sz="4" w:space="0"/>
            </w:tcBorders>
            <w:vAlign w:val="center"/>
          </w:tcPr>
          <w:p w14:paraId="1AFFC863">
            <w:pPr>
              <w:spacing w:line="440" w:lineRule="atLeast"/>
              <w:jc w:val="center"/>
              <w:rPr>
                <w:rFonts w:ascii="仿宋_GB2312" w:hAnsi="仿宋_GB2312" w:eastAsia="仿宋_GB2312" w:cs="仿宋_GB2312"/>
                <w:sz w:val="24"/>
              </w:rPr>
            </w:pPr>
          </w:p>
        </w:tc>
        <w:tc>
          <w:tcPr>
            <w:tcW w:w="1217" w:type="dxa"/>
            <w:tcBorders>
              <w:top w:val="single" w:color="auto" w:sz="4" w:space="0"/>
              <w:left w:val="single" w:color="auto" w:sz="4" w:space="0"/>
              <w:bottom w:val="single" w:color="auto" w:sz="4" w:space="0"/>
              <w:right w:val="single" w:color="auto" w:sz="4" w:space="0"/>
            </w:tcBorders>
            <w:vAlign w:val="center"/>
          </w:tcPr>
          <w:p w14:paraId="74101839">
            <w:pPr>
              <w:spacing w:line="440" w:lineRule="atLeast"/>
              <w:jc w:val="center"/>
              <w:rPr>
                <w:rFonts w:ascii="仿宋_GB2312" w:hAnsi="仿宋_GB2312" w:eastAsia="仿宋_GB2312" w:cs="仿宋_GB2312"/>
                <w:sz w:val="24"/>
              </w:rPr>
            </w:pPr>
          </w:p>
        </w:tc>
        <w:tc>
          <w:tcPr>
            <w:tcW w:w="1845" w:type="dxa"/>
            <w:gridSpan w:val="3"/>
            <w:tcBorders>
              <w:top w:val="single" w:color="auto" w:sz="4" w:space="0"/>
              <w:left w:val="single" w:color="auto" w:sz="4" w:space="0"/>
              <w:bottom w:val="single" w:color="auto" w:sz="4" w:space="0"/>
              <w:right w:val="single" w:color="auto" w:sz="4" w:space="0"/>
            </w:tcBorders>
            <w:vAlign w:val="center"/>
          </w:tcPr>
          <w:p w14:paraId="01BD9CFE">
            <w:pPr>
              <w:spacing w:line="440" w:lineRule="atLeast"/>
              <w:jc w:val="center"/>
              <w:rPr>
                <w:rFonts w:ascii="仿宋_GB2312" w:hAnsi="仿宋_GB2312" w:eastAsia="仿宋_GB2312" w:cs="仿宋_GB2312"/>
                <w:sz w:val="24"/>
              </w:rPr>
            </w:pPr>
          </w:p>
        </w:tc>
        <w:tc>
          <w:tcPr>
            <w:tcW w:w="1430" w:type="dxa"/>
            <w:gridSpan w:val="2"/>
            <w:tcBorders>
              <w:top w:val="single" w:color="auto" w:sz="4" w:space="0"/>
              <w:left w:val="single" w:color="auto" w:sz="4" w:space="0"/>
              <w:bottom w:val="single" w:color="auto" w:sz="4" w:space="0"/>
              <w:right w:val="single" w:color="auto" w:sz="4" w:space="0"/>
            </w:tcBorders>
            <w:vAlign w:val="center"/>
          </w:tcPr>
          <w:p w14:paraId="0B0E7BF8">
            <w:pPr>
              <w:spacing w:line="440" w:lineRule="atLeast"/>
              <w:jc w:val="center"/>
              <w:rPr>
                <w:rFonts w:ascii="仿宋_GB2312" w:hAnsi="仿宋_GB2312" w:eastAsia="仿宋_GB2312" w:cs="仿宋_GB2312"/>
                <w:sz w:val="24"/>
              </w:rPr>
            </w:pPr>
          </w:p>
        </w:tc>
      </w:tr>
      <w:tr w14:paraId="1FDC3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6" w:hRule="atLeast"/>
          <w:jc w:val="center"/>
        </w:trPr>
        <w:tc>
          <w:tcPr>
            <w:tcW w:w="3315" w:type="dxa"/>
            <w:gridSpan w:val="4"/>
            <w:tcBorders>
              <w:top w:val="single" w:color="auto" w:sz="4" w:space="0"/>
              <w:left w:val="single" w:color="auto" w:sz="4" w:space="0"/>
              <w:bottom w:val="single" w:color="auto" w:sz="4" w:space="0"/>
              <w:right w:val="single" w:color="auto" w:sz="4" w:space="0"/>
            </w:tcBorders>
            <w:vAlign w:val="center"/>
          </w:tcPr>
          <w:p w14:paraId="778F69B5">
            <w:pPr>
              <w:spacing w:line="440" w:lineRule="atLeast"/>
              <w:jc w:val="left"/>
              <w:rPr>
                <w:rFonts w:ascii="仿宋_GB2312" w:hAnsi="仿宋_GB2312" w:eastAsia="仿宋_GB2312" w:cs="仿宋_GB2312"/>
                <w:sz w:val="24"/>
              </w:rPr>
            </w:pPr>
            <w:r>
              <w:rPr>
                <w:rFonts w:hint="eastAsia" w:ascii="仿宋_GB2312" w:hAnsi="仿宋_GB2312" w:eastAsia="仿宋_GB2312" w:cs="仿宋_GB2312"/>
                <w:sz w:val="24"/>
              </w:rPr>
              <w:t>员工总数</w:t>
            </w:r>
          </w:p>
        </w:tc>
        <w:tc>
          <w:tcPr>
            <w:tcW w:w="1898" w:type="dxa"/>
            <w:tcBorders>
              <w:top w:val="single" w:color="auto" w:sz="4" w:space="0"/>
              <w:left w:val="single" w:color="auto" w:sz="4" w:space="0"/>
              <w:bottom w:val="single" w:color="auto" w:sz="4" w:space="0"/>
              <w:right w:val="single" w:color="auto" w:sz="4" w:space="0"/>
            </w:tcBorders>
            <w:vAlign w:val="center"/>
          </w:tcPr>
          <w:p w14:paraId="4B09F1F4">
            <w:pPr>
              <w:spacing w:line="440" w:lineRule="atLeast"/>
              <w:jc w:val="center"/>
              <w:rPr>
                <w:rFonts w:ascii="仿宋_GB2312" w:hAnsi="仿宋_GB2312" w:eastAsia="仿宋_GB2312" w:cs="仿宋_GB2312"/>
                <w:sz w:val="24"/>
              </w:rPr>
            </w:pPr>
          </w:p>
        </w:tc>
        <w:tc>
          <w:tcPr>
            <w:tcW w:w="1217" w:type="dxa"/>
            <w:tcBorders>
              <w:top w:val="single" w:color="auto" w:sz="4" w:space="0"/>
              <w:left w:val="single" w:color="auto" w:sz="4" w:space="0"/>
              <w:bottom w:val="single" w:color="auto" w:sz="4" w:space="0"/>
              <w:right w:val="single" w:color="auto" w:sz="4" w:space="0"/>
            </w:tcBorders>
            <w:vAlign w:val="center"/>
          </w:tcPr>
          <w:p w14:paraId="18BD6701">
            <w:pPr>
              <w:spacing w:line="440" w:lineRule="atLeast"/>
              <w:jc w:val="center"/>
              <w:rPr>
                <w:rFonts w:ascii="仿宋_GB2312" w:hAnsi="仿宋_GB2312" w:eastAsia="仿宋_GB2312" w:cs="仿宋_GB2312"/>
                <w:sz w:val="24"/>
              </w:rPr>
            </w:pPr>
          </w:p>
        </w:tc>
        <w:tc>
          <w:tcPr>
            <w:tcW w:w="1845" w:type="dxa"/>
            <w:gridSpan w:val="3"/>
            <w:tcBorders>
              <w:top w:val="single" w:color="auto" w:sz="4" w:space="0"/>
              <w:left w:val="single" w:color="auto" w:sz="4" w:space="0"/>
              <w:bottom w:val="single" w:color="auto" w:sz="4" w:space="0"/>
              <w:right w:val="single" w:color="auto" w:sz="4" w:space="0"/>
            </w:tcBorders>
            <w:vAlign w:val="center"/>
          </w:tcPr>
          <w:p w14:paraId="2B418E4C">
            <w:pPr>
              <w:spacing w:line="440" w:lineRule="atLeast"/>
              <w:jc w:val="center"/>
              <w:rPr>
                <w:rFonts w:ascii="仿宋_GB2312" w:hAnsi="仿宋_GB2312" w:eastAsia="仿宋_GB2312" w:cs="仿宋_GB2312"/>
                <w:sz w:val="24"/>
              </w:rPr>
            </w:pPr>
          </w:p>
        </w:tc>
        <w:tc>
          <w:tcPr>
            <w:tcW w:w="1430" w:type="dxa"/>
            <w:gridSpan w:val="2"/>
            <w:tcBorders>
              <w:top w:val="single" w:color="auto" w:sz="4" w:space="0"/>
              <w:left w:val="single" w:color="auto" w:sz="4" w:space="0"/>
              <w:bottom w:val="single" w:color="auto" w:sz="4" w:space="0"/>
              <w:right w:val="single" w:color="auto" w:sz="4" w:space="0"/>
            </w:tcBorders>
            <w:vAlign w:val="center"/>
          </w:tcPr>
          <w:p w14:paraId="40AAED1F">
            <w:pPr>
              <w:spacing w:line="440" w:lineRule="atLeast"/>
              <w:jc w:val="center"/>
              <w:rPr>
                <w:rFonts w:ascii="仿宋_GB2312" w:hAnsi="仿宋_GB2312" w:eastAsia="仿宋_GB2312" w:cs="仿宋_GB2312"/>
                <w:sz w:val="24"/>
              </w:rPr>
            </w:pPr>
          </w:p>
        </w:tc>
      </w:tr>
      <w:tr w14:paraId="68ACF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9" w:hRule="atLeast"/>
          <w:jc w:val="center"/>
        </w:trPr>
        <w:tc>
          <w:tcPr>
            <w:tcW w:w="1657" w:type="dxa"/>
            <w:tcBorders>
              <w:bottom w:val="nil"/>
            </w:tcBorders>
            <w:vAlign w:val="center"/>
          </w:tcPr>
          <w:p w14:paraId="2D9CF1A2">
            <w:pPr>
              <w:spacing w:line="440" w:lineRule="atLeast"/>
              <w:jc w:val="left"/>
              <w:rPr>
                <w:rFonts w:ascii="仿宋_GB2312" w:hAnsi="仿宋_GB2312" w:eastAsia="仿宋_GB2312" w:cs="仿宋_GB2312"/>
                <w:sz w:val="24"/>
              </w:rPr>
            </w:pPr>
            <w:r>
              <w:rPr>
                <w:rFonts w:hint="eastAsia" w:ascii="仿宋_GB2312" w:hAnsi="仿宋_GB2312" w:eastAsia="仿宋_GB2312" w:cs="仿宋_GB2312"/>
                <w:sz w:val="24"/>
              </w:rPr>
              <w:t>监管联系人</w:t>
            </w:r>
          </w:p>
        </w:tc>
        <w:tc>
          <w:tcPr>
            <w:tcW w:w="938" w:type="dxa"/>
            <w:tcBorders>
              <w:bottom w:val="nil"/>
            </w:tcBorders>
            <w:vAlign w:val="center"/>
          </w:tcPr>
          <w:p w14:paraId="72ED6933">
            <w:pPr>
              <w:spacing w:line="440" w:lineRule="atLeast"/>
              <w:jc w:val="center"/>
              <w:rPr>
                <w:rFonts w:ascii="仿宋_GB2312" w:hAnsi="仿宋_GB2312" w:eastAsia="仿宋_GB2312" w:cs="仿宋_GB2312"/>
                <w:sz w:val="24"/>
              </w:rPr>
            </w:pPr>
          </w:p>
        </w:tc>
        <w:tc>
          <w:tcPr>
            <w:tcW w:w="720" w:type="dxa"/>
            <w:gridSpan w:val="2"/>
            <w:tcBorders>
              <w:bottom w:val="nil"/>
            </w:tcBorders>
            <w:vAlign w:val="center"/>
          </w:tcPr>
          <w:p w14:paraId="67FC0EB5">
            <w:pPr>
              <w:spacing w:line="440" w:lineRule="atLeast"/>
              <w:jc w:val="center"/>
              <w:rPr>
                <w:rFonts w:ascii="仿宋_GB2312" w:hAnsi="仿宋_GB2312" w:eastAsia="仿宋_GB2312" w:cs="仿宋_GB2312"/>
                <w:sz w:val="24"/>
              </w:rPr>
            </w:pPr>
            <w:r>
              <w:rPr>
                <w:rFonts w:hint="eastAsia" w:ascii="仿宋_GB2312" w:hAnsi="仿宋_GB2312" w:eastAsia="仿宋_GB2312" w:cs="仿宋_GB2312"/>
                <w:sz w:val="24"/>
              </w:rPr>
              <w:t>职务</w:t>
            </w:r>
          </w:p>
        </w:tc>
        <w:tc>
          <w:tcPr>
            <w:tcW w:w="1898" w:type="dxa"/>
            <w:tcBorders>
              <w:bottom w:val="nil"/>
            </w:tcBorders>
            <w:vAlign w:val="center"/>
          </w:tcPr>
          <w:p w14:paraId="125524A6">
            <w:pPr>
              <w:spacing w:line="440" w:lineRule="atLeast"/>
              <w:jc w:val="center"/>
              <w:rPr>
                <w:rFonts w:ascii="仿宋_GB2312" w:hAnsi="仿宋_GB2312" w:eastAsia="仿宋_GB2312" w:cs="仿宋_GB2312"/>
                <w:sz w:val="24"/>
              </w:rPr>
            </w:pPr>
          </w:p>
        </w:tc>
        <w:tc>
          <w:tcPr>
            <w:tcW w:w="1217" w:type="dxa"/>
            <w:tcBorders>
              <w:bottom w:val="nil"/>
            </w:tcBorders>
            <w:vAlign w:val="center"/>
          </w:tcPr>
          <w:p w14:paraId="46C2F7A2">
            <w:pPr>
              <w:spacing w:line="440" w:lineRule="atLeast"/>
              <w:jc w:val="center"/>
              <w:rPr>
                <w:rFonts w:ascii="仿宋_GB2312" w:hAnsi="仿宋_GB2312" w:eastAsia="仿宋_GB2312" w:cs="仿宋_GB2312"/>
                <w:sz w:val="24"/>
              </w:rPr>
            </w:pPr>
            <w:r>
              <w:rPr>
                <w:rFonts w:hint="eastAsia" w:ascii="仿宋_GB2312" w:hAnsi="仿宋_GB2312" w:eastAsia="仿宋_GB2312" w:cs="仿宋_GB2312"/>
                <w:sz w:val="24"/>
              </w:rPr>
              <w:t>电话</w:t>
            </w:r>
          </w:p>
        </w:tc>
        <w:tc>
          <w:tcPr>
            <w:tcW w:w="1027" w:type="dxa"/>
            <w:tcBorders>
              <w:bottom w:val="nil"/>
            </w:tcBorders>
            <w:vAlign w:val="center"/>
          </w:tcPr>
          <w:p w14:paraId="2C6A963D">
            <w:pPr>
              <w:spacing w:line="440" w:lineRule="atLeast"/>
              <w:jc w:val="center"/>
              <w:rPr>
                <w:rFonts w:ascii="仿宋_GB2312" w:hAnsi="仿宋_GB2312" w:eastAsia="仿宋_GB2312" w:cs="仿宋_GB2312"/>
                <w:sz w:val="24"/>
              </w:rPr>
            </w:pPr>
          </w:p>
        </w:tc>
        <w:tc>
          <w:tcPr>
            <w:tcW w:w="818" w:type="dxa"/>
            <w:gridSpan w:val="2"/>
            <w:tcBorders>
              <w:bottom w:val="nil"/>
            </w:tcBorders>
            <w:vAlign w:val="center"/>
          </w:tcPr>
          <w:p w14:paraId="04DB1948">
            <w:pPr>
              <w:spacing w:line="440" w:lineRule="atLeast"/>
              <w:jc w:val="center"/>
              <w:rPr>
                <w:rFonts w:ascii="仿宋_GB2312" w:hAnsi="仿宋_GB2312" w:eastAsia="仿宋_GB2312" w:cs="仿宋_GB2312"/>
                <w:sz w:val="24"/>
              </w:rPr>
            </w:pPr>
            <w:r>
              <w:rPr>
                <w:rFonts w:hint="eastAsia" w:ascii="仿宋_GB2312" w:hAnsi="仿宋_GB2312" w:eastAsia="仿宋_GB2312" w:cs="仿宋_GB2312"/>
                <w:sz w:val="24"/>
              </w:rPr>
              <w:t>邮箱</w:t>
            </w:r>
          </w:p>
        </w:tc>
        <w:tc>
          <w:tcPr>
            <w:tcW w:w="1430" w:type="dxa"/>
            <w:gridSpan w:val="2"/>
            <w:tcBorders>
              <w:bottom w:val="nil"/>
            </w:tcBorders>
            <w:vAlign w:val="center"/>
          </w:tcPr>
          <w:p w14:paraId="439FC94E">
            <w:pPr>
              <w:spacing w:line="440" w:lineRule="atLeast"/>
              <w:jc w:val="center"/>
              <w:rPr>
                <w:rFonts w:ascii="仿宋_GB2312" w:hAnsi="仿宋_GB2312" w:eastAsia="仿宋_GB2312" w:cs="仿宋_GB2312"/>
                <w:sz w:val="24"/>
              </w:rPr>
            </w:pPr>
          </w:p>
        </w:tc>
      </w:tr>
      <w:tr w14:paraId="08C0B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1657" w:type="dxa"/>
            <w:tcBorders>
              <w:top w:val="single" w:color="auto" w:sz="4" w:space="0"/>
              <w:left w:val="single" w:color="auto" w:sz="4" w:space="0"/>
              <w:bottom w:val="single" w:color="auto" w:sz="4" w:space="0"/>
              <w:right w:val="single" w:color="auto" w:sz="4" w:space="0"/>
            </w:tcBorders>
            <w:vAlign w:val="center"/>
          </w:tcPr>
          <w:p w14:paraId="7D52A666">
            <w:pPr>
              <w:spacing w:line="440" w:lineRule="atLeast"/>
              <w:jc w:val="left"/>
              <w:rPr>
                <w:rFonts w:ascii="仿宋_GB2312" w:hAnsi="仿宋_GB2312" w:eastAsia="仿宋_GB2312" w:cs="仿宋_GB2312"/>
                <w:sz w:val="24"/>
              </w:rPr>
            </w:pPr>
            <w:r>
              <w:rPr>
                <w:rFonts w:hint="eastAsia" w:ascii="仿宋_GB2312" w:hAnsi="仿宋_GB2312" w:eastAsia="仿宋_GB2312" w:cs="仿宋_GB2312"/>
                <w:sz w:val="24"/>
              </w:rPr>
              <w:t>分支机构名称</w:t>
            </w:r>
          </w:p>
        </w:tc>
        <w:tc>
          <w:tcPr>
            <w:tcW w:w="938" w:type="dxa"/>
            <w:tcBorders>
              <w:top w:val="single" w:color="auto" w:sz="4" w:space="0"/>
              <w:left w:val="single" w:color="auto" w:sz="4" w:space="0"/>
              <w:bottom w:val="single" w:color="auto" w:sz="4" w:space="0"/>
              <w:right w:val="single" w:color="auto" w:sz="4" w:space="0"/>
            </w:tcBorders>
            <w:vAlign w:val="center"/>
          </w:tcPr>
          <w:p w14:paraId="12DD2F21">
            <w:pPr>
              <w:spacing w:line="440" w:lineRule="atLeast"/>
              <w:jc w:val="center"/>
              <w:rPr>
                <w:rFonts w:ascii="仿宋_GB2312" w:hAnsi="仿宋_GB2312" w:eastAsia="仿宋_GB2312" w:cs="仿宋_GB2312"/>
                <w:sz w:val="24"/>
              </w:rPr>
            </w:pPr>
            <w:r>
              <w:rPr>
                <w:rFonts w:hint="eastAsia" w:ascii="仿宋_GB2312" w:hAnsi="仿宋_GB2312" w:eastAsia="仿宋_GB2312" w:cs="仿宋_GB2312"/>
                <w:sz w:val="24"/>
              </w:rPr>
              <w:t>注册地</w:t>
            </w:r>
          </w:p>
        </w:tc>
        <w:tc>
          <w:tcPr>
            <w:tcW w:w="720" w:type="dxa"/>
            <w:gridSpan w:val="2"/>
            <w:tcBorders>
              <w:top w:val="single" w:color="auto" w:sz="4" w:space="0"/>
              <w:left w:val="single" w:color="auto" w:sz="4" w:space="0"/>
              <w:bottom w:val="single" w:color="auto" w:sz="4" w:space="0"/>
              <w:right w:val="single" w:color="auto" w:sz="4" w:space="0"/>
            </w:tcBorders>
            <w:vAlign w:val="center"/>
          </w:tcPr>
          <w:p w14:paraId="02805E80">
            <w:pPr>
              <w:spacing w:line="440" w:lineRule="atLeast"/>
              <w:jc w:val="center"/>
              <w:rPr>
                <w:rFonts w:ascii="仿宋_GB2312" w:hAnsi="仿宋_GB2312" w:eastAsia="仿宋_GB2312" w:cs="仿宋_GB2312"/>
                <w:sz w:val="24"/>
              </w:rPr>
            </w:pPr>
            <w:r>
              <w:rPr>
                <w:rFonts w:hint="eastAsia" w:ascii="仿宋_GB2312" w:hAnsi="仿宋_GB2312" w:eastAsia="仿宋_GB2312" w:cs="仿宋_GB2312"/>
                <w:sz w:val="24"/>
              </w:rPr>
              <w:t>负责人</w:t>
            </w:r>
          </w:p>
        </w:tc>
        <w:tc>
          <w:tcPr>
            <w:tcW w:w="3115" w:type="dxa"/>
            <w:gridSpan w:val="2"/>
            <w:tcBorders>
              <w:top w:val="single" w:color="auto" w:sz="4" w:space="0"/>
              <w:left w:val="single" w:color="auto" w:sz="4" w:space="0"/>
              <w:bottom w:val="single" w:color="auto" w:sz="4" w:space="0"/>
              <w:right w:val="single" w:color="auto" w:sz="4" w:space="0"/>
            </w:tcBorders>
            <w:vAlign w:val="center"/>
          </w:tcPr>
          <w:p w14:paraId="2EB7B9CE">
            <w:pPr>
              <w:pStyle w:val="16"/>
              <w:pBdr>
                <w:bottom w:val="none" w:color="auto" w:sz="0" w:space="0"/>
              </w:pBdr>
              <w:tabs>
                <w:tab w:val="clear" w:pos="4153"/>
                <w:tab w:val="clear" w:pos="8306"/>
              </w:tabs>
              <w:snapToGrid/>
              <w:spacing w:line="440" w:lineRule="atLeast"/>
              <w:jc w:val="center"/>
              <w:rPr>
                <w:rFonts w:ascii="仿宋_GB2312" w:hAnsi="仿宋_GB2312" w:eastAsia="仿宋_GB2312" w:cs="仿宋_GB2312"/>
                <w:b/>
                <w:bCs/>
                <w:sz w:val="24"/>
              </w:rPr>
            </w:pPr>
            <w:r>
              <w:rPr>
                <w:rFonts w:hint="eastAsia" w:ascii="仿宋_GB2312" w:hAnsi="仿宋_GB2312" w:eastAsia="仿宋_GB2312" w:cs="仿宋_GB2312"/>
                <w:sz w:val="24"/>
              </w:rPr>
              <w:t>监管联系人</w:t>
            </w:r>
          </w:p>
        </w:tc>
        <w:tc>
          <w:tcPr>
            <w:tcW w:w="1845" w:type="dxa"/>
            <w:gridSpan w:val="3"/>
            <w:tcBorders>
              <w:top w:val="single" w:color="auto" w:sz="4" w:space="0"/>
              <w:left w:val="single" w:color="auto" w:sz="4" w:space="0"/>
              <w:bottom w:val="single" w:color="auto" w:sz="4" w:space="0"/>
              <w:right w:val="single" w:color="auto" w:sz="4" w:space="0"/>
            </w:tcBorders>
            <w:vAlign w:val="center"/>
          </w:tcPr>
          <w:p w14:paraId="417C6E69">
            <w:pPr>
              <w:pStyle w:val="16"/>
              <w:pBdr>
                <w:bottom w:val="none" w:color="auto" w:sz="0" w:space="0"/>
              </w:pBdr>
              <w:tabs>
                <w:tab w:val="clear" w:pos="4153"/>
                <w:tab w:val="clear" w:pos="8306"/>
              </w:tabs>
              <w:snapToGrid/>
              <w:spacing w:line="440" w:lineRule="atLeast"/>
              <w:jc w:val="center"/>
              <w:rPr>
                <w:rFonts w:ascii="仿宋_GB2312" w:hAnsi="仿宋_GB2312" w:eastAsia="仿宋_GB2312" w:cs="仿宋_GB2312"/>
                <w:sz w:val="24"/>
              </w:rPr>
            </w:pPr>
            <w:r>
              <w:rPr>
                <w:rFonts w:hint="eastAsia" w:ascii="仿宋_GB2312" w:hAnsi="仿宋_GB2312" w:eastAsia="仿宋_GB2312" w:cs="仿宋_GB2312"/>
                <w:sz w:val="24"/>
              </w:rPr>
              <w:t>监管联系人电话</w:t>
            </w:r>
          </w:p>
        </w:tc>
        <w:tc>
          <w:tcPr>
            <w:tcW w:w="1430" w:type="dxa"/>
            <w:gridSpan w:val="2"/>
            <w:tcBorders>
              <w:top w:val="single" w:color="auto" w:sz="4" w:space="0"/>
              <w:left w:val="single" w:color="auto" w:sz="4" w:space="0"/>
              <w:bottom w:val="single" w:color="auto" w:sz="4" w:space="0"/>
              <w:right w:val="single" w:color="auto" w:sz="4" w:space="0"/>
            </w:tcBorders>
            <w:vAlign w:val="center"/>
          </w:tcPr>
          <w:p w14:paraId="692454A9">
            <w:pPr>
              <w:spacing w:line="440" w:lineRule="atLeast"/>
              <w:jc w:val="center"/>
              <w:rPr>
                <w:rFonts w:ascii="仿宋_GB2312" w:hAnsi="仿宋_GB2312" w:eastAsia="仿宋_GB2312" w:cs="仿宋_GB2312"/>
                <w:sz w:val="24"/>
              </w:rPr>
            </w:pPr>
            <w:r>
              <w:rPr>
                <w:rFonts w:hint="eastAsia" w:ascii="仿宋_GB2312" w:hAnsi="仿宋_GB2312" w:eastAsia="仿宋_GB2312" w:cs="仿宋_GB2312"/>
                <w:sz w:val="24"/>
              </w:rPr>
              <w:t>资产评估师总数</w:t>
            </w:r>
          </w:p>
        </w:tc>
      </w:tr>
      <w:tr w14:paraId="6AEA8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9" w:hRule="atLeast"/>
          <w:jc w:val="center"/>
        </w:trPr>
        <w:tc>
          <w:tcPr>
            <w:tcW w:w="1657" w:type="dxa"/>
            <w:vAlign w:val="center"/>
          </w:tcPr>
          <w:p w14:paraId="1BFBBE33">
            <w:pPr>
              <w:spacing w:line="440" w:lineRule="atLeast"/>
              <w:jc w:val="center"/>
              <w:rPr>
                <w:rFonts w:ascii="仿宋_GB2312" w:hAnsi="仿宋_GB2312" w:eastAsia="仿宋_GB2312" w:cs="仿宋_GB2312"/>
                <w:sz w:val="24"/>
              </w:rPr>
            </w:pPr>
          </w:p>
        </w:tc>
        <w:tc>
          <w:tcPr>
            <w:tcW w:w="938" w:type="dxa"/>
            <w:vAlign w:val="center"/>
          </w:tcPr>
          <w:p w14:paraId="1EDF63AD">
            <w:pPr>
              <w:spacing w:line="440" w:lineRule="atLeast"/>
              <w:jc w:val="center"/>
              <w:rPr>
                <w:rFonts w:ascii="仿宋_GB2312" w:hAnsi="仿宋_GB2312" w:eastAsia="仿宋_GB2312" w:cs="仿宋_GB2312"/>
                <w:sz w:val="24"/>
              </w:rPr>
            </w:pPr>
          </w:p>
        </w:tc>
        <w:tc>
          <w:tcPr>
            <w:tcW w:w="720" w:type="dxa"/>
            <w:gridSpan w:val="2"/>
            <w:vAlign w:val="center"/>
          </w:tcPr>
          <w:p w14:paraId="0E2B7E7C">
            <w:pPr>
              <w:spacing w:line="440" w:lineRule="atLeast"/>
              <w:jc w:val="center"/>
              <w:rPr>
                <w:rFonts w:ascii="仿宋_GB2312" w:hAnsi="仿宋_GB2312" w:eastAsia="仿宋_GB2312" w:cs="仿宋_GB2312"/>
                <w:sz w:val="24"/>
              </w:rPr>
            </w:pPr>
          </w:p>
        </w:tc>
        <w:tc>
          <w:tcPr>
            <w:tcW w:w="3115" w:type="dxa"/>
            <w:gridSpan w:val="2"/>
            <w:vAlign w:val="center"/>
          </w:tcPr>
          <w:p w14:paraId="40ED050F">
            <w:pPr>
              <w:spacing w:line="440" w:lineRule="atLeast"/>
              <w:jc w:val="center"/>
              <w:rPr>
                <w:rFonts w:ascii="仿宋_GB2312" w:hAnsi="仿宋_GB2312" w:eastAsia="仿宋_GB2312" w:cs="仿宋_GB2312"/>
                <w:sz w:val="24"/>
              </w:rPr>
            </w:pPr>
          </w:p>
        </w:tc>
        <w:tc>
          <w:tcPr>
            <w:tcW w:w="1845" w:type="dxa"/>
            <w:gridSpan w:val="3"/>
            <w:vAlign w:val="center"/>
          </w:tcPr>
          <w:p w14:paraId="78A22831">
            <w:pPr>
              <w:spacing w:line="440" w:lineRule="atLeast"/>
              <w:jc w:val="center"/>
              <w:rPr>
                <w:rFonts w:ascii="仿宋_GB2312" w:hAnsi="仿宋_GB2312" w:eastAsia="仿宋_GB2312" w:cs="仿宋_GB2312"/>
                <w:sz w:val="24"/>
              </w:rPr>
            </w:pPr>
          </w:p>
        </w:tc>
        <w:tc>
          <w:tcPr>
            <w:tcW w:w="1430" w:type="dxa"/>
            <w:gridSpan w:val="2"/>
            <w:vAlign w:val="center"/>
          </w:tcPr>
          <w:p w14:paraId="1D3DE101">
            <w:pPr>
              <w:spacing w:line="440" w:lineRule="atLeast"/>
              <w:jc w:val="center"/>
              <w:rPr>
                <w:rFonts w:ascii="仿宋_GB2312" w:hAnsi="仿宋_GB2312" w:eastAsia="仿宋_GB2312" w:cs="仿宋_GB2312"/>
                <w:sz w:val="24"/>
              </w:rPr>
            </w:pPr>
          </w:p>
        </w:tc>
      </w:tr>
      <w:tr w14:paraId="0A985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9" w:hRule="atLeast"/>
          <w:jc w:val="center"/>
        </w:trPr>
        <w:tc>
          <w:tcPr>
            <w:tcW w:w="1657" w:type="dxa"/>
            <w:vAlign w:val="center"/>
          </w:tcPr>
          <w:p w14:paraId="567C0D47">
            <w:pPr>
              <w:spacing w:line="440" w:lineRule="atLeast"/>
              <w:jc w:val="center"/>
              <w:rPr>
                <w:rFonts w:ascii="仿宋_GB2312" w:hAnsi="仿宋_GB2312" w:eastAsia="仿宋_GB2312" w:cs="仿宋_GB2312"/>
                <w:sz w:val="24"/>
              </w:rPr>
            </w:pPr>
          </w:p>
        </w:tc>
        <w:tc>
          <w:tcPr>
            <w:tcW w:w="938" w:type="dxa"/>
            <w:vAlign w:val="center"/>
          </w:tcPr>
          <w:p w14:paraId="73D2D982">
            <w:pPr>
              <w:spacing w:line="440" w:lineRule="atLeast"/>
              <w:jc w:val="center"/>
              <w:rPr>
                <w:rFonts w:ascii="仿宋_GB2312" w:hAnsi="仿宋_GB2312" w:eastAsia="仿宋_GB2312" w:cs="仿宋_GB2312"/>
                <w:sz w:val="24"/>
              </w:rPr>
            </w:pPr>
          </w:p>
        </w:tc>
        <w:tc>
          <w:tcPr>
            <w:tcW w:w="720" w:type="dxa"/>
            <w:gridSpan w:val="2"/>
            <w:vAlign w:val="center"/>
          </w:tcPr>
          <w:p w14:paraId="0BFD2141">
            <w:pPr>
              <w:spacing w:line="440" w:lineRule="atLeast"/>
              <w:jc w:val="center"/>
              <w:rPr>
                <w:rFonts w:ascii="仿宋_GB2312" w:hAnsi="仿宋_GB2312" w:eastAsia="仿宋_GB2312" w:cs="仿宋_GB2312"/>
                <w:sz w:val="24"/>
              </w:rPr>
            </w:pPr>
          </w:p>
        </w:tc>
        <w:tc>
          <w:tcPr>
            <w:tcW w:w="3115" w:type="dxa"/>
            <w:gridSpan w:val="2"/>
            <w:vAlign w:val="center"/>
          </w:tcPr>
          <w:p w14:paraId="74B2FA7B">
            <w:pPr>
              <w:spacing w:line="440" w:lineRule="atLeast"/>
              <w:jc w:val="center"/>
              <w:rPr>
                <w:rFonts w:ascii="仿宋_GB2312" w:hAnsi="仿宋_GB2312" w:eastAsia="仿宋_GB2312" w:cs="仿宋_GB2312"/>
                <w:sz w:val="24"/>
              </w:rPr>
            </w:pPr>
          </w:p>
        </w:tc>
        <w:tc>
          <w:tcPr>
            <w:tcW w:w="1845" w:type="dxa"/>
            <w:gridSpan w:val="3"/>
            <w:vAlign w:val="center"/>
          </w:tcPr>
          <w:p w14:paraId="05D0EA8B">
            <w:pPr>
              <w:spacing w:line="440" w:lineRule="atLeast"/>
              <w:jc w:val="center"/>
              <w:rPr>
                <w:rFonts w:ascii="仿宋_GB2312" w:hAnsi="仿宋_GB2312" w:eastAsia="仿宋_GB2312" w:cs="仿宋_GB2312"/>
                <w:sz w:val="24"/>
              </w:rPr>
            </w:pPr>
          </w:p>
        </w:tc>
        <w:tc>
          <w:tcPr>
            <w:tcW w:w="1430" w:type="dxa"/>
            <w:gridSpan w:val="2"/>
            <w:vAlign w:val="center"/>
          </w:tcPr>
          <w:p w14:paraId="37B33442">
            <w:pPr>
              <w:spacing w:line="440" w:lineRule="atLeast"/>
              <w:jc w:val="center"/>
              <w:rPr>
                <w:rFonts w:ascii="仿宋_GB2312" w:hAnsi="仿宋_GB2312" w:eastAsia="仿宋_GB2312" w:cs="仿宋_GB2312"/>
                <w:sz w:val="24"/>
              </w:rPr>
            </w:pPr>
          </w:p>
        </w:tc>
      </w:tr>
      <w:tr w14:paraId="78A12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9" w:hRule="atLeast"/>
          <w:jc w:val="center"/>
        </w:trPr>
        <w:tc>
          <w:tcPr>
            <w:tcW w:w="8275" w:type="dxa"/>
            <w:gridSpan w:val="9"/>
            <w:vAlign w:val="center"/>
          </w:tcPr>
          <w:p w14:paraId="7A68F334">
            <w:pPr>
              <w:spacing w:line="440" w:lineRule="atLeast"/>
              <w:jc w:val="center"/>
              <w:rPr>
                <w:rFonts w:ascii="仿宋_GB2312" w:hAnsi="仿宋_GB2312" w:eastAsia="仿宋_GB2312" w:cs="仿宋_GB2312"/>
                <w:sz w:val="24"/>
              </w:rPr>
            </w:pPr>
            <w:r>
              <w:rPr>
                <w:rFonts w:hint="eastAsia" w:ascii="仿宋_GB2312" w:hAnsi="仿宋_GB2312" w:eastAsia="仿宋_GB2312" w:cs="仿宋_GB2312"/>
                <w:sz w:val="24"/>
              </w:rPr>
              <w:t>合计</w:t>
            </w:r>
          </w:p>
        </w:tc>
        <w:tc>
          <w:tcPr>
            <w:tcW w:w="1430" w:type="dxa"/>
            <w:gridSpan w:val="2"/>
            <w:vAlign w:val="center"/>
          </w:tcPr>
          <w:p w14:paraId="3AE13EA3">
            <w:pPr>
              <w:spacing w:line="440" w:lineRule="atLeast"/>
              <w:jc w:val="center"/>
              <w:rPr>
                <w:rFonts w:ascii="仿宋_GB2312" w:hAnsi="仿宋_GB2312" w:eastAsia="仿宋_GB2312" w:cs="仿宋_GB2312"/>
                <w:sz w:val="24"/>
              </w:rPr>
            </w:pPr>
          </w:p>
        </w:tc>
      </w:tr>
      <w:tr w14:paraId="43807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06" w:hRule="atLeast"/>
          <w:jc w:val="center"/>
        </w:trPr>
        <w:tc>
          <w:tcPr>
            <w:tcW w:w="3315" w:type="dxa"/>
            <w:gridSpan w:val="4"/>
            <w:vAlign w:val="center"/>
          </w:tcPr>
          <w:p w14:paraId="291737EF">
            <w:pPr>
              <w:spacing w:line="440" w:lineRule="atLeast"/>
              <w:rPr>
                <w:rFonts w:ascii="仿宋_GB2312" w:hAnsi="仿宋_GB2312" w:eastAsia="仿宋_GB2312" w:cs="仿宋_GB2312"/>
                <w:sz w:val="24"/>
              </w:rPr>
            </w:pPr>
            <w:r>
              <w:rPr>
                <w:rFonts w:hint="eastAsia" w:ascii="仿宋_GB2312" w:hAnsi="仿宋_GB2312" w:eastAsia="仿宋_GB2312" w:cs="仿宋_GB2312"/>
                <w:sz w:val="24"/>
              </w:rPr>
              <w:t>上一年度因执业行为涉嫌违法违规被立案调查或被司法机关侦查，以及因执业行为受到刑事处罚、行政处罚、监督管理措施、</w:t>
            </w:r>
            <w:r>
              <w:rPr>
                <w:rFonts w:hint="eastAsia" w:ascii="仿宋_GB2312" w:hAnsi="仿宋_GB2312" w:eastAsia="仿宋_GB2312"/>
                <w:sz w:val="24"/>
              </w:rPr>
              <w:t>自律监管措施、纪律处分的</w:t>
            </w:r>
            <w:r>
              <w:rPr>
                <w:rFonts w:hint="eastAsia" w:ascii="仿宋_GB2312" w:hAnsi="仿宋_GB2312" w:eastAsia="仿宋_GB2312" w:cs="仿宋_GB2312"/>
                <w:sz w:val="24"/>
              </w:rPr>
              <w:t>情况</w:t>
            </w:r>
          </w:p>
        </w:tc>
        <w:tc>
          <w:tcPr>
            <w:tcW w:w="6390" w:type="dxa"/>
            <w:gridSpan w:val="7"/>
            <w:vAlign w:val="center"/>
          </w:tcPr>
          <w:p w14:paraId="126C380C">
            <w:pPr>
              <w:spacing w:line="440" w:lineRule="atLeast"/>
              <w:rPr>
                <w:rFonts w:ascii="仿宋_GB2312" w:hAnsi="仿宋_GB2312" w:eastAsia="仿宋_GB2312" w:cs="仿宋_GB2312"/>
                <w:sz w:val="24"/>
              </w:rPr>
            </w:pPr>
          </w:p>
        </w:tc>
      </w:tr>
      <w:tr w14:paraId="319BF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908" w:hRule="atLeast"/>
          <w:jc w:val="center"/>
        </w:trPr>
        <w:tc>
          <w:tcPr>
            <w:tcW w:w="9705" w:type="dxa"/>
            <w:gridSpan w:val="11"/>
          </w:tcPr>
          <w:p w14:paraId="2553BC81">
            <w:pPr>
              <w:spacing w:line="440" w:lineRule="atLeast"/>
              <w:rPr>
                <w:rFonts w:ascii="仿宋_GB2312" w:hAnsi="仿宋_GB2312" w:eastAsia="仿宋_GB2312" w:cs="仿宋_GB2312"/>
                <w:sz w:val="24"/>
              </w:rPr>
            </w:pPr>
            <w:r>
              <w:rPr>
                <w:rFonts w:hint="eastAsia" w:ascii="仿宋_GB2312" w:hAnsi="仿宋_GB2312" w:eastAsia="仿宋_GB2312" w:cs="仿宋_GB2312"/>
                <w:sz w:val="24"/>
              </w:rPr>
              <w:t>本机构承诺提交的备案材料真实、准确、完整，不存在虚假记载、误导性陈述或重大遗漏。</w:t>
            </w:r>
          </w:p>
          <w:p w14:paraId="7121BC3C">
            <w:pPr>
              <w:spacing w:line="440" w:lineRule="atLeast"/>
              <w:jc w:val="left"/>
              <w:rPr>
                <w:rFonts w:ascii="仿宋_GB2312" w:hAnsi="仿宋_GB2312" w:eastAsia="仿宋_GB2312" w:cs="仿宋_GB2312"/>
                <w:sz w:val="24"/>
              </w:rPr>
            </w:pPr>
            <w:r>
              <w:rPr>
                <w:rFonts w:hint="eastAsia" w:ascii="仿宋_GB2312" w:hAnsi="仿宋_GB2312" w:eastAsia="仿宋_GB2312" w:cs="仿宋_GB2312"/>
                <w:sz w:val="24"/>
              </w:rPr>
              <w:t>法定代表人（执行合伙事务的合伙人）资产评估机构</w:t>
            </w:r>
          </w:p>
          <w:p w14:paraId="70AAA771">
            <w:pPr>
              <w:spacing w:line="440" w:lineRule="atLeast"/>
              <w:jc w:val="left"/>
              <w:rPr>
                <w:rFonts w:ascii="仿宋_GB2312" w:hAnsi="仿宋_GB2312" w:eastAsia="仿宋_GB2312" w:cs="仿宋_GB2312"/>
                <w:sz w:val="24"/>
              </w:rPr>
            </w:pPr>
            <w:r>
              <w:rPr>
                <w:rFonts w:hint="eastAsia" w:ascii="仿宋_GB2312" w:hAnsi="仿宋_GB2312" w:eastAsia="仿宋_GB2312" w:cs="仿宋_GB2312"/>
                <w:sz w:val="24"/>
              </w:rPr>
              <w:t>（签章）　　　　　　　　　　　　　　　　　　　　　　（盖章）</w:t>
            </w:r>
          </w:p>
          <w:p w14:paraId="3B00FC9A">
            <w:pPr>
              <w:spacing w:line="440" w:lineRule="atLeast"/>
              <w:jc w:val="center"/>
              <w:rPr>
                <w:rFonts w:ascii="仿宋_GB2312" w:hAnsi="仿宋_GB2312" w:eastAsia="仿宋_GB2312" w:cs="仿宋_GB2312"/>
                <w:sz w:val="24"/>
              </w:rPr>
            </w:pPr>
            <w:r>
              <w:rPr>
                <w:rFonts w:hint="eastAsia" w:ascii="仿宋_GB2312" w:hAnsi="仿宋_GB2312" w:eastAsia="仿宋_GB2312" w:cs="仿宋_GB2312"/>
                <w:sz w:val="24"/>
              </w:rPr>
              <w:t>年　　　月　　　日</w:t>
            </w:r>
          </w:p>
        </w:tc>
      </w:tr>
    </w:tbl>
    <w:p w14:paraId="04BF180A">
      <w:pPr>
        <w:spacing w:line="440" w:lineRule="atLeast"/>
        <w:rPr>
          <w:rFonts w:ascii="仿宋_GB2312" w:hAnsi="仿宋_GB2312" w:eastAsia="仿宋_GB2312" w:cs="仿宋_GB2312"/>
          <w:sz w:val="24"/>
        </w:rPr>
      </w:pPr>
      <w:r>
        <w:rPr>
          <w:rFonts w:hint="eastAsia" w:ascii="仿宋_GB2312" w:hAnsi="仿宋_GB2312" w:eastAsia="仿宋_GB2312" w:cs="仿宋_GB2312"/>
          <w:sz w:val="24"/>
        </w:rPr>
        <w:t>注：1.上年末员工总数、上年度末资产评估师总数、上年末净资产、上一年度资产评估业务收入、上一年度业务收入、上一年度证券服务业务收入、保险合同有效期内职业保险累计赔偿限额、累计职业风险基金、资产评估师与员工总数变动情况均包含分公司但不包含子公司。</w:t>
      </w:r>
    </w:p>
    <w:p w14:paraId="63641A75">
      <w:pPr>
        <w:spacing w:line="440" w:lineRule="atLeast"/>
        <w:rPr>
          <w:rFonts w:ascii="仿宋_GB2312" w:hAnsi="仿宋_GB2312" w:eastAsia="仿宋_GB2312" w:cs="仿宋_GB2312"/>
          <w:sz w:val="24"/>
        </w:rPr>
      </w:pPr>
      <w:r>
        <w:rPr>
          <w:rFonts w:hint="eastAsia" w:ascii="仿宋_GB2312" w:hAnsi="仿宋_GB2312" w:eastAsia="仿宋_GB2312" w:cs="仿宋_GB2312"/>
          <w:sz w:val="24"/>
        </w:rPr>
        <w:t>2.收入金额不含增值税。</w:t>
      </w:r>
    </w:p>
    <w:p w14:paraId="3AE0C08A">
      <w:pPr>
        <w:spacing w:line="440" w:lineRule="atLeast"/>
        <w:rPr>
          <w:rFonts w:ascii="仿宋_GB2312" w:hAnsi="仿宋_GB2312" w:eastAsia="仿宋_GB2312" w:cs="仿宋_GB2312"/>
          <w:bCs/>
          <w:sz w:val="24"/>
        </w:rPr>
      </w:pPr>
      <w:r>
        <w:rPr>
          <w:rFonts w:hint="eastAsia" w:ascii="仿宋_GB2312" w:hAnsi="仿宋_GB2312" w:eastAsia="仿宋_GB2312" w:cs="仿宋_GB2312"/>
          <w:sz w:val="24"/>
        </w:rPr>
        <w:t>3.</w:t>
      </w:r>
      <w:r>
        <w:rPr>
          <w:rFonts w:hint="eastAsia" w:ascii="仿宋_GB2312" w:hAnsi="仿宋_GB2312" w:eastAsia="仿宋_GB2312" w:cs="仿宋_GB2312"/>
          <w:bCs/>
          <w:sz w:val="24"/>
        </w:rPr>
        <w:t>电话应包含固定电话和手机号码。</w:t>
      </w:r>
    </w:p>
    <w:p w14:paraId="13774A04">
      <w:pPr>
        <w:spacing w:line="440" w:lineRule="atLeast"/>
        <w:rPr>
          <w:rFonts w:ascii="仿宋_GB2312" w:hAnsi="仿宋_GB2312" w:eastAsia="仿宋_GB2312" w:cs="仿宋_GB2312"/>
          <w:bCs/>
          <w:sz w:val="24"/>
        </w:rPr>
      </w:pPr>
      <w:r>
        <w:rPr>
          <w:rFonts w:hint="eastAsia" w:ascii="仿宋_GB2312" w:hAnsi="仿宋_GB2312" w:eastAsia="仿宋_GB2312" w:cs="仿宋_GB2312"/>
          <w:bCs/>
          <w:sz w:val="24"/>
        </w:rPr>
        <w:t>4.注册地填写到地级市。</w:t>
      </w:r>
    </w:p>
    <w:p w14:paraId="0A339944">
      <w:pPr>
        <w:spacing w:line="440" w:lineRule="atLeast"/>
        <w:rPr>
          <w:rFonts w:ascii="仿宋_GB2312" w:hAnsi="仿宋_GB2312" w:eastAsia="仿宋_GB2312" w:cs="仿宋_GB2312"/>
          <w:bCs/>
          <w:sz w:val="24"/>
        </w:rPr>
      </w:pPr>
      <w:r>
        <w:rPr>
          <w:rFonts w:hint="eastAsia" w:ascii="仿宋_GB2312" w:hAnsi="仿宋_GB2312" w:eastAsia="仿宋_GB2312" w:cs="仿宋_GB2312"/>
          <w:bCs/>
          <w:sz w:val="24"/>
        </w:rPr>
        <w:t>5.分支机构包括分公司、子公司等。</w:t>
      </w:r>
    </w:p>
    <w:p w14:paraId="0F531104">
      <w:pPr>
        <w:spacing w:line="440" w:lineRule="atLeast"/>
        <w:rPr>
          <w:rFonts w:ascii="仿宋_GB2312" w:hAnsi="仿宋_GB2312" w:eastAsia="仿宋_GB2312" w:cs="仿宋_GB2312"/>
          <w:bCs/>
          <w:sz w:val="24"/>
        </w:rPr>
      </w:pPr>
      <w:r>
        <w:rPr>
          <w:rFonts w:hint="eastAsia" w:ascii="仿宋_GB2312" w:hAnsi="仿宋_GB2312" w:eastAsia="仿宋_GB2312" w:cs="仿宋_GB2312"/>
          <w:bCs/>
          <w:sz w:val="24"/>
        </w:rPr>
        <w:t>6.</w:t>
      </w:r>
      <w:r>
        <w:rPr>
          <w:rFonts w:hint="eastAsia" w:ascii="仿宋_GB2312" w:hAnsi="仿宋_GB2312" w:eastAsia="仿宋_GB2312"/>
          <w:sz w:val="24"/>
        </w:rPr>
        <w:t>自律监管措施、纪律处分包括</w:t>
      </w:r>
      <w:r>
        <w:rPr>
          <w:rFonts w:hint="eastAsia" w:ascii="仿宋_GB2312" w:hAnsi="仿宋_GB2312" w:eastAsia="仿宋_GB2312" w:cs="仿宋_GB2312"/>
          <w:sz w:val="24"/>
        </w:rPr>
        <w:t>行业协会自律惩戒、交易所自律监管措施与交易所纪律处分。</w:t>
      </w:r>
    </w:p>
    <w:p w14:paraId="19183F88">
      <w:pPr>
        <w:spacing w:line="440" w:lineRule="atLeast"/>
        <w:rPr>
          <w:rFonts w:ascii="仿宋_GB2312" w:hAnsi="仿宋_GB2312" w:eastAsia="仿宋_GB2312" w:cs="仿宋_GB2312"/>
          <w:bCs/>
          <w:sz w:val="24"/>
        </w:rPr>
      </w:pPr>
      <w:r>
        <w:rPr>
          <w:rFonts w:hint="eastAsia" w:ascii="仿宋_GB2312" w:hAnsi="仿宋_GB2312" w:eastAsia="仿宋_GB2312" w:cs="仿宋_GB2312"/>
          <w:bCs/>
          <w:sz w:val="24"/>
        </w:rPr>
        <w:t>7.本表应附上一年度财务报表审计报告和职业保险保单复印件（如有），以及从事证券服务业务质量控制制度执行情况和变动情况说明。</w:t>
      </w:r>
    </w:p>
    <w:p w14:paraId="76113F26">
      <w:pPr>
        <w:spacing w:line="440" w:lineRule="atLeast"/>
        <w:rPr>
          <w:rFonts w:ascii="宋体" w:hAnsi="宋体" w:eastAsia="宋体" w:cs="宋体"/>
          <w:color w:val="333333"/>
          <w:kern w:val="0"/>
          <w:sz w:val="24"/>
          <w:shd w:val="clear" w:color="auto" w:fill="FFFFFF"/>
        </w:rPr>
      </w:pPr>
      <w:r>
        <w:rPr>
          <w:rFonts w:hint="eastAsia" w:ascii="宋体" w:hAnsi="宋体" w:eastAsia="宋体" w:cs="宋体"/>
          <w:color w:val="333333"/>
          <w:kern w:val="0"/>
          <w:sz w:val="24"/>
          <w:shd w:val="clear" w:color="auto" w:fill="FFFFFF"/>
        </w:rPr>
        <w:br w:type="page"/>
      </w:r>
    </w:p>
    <w:p w14:paraId="1DEA7F53">
      <w:pPr>
        <w:pStyle w:val="4"/>
        <w:spacing w:line="440" w:lineRule="atLeast"/>
        <w:jc w:val="center"/>
        <w:rPr>
          <w:rFonts w:ascii="黑体" w:hAnsi="黑体" w:cs="黑体"/>
          <w:shd w:val="clear" w:color="FFFFFF" w:fill="D9D9D9"/>
        </w:rPr>
      </w:pPr>
      <w:bookmarkStart w:id="50" w:name="_Toc386"/>
      <w:r>
        <w:rPr>
          <w:rFonts w:hint="eastAsia" w:ascii="黑体" w:hAnsi="黑体" w:cs="黑体"/>
          <w:shd w:val="clear" w:color="FFFFFF" w:fill="D9D9D9"/>
        </w:rPr>
        <w:t>中国资产评估协会发布的行业制度性文件</w:t>
      </w:r>
      <w:bookmarkEnd w:id="50"/>
    </w:p>
    <w:p w14:paraId="69FD48EE">
      <w:pPr>
        <w:pStyle w:val="5"/>
        <w:spacing w:line="440" w:lineRule="atLeast"/>
        <w:jc w:val="center"/>
        <w:rPr>
          <w:rFonts w:ascii="宋体" w:hAnsi="宋体" w:eastAsia="宋体" w:cs="宋体"/>
        </w:rPr>
      </w:pPr>
      <w:bookmarkStart w:id="51" w:name="_Toc22501"/>
      <w:r>
        <w:rPr>
          <w:rFonts w:hint="eastAsia" w:ascii="宋体" w:hAnsi="宋体" w:eastAsia="宋体" w:cs="宋体"/>
        </w:rPr>
        <w:t>评估机构内部治理指引</w:t>
      </w:r>
      <w:bookmarkEnd w:id="51"/>
    </w:p>
    <w:p w14:paraId="60F62A21">
      <w:pPr>
        <w:shd w:val="clear" w:color="auto" w:fill="FFFFFF"/>
        <w:spacing w:line="440" w:lineRule="atLeast"/>
        <w:jc w:val="center"/>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2010年7月27日中国资产评估协会发布　中评协〔2010〕121号</w:t>
      </w:r>
    </w:p>
    <w:p w14:paraId="0F0A9329">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第一章　总则</w:t>
      </w:r>
    </w:p>
    <w:p w14:paraId="763928E4">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第一条</w:t>
      </w:r>
      <w:r>
        <w:rPr>
          <w:rFonts w:hint="eastAsia" w:ascii="宋体" w:hAnsi="宋体" w:eastAsia="宋体" w:cs="宋体"/>
          <w:color w:val="000000"/>
          <w:kern w:val="0"/>
          <w:sz w:val="24"/>
          <w:shd w:val="clear" w:color="auto" w:fill="FFFFFF"/>
        </w:rPr>
        <w:t>　为规范资产评估机构（以下简称评估机构）内部治理，完善评估机构内部决策管理机制，提高评估机构执业水平和社会公信力，根据《中华人民共和国公司法》、《中华人民共和国合伙企业法》等法律法规和《中国资产评估协会章程》，制定本指引。</w:t>
      </w:r>
    </w:p>
    <w:p w14:paraId="10B236F2">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第二条</w:t>
      </w:r>
      <w:r>
        <w:rPr>
          <w:rFonts w:hint="eastAsia" w:ascii="宋体" w:hAnsi="宋体" w:eastAsia="宋体" w:cs="宋体"/>
          <w:color w:val="000000"/>
          <w:kern w:val="0"/>
          <w:sz w:val="24"/>
          <w:shd w:val="clear" w:color="auto" w:fill="FFFFFF"/>
        </w:rPr>
        <w:t>　本指引所称内部治理主要是指股东会、董事会、监事会、经理层等内设机构为主体的责任明确、有效制衡的组织架构以及科学合理的股东及合伙人进退机制、激励约束机制、内部决策机制、利益分配机制、质量管理机制、风险控制机制、机构文化建设机制等。</w:t>
      </w:r>
    </w:p>
    <w:p w14:paraId="10DAE1FD">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第三条</w:t>
      </w:r>
      <w:r>
        <w:rPr>
          <w:rFonts w:hint="eastAsia" w:ascii="宋体" w:hAnsi="宋体" w:eastAsia="宋体" w:cs="宋体"/>
          <w:color w:val="000000"/>
          <w:kern w:val="0"/>
          <w:sz w:val="24"/>
          <w:shd w:val="clear" w:color="auto" w:fill="FFFFFF"/>
        </w:rPr>
        <w:t>　评估机构内部治理应当以维护公众利益为宗旨，以增进内部和谐为重点，合理规范和有效协调评估机构股东（合伙人）之间、股东（合伙人）与评估师及其他从业人员之间以及其他各相关方面的关系，充分发挥评估机构各层次管理机构的职能作用，保障评估机构及各利益相关者的合法权益。</w:t>
      </w:r>
    </w:p>
    <w:p w14:paraId="73B77BC5">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第四条</w:t>
      </w:r>
      <w:r>
        <w:rPr>
          <w:rFonts w:hint="eastAsia" w:ascii="宋体" w:hAnsi="宋体" w:eastAsia="宋体" w:cs="宋体"/>
          <w:color w:val="000000"/>
          <w:kern w:val="0"/>
          <w:sz w:val="24"/>
          <w:shd w:val="clear" w:color="auto" w:fill="FFFFFF"/>
        </w:rPr>
        <w:t>　评估机构内部治理应当以“人合”为基础，尊重评估师及其他相关从业人员的智力劳动和专业价值，充分发挥专业知识在评估机构内部决策和管理中的主导作用，实现员工、机构、行业和社会的和谐发展。</w:t>
      </w:r>
    </w:p>
    <w:p w14:paraId="44049F4B">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第五条</w:t>
      </w:r>
      <w:r>
        <w:rPr>
          <w:rFonts w:hint="eastAsia" w:ascii="宋体" w:hAnsi="宋体" w:eastAsia="宋体" w:cs="宋体"/>
          <w:color w:val="000000"/>
          <w:kern w:val="0"/>
          <w:sz w:val="24"/>
          <w:shd w:val="clear" w:color="auto" w:fill="FFFFFF"/>
        </w:rPr>
        <w:t>　评估机构应当加强风险管理，建立和完善质量管理和风险控制机制。</w:t>
      </w:r>
    </w:p>
    <w:p w14:paraId="7F4970C0">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第六条</w:t>
      </w:r>
      <w:r>
        <w:rPr>
          <w:rFonts w:hint="eastAsia" w:ascii="宋体" w:hAnsi="宋体" w:eastAsia="宋体" w:cs="宋体"/>
          <w:color w:val="000000"/>
          <w:kern w:val="0"/>
          <w:sz w:val="24"/>
          <w:shd w:val="clear" w:color="auto" w:fill="FFFFFF"/>
        </w:rPr>
        <w:t>　评估机构应当按照相关规定完善内部财务制度，规范财务行为，防范财务风险。</w:t>
      </w:r>
    </w:p>
    <w:p w14:paraId="7E04A87C">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第二章</w:t>
      </w:r>
      <w:r>
        <w:rPr>
          <w:rFonts w:hint="eastAsia" w:ascii="宋体" w:hAnsi="宋体" w:eastAsia="宋体" w:cs="宋体"/>
          <w:color w:val="000000"/>
          <w:kern w:val="0"/>
          <w:sz w:val="24"/>
          <w:shd w:val="clear" w:color="auto" w:fill="FFFFFF"/>
        </w:rPr>
        <w:t>　</w:t>
      </w:r>
      <w:r>
        <w:rPr>
          <w:rFonts w:hint="eastAsia" w:ascii="黑体" w:hAnsi="黑体" w:eastAsia="黑体" w:cs="黑体"/>
          <w:bCs/>
          <w:color w:val="000000"/>
          <w:kern w:val="0"/>
          <w:sz w:val="28"/>
          <w:szCs w:val="28"/>
          <w:shd w:val="clear" w:color="auto" w:fill="FFFFFF"/>
        </w:rPr>
        <w:t>股东（合伙人）</w:t>
      </w:r>
    </w:p>
    <w:p w14:paraId="614BDFF3">
      <w:pPr>
        <w:shd w:val="clear" w:color="auto" w:fill="FFFFFF"/>
        <w:spacing w:line="440" w:lineRule="atLeast"/>
        <w:jc w:val="center"/>
        <w:rPr>
          <w:rFonts w:ascii="黑体" w:hAnsi="黑体" w:eastAsia="黑体" w:cs="黑体"/>
          <w:b/>
          <w:color w:val="000000"/>
          <w:kern w:val="0"/>
          <w:sz w:val="24"/>
          <w:shd w:val="clear" w:color="auto" w:fill="FFFFFF"/>
        </w:rPr>
      </w:pPr>
      <w:r>
        <w:rPr>
          <w:rFonts w:hint="eastAsia" w:ascii="黑体" w:hAnsi="黑体" w:eastAsia="黑体" w:cs="黑体"/>
          <w:b/>
          <w:color w:val="000000"/>
          <w:kern w:val="0"/>
          <w:sz w:val="24"/>
          <w:shd w:val="clear" w:color="auto" w:fill="FFFFFF"/>
        </w:rPr>
        <w:t>第一节</w:t>
      </w:r>
      <w:r>
        <w:rPr>
          <w:rFonts w:hint="eastAsia" w:ascii="黑体" w:hAnsi="黑体" w:eastAsia="黑体" w:cs="黑体"/>
          <w:b/>
          <w:color w:val="000000"/>
          <w:kern w:val="0"/>
          <w:sz w:val="22"/>
          <w:szCs w:val="22"/>
          <w:shd w:val="clear" w:color="auto" w:fill="FFFFFF"/>
        </w:rPr>
        <w:t>　</w:t>
      </w:r>
      <w:r>
        <w:rPr>
          <w:rFonts w:hint="eastAsia" w:ascii="黑体" w:hAnsi="黑体" w:eastAsia="黑体" w:cs="黑体"/>
          <w:b/>
          <w:color w:val="000000"/>
          <w:kern w:val="0"/>
          <w:sz w:val="24"/>
          <w:shd w:val="clear" w:color="auto" w:fill="FFFFFF"/>
        </w:rPr>
        <w:t>股东（合伙人）的加入与退出</w:t>
      </w:r>
    </w:p>
    <w:p w14:paraId="13A3F467">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第七条</w:t>
      </w:r>
      <w:r>
        <w:rPr>
          <w:rFonts w:hint="eastAsia" w:ascii="宋体" w:hAnsi="宋体" w:eastAsia="宋体" w:cs="宋体"/>
          <w:color w:val="000000"/>
          <w:kern w:val="0"/>
          <w:sz w:val="24"/>
          <w:shd w:val="clear" w:color="auto" w:fill="FFFFFF"/>
        </w:rPr>
        <w:t>　评估机构股东（合伙制企业为合伙人，以下统称股东）应当符合法律法规和行业规范规定的资格条件。评估机构的章程（合伙制事务所为合伙人协议，以下统称章程）中应当载明股东在诚信记录、专业经历、议事能力和年龄条件等方面的要求。</w:t>
      </w:r>
    </w:p>
    <w:p w14:paraId="5629A312">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第八条</w:t>
      </w:r>
      <w:r>
        <w:rPr>
          <w:rFonts w:hint="eastAsia" w:ascii="宋体" w:hAnsi="宋体" w:eastAsia="宋体" w:cs="宋体"/>
          <w:color w:val="000000"/>
          <w:kern w:val="0"/>
          <w:sz w:val="24"/>
          <w:shd w:val="clear" w:color="auto" w:fill="FFFFFF"/>
        </w:rPr>
        <w:t>　评估机构的章程中应当载明新股东的加入程序，并明确新股东与老股东的权利与义务。未明确约定的，则享有同等权利、承担同等义务。</w:t>
      </w:r>
    </w:p>
    <w:p w14:paraId="5158404A">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第九条</w:t>
      </w:r>
      <w:r>
        <w:rPr>
          <w:rFonts w:hint="eastAsia" w:ascii="宋体" w:hAnsi="宋体" w:eastAsia="宋体" w:cs="宋体"/>
          <w:color w:val="000000"/>
          <w:kern w:val="0"/>
          <w:sz w:val="24"/>
          <w:shd w:val="clear" w:color="auto" w:fill="FFFFFF"/>
        </w:rPr>
        <w:t>　评估机构的章程中应当载明股东退出的情形和程序。对于符合退出条件的股东，应当按约定程序准予退出。</w:t>
      </w:r>
    </w:p>
    <w:p w14:paraId="0A0D0E2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评估机构的章程中应当载明丧失股东资格条件为当然退出情形，应当及时办理股权（合伙制企业为财产份额，以下统称股权）转让手续。</w:t>
      </w:r>
    </w:p>
    <w:p w14:paraId="53D1C354">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第十条</w:t>
      </w:r>
      <w:r>
        <w:rPr>
          <w:rFonts w:hint="eastAsia" w:ascii="宋体" w:hAnsi="宋体" w:eastAsia="宋体" w:cs="宋体"/>
          <w:color w:val="000000"/>
          <w:kern w:val="0"/>
          <w:sz w:val="24"/>
          <w:shd w:val="clear" w:color="auto" w:fill="FFFFFF"/>
        </w:rPr>
        <w:t>　评估机构的章程中应当载明股东退出时股权转让价格的计算方式或标准及财务审核，结算与退还办法。　</w:t>
      </w:r>
    </w:p>
    <w:p w14:paraId="5646B317">
      <w:pPr>
        <w:shd w:val="clear" w:color="auto" w:fill="FFFFFF"/>
        <w:spacing w:line="440" w:lineRule="atLeast"/>
        <w:jc w:val="center"/>
        <w:rPr>
          <w:rFonts w:ascii="黑体" w:hAnsi="黑体" w:eastAsia="黑体" w:cs="黑体"/>
          <w:b/>
          <w:color w:val="000000"/>
          <w:kern w:val="0"/>
          <w:sz w:val="24"/>
          <w:shd w:val="clear" w:color="auto" w:fill="FFFFFF"/>
        </w:rPr>
      </w:pPr>
      <w:r>
        <w:rPr>
          <w:rFonts w:hint="eastAsia" w:ascii="黑体" w:hAnsi="黑体" w:eastAsia="黑体" w:cs="黑体"/>
          <w:b/>
          <w:color w:val="000000"/>
          <w:kern w:val="0"/>
          <w:sz w:val="24"/>
          <w:shd w:val="clear" w:color="auto" w:fill="FFFFFF"/>
        </w:rPr>
        <w:t>第二节</w:t>
      </w:r>
      <w:r>
        <w:rPr>
          <w:rFonts w:hint="eastAsia" w:ascii="宋体" w:hAnsi="宋体" w:eastAsia="宋体" w:cs="宋体"/>
          <w:color w:val="000000"/>
          <w:kern w:val="0"/>
          <w:sz w:val="24"/>
          <w:shd w:val="clear" w:color="auto" w:fill="FFFFFF"/>
        </w:rPr>
        <w:t>　</w:t>
      </w:r>
      <w:r>
        <w:rPr>
          <w:rFonts w:hint="eastAsia" w:ascii="黑体" w:hAnsi="黑体" w:eastAsia="黑体" w:cs="黑体"/>
          <w:b/>
          <w:color w:val="000000"/>
          <w:kern w:val="0"/>
          <w:sz w:val="24"/>
          <w:shd w:val="clear" w:color="auto" w:fill="FFFFFF"/>
        </w:rPr>
        <w:t>股东出资与股权变动</w:t>
      </w:r>
    </w:p>
    <w:p w14:paraId="25FE8BE5">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第十一条</w:t>
      </w:r>
      <w:r>
        <w:rPr>
          <w:rFonts w:hint="eastAsia" w:ascii="宋体" w:hAnsi="宋体" w:eastAsia="宋体" w:cs="宋体"/>
          <w:color w:val="000000"/>
          <w:kern w:val="0"/>
          <w:sz w:val="24"/>
          <w:shd w:val="clear" w:color="auto" w:fill="FFFFFF"/>
        </w:rPr>
        <w:t>　评估机构的章程中应当载明股东的出资方式、出资金额、出资比例、出资时间及相应的违约责任。</w:t>
      </w:r>
    </w:p>
    <w:p w14:paraId="6BC7684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股东应当依法履行出资义务，按期足额缴纳约定的各自所认缴的出资额。不得以任何方式虚假出资、抽逃或者变相抽逃出资，不得以任何形式占有、转移评估机构的财产。</w:t>
      </w:r>
    </w:p>
    <w:p w14:paraId="14E5787F">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第十二条</w:t>
      </w:r>
      <w:r>
        <w:rPr>
          <w:rFonts w:hint="eastAsia" w:ascii="宋体" w:hAnsi="宋体" w:eastAsia="宋体" w:cs="宋体"/>
          <w:color w:val="000000"/>
          <w:kern w:val="0"/>
          <w:sz w:val="24"/>
          <w:shd w:val="clear" w:color="auto" w:fill="FFFFFF"/>
        </w:rPr>
        <w:t>　评估机构的章程中应当载明股东之间或向股东以外的人转让其全部或者部分股权的程序和办法。</w:t>
      </w:r>
    </w:p>
    <w:p w14:paraId="4D8D598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股东只能向符合评估机构章程约定的股东资格条件的人转让其股权。</w:t>
      </w:r>
    </w:p>
    <w:p w14:paraId="5118BCAF">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第十三条</w:t>
      </w:r>
      <w:r>
        <w:rPr>
          <w:rFonts w:hint="eastAsia" w:ascii="宋体" w:hAnsi="宋体" w:eastAsia="宋体" w:cs="宋体"/>
          <w:color w:val="000000"/>
          <w:kern w:val="0"/>
          <w:sz w:val="24"/>
          <w:shd w:val="clear" w:color="auto" w:fill="FFFFFF"/>
        </w:rPr>
        <w:t>　评估机构的章程中应当载明老股东对新增注册资本是否有优先认缴出资权。</w:t>
      </w:r>
    </w:p>
    <w:p w14:paraId="7C68F3D3">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第十四条</w:t>
      </w:r>
      <w:r>
        <w:rPr>
          <w:rFonts w:hint="eastAsia" w:ascii="宋体" w:hAnsi="宋体" w:eastAsia="宋体" w:cs="宋体"/>
          <w:color w:val="000000"/>
          <w:kern w:val="0"/>
          <w:sz w:val="24"/>
          <w:shd w:val="clear" w:color="auto" w:fill="FFFFFF"/>
        </w:rPr>
        <w:t>　评估机构股东不得为他人代为持有股权，也不得委托他人持有自己的股权。</w:t>
      </w:r>
    </w:p>
    <w:p w14:paraId="4084C55F">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第十五条</w:t>
      </w:r>
      <w:r>
        <w:rPr>
          <w:rFonts w:hint="eastAsia" w:ascii="宋体" w:hAnsi="宋体" w:eastAsia="宋体" w:cs="宋体"/>
          <w:color w:val="000000"/>
          <w:kern w:val="0"/>
          <w:sz w:val="24"/>
          <w:shd w:val="clear" w:color="auto" w:fill="FFFFFF"/>
        </w:rPr>
        <w:t>　评估机构的章程中应当载明股东不得以其在评估机构中的股权对外出质进行担保。</w:t>
      </w:r>
    </w:p>
    <w:p w14:paraId="03D58616">
      <w:pPr>
        <w:shd w:val="clear" w:color="auto" w:fill="FFFFFF"/>
        <w:spacing w:line="440" w:lineRule="atLeast"/>
        <w:jc w:val="center"/>
        <w:rPr>
          <w:rFonts w:ascii="黑体" w:hAnsi="黑体" w:eastAsia="黑体" w:cs="黑体"/>
          <w:b/>
          <w:color w:val="000000"/>
          <w:kern w:val="0"/>
          <w:sz w:val="24"/>
          <w:shd w:val="clear" w:color="auto" w:fill="FFFFFF"/>
        </w:rPr>
      </w:pPr>
      <w:r>
        <w:rPr>
          <w:rFonts w:hint="eastAsia" w:ascii="黑体" w:hAnsi="黑体" w:eastAsia="黑体" w:cs="黑体"/>
          <w:b/>
          <w:color w:val="000000"/>
          <w:kern w:val="0"/>
          <w:sz w:val="24"/>
          <w:shd w:val="clear" w:color="auto" w:fill="FFFFFF"/>
        </w:rPr>
        <w:t>第三节</w:t>
      </w:r>
      <w:r>
        <w:rPr>
          <w:rFonts w:hint="eastAsia" w:ascii="宋体" w:hAnsi="宋体" w:eastAsia="宋体" w:cs="宋体"/>
          <w:color w:val="000000"/>
          <w:kern w:val="0"/>
          <w:sz w:val="24"/>
          <w:shd w:val="clear" w:color="auto" w:fill="FFFFFF"/>
        </w:rPr>
        <w:t>　</w:t>
      </w:r>
      <w:r>
        <w:rPr>
          <w:rFonts w:hint="eastAsia" w:ascii="黑体" w:hAnsi="黑体" w:eastAsia="黑体" w:cs="黑体"/>
          <w:b/>
          <w:color w:val="000000"/>
          <w:kern w:val="0"/>
          <w:sz w:val="24"/>
          <w:shd w:val="clear" w:color="auto" w:fill="FFFFFF"/>
        </w:rPr>
        <w:t>股东的权利与义务</w:t>
      </w:r>
    </w:p>
    <w:p w14:paraId="4166A414">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第十六条</w:t>
      </w:r>
      <w:r>
        <w:rPr>
          <w:rFonts w:hint="eastAsia" w:ascii="宋体" w:hAnsi="宋体" w:eastAsia="宋体" w:cs="宋体"/>
          <w:color w:val="000000"/>
          <w:kern w:val="0"/>
          <w:sz w:val="24"/>
          <w:shd w:val="clear" w:color="auto" w:fill="FFFFFF"/>
        </w:rPr>
        <w:t>　评估机构的章程中应当载明股东的权利和义务。</w:t>
      </w:r>
    </w:p>
    <w:p w14:paraId="53B12354">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第十七条</w:t>
      </w:r>
      <w:r>
        <w:rPr>
          <w:rFonts w:hint="eastAsia" w:ascii="宋体" w:hAnsi="宋体" w:eastAsia="宋体" w:cs="宋体"/>
          <w:color w:val="000000"/>
          <w:kern w:val="0"/>
          <w:sz w:val="24"/>
          <w:shd w:val="clear" w:color="auto" w:fill="FFFFFF"/>
        </w:rPr>
        <w:t>　评估机构所有股东享有平等地位。股东之间应当相互信任、相互尊重、平等协商、和谐共事。</w:t>
      </w:r>
    </w:p>
    <w:p w14:paraId="4DBA904E">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第十八条</w:t>
      </w:r>
      <w:r>
        <w:rPr>
          <w:rFonts w:hint="eastAsia" w:ascii="宋体" w:hAnsi="宋体" w:eastAsia="宋体" w:cs="宋体"/>
          <w:color w:val="000000"/>
          <w:kern w:val="0"/>
          <w:sz w:val="24"/>
          <w:shd w:val="clear" w:color="auto" w:fill="FFFFFF"/>
        </w:rPr>
        <w:t>　股东有权查阅、复制评估机构章程，股东会（合伙人会议）、董事会（合伙人管理委员会）会议决议和财务会计报告。</w:t>
      </w:r>
    </w:p>
    <w:p w14:paraId="15182E2F">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第十九条</w:t>
      </w:r>
      <w:r>
        <w:rPr>
          <w:rFonts w:hint="eastAsia" w:ascii="宋体" w:hAnsi="宋体" w:eastAsia="宋体" w:cs="宋体"/>
          <w:color w:val="000000"/>
          <w:kern w:val="0"/>
          <w:sz w:val="24"/>
          <w:shd w:val="clear" w:color="auto" w:fill="FFFFFF"/>
        </w:rPr>
        <w:t>　股东对评估机构可供分配利润以及清算后的剩余财产享有分配权。</w:t>
      </w:r>
    </w:p>
    <w:p w14:paraId="703B94D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评估机构的章程中应当在载明合法、合理的利润分配原则和方式。</w:t>
      </w:r>
    </w:p>
    <w:p w14:paraId="6BC82C8E">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第二十条</w:t>
      </w:r>
      <w:r>
        <w:rPr>
          <w:rFonts w:hint="eastAsia" w:ascii="宋体" w:hAnsi="宋体" w:eastAsia="宋体" w:cs="宋体"/>
          <w:color w:val="000000"/>
          <w:kern w:val="0"/>
          <w:sz w:val="24"/>
          <w:shd w:val="clear" w:color="auto" w:fill="FFFFFF"/>
        </w:rPr>
        <w:t>　股东应当合法行使权利、履行义务，不得滥用其权利损害评估机构或其他股东的利益。对评估机构的商业秘密负有保密义务。不得利用其股东身份和地位谋取属于所在评估机构的商业机会，损害评估机构的整体利益。</w:t>
      </w:r>
    </w:p>
    <w:p w14:paraId="290D353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股东对评估机构和其他股东负有诚信义务。股东不得从事与本评估机构相竞争或有其他利益冲突的业务。控股股东应当严格按照法律、法规、规章及评估机构章程行使出资人的权利，不应当利用其控股地位谋取不当利益，或损害评估机构和其他股东的利益。</w:t>
      </w:r>
    </w:p>
    <w:p w14:paraId="676EA1E9">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第二十一条</w:t>
      </w:r>
      <w:r>
        <w:rPr>
          <w:rFonts w:hint="eastAsia" w:ascii="宋体" w:hAnsi="宋体" w:eastAsia="宋体" w:cs="宋体"/>
          <w:color w:val="000000"/>
          <w:kern w:val="0"/>
          <w:sz w:val="24"/>
          <w:shd w:val="clear" w:color="auto" w:fill="FFFFFF"/>
        </w:rPr>
        <w:t>　评估机构的章程中应当载明股东争议的解决协调机制。股东争议协商解决不成的，可向仲裁机构提请仲裁或向有管辖权的人民法院起诉。</w:t>
      </w:r>
    </w:p>
    <w:p w14:paraId="7ACD84A4">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第三章</w:t>
      </w:r>
      <w:r>
        <w:rPr>
          <w:rFonts w:hint="eastAsia" w:ascii="宋体" w:hAnsi="宋体" w:eastAsia="宋体" w:cs="宋体"/>
          <w:color w:val="000000"/>
          <w:kern w:val="0"/>
          <w:sz w:val="24"/>
          <w:shd w:val="clear" w:color="auto" w:fill="FFFFFF"/>
        </w:rPr>
        <w:t>　</w:t>
      </w:r>
      <w:r>
        <w:rPr>
          <w:rFonts w:hint="eastAsia" w:ascii="黑体" w:hAnsi="黑体" w:eastAsia="黑体" w:cs="黑体"/>
          <w:bCs/>
          <w:color w:val="000000"/>
          <w:kern w:val="0"/>
          <w:sz w:val="28"/>
          <w:szCs w:val="28"/>
          <w:shd w:val="clear" w:color="auto" w:fill="FFFFFF"/>
        </w:rPr>
        <w:t>决策与监督</w:t>
      </w:r>
    </w:p>
    <w:p w14:paraId="5B984A33">
      <w:pPr>
        <w:shd w:val="clear" w:color="auto" w:fill="FFFFFF"/>
        <w:spacing w:line="440" w:lineRule="atLeast"/>
        <w:jc w:val="center"/>
        <w:rPr>
          <w:rFonts w:ascii="黑体" w:hAnsi="黑体" w:eastAsia="黑体" w:cs="黑体"/>
          <w:b/>
          <w:color w:val="000000"/>
          <w:kern w:val="0"/>
          <w:sz w:val="24"/>
          <w:shd w:val="clear" w:color="auto" w:fill="FFFFFF"/>
        </w:rPr>
      </w:pPr>
      <w:r>
        <w:rPr>
          <w:rFonts w:hint="eastAsia" w:ascii="黑体" w:hAnsi="黑体" w:eastAsia="黑体" w:cs="黑体"/>
          <w:b/>
          <w:color w:val="000000"/>
          <w:kern w:val="0"/>
          <w:sz w:val="24"/>
          <w:shd w:val="clear" w:color="auto" w:fill="FFFFFF"/>
        </w:rPr>
        <w:t>第一节　股东会（合伙人会议）</w:t>
      </w:r>
    </w:p>
    <w:p w14:paraId="458E50EA">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第二十二条</w:t>
      </w:r>
      <w:r>
        <w:rPr>
          <w:rFonts w:hint="eastAsia" w:ascii="宋体" w:hAnsi="宋体" w:eastAsia="宋体" w:cs="宋体"/>
          <w:color w:val="000000"/>
          <w:kern w:val="0"/>
          <w:sz w:val="24"/>
          <w:shd w:val="clear" w:color="auto" w:fill="FFFFFF"/>
        </w:rPr>
        <w:t>　股东会（合伙评估机构为合伙人会议，以下统称股东会）是评估机构的最高权力机构，依据有关法律法规和评估机构的章程行使职权。</w:t>
      </w:r>
    </w:p>
    <w:p w14:paraId="3CD5995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评估机构应当根据自身规模建立合理的股权结构，避免股权过于集中。</w:t>
      </w:r>
    </w:p>
    <w:p w14:paraId="4A133BE5">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第二十三条</w:t>
      </w:r>
      <w:r>
        <w:rPr>
          <w:rFonts w:hint="eastAsia" w:ascii="宋体" w:hAnsi="宋体" w:eastAsia="宋体" w:cs="宋体"/>
          <w:color w:val="000000"/>
          <w:kern w:val="0"/>
          <w:sz w:val="24"/>
          <w:shd w:val="clear" w:color="auto" w:fill="FFFFFF"/>
        </w:rPr>
        <w:t>　评估机构的章程中应当载明股东会的职权范围、议事规则和表决程序，对股东会会议的召开、提案的审议、表决的程序、会议记录及其签署、决议的公布及其生效等议事规则应当进行详细约定，充分保障股东会按约定行使职权和有效运转。</w:t>
      </w:r>
    </w:p>
    <w:p w14:paraId="6920CF68">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第二十四条</w:t>
      </w:r>
      <w:r>
        <w:rPr>
          <w:rFonts w:hint="eastAsia" w:ascii="宋体" w:hAnsi="宋体" w:eastAsia="宋体" w:cs="宋体"/>
          <w:color w:val="000000"/>
          <w:kern w:val="0"/>
          <w:sz w:val="24"/>
          <w:shd w:val="clear" w:color="auto" w:fill="FFFFFF"/>
        </w:rPr>
        <w:t>　股东会可以授权董事会（合伙人管理委员会）行使部分职权，但授权内容应当明确具体，并在评估机构章程中作出约定或经股东会批准。对于可能对评估机构造成特别重大影响的事项，股东会应当谨慎授权。</w:t>
      </w:r>
    </w:p>
    <w:p w14:paraId="2CC173F5">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第二十五条</w:t>
      </w:r>
      <w:r>
        <w:rPr>
          <w:rFonts w:hint="eastAsia" w:ascii="宋体" w:hAnsi="宋体" w:eastAsia="宋体" w:cs="宋体"/>
          <w:color w:val="000000"/>
          <w:kern w:val="0"/>
          <w:sz w:val="24"/>
          <w:shd w:val="clear" w:color="auto" w:fill="FFFFFF"/>
        </w:rPr>
        <w:t>　股东会会议应当确保所有股东拥有充分参与议事、讨论和决策的权利，尊重股东提案，给予每个提案必要的讨论时间。</w:t>
      </w:r>
    </w:p>
    <w:p w14:paraId="08072AF0">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第二十六条</w:t>
      </w:r>
      <w:r>
        <w:rPr>
          <w:rFonts w:hint="eastAsia" w:ascii="宋体" w:hAnsi="宋体" w:eastAsia="宋体" w:cs="宋体"/>
          <w:color w:val="000000"/>
          <w:kern w:val="0"/>
          <w:sz w:val="24"/>
          <w:shd w:val="clear" w:color="auto" w:fill="FFFFFF"/>
        </w:rPr>
        <w:t>　评估机构应当根据行业“人合”的特点，在章程中约定股东会表决权的分配方式。可采取一人一票、出资比例与股东人数相结合或其他体现“人合”特性的表决权分配方式。</w:t>
      </w:r>
    </w:p>
    <w:p w14:paraId="4F786887">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第二十七条</w:t>
      </w:r>
      <w:r>
        <w:rPr>
          <w:rFonts w:hint="eastAsia" w:ascii="宋体" w:hAnsi="宋体" w:eastAsia="宋体" w:cs="宋体"/>
          <w:color w:val="000000"/>
          <w:kern w:val="0"/>
          <w:sz w:val="24"/>
          <w:shd w:val="clear" w:color="auto" w:fill="FFFFFF"/>
        </w:rPr>
        <w:t>　评估机构的章程中应当载明股东会表决程序。</w:t>
      </w:r>
    </w:p>
    <w:p w14:paraId="44D6AF8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对涉及评估机构重大利益的事项，比如修改章程，实施合并、分立、解散，变更评估机构组织形式，增减注册资本，开设或撤销分支机构，股东加入与退出等，应当根据评估机构的组织形式，按照相关法律规定确定表决程序。</w:t>
      </w:r>
    </w:p>
    <w:p w14:paraId="23E2012A">
      <w:pPr>
        <w:shd w:val="clear" w:color="auto" w:fill="FFFFFF"/>
        <w:spacing w:line="440" w:lineRule="atLeast"/>
        <w:jc w:val="center"/>
        <w:rPr>
          <w:rFonts w:ascii="黑体" w:hAnsi="黑体" w:eastAsia="黑体" w:cs="黑体"/>
          <w:b/>
          <w:color w:val="000000"/>
          <w:kern w:val="0"/>
          <w:sz w:val="24"/>
          <w:shd w:val="clear" w:color="auto" w:fill="FFFFFF"/>
        </w:rPr>
      </w:pPr>
      <w:r>
        <w:rPr>
          <w:rFonts w:hint="eastAsia" w:ascii="黑体" w:hAnsi="黑体" w:eastAsia="黑体" w:cs="黑体"/>
          <w:b/>
          <w:color w:val="000000"/>
          <w:kern w:val="0"/>
          <w:sz w:val="24"/>
          <w:shd w:val="clear" w:color="auto" w:fill="FFFFFF"/>
        </w:rPr>
        <w:t>第二节　董事会（合伙人管理委员会）</w:t>
      </w:r>
    </w:p>
    <w:p w14:paraId="54316DC9">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第二十八条</w:t>
      </w:r>
      <w:r>
        <w:rPr>
          <w:rFonts w:hint="eastAsia" w:ascii="宋体" w:hAnsi="宋体" w:eastAsia="宋体" w:cs="宋体"/>
          <w:color w:val="000000"/>
          <w:kern w:val="0"/>
          <w:sz w:val="24"/>
          <w:shd w:val="clear" w:color="auto" w:fill="FFFFFF"/>
        </w:rPr>
        <w:t>　评估机构设董事会（合伙评估机构为合伙人管理委员会，以下统称董事会），对股东会负责，依据相关法律法规和章程行使职权。规模较小的评估机构可以不设立董事会，只设一名执行董事或执行事务合伙人。执行董事和执行事务合伙人的职权由评估机构章程约定。</w:t>
      </w:r>
    </w:p>
    <w:p w14:paraId="6A22F279">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第二十九条</w:t>
      </w:r>
      <w:r>
        <w:rPr>
          <w:rFonts w:hint="eastAsia" w:ascii="宋体" w:hAnsi="宋体" w:eastAsia="宋体" w:cs="宋体"/>
          <w:color w:val="000000"/>
          <w:kern w:val="0"/>
          <w:sz w:val="24"/>
          <w:shd w:val="clear" w:color="auto" w:fill="FFFFFF"/>
        </w:rPr>
        <w:t>　评估机构的章程中应当依据有关法律法规和行业规范载明董事（合伙评估机构为合伙人管理委员会成员，以下统称董事）的任职条件和产生程序、董事会的人数及人员构成、董事会的职权范围以及董事会的议事规则等，以确保董事会的高效运转和科学决策。</w:t>
      </w:r>
    </w:p>
    <w:p w14:paraId="62D9CAD6">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第三十条</w:t>
      </w:r>
      <w:r>
        <w:rPr>
          <w:rFonts w:hint="eastAsia" w:ascii="宋体" w:hAnsi="宋体" w:eastAsia="宋体" w:cs="宋体"/>
          <w:color w:val="000000"/>
          <w:kern w:val="0"/>
          <w:sz w:val="24"/>
          <w:shd w:val="clear" w:color="auto" w:fill="FFFFFF"/>
        </w:rPr>
        <w:t>　董事应当具有良好的职业道德和诚信记录，具备履行董事职责所需的专业知识、议事能力和工作经验。</w:t>
      </w:r>
    </w:p>
    <w:p w14:paraId="7560AF8B">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第三十一条</w:t>
      </w:r>
      <w:r>
        <w:rPr>
          <w:rFonts w:hint="eastAsia" w:ascii="宋体" w:hAnsi="宋体" w:eastAsia="宋体" w:cs="宋体"/>
          <w:color w:val="000000"/>
          <w:kern w:val="0"/>
          <w:sz w:val="24"/>
          <w:shd w:val="clear" w:color="auto" w:fill="FFFFFF"/>
        </w:rPr>
        <w:t>　董事对评估机构和全体职工负有勤勉及忠实的义务。应当按照相关法律法规和评估机构的章程的要求认真履行职责，维护评估机构和全体股东以及其他利益相关者的合法权益。</w:t>
      </w:r>
    </w:p>
    <w:p w14:paraId="3CAF8123">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第三十二条</w:t>
      </w:r>
      <w:r>
        <w:rPr>
          <w:rFonts w:hint="eastAsia" w:ascii="宋体" w:hAnsi="宋体" w:eastAsia="宋体" w:cs="宋体"/>
          <w:color w:val="000000"/>
          <w:kern w:val="0"/>
          <w:sz w:val="24"/>
          <w:shd w:val="clear" w:color="auto" w:fill="FFFFFF"/>
        </w:rPr>
        <w:t>　董事会应当主动接受监事会的监督，不得阻挠、妨碍监事会的活动。</w:t>
      </w:r>
    </w:p>
    <w:p w14:paraId="3A792F1D">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第三十三条</w:t>
      </w:r>
      <w:r>
        <w:rPr>
          <w:rFonts w:hint="eastAsia" w:ascii="宋体" w:hAnsi="宋体" w:eastAsia="宋体" w:cs="宋体"/>
          <w:color w:val="000000"/>
          <w:kern w:val="0"/>
          <w:sz w:val="24"/>
          <w:shd w:val="clear" w:color="auto" w:fill="FFFFFF"/>
        </w:rPr>
        <w:t>　董事会审议有关事项应当确保充分的时间和完备的程序。　</w:t>
      </w:r>
    </w:p>
    <w:p w14:paraId="5487BFF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董事会会议，应当由董事本人出席；董事因故不能出席，可以书面委托其他董事代为出席，委托书中应当载明授权范围。涉及表决事项的，应当载明委托人的具体表决意见。董事会应当对所议事项的决定作成会议记录，出席会议的董事应当在会议记录上签名。</w:t>
      </w:r>
    </w:p>
    <w:p w14:paraId="0FAE6C0A">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第三十四条</w:t>
      </w:r>
      <w:r>
        <w:rPr>
          <w:rFonts w:hint="eastAsia" w:ascii="宋体" w:hAnsi="宋体" w:eastAsia="宋体" w:cs="宋体"/>
          <w:color w:val="000000"/>
          <w:kern w:val="0"/>
          <w:sz w:val="24"/>
          <w:shd w:val="clear" w:color="auto" w:fill="FFFFFF"/>
        </w:rPr>
        <w:t>　董事会可以设立发展与战略、薪酬与考核、风险管理和质量控制等专门专业委员会。</w:t>
      </w:r>
    </w:p>
    <w:p w14:paraId="6894B588">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第三十五条</w:t>
      </w:r>
      <w:r>
        <w:rPr>
          <w:rFonts w:hint="eastAsia" w:ascii="宋体" w:hAnsi="宋体" w:eastAsia="宋体" w:cs="宋体"/>
          <w:color w:val="000000"/>
          <w:kern w:val="0"/>
          <w:sz w:val="24"/>
          <w:shd w:val="clear" w:color="auto" w:fill="FFFFFF"/>
        </w:rPr>
        <w:t>　评估机构可以建立独立董事制度。</w:t>
      </w:r>
    </w:p>
    <w:p w14:paraId="3B98ECE4">
      <w:pPr>
        <w:shd w:val="clear" w:color="auto" w:fill="FFFFFF"/>
        <w:spacing w:line="440" w:lineRule="atLeast"/>
        <w:jc w:val="center"/>
        <w:rPr>
          <w:rFonts w:ascii="黑体" w:hAnsi="黑体" w:eastAsia="黑体" w:cs="黑体"/>
          <w:b/>
          <w:color w:val="000000"/>
          <w:kern w:val="0"/>
          <w:sz w:val="24"/>
          <w:shd w:val="clear" w:color="auto" w:fill="FFFFFF"/>
        </w:rPr>
      </w:pPr>
      <w:r>
        <w:rPr>
          <w:rFonts w:hint="eastAsia" w:ascii="黑体" w:hAnsi="黑体" w:eastAsia="黑体" w:cs="黑体"/>
          <w:b/>
          <w:color w:val="000000"/>
          <w:kern w:val="0"/>
          <w:sz w:val="24"/>
          <w:shd w:val="clear" w:color="auto" w:fill="FFFFFF"/>
        </w:rPr>
        <w:t>第三节　监事会</w:t>
      </w:r>
    </w:p>
    <w:p w14:paraId="56643963">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三十六条</w:t>
      </w:r>
      <w:r>
        <w:rPr>
          <w:rFonts w:hint="eastAsia" w:ascii="宋体" w:hAnsi="宋体" w:eastAsia="宋体" w:cs="宋体"/>
          <w:color w:val="000000"/>
          <w:kern w:val="0"/>
          <w:sz w:val="24"/>
          <w:shd w:val="clear" w:color="auto" w:fill="FFFFFF"/>
        </w:rPr>
        <w:t>　监事会是评估机构的监督机构，对股东会负责。依据有关法律法规和评估机构章程行使职权。</w:t>
      </w:r>
    </w:p>
    <w:p w14:paraId="0A6E0B4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评估机构设监事会。规模较小的评估机构可以不设监事会，只设一至二名监事。</w:t>
      </w:r>
    </w:p>
    <w:p w14:paraId="7AE81D4E">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第三十七条</w:t>
      </w:r>
      <w:r>
        <w:rPr>
          <w:rFonts w:hint="eastAsia" w:ascii="宋体" w:hAnsi="宋体" w:eastAsia="宋体" w:cs="宋体"/>
          <w:color w:val="000000"/>
          <w:kern w:val="0"/>
          <w:sz w:val="24"/>
          <w:shd w:val="clear" w:color="auto" w:fill="FFFFFF"/>
        </w:rPr>
        <w:t>　评估机构应当根据有关规定在章程中约定监事的任职条件，监事会的构成、职责以及议事规则，切实保障监事会职责的履行。</w:t>
      </w:r>
    </w:p>
    <w:p w14:paraId="75C6C159">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第三十八条</w:t>
      </w:r>
      <w:r>
        <w:rPr>
          <w:rFonts w:hint="eastAsia" w:ascii="宋体" w:hAnsi="宋体" w:eastAsia="宋体" w:cs="宋体"/>
          <w:color w:val="000000"/>
          <w:kern w:val="0"/>
          <w:sz w:val="24"/>
          <w:shd w:val="clear" w:color="auto" w:fill="FFFFFF"/>
        </w:rPr>
        <w:t>　监事会每年度至少召开一次会议，监事可以提议召开临时监事会会议。监事会决议应当经半数以上监事通过。监事会应当对所议事项的决定作成会议记录，出席会议的监事应当在会议记录上签名。</w:t>
      </w:r>
    </w:p>
    <w:p w14:paraId="1714D8C1">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第三十九条</w:t>
      </w:r>
      <w:r>
        <w:rPr>
          <w:rFonts w:hint="eastAsia" w:ascii="宋体" w:hAnsi="宋体" w:eastAsia="宋体" w:cs="宋体"/>
          <w:color w:val="000000"/>
          <w:kern w:val="0"/>
          <w:sz w:val="24"/>
          <w:shd w:val="clear" w:color="auto" w:fill="FFFFFF"/>
        </w:rPr>
        <w:t>　监事会应当由员工代表出任的监事、股东代表出任的监事和其他监事组成。员工代表的比例不得低于三分之一，具体比例由章程规定。监事会中的员工代表由公司职工通过员工代表大会、员工大会或者其他形式民主选举产生。</w:t>
      </w:r>
    </w:p>
    <w:p w14:paraId="592AFC6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监事会设主席一人，由全体监事过半数选举产生。监事会主席召集和主持监事会会议；监事会主席不能履行职务或者不履行职务的，由半数以上监事共同推举一名监事召集和主持监事会会议。</w:t>
      </w:r>
    </w:p>
    <w:p w14:paraId="63C39742">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第四十条</w:t>
      </w:r>
      <w:r>
        <w:rPr>
          <w:rFonts w:hint="eastAsia" w:ascii="宋体" w:hAnsi="宋体" w:eastAsia="宋体" w:cs="宋体"/>
          <w:color w:val="000000"/>
          <w:kern w:val="0"/>
          <w:sz w:val="24"/>
          <w:shd w:val="clear" w:color="auto" w:fill="FFFFFF"/>
        </w:rPr>
        <w:t>　评估机构的监事应当具有良好的职业道德和诚信记录，具备履行职责所需的专业知识、监督能力和工作经验。</w:t>
      </w:r>
    </w:p>
    <w:p w14:paraId="3A1F309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评估机构董事、经理层成员及财务负责人不得兼任本评估机构的监事。</w:t>
      </w:r>
    </w:p>
    <w:p w14:paraId="29662411">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第四十一条</w:t>
      </w:r>
      <w:r>
        <w:rPr>
          <w:rFonts w:hint="eastAsia" w:ascii="宋体" w:hAnsi="宋体" w:eastAsia="宋体" w:cs="宋体"/>
          <w:color w:val="000000"/>
          <w:kern w:val="0"/>
          <w:sz w:val="24"/>
          <w:shd w:val="clear" w:color="auto" w:fill="FFFFFF"/>
        </w:rPr>
        <w:t>　监事对评估机构和全体职工负有勤勉及忠实的义务。监事应当按照相关法律法规和评估机构的章程的规定，忠实、审慎履行监事职责。监事可以列席董事会会议，并对董事会决议事项提出质询或者建议。监事会、不设监事会的评估机构的监事发现公司经营情况异常，可以进行调查。</w:t>
      </w:r>
    </w:p>
    <w:p w14:paraId="786531FE">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第四十二条</w:t>
      </w:r>
      <w:r>
        <w:rPr>
          <w:rFonts w:hint="eastAsia" w:ascii="宋体" w:hAnsi="宋体" w:eastAsia="宋体" w:cs="宋体"/>
          <w:color w:val="000000"/>
          <w:kern w:val="0"/>
          <w:sz w:val="24"/>
          <w:shd w:val="clear" w:color="auto" w:fill="FFFFFF"/>
        </w:rPr>
        <w:t>　监事会应当对评估机构的财务活动以及评估机构董事、经理层履行职责的合法性、合规性等进行监督，维护评估机构及各利益相关者的合法权益。</w:t>
      </w:r>
    </w:p>
    <w:p w14:paraId="2B8E2BD8">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第四十三条</w:t>
      </w:r>
      <w:r>
        <w:rPr>
          <w:rFonts w:hint="eastAsia" w:ascii="宋体" w:hAnsi="宋体" w:eastAsia="宋体" w:cs="宋体"/>
          <w:color w:val="000000"/>
          <w:kern w:val="0"/>
          <w:sz w:val="24"/>
          <w:shd w:val="clear" w:color="auto" w:fill="FFFFFF"/>
        </w:rPr>
        <w:t>　　评估机构应当采取措施保障监事的知情权，并为监事会提供必要的工作保障董事会以及其他任何个人不得干预、阻扰监事会行使职权。</w:t>
      </w:r>
    </w:p>
    <w:p w14:paraId="74E3AFA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监事有权了解评估机构运作和经营情况，对履行职责过程中知悉的商业秘密负有保密义务。</w:t>
      </w:r>
    </w:p>
    <w:p w14:paraId="1BCFCEF4">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第四十四条</w:t>
      </w:r>
      <w:r>
        <w:rPr>
          <w:rFonts w:hint="eastAsia" w:ascii="宋体" w:hAnsi="宋体" w:eastAsia="宋体" w:cs="宋体"/>
          <w:color w:val="000000"/>
          <w:kern w:val="0"/>
          <w:sz w:val="24"/>
          <w:shd w:val="clear" w:color="auto" w:fill="FFFFFF"/>
        </w:rPr>
        <w:t>　评估机构可以建立外部监事制度。</w:t>
      </w:r>
    </w:p>
    <w:p w14:paraId="748D905C">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第四章</w:t>
      </w:r>
      <w:r>
        <w:rPr>
          <w:rFonts w:hint="eastAsia" w:ascii="宋体" w:hAnsi="宋体" w:eastAsia="宋体" w:cs="宋体"/>
          <w:color w:val="000000"/>
          <w:kern w:val="0"/>
          <w:sz w:val="24"/>
          <w:shd w:val="clear" w:color="auto" w:fill="FFFFFF"/>
        </w:rPr>
        <w:t>　</w:t>
      </w:r>
      <w:r>
        <w:rPr>
          <w:rFonts w:hint="eastAsia" w:ascii="黑体" w:hAnsi="黑体" w:eastAsia="黑体" w:cs="黑体"/>
          <w:bCs/>
          <w:color w:val="000000"/>
          <w:kern w:val="0"/>
          <w:sz w:val="28"/>
          <w:szCs w:val="28"/>
          <w:shd w:val="clear" w:color="auto" w:fill="FFFFFF"/>
        </w:rPr>
        <w:t>经理层</w:t>
      </w:r>
    </w:p>
    <w:p w14:paraId="5CAC1977">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第四十五条</w:t>
      </w:r>
      <w:r>
        <w:rPr>
          <w:rFonts w:hint="eastAsia" w:ascii="宋体" w:hAnsi="宋体" w:eastAsia="宋体" w:cs="宋体"/>
          <w:color w:val="000000"/>
          <w:kern w:val="0"/>
          <w:sz w:val="24"/>
          <w:shd w:val="clear" w:color="auto" w:fill="FFFFFF"/>
        </w:rPr>
        <w:t>　评估机构的章程中应当载明经理层的构成、职责范围。经理层任职资格应当符合法律法规及行业相关规定。</w:t>
      </w:r>
    </w:p>
    <w:p w14:paraId="6FDEFF8B">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第四十六条</w:t>
      </w:r>
      <w:r>
        <w:rPr>
          <w:rFonts w:hint="eastAsia" w:ascii="宋体" w:hAnsi="宋体" w:eastAsia="宋体" w:cs="宋体"/>
          <w:color w:val="000000"/>
          <w:kern w:val="0"/>
          <w:sz w:val="24"/>
          <w:shd w:val="clear" w:color="auto" w:fill="FFFFFF"/>
        </w:rPr>
        <w:t>　经理层有权依照法律、法规、规章、评估机构章程及董事会授权，组织开展经营管理活动。</w:t>
      </w:r>
    </w:p>
    <w:p w14:paraId="2B448C8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经理层在职权范围内的经营管理活动不受干预。</w:t>
      </w:r>
    </w:p>
    <w:p w14:paraId="3BD4EA7C">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第四十七条</w:t>
      </w:r>
      <w:r>
        <w:rPr>
          <w:rFonts w:hint="eastAsia" w:ascii="宋体" w:hAnsi="宋体" w:eastAsia="宋体" w:cs="宋体"/>
          <w:color w:val="000000"/>
          <w:kern w:val="0"/>
          <w:sz w:val="24"/>
          <w:shd w:val="clear" w:color="auto" w:fill="FFFFFF"/>
        </w:rPr>
        <w:t>　经理层应当遵循诚实信用原则，忠实、勤勉的行使职权。</w:t>
      </w:r>
    </w:p>
    <w:p w14:paraId="50E420A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经理层对评估机构负有诚信义务，对董事会负责并报告工作。经理层不得从事与本评估机构相竞争或有其他利益冲突的业务。应当严格按照法律、法规、规章及评估机构章程行使其权利，不应当利用其管理地位谋取不当利益，或损害评估机构的利益。</w:t>
      </w:r>
    </w:p>
    <w:p w14:paraId="55DAEF8C">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第四十八条</w:t>
      </w:r>
      <w:r>
        <w:rPr>
          <w:rFonts w:hint="eastAsia" w:ascii="宋体" w:hAnsi="宋体" w:eastAsia="宋体" w:cs="宋体"/>
          <w:color w:val="000000"/>
          <w:kern w:val="0"/>
          <w:sz w:val="24"/>
          <w:shd w:val="clear" w:color="auto" w:fill="FFFFFF"/>
        </w:rPr>
        <w:t>　经理层应当建立责任明确、程序清晰的组织结构，组织实施各类风险的识别与评估，并建立健全有效的内部控制制度，及时处理或纠正内部控制中存在的缺陷或问题。</w:t>
      </w:r>
    </w:p>
    <w:p w14:paraId="098AC4FF">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第四十九条</w:t>
      </w:r>
      <w:r>
        <w:rPr>
          <w:rFonts w:hint="eastAsia" w:ascii="宋体" w:hAnsi="宋体" w:eastAsia="宋体" w:cs="宋体"/>
          <w:color w:val="000000"/>
          <w:kern w:val="0"/>
          <w:sz w:val="24"/>
          <w:shd w:val="clear" w:color="auto" w:fill="FFFFFF"/>
        </w:rPr>
        <w:t>　经理层应当主动接受监事会的监督，不应当阻挠、妨碍监事会依职权进行的监督活动。</w:t>
      </w:r>
    </w:p>
    <w:p w14:paraId="2D09924D">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第五十条</w:t>
      </w:r>
      <w:r>
        <w:rPr>
          <w:rFonts w:hint="eastAsia" w:ascii="宋体" w:hAnsi="宋体" w:eastAsia="宋体" w:cs="宋体"/>
          <w:color w:val="000000"/>
          <w:kern w:val="0"/>
          <w:sz w:val="24"/>
          <w:shd w:val="clear" w:color="auto" w:fill="FFFFFF"/>
        </w:rPr>
        <w:t>　评估机构董事会应当与经理层签订聘任协议，对经理层的任期、绩效考核、薪酬待遇、解聘事由、双方的权利义务及违约责任进行约定。</w:t>
      </w:r>
    </w:p>
    <w:p w14:paraId="5B395717">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第五十一条</w:t>
      </w:r>
      <w:r>
        <w:rPr>
          <w:rFonts w:hint="eastAsia" w:ascii="宋体" w:hAnsi="宋体" w:eastAsia="宋体" w:cs="宋体"/>
          <w:color w:val="000000"/>
          <w:kern w:val="0"/>
          <w:sz w:val="24"/>
          <w:shd w:val="clear" w:color="auto" w:fill="FFFFFF"/>
        </w:rPr>
        <w:t>　评估机构应当根据中国资产评估协会的相关规定在章程中载明首席评估师制度。首席评估师为评估机构当然的合伙人或股东，统一负责评估机构建立健全风险及质量控制政策与程序以及风险及业务质量控制。</w:t>
      </w:r>
    </w:p>
    <w:p w14:paraId="448B94A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规模较小的评估机构可以配备专职人员对评估机构业务质量进行监控和把关。</w:t>
      </w:r>
    </w:p>
    <w:p w14:paraId="509C9CC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评估机构应当依据有关规定在章程中明确约定首席评估师的任职条件、任职期限、产生办法、任免程序和职责权限。</w:t>
      </w:r>
    </w:p>
    <w:p w14:paraId="5F548B79">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第五章</w:t>
      </w:r>
      <w:r>
        <w:rPr>
          <w:rFonts w:hint="eastAsia" w:ascii="宋体" w:hAnsi="宋体" w:eastAsia="宋体" w:cs="宋体"/>
          <w:color w:val="000000"/>
          <w:kern w:val="0"/>
          <w:sz w:val="24"/>
          <w:shd w:val="clear" w:color="auto" w:fill="FFFFFF"/>
        </w:rPr>
        <w:t>　</w:t>
      </w:r>
      <w:r>
        <w:rPr>
          <w:rFonts w:hint="eastAsia" w:ascii="黑体" w:hAnsi="黑体" w:eastAsia="黑体" w:cs="黑体"/>
          <w:bCs/>
          <w:color w:val="000000"/>
          <w:kern w:val="0"/>
          <w:sz w:val="28"/>
          <w:szCs w:val="28"/>
          <w:shd w:val="clear" w:color="auto" w:fill="FFFFFF"/>
        </w:rPr>
        <w:t>员工</w:t>
      </w:r>
    </w:p>
    <w:p w14:paraId="62872B8F">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第五十二条</w:t>
      </w:r>
      <w:r>
        <w:rPr>
          <w:rFonts w:hint="eastAsia" w:ascii="宋体" w:hAnsi="宋体" w:eastAsia="宋体" w:cs="宋体"/>
          <w:color w:val="000000"/>
          <w:kern w:val="0"/>
          <w:sz w:val="24"/>
          <w:shd w:val="clear" w:color="auto" w:fill="FFFFFF"/>
        </w:rPr>
        <w:t>　评估机构应当根据《中华人民共和国劳动法》的相关规定，与员工签订劳动合同、明确约定员工的工资福利、社会保险、劳动保护、辞退辞职条件与程序、劳动争议解决机制等事项。</w:t>
      </w:r>
    </w:p>
    <w:p w14:paraId="37314511">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第五十三条</w:t>
      </w:r>
      <w:r>
        <w:rPr>
          <w:rFonts w:hint="eastAsia" w:ascii="宋体" w:hAnsi="宋体" w:eastAsia="宋体" w:cs="宋体"/>
          <w:color w:val="000000"/>
          <w:kern w:val="0"/>
          <w:sz w:val="24"/>
          <w:shd w:val="clear" w:color="auto" w:fill="FFFFFF"/>
        </w:rPr>
        <w:t>　评估机构应当建立健全员工聘用管理和权益保障制度。在研究决策有关工资福利、劳动保护、社会保险等涉及员工切身利益的重大问题时，应当充分听取员工的意见和建议。</w:t>
      </w:r>
    </w:p>
    <w:p w14:paraId="4FD0B58B">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第五十四条</w:t>
      </w:r>
      <w:r>
        <w:rPr>
          <w:rFonts w:hint="eastAsia" w:ascii="宋体" w:hAnsi="宋体" w:eastAsia="宋体" w:cs="宋体"/>
          <w:color w:val="000000"/>
          <w:kern w:val="0"/>
          <w:sz w:val="24"/>
          <w:shd w:val="clear" w:color="auto" w:fill="FFFFFF"/>
        </w:rPr>
        <w:t>　评估机构可以结合业务结构、人员结构、发展战略等制定员工发展计划。</w:t>
      </w:r>
    </w:p>
    <w:p w14:paraId="18A02E8A">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第五十五条</w:t>
      </w:r>
      <w:r>
        <w:rPr>
          <w:rFonts w:hint="eastAsia" w:ascii="宋体" w:hAnsi="宋体" w:eastAsia="宋体" w:cs="宋体"/>
          <w:color w:val="000000"/>
          <w:kern w:val="0"/>
          <w:sz w:val="24"/>
          <w:shd w:val="clear" w:color="auto" w:fill="FFFFFF"/>
        </w:rPr>
        <w:t>　评估机构应当加强员工教育培训，建立健全以岗前培训、继续教育和职业生涯开发为主要内容的员工培训制度、培训计划和培训体系。应当按照相关规定和章程的约定，合理安排培训时间、培训方式、培训内容，保障员工培训质量，并为员工完成行业规定的继续教育任务提供支持和条件。</w:t>
      </w:r>
    </w:p>
    <w:p w14:paraId="2439774D">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第五十六条</w:t>
      </w:r>
      <w:r>
        <w:rPr>
          <w:rFonts w:hint="eastAsia" w:ascii="宋体" w:hAnsi="宋体" w:eastAsia="宋体" w:cs="宋体"/>
          <w:color w:val="000000"/>
          <w:kern w:val="0"/>
          <w:sz w:val="24"/>
          <w:shd w:val="clear" w:color="auto" w:fill="FFFFFF"/>
        </w:rPr>
        <w:t>　评估机构应当建立员工的考核评价制度，明确考核评价的标准、程序和要求。</w:t>
      </w:r>
    </w:p>
    <w:p w14:paraId="4C79E396">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第五十七条</w:t>
      </w:r>
      <w:r>
        <w:rPr>
          <w:rFonts w:hint="eastAsia" w:ascii="宋体" w:hAnsi="宋体" w:eastAsia="宋体" w:cs="宋体"/>
          <w:color w:val="000000"/>
          <w:kern w:val="0"/>
          <w:sz w:val="24"/>
          <w:shd w:val="clear" w:color="auto" w:fill="FFFFFF"/>
        </w:rPr>
        <w:t>　员工应当遵守法律法规及公司的各项规章制度，不得从事损害评估机构利益的活动。</w:t>
      </w:r>
    </w:p>
    <w:p w14:paraId="2574C50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员工对于在执业过程中知悉的客户商业秘密及个人隐私负有保密义务。</w:t>
      </w:r>
    </w:p>
    <w:p w14:paraId="2A84D2CA">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第五十八条</w:t>
      </w:r>
      <w:r>
        <w:rPr>
          <w:rFonts w:hint="eastAsia" w:ascii="宋体" w:hAnsi="宋体" w:eastAsia="宋体" w:cs="宋体"/>
          <w:color w:val="000000"/>
          <w:kern w:val="0"/>
          <w:sz w:val="24"/>
          <w:shd w:val="clear" w:color="auto" w:fill="FFFFFF"/>
        </w:rPr>
        <w:t>　评估机构可以建立外聘专家库。制定相应的外聘专家管理办法。</w:t>
      </w:r>
    </w:p>
    <w:p w14:paraId="4FEEF824">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第六章</w:t>
      </w:r>
      <w:r>
        <w:rPr>
          <w:rFonts w:hint="eastAsia" w:ascii="宋体" w:hAnsi="宋体" w:eastAsia="宋体" w:cs="宋体"/>
          <w:color w:val="000000"/>
          <w:kern w:val="0"/>
          <w:sz w:val="24"/>
          <w:shd w:val="clear" w:color="auto" w:fill="FFFFFF"/>
        </w:rPr>
        <w:t>　</w:t>
      </w:r>
      <w:r>
        <w:rPr>
          <w:rFonts w:hint="eastAsia" w:ascii="黑体" w:hAnsi="黑体" w:eastAsia="黑体" w:cs="黑体"/>
          <w:bCs/>
          <w:color w:val="000000"/>
          <w:kern w:val="0"/>
          <w:sz w:val="28"/>
          <w:szCs w:val="28"/>
          <w:shd w:val="clear" w:color="auto" w:fill="FFFFFF"/>
        </w:rPr>
        <w:t>激励约束机制</w:t>
      </w:r>
    </w:p>
    <w:p w14:paraId="07FF8AF3">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第五十九条</w:t>
      </w:r>
      <w:r>
        <w:rPr>
          <w:rFonts w:hint="eastAsia" w:ascii="宋体" w:hAnsi="宋体" w:eastAsia="宋体" w:cs="宋体"/>
          <w:color w:val="000000"/>
          <w:kern w:val="0"/>
          <w:sz w:val="24"/>
          <w:shd w:val="clear" w:color="auto" w:fill="FFFFFF"/>
        </w:rPr>
        <w:t>　评估机构应当建立薪酬与绩效相联系的激励机制。</w:t>
      </w:r>
    </w:p>
    <w:p w14:paraId="129A9817">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第六十条</w:t>
      </w:r>
      <w:r>
        <w:rPr>
          <w:rFonts w:hint="eastAsia" w:ascii="宋体" w:hAnsi="宋体" w:eastAsia="宋体" w:cs="宋体"/>
          <w:color w:val="000000"/>
          <w:kern w:val="0"/>
          <w:sz w:val="24"/>
          <w:shd w:val="clear" w:color="auto" w:fill="FFFFFF"/>
        </w:rPr>
        <w:t>　评估机构应当建立合理的约束机制。对违反法律、法规、及评估机构章程以及规章制度和规定的行为，应当视情节轻重，给予相应处罚。</w:t>
      </w:r>
    </w:p>
    <w:p w14:paraId="1962FD69">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第六十一条</w:t>
      </w:r>
      <w:r>
        <w:rPr>
          <w:rFonts w:hint="eastAsia" w:ascii="宋体" w:hAnsi="宋体" w:eastAsia="宋体" w:cs="宋体"/>
          <w:color w:val="000000"/>
          <w:kern w:val="0"/>
          <w:sz w:val="24"/>
          <w:shd w:val="clear" w:color="auto" w:fill="FFFFFF"/>
        </w:rPr>
        <w:t>　评估机构应当建立公开、公正的机构绩效评价机制，完善绩效评价的标准和程序。</w:t>
      </w:r>
    </w:p>
    <w:p w14:paraId="3E849915">
      <w:pPr>
        <w:shd w:val="clear" w:color="auto" w:fill="FFFFFF"/>
        <w:spacing w:line="440" w:lineRule="atLeast"/>
        <w:jc w:val="center"/>
        <w:rPr>
          <w:rFonts w:ascii="黑体" w:hAnsi="黑体" w:eastAsia="黑体" w:cs="黑体"/>
          <w:b/>
          <w:color w:val="000000"/>
          <w:kern w:val="0"/>
          <w:sz w:val="24"/>
          <w:shd w:val="clear" w:color="auto" w:fill="FFFFFF"/>
        </w:rPr>
      </w:pPr>
      <w:r>
        <w:rPr>
          <w:rFonts w:hint="eastAsia" w:ascii="黑体" w:hAnsi="黑体" w:eastAsia="黑体" w:cs="黑体"/>
          <w:b/>
          <w:color w:val="000000"/>
          <w:kern w:val="0"/>
          <w:sz w:val="24"/>
          <w:shd w:val="clear" w:color="auto" w:fill="FFFFFF"/>
        </w:rPr>
        <w:t>第一节　董事、监事、经理层的激励约束机制</w:t>
      </w:r>
    </w:p>
    <w:p w14:paraId="4191ACCB">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第六十二条</w:t>
      </w:r>
      <w:r>
        <w:rPr>
          <w:rFonts w:hint="eastAsia" w:ascii="宋体" w:hAnsi="宋体" w:eastAsia="宋体" w:cs="宋体"/>
          <w:color w:val="000000"/>
          <w:kern w:val="0"/>
          <w:sz w:val="24"/>
          <w:shd w:val="clear" w:color="auto" w:fill="FFFFFF"/>
        </w:rPr>
        <w:t>　评估机构应当建立董事、监事、经理层的绩效评价机制。对董事、监事的评价与激励由股东会决定；对经理层的评价与激励由董事会决定；对独立董事和外部监事的评价可采取自我评价与相互评价相结合的方式进行。</w:t>
      </w:r>
    </w:p>
    <w:p w14:paraId="3C6C50F2">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第六十三条</w:t>
      </w:r>
      <w:r>
        <w:rPr>
          <w:rFonts w:hint="eastAsia" w:ascii="宋体" w:hAnsi="宋体" w:eastAsia="宋体" w:cs="宋体"/>
          <w:color w:val="000000"/>
          <w:kern w:val="0"/>
          <w:sz w:val="24"/>
          <w:shd w:val="clear" w:color="auto" w:fill="FFFFFF"/>
        </w:rPr>
        <w:t>　董事、监事的薪酬计划由股东会决定；经理层的薪酬计划由董事会决定。任何董事、监事和经理层都不应当参与其自身薪酬的决定过程。</w:t>
      </w:r>
    </w:p>
    <w:p w14:paraId="5D698927">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第六十四条</w:t>
      </w:r>
      <w:r>
        <w:rPr>
          <w:rFonts w:hint="eastAsia" w:ascii="宋体" w:hAnsi="宋体" w:eastAsia="宋体" w:cs="宋体"/>
          <w:color w:val="000000"/>
          <w:kern w:val="0"/>
          <w:sz w:val="24"/>
          <w:shd w:val="clear" w:color="auto" w:fill="FFFFFF"/>
        </w:rPr>
        <w:t>　在评估机构任职的董事、监事和经理层的薪酬结构应当包括基本工资、年度奖金和各种形式的股权激励，其中与业绩挂钩的部分应当在薪酬总额中占有显著比例。</w:t>
      </w:r>
    </w:p>
    <w:p w14:paraId="7EBF1FB7">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第六十五条</w:t>
      </w:r>
      <w:r>
        <w:rPr>
          <w:rFonts w:hint="eastAsia" w:ascii="宋体" w:hAnsi="宋体" w:eastAsia="宋体" w:cs="宋体"/>
          <w:color w:val="000000"/>
          <w:kern w:val="0"/>
          <w:sz w:val="24"/>
          <w:shd w:val="clear" w:color="auto" w:fill="FFFFFF"/>
        </w:rPr>
        <w:t>　董事会应当每年检查薪酬计划，包括制订计划的原则、过程以及与公司业绩的关系。</w:t>
      </w:r>
    </w:p>
    <w:p w14:paraId="706DD8AF">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第六十六条</w:t>
      </w:r>
      <w:r>
        <w:rPr>
          <w:rFonts w:hint="eastAsia" w:ascii="宋体" w:hAnsi="宋体" w:eastAsia="宋体" w:cs="宋体"/>
          <w:color w:val="000000"/>
          <w:kern w:val="0"/>
          <w:sz w:val="24"/>
          <w:shd w:val="clear" w:color="auto" w:fill="FFFFFF"/>
        </w:rPr>
        <w:t>　董事会、监事会应当向股东会报告董事、监事履行职责的情况、绩效评价结果及其薪酬情况。</w:t>
      </w:r>
    </w:p>
    <w:p w14:paraId="641FEA3D">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第六十七条</w:t>
      </w:r>
      <w:r>
        <w:rPr>
          <w:rFonts w:hint="eastAsia" w:ascii="宋体" w:hAnsi="宋体" w:eastAsia="宋体" w:cs="宋体"/>
          <w:color w:val="000000"/>
          <w:kern w:val="0"/>
          <w:sz w:val="24"/>
          <w:shd w:val="clear" w:color="auto" w:fill="FFFFFF"/>
        </w:rPr>
        <w:t>　评估机构不得代董事、监事或经理层支付应当由个人承担的罚款或赔偿金。</w:t>
      </w:r>
    </w:p>
    <w:p w14:paraId="58FD212D">
      <w:pPr>
        <w:shd w:val="clear" w:color="auto" w:fill="FFFFFF"/>
        <w:spacing w:line="440" w:lineRule="atLeast"/>
        <w:jc w:val="center"/>
        <w:rPr>
          <w:rFonts w:ascii="黑体" w:hAnsi="黑体" w:eastAsia="黑体" w:cs="黑体"/>
          <w:b/>
          <w:color w:val="000000"/>
          <w:kern w:val="0"/>
          <w:sz w:val="24"/>
          <w:shd w:val="clear" w:color="auto" w:fill="FFFFFF"/>
        </w:rPr>
      </w:pPr>
      <w:r>
        <w:rPr>
          <w:rFonts w:hint="eastAsia" w:ascii="黑体" w:hAnsi="黑体" w:eastAsia="黑体" w:cs="黑体"/>
          <w:b/>
          <w:color w:val="000000"/>
          <w:kern w:val="0"/>
          <w:sz w:val="24"/>
          <w:shd w:val="clear" w:color="auto" w:fill="FFFFFF"/>
        </w:rPr>
        <w:t>第二节　员工的激励约束机制</w:t>
      </w:r>
    </w:p>
    <w:p w14:paraId="188F2D5A">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第六十八条</w:t>
      </w:r>
      <w:r>
        <w:rPr>
          <w:rFonts w:hint="eastAsia" w:ascii="宋体" w:hAnsi="宋体" w:eastAsia="宋体" w:cs="宋体"/>
          <w:color w:val="000000"/>
          <w:kern w:val="0"/>
          <w:sz w:val="24"/>
          <w:shd w:val="clear" w:color="auto" w:fill="FFFFFF"/>
        </w:rPr>
        <w:t>　评估机构应当建立科学合理的员工业绩评价制度，明确业绩评价标准、评价程序和要求。</w:t>
      </w:r>
    </w:p>
    <w:p w14:paraId="3D1AE92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员工业绩评价标准应当客观、公正、全面，涵盖员工的执业质量、工作强度、工作效率、工作态度、职业道德、专业胜任能力、市场开拓能力、培训完成情况等因素。</w:t>
      </w:r>
    </w:p>
    <w:p w14:paraId="4688AE46">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第六十九条</w:t>
      </w:r>
      <w:r>
        <w:rPr>
          <w:rFonts w:hint="eastAsia" w:ascii="宋体" w:hAnsi="宋体" w:eastAsia="宋体" w:cs="宋体"/>
          <w:color w:val="000000"/>
          <w:kern w:val="0"/>
          <w:sz w:val="24"/>
          <w:shd w:val="clear" w:color="auto" w:fill="FFFFFF"/>
        </w:rPr>
        <w:t>　评估机构应当建立科学合理的员工薪酬制度。员工薪酬计划要与绩效评价相结合。员工薪酬计划由董事会或经理层决定。</w:t>
      </w:r>
    </w:p>
    <w:p w14:paraId="6765F406">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第七十条</w:t>
      </w:r>
      <w:r>
        <w:rPr>
          <w:rFonts w:hint="eastAsia" w:ascii="宋体" w:hAnsi="宋体" w:eastAsia="宋体" w:cs="宋体"/>
          <w:color w:val="000000"/>
          <w:kern w:val="0"/>
          <w:sz w:val="24"/>
          <w:shd w:val="clear" w:color="auto" w:fill="FFFFFF"/>
        </w:rPr>
        <w:t>　评估机构应当建立与业绩相结合的晋升制度，建立与评估机构发展战略、市场拓展、质量控制相适应的薪酬机制及人才晋升机制。</w:t>
      </w:r>
    </w:p>
    <w:p w14:paraId="3254978D">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第七十一条</w:t>
      </w:r>
      <w:r>
        <w:rPr>
          <w:rFonts w:hint="eastAsia" w:ascii="宋体" w:hAnsi="宋体" w:eastAsia="宋体" w:cs="宋体"/>
          <w:color w:val="000000"/>
          <w:kern w:val="0"/>
          <w:sz w:val="24"/>
          <w:shd w:val="clear" w:color="auto" w:fill="FFFFFF"/>
        </w:rPr>
        <w:t>　评估机构应当鼓励全体员工用正当方式对评估机构各项工作及各级管理人员提出建设性意见。</w:t>
      </w:r>
    </w:p>
    <w:p w14:paraId="0CA70139">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第七章</w:t>
      </w:r>
      <w:r>
        <w:rPr>
          <w:rFonts w:hint="eastAsia" w:ascii="宋体" w:hAnsi="宋体" w:eastAsia="宋体" w:cs="宋体"/>
          <w:color w:val="000000"/>
          <w:kern w:val="0"/>
          <w:sz w:val="24"/>
          <w:shd w:val="clear" w:color="auto" w:fill="FFFFFF"/>
        </w:rPr>
        <w:t>　</w:t>
      </w:r>
      <w:r>
        <w:rPr>
          <w:rFonts w:hint="eastAsia" w:ascii="黑体" w:hAnsi="黑体" w:eastAsia="黑体" w:cs="黑体"/>
          <w:bCs/>
          <w:color w:val="000000"/>
          <w:kern w:val="0"/>
          <w:sz w:val="28"/>
          <w:szCs w:val="28"/>
          <w:shd w:val="clear" w:color="auto" w:fill="FFFFFF"/>
        </w:rPr>
        <w:t>其他利益相关者</w:t>
      </w:r>
    </w:p>
    <w:p w14:paraId="79A39539">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第七十二条</w:t>
      </w:r>
      <w:r>
        <w:rPr>
          <w:rFonts w:hint="eastAsia" w:ascii="宋体" w:hAnsi="宋体" w:eastAsia="宋体" w:cs="宋体"/>
          <w:color w:val="000000"/>
          <w:kern w:val="0"/>
          <w:sz w:val="24"/>
          <w:shd w:val="clear" w:color="auto" w:fill="FFFFFF"/>
        </w:rPr>
        <w:t>　评估机构应当维护客户及相关当事方的合法权益，对执业过程中知悉的客户商业秘密级个人隐私遵守保密义务。</w:t>
      </w:r>
    </w:p>
    <w:p w14:paraId="365E96F0">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第七十三条</w:t>
      </w:r>
      <w:r>
        <w:rPr>
          <w:rFonts w:hint="eastAsia" w:ascii="宋体" w:hAnsi="宋体" w:eastAsia="宋体" w:cs="宋体"/>
          <w:color w:val="000000"/>
          <w:kern w:val="0"/>
          <w:sz w:val="24"/>
          <w:shd w:val="clear" w:color="auto" w:fill="FFFFFF"/>
        </w:rPr>
        <w:t>　评估机构应当设专职部门或岗位负责与客户进行沟通，处理客户的投诉等事宜。</w:t>
      </w:r>
    </w:p>
    <w:p w14:paraId="00C1C144">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第七十四条</w:t>
      </w:r>
      <w:r>
        <w:rPr>
          <w:rFonts w:hint="eastAsia" w:ascii="宋体" w:hAnsi="宋体" w:eastAsia="宋体" w:cs="宋体"/>
          <w:color w:val="000000"/>
          <w:kern w:val="0"/>
          <w:sz w:val="24"/>
          <w:shd w:val="clear" w:color="auto" w:fill="FFFFFF"/>
        </w:rPr>
        <w:t>　评估机构在保持持续发展、实现股东及全体员工利益最大化的同时，应当积极承担行业及社会责任。</w:t>
      </w:r>
    </w:p>
    <w:p w14:paraId="61DD0E5C">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第八章　质量控制</w:t>
      </w:r>
    </w:p>
    <w:p w14:paraId="03AA5B6D">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第七十五条</w:t>
      </w:r>
      <w:r>
        <w:rPr>
          <w:rFonts w:hint="eastAsia" w:ascii="宋体" w:hAnsi="宋体" w:eastAsia="宋体" w:cs="宋体"/>
          <w:color w:val="000000"/>
          <w:kern w:val="0"/>
          <w:sz w:val="24"/>
          <w:shd w:val="clear" w:color="auto" w:fill="FFFFFF"/>
        </w:rPr>
        <w:t>　评估机构应当按照质量控制准则的要求，制定实施科学、严谨的业务质量控制政策和程序，建立质量控制制度体系，强化风险管理，保障质量控制落到实处。</w:t>
      </w:r>
    </w:p>
    <w:p w14:paraId="66FEF360">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第七十六条</w:t>
      </w:r>
      <w:r>
        <w:rPr>
          <w:rFonts w:hint="eastAsia" w:ascii="宋体" w:hAnsi="宋体" w:eastAsia="宋体" w:cs="宋体"/>
          <w:color w:val="000000"/>
          <w:kern w:val="0"/>
          <w:sz w:val="24"/>
          <w:shd w:val="clear" w:color="auto" w:fill="FFFFFF"/>
        </w:rPr>
        <w:t>　评估机构应当强化董事会在制定和组织实施质量控制政策与程序中的责任，建立对重大项目、高风险业务、重大事项等的审议决策制度。建立评估机构的收费备案和业务报备制度。</w:t>
      </w:r>
    </w:p>
    <w:p w14:paraId="6C672B35">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第七十七条</w:t>
      </w:r>
      <w:r>
        <w:rPr>
          <w:rFonts w:hint="eastAsia" w:ascii="宋体" w:hAnsi="宋体" w:eastAsia="宋体" w:cs="宋体"/>
          <w:color w:val="000000"/>
          <w:kern w:val="0"/>
          <w:sz w:val="24"/>
          <w:shd w:val="clear" w:color="auto" w:fill="FFFFFF"/>
        </w:rPr>
        <w:t>　评估机构应当建立风险管理和质量控制委员会或者设置专门机构，对评估机构业务质量进行监控和把关。</w:t>
      </w:r>
    </w:p>
    <w:p w14:paraId="36C8710E">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第七十八条</w:t>
      </w:r>
      <w:r>
        <w:rPr>
          <w:rFonts w:hint="eastAsia" w:ascii="宋体" w:hAnsi="宋体" w:eastAsia="宋体" w:cs="宋体"/>
          <w:color w:val="000000"/>
          <w:kern w:val="0"/>
          <w:sz w:val="24"/>
          <w:shd w:val="clear" w:color="auto" w:fill="FFFFFF"/>
        </w:rPr>
        <w:t>　评估机构应当根据有关规定结合业务特点制定具体的收费标准，不得有恶性压价、向他人支付佣金和回扣、采取收入分成和变相降低收费等损害执业质量的行为。</w:t>
      </w:r>
    </w:p>
    <w:p w14:paraId="42B655F1">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第七十九条</w:t>
      </w:r>
      <w:r>
        <w:rPr>
          <w:rFonts w:hint="eastAsia" w:ascii="宋体" w:hAnsi="宋体" w:eastAsia="宋体" w:cs="宋体"/>
          <w:color w:val="000000"/>
          <w:kern w:val="0"/>
          <w:sz w:val="24"/>
          <w:shd w:val="clear" w:color="auto" w:fill="FFFFFF"/>
        </w:rPr>
        <w:t>　评估机构应当建立评估报告和执业风险评估制度。在评估执业的各个阶段和各个环节，均应当进行风险评估。</w:t>
      </w:r>
    </w:p>
    <w:p w14:paraId="1AC26A21">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第八十条</w:t>
      </w:r>
      <w:r>
        <w:rPr>
          <w:rFonts w:hint="eastAsia" w:ascii="宋体" w:hAnsi="宋体" w:eastAsia="宋体" w:cs="宋体"/>
          <w:color w:val="000000"/>
          <w:kern w:val="0"/>
          <w:sz w:val="24"/>
          <w:shd w:val="clear" w:color="auto" w:fill="FFFFFF"/>
        </w:rPr>
        <w:t>　评估机构应当建立业务质量控制的分类管理制度，对一般风险业务、重大风险业务以及是否涉及公众利益的业务制定不同的质量控制标准和程序。</w:t>
      </w:r>
    </w:p>
    <w:p w14:paraId="69915AB3">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第八十一条</w:t>
      </w:r>
      <w:r>
        <w:rPr>
          <w:rFonts w:hint="eastAsia" w:ascii="宋体" w:hAnsi="宋体" w:eastAsia="宋体" w:cs="宋体"/>
          <w:color w:val="000000"/>
          <w:kern w:val="0"/>
          <w:sz w:val="24"/>
          <w:shd w:val="clear" w:color="auto" w:fill="FFFFFF"/>
        </w:rPr>
        <w:t>　评估机构应当制定相应制度，采取相应的措施，保证评估机构及评估师执业独立性。　</w:t>
      </w:r>
    </w:p>
    <w:p w14:paraId="32E9CAEE">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第八十二条</w:t>
      </w:r>
      <w:r>
        <w:rPr>
          <w:rFonts w:hint="eastAsia" w:ascii="宋体" w:hAnsi="宋体" w:eastAsia="宋体" w:cs="宋体"/>
          <w:color w:val="000000"/>
          <w:kern w:val="0"/>
          <w:sz w:val="24"/>
          <w:shd w:val="clear" w:color="auto" w:fill="FFFFFF"/>
        </w:rPr>
        <w:t>　评估机构应当建立执业的回避制度，明确规定在执业过程中可能损害独立性应当予以回避的情形及补救措施。</w:t>
      </w:r>
    </w:p>
    <w:p w14:paraId="3D437D8D">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第八十三条</w:t>
      </w:r>
      <w:r>
        <w:rPr>
          <w:rFonts w:hint="eastAsia" w:ascii="宋体" w:hAnsi="宋体" w:eastAsia="宋体" w:cs="宋体"/>
          <w:color w:val="000000"/>
          <w:kern w:val="0"/>
          <w:sz w:val="24"/>
          <w:shd w:val="clear" w:color="auto" w:fill="FFFFFF"/>
        </w:rPr>
        <w:t>　评估机构应当建立重大风险事项的报告制度，各级专业人员在执业过程中应当向内部质量控制部门或有关主管人员报告所发现的重大风险事项。</w:t>
      </w:r>
    </w:p>
    <w:p w14:paraId="73580ED2">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第八十四条</w:t>
      </w:r>
      <w:r>
        <w:rPr>
          <w:rFonts w:hint="eastAsia" w:ascii="宋体" w:hAnsi="宋体" w:eastAsia="宋体" w:cs="宋体"/>
          <w:color w:val="000000"/>
          <w:kern w:val="0"/>
          <w:sz w:val="24"/>
          <w:shd w:val="clear" w:color="auto" w:fill="FFFFFF"/>
        </w:rPr>
        <w:t>　评估机构应当建立专业咨询制度，就重大疑难问题或争议事项向内部或外部专家进行咨询。</w:t>
      </w:r>
    </w:p>
    <w:p w14:paraId="720623B0">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第八十五条</w:t>
      </w:r>
      <w:r>
        <w:rPr>
          <w:rFonts w:hint="eastAsia" w:ascii="宋体" w:hAnsi="宋体" w:eastAsia="宋体" w:cs="宋体"/>
          <w:color w:val="000000"/>
          <w:kern w:val="0"/>
          <w:sz w:val="24"/>
          <w:shd w:val="clear" w:color="auto" w:fill="FFFFFF"/>
        </w:rPr>
        <w:t>　评估机构应当建立项目质量控制复核制度，根据项目的复杂程度和风险大小，确定不同的复核方法、程序和内容等。</w:t>
      </w:r>
    </w:p>
    <w:p w14:paraId="328204D9">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第八十六条</w:t>
      </w:r>
      <w:r>
        <w:rPr>
          <w:rFonts w:hint="eastAsia" w:ascii="宋体" w:hAnsi="宋体" w:eastAsia="宋体" w:cs="宋体"/>
          <w:color w:val="000000"/>
          <w:kern w:val="0"/>
          <w:sz w:val="24"/>
          <w:shd w:val="clear" w:color="auto" w:fill="FFFFFF"/>
        </w:rPr>
        <w:t>　评估机构应当建立并完善业务报告签发制度，严格各类业务报告的签发人和签发程序。建立业务签发台账，规范业务签发流程。</w:t>
      </w:r>
    </w:p>
    <w:p w14:paraId="2731F3E9">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第八十七条</w:t>
      </w:r>
      <w:r>
        <w:rPr>
          <w:rFonts w:hint="eastAsia" w:ascii="宋体" w:hAnsi="宋体" w:eastAsia="宋体" w:cs="宋体"/>
          <w:color w:val="000000"/>
          <w:kern w:val="0"/>
          <w:sz w:val="24"/>
          <w:shd w:val="clear" w:color="auto" w:fill="FFFFFF"/>
        </w:rPr>
        <w:t>　评估机构应当建立和完善业务工作底稿的归档、管理和使用制度。</w:t>
      </w:r>
    </w:p>
    <w:p w14:paraId="3AD506A9">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第八十八条</w:t>
      </w:r>
      <w:r>
        <w:rPr>
          <w:rFonts w:hint="eastAsia" w:ascii="宋体" w:hAnsi="宋体" w:eastAsia="宋体" w:cs="宋体"/>
          <w:color w:val="000000"/>
          <w:kern w:val="0"/>
          <w:sz w:val="24"/>
          <w:shd w:val="clear" w:color="auto" w:fill="FFFFFF"/>
        </w:rPr>
        <w:t>　评估机构应当建立业务质量检查评价制度和业务质量责任追究机制。</w:t>
      </w:r>
    </w:p>
    <w:p w14:paraId="053FDE7C">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第八十九条</w:t>
      </w:r>
      <w:r>
        <w:rPr>
          <w:rFonts w:hint="eastAsia" w:ascii="宋体" w:hAnsi="宋体" w:eastAsia="宋体" w:cs="宋体"/>
          <w:color w:val="000000"/>
          <w:kern w:val="0"/>
          <w:sz w:val="24"/>
          <w:shd w:val="clear" w:color="auto" w:fill="FFFFFF"/>
        </w:rPr>
        <w:t>　评估机构应当按照《资产评估机构职业风险基金管理办法》的规定提取职业风险基金或购买职业责任保险，提高抵御职业责任风险的能力。</w:t>
      </w:r>
    </w:p>
    <w:p w14:paraId="2AFCD24C">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第九章　分支机构</w:t>
      </w:r>
    </w:p>
    <w:p w14:paraId="2F53C78D">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第九十条</w:t>
      </w:r>
      <w:r>
        <w:rPr>
          <w:rFonts w:hint="eastAsia" w:ascii="宋体" w:hAnsi="宋体" w:eastAsia="宋体" w:cs="宋体"/>
          <w:color w:val="000000"/>
          <w:kern w:val="0"/>
          <w:sz w:val="24"/>
          <w:shd w:val="clear" w:color="auto" w:fill="FFFFFF"/>
        </w:rPr>
        <w:t>　评估机构应当加强分支机构管理，有效控制分支机构的执业风险。</w:t>
      </w:r>
    </w:p>
    <w:p w14:paraId="6E3E550C">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第九十一条</w:t>
      </w:r>
      <w:r>
        <w:rPr>
          <w:rFonts w:hint="eastAsia" w:ascii="宋体" w:hAnsi="宋体" w:eastAsia="宋体" w:cs="宋体"/>
          <w:color w:val="000000"/>
          <w:kern w:val="0"/>
          <w:sz w:val="24"/>
          <w:shd w:val="clear" w:color="auto" w:fill="FFFFFF"/>
        </w:rPr>
        <w:t>　评估机构对分支机构的管理应当遵循以下原则：</w:t>
      </w:r>
    </w:p>
    <w:p w14:paraId="55C32A9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（一）统一执业标准；</w:t>
      </w:r>
    </w:p>
    <w:p w14:paraId="4945518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（二）统一质量控制；</w:t>
      </w:r>
    </w:p>
    <w:p w14:paraId="0134AFF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（三）统一内部培训；</w:t>
      </w:r>
    </w:p>
    <w:p w14:paraId="027FBE2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（四）统一机构标识；</w:t>
      </w:r>
    </w:p>
    <w:p w14:paraId="196D023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（五）统一信息系统。</w:t>
      </w:r>
    </w:p>
    <w:p w14:paraId="43E51F9F">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第九十二条</w:t>
      </w:r>
      <w:r>
        <w:rPr>
          <w:rFonts w:hint="eastAsia" w:ascii="宋体" w:hAnsi="宋体" w:eastAsia="宋体" w:cs="宋体"/>
          <w:color w:val="000000"/>
          <w:kern w:val="0"/>
          <w:sz w:val="24"/>
          <w:shd w:val="clear" w:color="auto" w:fill="FFFFFF"/>
        </w:rPr>
        <w:t>　评估机构应当建立对分支机构的授权管理制度，明确授权范围和限度。对评估机构可能产生重大影响的业务或事项，应当严格限制其范围和权限，以有效控制评估机构运行和决策风险。</w:t>
      </w:r>
    </w:p>
    <w:p w14:paraId="2F5A2D45">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第九十三条</w:t>
      </w:r>
      <w:r>
        <w:rPr>
          <w:rFonts w:hint="eastAsia" w:ascii="宋体" w:hAnsi="宋体" w:eastAsia="宋体" w:cs="宋体"/>
          <w:color w:val="000000"/>
          <w:kern w:val="0"/>
          <w:sz w:val="24"/>
          <w:shd w:val="clear" w:color="auto" w:fill="FFFFFF"/>
        </w:rPr>
        <w:t>　评估机构应当建立对分支机构的执业质量检查和考核评价制度。定期或不定期的对分支机构承办的业务进行检查。</w:t>
      </w:r>
    </w:p>
    <w:p w14:paraId="7CF65B48">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第九十四条</w:t>
      </w:r>
      <w:r>
        <w:rPr>
          <w:rFonts w:hint="eastAsia" w:ascii="宋体" w:hAnsi="宋体" w:eastAsia="宋体" w:cs="宋体"/>
          <w:color w:val="000000"/>
          <w:kern w:val="0"/>
          <w:sz w:val="24"/>
          <w:shd w:val="clear" w:color="auto" w:fill="FFFFFF"/>
        </w:rPr>
        <w:t>　评估机构应当明确规定分支机构名称的规范形式，加强印鉴管理，并制定具体的分支机构名称和印鉴管理办法。</w:t>
      </w:r>
    </w:p>
    <w:p w14:paraId="7E44B200">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第九十五条</w:t>
      </w:r>
      <w:r>
        <w:rPr>
          <w:rFonts w:hint="eastAsia" w:ascii="宋体" w:hAnsi="宋体" w:eastAsia="宋体" w:cs="宋体"/>
          <w:color w:val="000000"/>
          <w:kern w:val="0"/>
          <w:sz w:val="24"/>
          <w:shd w:val="clear" w:color="auto" w:fill="FFFFFF"/>
        </w:rPr>
        <w:t>　分支机构应当自觉接受评估机构的监督、检查与考核，按规定报送各类报表以及各类书面报告。</w:t>
      </w:r>
    </w:p>
    <w:p w14:paraId="2161750D">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第九十六条</w:t>
      </w:r>
      <w:r>
        <w:rPr>
          <w:rFonts w:hint="eastAsia" w:ascii="宋体" w:hAnsi="宋体" w:eastAsia="宋体" w:cs="宋体"/>
          <w:color w:val="000000"/>
          <w:kern w:val="0"/>
          <w:sz w:val="24"/>
          <w:shd w:val="clear" w:color="auto" w:fill="FFFFFF"/>
        </w:rPr>
        <w:t>　评估机构应当建立与分支机构之间的合理的利益分配机制、明确业务承揽方式和原则。</w:t>
      </w:r>
    </w:p>
    <w:p w14:paraId="7E81CA26">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第九十七条</w:t>
      </w:r>
      <w:r>
        <w:rPr>
          <w:rFonts w:hint="eastAsia" w:ascii="宋体" w:hAnsi="宋体" w:eastAsia="宋体" w:cs="宋体"/>
          <w:color w:val="000000"/>
          <w:kern w:val="0"/>
          <w:sz w:val="24"/>
          <w:shd w:val="clear" w:color="auto" w:fill="FFFFFF"/>
        </w:rPr>
        <w:t>　分支机构在执业中发现的重大事项，应当及时向评估机构报告。</w:t>
      </w:r>
    </w:p>
    <w:p w14:paraId="3B49BFEB">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第十章　财务管理</w:t>
      </w:r>
    </w:p>
    <w:p w14:paraId="6A6B922E">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第九十八条</w:t>
      </w:r>
      <w:r>
        <w:rPr>
          <w:rFonts w:hint="eastAsia" w:ascii="宋体" w:hAnsi="宋体" w:eastAsia="宋体" w:cs="宋体"/>
          <w:color w:val="000000"/>
          <w:kern w:val="0"/>
          <w:sz w:val="24"/>
          <w:shd w:val="clear" w:color="auto" w:fill="FFFFFF"/>
        </w:rPr>
        <w:t>　评估机构应当根据有关法律法规，建立规范的会计制度。</w:t>
      </w:r>
    </w:p>
    <w:p w14:paraId="706FDC3D">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第九十九条</w:t>
      </w:r>
      <w:r>
        <w:rPr>
          <w:rFonts w:hint="eastAsia" w:ascii="宋体" w:hAnsi="宋体" w:eastAsia="宋体" w:cs="宋体"/>
          <w:color w:val="000000"/>
          <w:kern w:val="0"/>
          <w:sz w:val="24"/>
          <w:shd w:val="clear" w:color="auto" w:fill="FFFFFF"/>
        </w:rPr>
        <w:t>　评估机构应当按照有关法律法规和评估机构自身发展需要，建立完善规范的内部财务制度。</w:t>
      </w:r>
    </w:p>
    <w:p w14:paraId="3D31E7D2">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第一百条</w:t>
      </w:r>
      <w:r>
        <w:rPr>
          <w:rFonts w:hint="eastAsia" w:ascii="宋体" w:hAnsi="宋体" w:eastAsia="宋体" w:cs="宋体"/>
          <w:color w:val="000000"/>
          <w:kern w:val="0"/>
          <w:sz w:val="24"/>
          <w:shd w:val="clear" w:color="auto" w:fill="FFFFFF"/>
        </w:rPr>
        <w:t>　评估机构应当建立健全货币资金、实物资产、对外投资、成本费用和内部薪酬分配的会计控制规范。</w:t>
      </w:r>
    </w:p>
    <w:p w14:paraId="48D32E12">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第一百零一条</w:t>
      </w:r>
      <w:r>
        <w:rPr>
          <w:rFonts w:hint="eastAsia" w:ascii="宋体" w:hAnsi="宋体" w:eastAsia="宋体" w:cs="宋体"/>
          <w:color w:val="000000"/>
          <w:kern w:val="0"/>
          <w:sz w:val="24"/>
          <w:shd w:val="clear" w:color="auto" w:fill="FFFFFF"/>
        </w:rPr>
        <w:t>　评估机构应当根据国家有关规定提取各项基金，缴纳各项税款、协会会费、劳动保险金及其他应缴款项。</w:t>
      </w:r>
    </w:p>
    <w:p w14:paraId="2555A259">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第一百零二条</w:t>
      </w:r>
      <w:r>
        <w:rPr>
          <w:rFonts w:hint="eastAsia" w:ascii="宋体" w:hAnsi="宋体" w:eastAsia="宋体" w:cs="宋体"/>
          <w:color w:val="000000"/>
          <w:kern w:val="0"/>
          <w:sz w:val="24"/>
          <w:shd w:val="clear" w:color="auto" w:fill="FFFFFF"/>
        </w:rPr>
        <w:t>　评估机构应当定期向董事会、股东会提交财务报告。</w:t>
      </w:r>
    </w:p>
    <w:p w14:paraId="323B2BD5">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第十一章　机构文化建设</w:t>
      </w:r>
    </w:p>
    <w:p w14:paraId="09F391B5">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第一百零三条</w:t>
      </w:r>
      <w:r>
        <w:rPr>
          <w:rFonts w:hint="eastAsia" w:ascii="宋体" w:hAnsi="宋体" w:eastAsia="宋体" w:cs="宋体"/>
          <w:color w:val="000000"/>
          <w:kern w:val="0"/>
          <w:sz w:val="24"/>
          <w:shd w:val="clear" w:color="auto" w:fill="FFFFFF"/>
        </w:rPr>
        <w:t>　评估机构应当注重文化建设，加强职业道德教育，坚持诚信执业的理念，增强向心力、凝聚力，形成有利于评估机构健康发展的核心价值观。</w:t>
      </w:r>
    </w:p>
    <w:p w14:paraId="10727DCE">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第一百零四条</w:t>
      </w:r>
      <w:r>
        <w:rPr>
          <w:rFonts w:hint="eastAsia" w:ascii="宋体" w:hAnsi="宋体" w:eastAsia="宋体" w:cs="宋体"/>
          <w:color w:val="000000"/>
          <w:kern w:val="0"/>
          <w:sz w:val="24"/>
          <w:shd w:val="clear" w:color="auto" w:fill="FFFFFF"/>
        </w:rPr>
        <w:t>　评估机构董事会及其成员，以及董事会聘任的经理层人员，应当率先垂范，讲诚信、重协商、谋合作，相互信任，相互包容，引导评估机构形成积极向上的机构文化。</w:t>
      </w:r>
    </w:p>
    <w:p w14:paraId="30B842B6">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第一百零五条</w:t>
      </w:r>
      <w:r>
        <w:rPr>
          <w:rFonts w:hint="eastAsia" w:ascii="宋体" w:hAnsi="宋体" w:eastAsia="宋体" w:cs="宋体"/>
          <w:color w:val="000000"/>
          <w:kern w:val="0"/>
          <w:sz w:val="24"/>
          <w:shd w:val="clear" w:color="auto" w:fill="FFFFFF"/>
        </w:rPr>
        <w:t>　评估机构应当把文化建设和党的建设结合起来，充分发挥党员的先锋模范作用和基层党组织的战斗堡垒作用，为机构优化管理、完善治理、健康发展提供思想引导和政治保障。</w:t>
      </w:r>
    </w:p>
    <w:p w14:paraId="2544915D">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第一百零六条</w:t>
      </w:r>
      <w:r>
        <w:rPr>
          <w:rFonts w:hint="eastAsia" w:ascii="宋体" w:hAnsi="宋体" w:eastAsia="宋体" w:cs="宋体"/>
          <w:color w:val="000000"/>
          <w:kern w:val="0"/>
          <w:sz w:val="24"/>
          <w:shd w:val="clear" w:color="auto" w:fill="FFFFFF"/>
        </w:rPr>
        <w:t>　评估机构应当把文化建设和制度建设结合起来，建立平等对话机制，畅通员工参与评估机构管理、监督评估机构运行、服务评估机构发展的渠道，形成尊重知识、尊重人才、尊重评估师的专业价值的良好风尚，增强员工的主人翁意识。</w:t>
      </w:r>
    </w:p>
    <w:p w14:paraId="1B53E1BF">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第一百零七条</w:t>
      </w:r>
      <w:r>
        <w:rPr>
          <w:rFonts w:hint="eastAsia" w:ascii="宋体" w:hAnsi="宋体" w:eastAsia="宋体" w:cs="宋体"/>
          <w:color w:val="000000"/>
          <w:kern w:val="0"/>
          <w:sz w:val="24"/>
          <w:shd w:val="clear" w:color="auto" w:fill="FFFFFF"/>
        </w:rPr>
        <w:t>　评估机构应当开展形式多样的文化活动，培育团队精神，增强评估机构凝聚力，构建评估机构诚信文化，建立形成积极、健康、向上的行为规范和工作氛围，大力弘扬诚信为本、操守为重的职业理念，牢固树立独立、客观、公正的执业理念，提高社会公信力。</w:t>
      </w:r>
    </w:p>
    <w:p w14:paraId="31647A2D">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第十二章　附则</w:t>
      </w:r>
    </w:p>
    <w:p w14:paraId="0D8C54F3">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第一百零八条</w:t>
      </w:r>
      <w:r>
        <w:rPr>
          <w:rFonts w:hint="eastAsia" w:ascii="宋体" w:hAnsi="宋体" w:eastAsia="宋体" w:cs="宋体"/>
          <w:color w:val="000000"/>
          <w:kern w:val="0"/>
          <w:sz w:val="24"/>
          <w:shd w:val="clear" w:color="auto" w:fill="FFFFFF"/>
        </w:rPr>
        <w:t>　评估机构应当按照《中华人民共和国公司法》、《中华人民共和国合伙企业法》及其他法律、法规和本指引的要求，修改、完善机构章程及相关制度。</w:t>
      </w:r>
    </w:p>
    <w:p w14:paraId="42FD98DD">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第一百零九条</w:t>
      </w:r>
      <w:r>
        <w:rPr>
          <w:rFonts w:hint="eastAsia" w:ascii="宋体" w:hAnsi="宋体" w:eastAsia="宋体" w:cs="宋体"/>
          <w:color w:val="000000"/>
          <w:kern w:val="0"/>
          <w:sz w:val="24"/>
          <w:shd w:val="clear" w:color="auto" w:fill="FFFFFF"/>
        </w:rPr>
        <w:t>　中国资产评估协会对评估机构内部治理状况进行检查和评价。</w:t>
      </w:r>
    </w:p>
    <w:p w14:paraId="1524174F">
      <w:pPr>
        <w:shd w:val="clear" w:color="auto" w:fill="FFFFFF"/>
        <w:spacing w:line="440" w:lineRule="atLeast"/>
        <w:ind w:firstLine="482" w:firstLineChars="200"/>
        <w:rPr>
          <w:rFonts w:ascii="宋体" w:hAnsi="宋体" w:eastAsia="宋体" w:cs="宋体"/>
          <w:color w:val="000000"/>
          <w:kern w:val="0"/>
          <w:sz w:val="24"/>
          <w:shd w:val="clear" w:color="auto" w:fill="FFFFFF"/>
        </w:rPr>
      </w:pPr>
      <w:bookmarkStart w:id="52" w:name="_Toc16191"/>
      <w:r>
        <w:rPr>
          <w:rFonts w:hint="eastAsia" w:ascii="宋体" w:hAnsi="宋体" w:eastAsia="宋体" w:cs="宋体"/>
          <w:b/>
          <w:color w:val="000000"/>
          <w:kern w:val="0"/>
          <w:sz w:val="24"/>
          <w:shd w:val="clear" w:color="auto" w:fill="FFFFFF"/>
        </w:rPr>
        <w:t>第一百一十条</w:t>
      </w:r>
      <w:r>
        <w:rPr>
          <w:rFonts w:hint="eastAsia" w:ascii="宋体" w:hAnsi="宋体" w:eastAsia="宋体" w:cs="宋体"/>
          <w:color w:val="000000"/>
          <w:kern w:val="0"/>
          <w:sz w:val="24"/>
          <w:shd w:val="clear" w:color="auto" w:fill="FFFFFF"/>
        </w:rPr>
        <w:t>　本指引由中国资产评估协会负责解释。</w:t>
      </w:r>
      <w:bookmarkEnd w:id="52"/>
    </w:p>
    <w:p w14:paraId="398B3B35">
      <w:pPr>
        <w:shd w:val="clear" w:color="auto" w:fill="FFFFFF"/>
        <w:spacing w:line="440" w:lineRule="atLeast"/>
        <w:ind w:firstLine="482" w:firstLineChars="200"/>
        <w:rPr>
          <w:rFonts w:ascii="宋体" w:hAnsi="宋体" w:eastAsia="宋体" w:cs="宋体"/>
          <w:color w:val="000000"/>
          <w:kern w:val="0"/>
          <w:sz w:val="24"/>
          <w:shd w:val="clear" w:color="auto" w:fill="FFFFFF"/>
        </w:rPr>
      </w:pPr>
      <w:bookmarkStart w:id="53" w:name="_Toc31218"/>
      <w:r>
        <w:rPr>
          <w:rFonts w:hint="eastAsia" w:ascii="宋体" w:hAnsi="宋体" w:eastAsia="宋体" w:cs="宋体"/>
          <w:b/>
          <w:color w:val="000000"/>
          <w:kern w:val="0"/>
          <w:sz w:val="24"/>
          <w:shd w:val="clear" w:color="auto" w:fill="FFFFFF"/>
        </w:rPr>
        <w:t>第一百一十一条</w:t>
      </w:r>
      <w:r>
        <w:rPr>
          <w:rFonts w:hint="eastAsia" w:ascii="宋体" w:hAnsi="宋体" w:eastAsia="宋体" w:cs="宋体"/>
          <w:color w:val="000000"/>
          <w:kern w:val="0"/>
          <w:sz w:val="24"/>
          <w:shd w:val="clear" w:color="auto" w:fill="FFFFFF"/>
        </w:rPr>
        <w:t>　本指引自发布之日起施行。</w:t>
      </w:r>
      <w:bookmarkEnd w:id="53"/>
    </w:p>
    <w:p w14:paraId="298E271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br w:type="page"/>
      </w:r>
    </w:p>
    <w:p w14:paraId="4DCB6C86">
      <w:pPr>
        <w:pStyle w:val="5"/>
        <w:spacing w:line="440" w:lineRule="atLeast"/>
        <w:jc w:val="center"/>
        <w:rPr>
          <w:rFonts w:ascii="宋体" w:hAnsi="宋体" w:eastAsia="宋体" w:cs="宋体"/>
        </w:rPr>
      </w:pPr>
      <w:bookmarkStart w:id="54" w:name="_Toc27390"/>
      <w:r>
        <w:rPr>
          <w:rFonts w:hint="eastAsia" w:ascii="宋体" w:hAnsi="宋体" w:eastAsia="宋体" w:cs="宋体"/>
        </w:rPr>
        <w:t>资产评估机构综合评价办法</w:t>
      </w:r>
      <w:bookmarkEnd w:id="54"/>
    </w:p>
    <w:p w14:paraId="2A27F38B">
      <w:pPr>
        <w:shd w:val="clear" w:color="auto" w:fill="FFFFFF"/>
        <w:spacing w:line="440" w:lineRule="atLeast"/>
        <w:jc w:val="center"/>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2016年2月3日中国资产评估协会发布　中评协〔2016〕7号</w:t>
      </w:r>
    </w:p>
    <w:p w14:paraId="51B4D761">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第一条</w:t>
      </w:r>
      <w:r>
        <w:rPr>
          <w:rFonts w:hint="eastAsia" w:ascii="宋体" w:hAnsi="宋体" w:eastAsia="宋体" w:cs="宋体"/>
          <w:color w:val="000000"/>
          <w:kern w:val="0"/>
          <w:sz w:val="24"/>
          <w:shd w:val="clear" w:color="auto" w:fill="FFFFFF"/>
        </w:rPr>
        <w:t>　为规范资产评估机构（以下简称评估机构）评价行为，引导评估机构合理竞争，推动评估机构做优做强做大，提升评估行业影响力，制定本办法。</w:t>
      </w:r>
    </w:p>
    <w:p w14:paraId="0114A78A">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第二条</w:t>
      </w:r>
      <w:r>
        <w:rPr>
          <w:rFonts w:hint="eastAsia" w:ascii="宋体" w:hAnsi="宋体" w:eastAsia="宋体" w:cs="宋体"/>
          <w:color w:val="000000"/>
          <w:kern w:val="0"/>
          <w:sz w:val="24"/>
          <w:shd w:val="clear" w:color="auto" w:fill="FFFFFF"/>
        </w:rPr>
        <w:t>　本办法所称的评估机构综合评价是根据一定的规则，在对反映评估机构执业状况的相关单项指标进行评分的基础上，按照各指标权重系数计算评估机构的综合得分，并根据得分情况公布评估机构综合评价前百家名单和有关单项指标前百家名单。</w:t>
      </w:r>
    </w:p>
    <w:p w14:paraId="4754AB3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本办法所称的资产评估师为经中国资产评估协会（以下简称中评协）登记并在评估机构工作的资产评估师。</w:t>
      </w:r>
    </w:p>
    <w:p w14:paraId="7B8AA59D">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第三条</w:t>
      </w:r>
      <w:r>
        <w:rPr>
          <w:rFonts w:hint="eastAsia" w:ascii="宋体" w:hAnsi="宋体" w:eastAsia="宋体" w:cs="宋体"/>
          <w:color w:val="000000"/>
          <w:kern w:val="0"/>
          <w:sz w:val="24"/>
          <w:shd w:val="clear" w:color="auto" w:fill="FFFFFF"/>
        </w:rPr>
        <w:t>　评估机构综合评价遵循客观、科学、公开、公平、公正原则。</w:t>
      </w:r>
    </w:p>
    <w:p w14:paraId="2E735697">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第四条</w:t>
      </w:r>
      <w:r>
        <w:rPr>
          <w:rFonts w:hint="eastAsia" w:ascii="宋体" w:hAnsi="宋体" w:eastAsia="宋体" w:cs="宋体"/>
          <w:color w:val="000000"/>
          <w:kern w:val="0"/>
          <w:sz w:val="24"/>
          <w:shd w:val="clear" w:color="auto" w:fill="FFFFFF"/>
        </w:rPr>
        <w:t>　中评协负责全国评估机构的综合评价工作。</w:t>
      </w:r>
    </w:p>
    <w:p w14:paraId="42BD57F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（一）制定评估机构的综合评价规则，组织实施全国评估机构的综合评价工作。</w:t>
      </w:r>
    </w:p>
    <w:p w14:paraId="73D381B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（二）指导和监督各省、自治区、直辖市、计划单列市资产评估协会（以下简称“地方协会”）开展本地区评估机构的综合评价工作。</w:t>
      </w:r>
    </w:p>
    <w:p w14:paraId="51364E3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（三）组织专家研究设定指标权重系数。</w:t>
      </w:r>
    </w:p>
    <w:p w14:paraId="5A29DE26">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第五条</w:t>
      </w:r>
      <w:r>
        <w:rPr>
          <w:rFonts w:hint="eastAsia" w:ascii="宋体" w:hAnsi="宋体" w:eastAsia="宋体" w:cs="宋体"/>
          <w:color w:val="000000"/>
          <w:kern w:val="0"/>
          <w:sz w:val="24"/>
          <w:shd w:val="clear" w:color="auto" w:fill="FFFFFF"/>
        </w:rPr>
        <w:t>　综合评价工作每年开展一次，评价年度为上一年度，基准日为12月31日，每年6月按本办法规定公布评价结果。</w:t>
      </w:r>
    </w:p>
    <w:p w14:paraId="7714A755">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第六条</w:t>
      </w:r>
      <w:r>
        <w:rPr>
          <w:rFonts w:hint="eastAsia" w:ascii="宋体" w:hAnsi="宋体" w:eastAsia="宋体" w:cs="宋体"/>
          <w:color w:val="000000"/>
          <w:kern w:val="0"/>
          <w:sz w:val="24"/>
          <w:shd w:val="clear" w:color="auto" w:fill="FFFFFF"/>
        </w:rPr>
        <w:t>　设立满1个会计年度的评估机构和合并新设、分立新设未满1个会计年度的评估机构应当参加综合评价。其中，采取总分公司经营模式的评估机构，分支机构各项指标合并入所属总公司；采取母子公司经营模式的评估机构，子公司各项指标合并入所属母公司，同时，子公司单独参加评价。</w:t>
      </w:r>
    </w:p>
    <w:p w14:paraId="0F52BB12">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第七条</w:t>
      </w:r>
      <w:r>
        <w:rPr>
          <w:rFonts w:hint="eastAsia" w:ascii="宋体" w:hAnsi="宋体" w:eastAsia="宋体" w:cs="宋体"/>
          <w:color w:val="000000"/>
          <w:kern w:val="0"/>
          <w:sz w:val="24"/>
          <w:shd w:val="clear" w:color="auto" w:fill="FFFFFF"/>
        </w:rPr>
        <w:t>　综合评价选取评估机构的下列指标（附表1），采用平均值比较法计算单项指标得分：</w:t>
      </w:r>
    </w:p>
    <w:p w14:paraId="0C3E3F8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（一）年业务收入指标</w:t>
      </w:r>
    </w:p>
    <w:p w14:paraId="41014B0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年业务收入是指中评协行业信息平台评价年度基准日记载的评估机构全部业务收入。年业务收入指标得分=评估机构年业务收入÷参评评估机构年业务收入前100家平均值。</w:t>
      </w:r>
    </w:p>
    <w:p w14:paraId="0FC34CB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（二）资产评估师数量指标</w:t>
      </w:r>
    </w:p>
    <w:p w14:paraId="683421F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资产评估师数量是指评估机构在中评协行业信息平台评价年度基准日记载的资产评估师数量，同时综合考虑资深会员数量、金牌会员数量、专业新锐人才数量和完成继续教育的情况。资产评估师数量指标得分=评估机构资产评估师数量÷参评评估机构资产评估师数量前100家平均值。其中，资产评估师数量=（评价年度期初资产评估师数量+期末资产评估师数量）/2－未完成继续教育的评估师数量＋资深会员数量×3＋金牌会员数量×2＋专业新锐人才数量×2。</w:t>
      </w:r>
    </w:p>
    <w:p w14:paraId="6710C4A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（三）资产评估师年人均收入指标</w:t>
      </w:r>
    </w:p>
    <w:p w14:paraId="7C7C114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资产评估师年人均收入是指评估机构年业务收入与评估机构在中评协行业信息平台评价年度期初、期末记载资产评估师数量的平均数的比值。资产评估师年人均收入指标得分=评估机构资产评估师年人均收入÷参评评估机构资产评估师年人均收入前100家平均值。</w:t>
      </w:r>
    </w:p>
    <w:p w14:paraId="2A142CA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（四）资产评估师平均执业年限指标</w:t>
      </w:r>
    </w:p>
    <w:p w14:paraId="4FE4902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资产评估师平均执业年限是指评估机构在中评协行业信息平台评价年度基准日记载的资产评估师的平均登记时间。资产评估师平均执业年限指标得分=评估机构资产评估师平均执业年限÷参评评估机构资产评估师平均执业年限前100家平均值。</w:t>
      </w:r>
    </w:p>
    <w:p w14:paraId="6530B41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（五）人才培养指标</w:t>
      </w:r>
    </w:p>
    <w:p w14:paraId="008B77D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人才培养是指评估机构在评价年度内人才培养方面的投入和取得的成绩。人才培养指标得分=评估机构人才培养得分÷参评评估机构人才培养得分前100家平均值。</w:t>
      </w:r>
    </w:p>
    <w:p w14:paraId="4387E7C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（六）执业质量指标</w:t>
      </w:r>
    </w:p>
    <w:p w14:paraId="359E0B5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执业质量是指评估机构在评价年度及前4年内评估机构和资产评估师受到行政处罚、自律惩戒的情况。评估机构的计分按对应年度评估机构计分标准规定分值（附表2）累计计算，资产评估师每1人次计分为评估机构计分标准规定分值的50%累计计算。执业质量指标得分=（100-Σ对应年度受处罚或惩戒的相关分值）/参评评估机构执业质量得分前100家平均值。</w:t>
      </w:r>
    </w:p>
    <w:p w14:paraId="766421C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（七）行业贡献指标</w:t>
      </w:r>
    </w:p>
    <w:p w14:paraId="25FC0C1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行业贡献是指评估机构及资产评估师在评价年度内参加中评协和地方协会组织的行业建设活动情况，受到表彰情况，以及在中评协和地方协会担任理事等职务并发挥积极作用的情况。行业贡献指标得分=评估机构行业贡献得分÷参评评估机构行业贡献得分前100家平均值。</w:t>
      </w:r>
    </w:p>
    <w:p w14:paraId="0DC85CF0">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第八条</w:t>
      </w:r>
      <w:r>
        <w:rPr>
          <w:rFonts w:hint="eastAsia" w:ascii="宋体" w:hAnsi="宋体" w:eastAsia="宋体" w:cs="宋体"/>
          <w:color w:val="000000"/>
          <w:kern w:val="0"/>
          <w:sz w:val="24"/>
          <w:shd w:val="clear" w:color="auto" w:fill="FFFFFF"/>
        </w:rPr>
        <w:t>　综合评价的参评评估机构均设基础分100分，评估机构综合评价得分为100+Σ单项评价指标得分×权重系数。指标权重系数范围见附表1，中评协秘书处根据行业发展的需要，每年组织专家打分确定各指标权重系数并公布。</w:t>
      </w:r>
    </w:p>
    <w:p w14:paraId="215B2F09">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第九条</w:t>
      </w:r>
      <w:r>
        <w:rPr>
          <w:rFonts w:hint="eastAsia" w:ascii="宋体" w:hAnsi="宋体" w:eastAsia="宋体" w:cs="宋体"/>
          <w:color w:val="000000"/>
          <w:kern w:val="0"/>
          <w:sz w:val="24"/>
          <w:shd w:val="clear" w:color="auto" w:fill="FFFFFF"/>
        </w:rPr>
        <w:t>　综合评价得分的计算公式如下：</w:t>
      </w:r>
    </w:p>
    <w:p w14:paraId="37C002F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综合评价得分=100+年业务收入指标得分×W1+资产评估师数量指标得分×W2+资产评估师年人均收入指标得分×W3+资产评估师平均执业年限指标得分×W4+人才培养指标得分×W5+执业质量指标得分×W6+行业贡献指标得分×W7（其中，W1，W2……W7为对应指标的权重系数，合计为100）。</w:t>
      </w:r>
    </w:p>
    <w:p w14:paraId="64060CC3">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第十条</w:t>
      </w:r>
      <w:r>
        <w:rPr>
          <w:rFonts w:hint="eastAsia" w:ascii="宋体" w:hAnsi="宋体" w:eastAsia="宋体" w:cs="宋体"/>
          <w:color w:val="000000"/>
          <w:kern w:val="0"/>
          <w:sz w:val="24"/>
          <w:shd w:val="clear" w:color="auto" w:fill="FFFFFF"/>
        </w:rPr>
        <w:t>　综合评价按下列程序进行：</w:t>
      </w:r>
    </w:p>
    <w:p w14:paraId="1D5C188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（一）评估机构于每年3月31日之前，将综合评价所需信息报地方协会。</w:t>
      </w:r>
    </w:p>
    <w:p w14:paraId="7D70106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（二）地方协会于每年4月30日之前，将评估机构填报的信息经核实、汇总后报中评协。</w:t>
      </w:r>
    </w:p>
    <w:p w14:paraId="3A1F920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（三）每年6月30日之前，中评协将评估机构综合评价前百家名单和有关单项指标前百家名单在中评协网站予以公示，公示期10天。在公示期内，参评评估机构及相关方面可以向中评协和地方协会反映情况。</w:t>
      </w:r>
    </w:p>
    <w:p w14:paraId="736AE8B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公示期满且无异议，或对提出的异议进行核实并修正相关信息后，中评协将在中评协网站和有关媒体上正式公告评估机构综合评价前百家名单和评估机构年业务收入、关联业务收入等有关单项指标前百家名单。</w:t>
      </w:r>
    </w:p>
    <w:p w14:paraId="12AB80A3">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第十一条</w:t>
      </w:r>
      <w:r>
        <w:rPr>
          <w:rFonts w:hint="eastAsia" w:ascii="宋体" w:hAnsi="宋体" w:eastAsia="宋体" w:cs="宋体"/>
          <w:color w:val="000000"/>
          <w:kern w:val="0"/>
          <w:sz w:val="24"/>
          <w:shd w:val="clear" w:color="auto" w:fill="FFFFFF"/>
        </w:rPr>
        <w:t>　中评协对不按规定及时上报参评信息的评估机构，视情节轻重予以行业自律惩戒；对填报不实信息的评估机构，一经查实，取消当年参评资格，并计入诚信档案。</w:t>
      </w:r>
    </w:p>
    <w:p w14:paraId="0555759B">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第十二条</w:t>
      </w:r>
      <w:r>
        <w:rPr>
          <w:rFonts w:hint="eastAsia" w:ascii="宋体" w:hAnsi="宋体" w:eastAsia="宋体" w:cs="宋体"/>
          <w:color w:val="000000"/>
          <w:kern w:val="0"/>
          <w:sz w:val="24"/>
          <w:shd w:val="clear" w:color="auto" w:fill="FFFFFF"/>
        </w:rPr>
        <w:t>　各地方协会应对参评评估机构上报材料进行认真核实和汇总，做到客观公正。地方协会不能按时上报评估机构参评信息等情况，应向中评协提交书面说明。</w:t>
      </w:r>
    </w:p>
    <w:p w14:paraId="7711318F">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第十三条</w:t>
      </w:r>
      <w:r>
        <w:rPr>
          <w:rFonts w:hint="eastAsia" w:ascii="宋体" w:hAnsi="宋体" w:eastAsia="宋体" w:cs="宋体"/>
          <w:color w:val="000000"/>
          <w:kern w:val="0"/>
          <w:sz w:val="24"/>
          <w:shd w:val="clear" w:color="auto" w:fill="FFFFFF"/>
        </w:rPr>
        <w:t>　中评协授权地方协会参照本办法评价体系，对本地区评估机构进行综合评价、排名，同时报中评协备案。</w:t>
      </w:r>
    </w:p>
    <w:p w14:paraId="058FAC61">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第十四条</w:t>
      </w:r>
      <w:r>
        <w:rPr>
          <w:rFonts w:hint="eastAsia" w:ascii="宋体" w:hAnsi="宋体" w:eastAsia="宋体" w:cs="宋体"/>
          <w:color w:val="000000"/>
          <w:kern w:val="0"/>
          <w:sz w:val="24"/>
          <w:shd w:val="clear" w:color="auto" w:fill="FFFFFF"/>
        </w:rPr>
        <w:t>　本办法自发布之日起实施，2014年3月28日印发的《资产评估机构综合评价办法》（中评协〔2014〕58号）同时废止。</w:t>
      </w:r>
    </w:p>
    <w:p w14:paraId="585072A8">
      <w:pPr>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br w:type="page"/>
      </w:r>
    </w:p>
    <w:p w14:paraId="329FAD8C">
      <w:pPr>
        <w:spacing w:line="440" w:lineRule="atLeast"/>
        <w:rPr>
          <w:rFonts w:ascii="宋体" w:hAnsi="宋体" w:eastAsia="宋体" w:cs="宋体"/>
          <w:sz w:val="24"/>
        </w:rPr>
      </w:pPr>
      <w:r>
        <w:rPr>
          <w:rFonts w:hint="eastAsia" w:ascii="宋体" w:hAnsi="宋体" w:eastAsia="宋体" w:cs="宋体"/>
          <w:sz w:val="24"/>
        </w:rPr>
        <w:t>附表1</w:t>
      </w:r>
    </w:p>
    <w:p w14:paraId="0BAE65B2">
      <w:pPr>
        <w:spacing w:after="312" w:line="440" w:lineRule="atLeast"/>
        <w:jc w:val="center"/>
        <w:rPr>
          <w:rFonts w:ascii="宋体" w:hAnsi="宋体" w:eastAsia="宋体" w:cs="Times New Roman"/>
          <w:b/>
          <w:bCs/>
          <w:sz w:val="24"/>
        </w:rPr>
      </w:pPr>
      <w:r>
        <w:rPr>
          <w:rFonts w:hint="eastAsia" w:ascii="宋体" w:hAnsi="宋体" w:eastAsia="宋体" w:cs="Times New Roman"/>
          <w:b/>
          <w:bCs/>
          <w:sz w:val="24"/>
        </w:rPr>
        <w:t>综合评价指标及权重系数表</w:t>
      </w:r>
    </w:p>
    <w:tbl>
      <w:tblPr>
        <w:tblStyle w:val="24"/>
        <w:tblW w:w="8188" w:type="dxa"/>
        <w:tblInd w:w="135" w:type="dxa"/>
        <w:tblLayout w:type="fixed"/>
        <w:tblCellMar>
          <w:top w:w="0" w:type="dxa"/>
          <w:left w:w="108" w:type="dxa"/>
          <w:bottom w:w="0" w:type="dxa"/>
          <w:right w:w="108" w:type="dxa"/>
        </w:tblCellMar>
      </w:tblPr>
      <w:tblGrid>
        <w:gridCol w:w="959"/>
        <w:gridCol w:w="4961"/>
        <w:gridCol w:w="2268"/>
      </w:tblGrid>
      <w:tr w14:paraId="205C5F43">
        <w:tblPrEx>
          <w:tblCellMar>
            <w:top w:w="0" w:type="dxa"/>
            <w:left w:w="108" w:type="dxa"/>
            <w:bottom w:w="0" w:type="dxa"/>
            <w:right w:w="108" w:type="dxa"/>
          </w:tblCellMar>
        </w:tblPrEx>
        <w:trPr>
          <w:trHeight w:val="285" w:hRule="atLeast"/>
        </w:trPr>
        <w:tc>
          <w:tcPr>
            <w:tcW w:w="959" w:type="dxa"/>
            <w:tcBorders>
              <w:top w:val="single" w:color="auto" w:sz="4" w:space="0"/>
              <w:left w:val="single" w:color="auto" w:sz="4" w:space="0"/>
              <w:bottom w:val="single" w:color="auto" w:sz="4" w:space="0"/>
              <w:right w:val="single" w:color="auto" w:sz="4" w:space="0"/>
            </w:tcBorders>
            <w:vAlign w:val="center"/>
          </w:tcPr>
          <w:p w14:paraId="14306EE6">
            <w:pPr>
              <w:spacing w:line="440" w:lineRule="atLeast"/>
              <w:jc w:val="center"/>
              <w:rPr>
                <w:rFonts w:ascii="仿宋_GB2312" w:hAnsi="Times New Roman" w:eastAsia="仿宋_GB2312" w:cs="Times New Roman"/>
                <w:kern w:val="0"/>
                <w:sz w:val="24"/>
              </w:rPr>
            </w:pPr>
            <w:r>
              <w:rPr>
                <w:rFonts w:hint="eastAsia" w:ascii="仿宋_GB2312" w:hAnsi="Times New Roman" w:eastAsia="仿宋_GB2312" w:cs="Times New Roman"/>
                <w:kern w:val="0"/>
                <w:sz w:val="24"/>
              </w:rPr>
              <w:t>序号</w:t>
            </w:r>
          </w:p>
        </w:tc>
        <w:tc>
          <w:tcPr>
            <w:tcW w:w="4961" w:type="dxa"/>
            <w:tcBorders>
              <w:top w:val="single" w:color="auto" w:sz="4" w:space="0"/>
              <w:left w:val="nil"/>
              <w:bottom w:val="single" w:color="auto" w:sz="4" w:space="0"/>
              <w:right w:val="single" w:color="auto" w:sz="4" w:space="0"/>
            </w:tcBorders>
            <w:vAlign w:val="center"/>
          </w:tcPr>
          <w:p w14:paraId="36500701">
            <w:pPr>
              <w:spacing w:line="440" w:lineRule="atLeast"/>
              <w:jc w:val="center"/>
              <w:rPr>
                <w:rFonts w:ascii="仿宋_GB2312" w:hAnsi="Times New Roman" w:eastAsia="仿宋_GB2312" w:cs="Times New Roman"/>
                <w:kern w:val="0"/>
                <w:sz w:val="24"/>
              </w:rPr>
            </w:pPr>
            <w:r>
              <w:rPr>
                <w:rFonts w:hint="eastAsia" w:ascii="仿宋_GB2312" w:hAnsi="Times New Roman" w:eastAsia="仿宋_GB2312" w:cs="Times New Roman"/>
                <w:kern w:val="0"/>
                <w:sz w:val="24"/>
              </w:rPr>
              <w:t>评价指标</w:t>
            </w:r>
          </w:p>
        </w:tc>
        <w:tc>
          <w:tcPr>
            <w:tcW w:w="2268" w:type="dxa"/>
            <w:tcBorders>
              <w:top w:val="single" w:color="auto" w:sz="4" w:space="0"/>
              <w:left w:val="nil"/>
              <w:bottom w:val="single" w:color="auto" w:sz="4" w:space="0"/>
              <w:right w:val="single" w:color="auto" w:sz="4" w:space="0"/>
            </w:tcBorders>
            <w:vAlign w:val="center"/>
          </w:tcPr>
          <w:p w14:paraId="1F3BB21F">
            <w:pPr>
              <w:spacing w:line="440" w:lineRule="atLeast"/>
              <w:jc w:val="center"/>
              <w:rPr>
                <w:rFonts w:ascii="仿宋_GB2312" w:hAnsi="Times New Roman" w:eastAsia="仿宋_GB2312" w:cs="Times New Roman"/>
                <w:kern w:val="0"/>
                <w:sz w:val="24"/>
              </w:rPr>
            </w:pPr>
            <w:r>
              <w:rPr>
                <w:rFonts w:hint="eastAsia" w:ascii="仿宋_GB2312" w:hAnsi="Times New Roman" w:eastAsia="仿宋_GB2312" w:cs="Times New Roman"/>
                <w:kern w:val="0"/>
                <w:sz w:val="24"/>
              </w:rPr>
              <w:t>权重系数范围</w:t>
            </w:r>
          </w:p>
        </w:tc>
      </w:tr>
      <w:tr w14:paraId="27D16247">
        <w:tblPrEx>
          <w:tblCellMar>
            <w:top w:w="0" w:type="dxa"/>
            <w:left w:w="108" w:type="dxa"/>
            <w:bottom w:w="0" w:type="dxa"/>
            <w:right w:w="108" w:type="dxa"/>
          </w:tblCellMar>
        </w:tblPrEx>
        <w:trPr>
          <w:trHeight w:val="285" w:hRule="atLeast"/>
        </w:trPr>
        <w:tc>
          <w:tcPr>
            <w:tcW w:w="959" w:type="dxa"/>
            <w:tcBorders>
              <w:top w:val="single" w:color="auto" w:sz="4" w:space="0"/>
              <w:left w:val="single" w:color="auto" w:sz="4" w:space="0"/>
              <w:bottom w:val="single" w:color="auto" w:sz="4" w:space="0"/>
              <w:right w:val="single" w:color="auto" w:sz="4" w:space="0"/>
            </w:tcBorders>
            <w:vAlign w:val="center"/>
          </w:tcPr>
          <w:p w14:paraId="6A602E31">
            <w:pPr>
              <w:spacing w:line="440" w:lineRule="atLeast"/>
              <w:jc w:val="center"/>
              <w:rPr>
                <w:rFonts w:ascii="仿宋_GB2312" w:hAnsi="Times New Roman" w:eastAsia="仿宋_GB2312" w:cs="Times New Roman"/>
                <w:kern w:val="0"/>
                <w:sz w:val="24"/>
              </w:rPr>
            </w:pPr>
            <w:r>
              <w:rPr>
                <w:rFonts w:hint="eastAsia" w:ascii="仿宋_GB2312" w:hAnsi="Times New Roman" w:eastAsia="仿宋_GB2312" w:cs="Times New Roman"/>
                <w:kern w:val="0"/>
                <w:sz w:val="24"/>
              </w:rPr>
              <w:t>1</w:t>
            </w:r>
          </w:p>
        </w:tc>
        <w:tc>
          <w:tcPr>
            <w:tcW w:w="4961" w:type="dxa"/>
            <w:tcBorders>
              <w:top w:val="single" w:color="auto" w:sz="4" w:space="0"/>
              <w:left w:val="nil"/>
              <w:bottom w:val="single" w:color="auto" w:sz="4" w:space="0"/>
              <w:right w:val="single" w:color="auto" w:sz="4" w:space="0"/>
            </w:tcBorders>
            <w:vAlign w:val="center"/>
          </w:tcPr>
          <w:p w14:paraId="1F62BC44">
            <w:pPr>
              <w:spacing w:line="440" w:lineRule="atLeast"/>
              <w:rPr>
                <w:rFonts w:ascii="仿宋_GB2312" w:hAnsi="Times New Roman" w:eastAsia="仿宋_GB2312" w:cs="Times New Roman"/>
                <w:kern w:val="0"/>
                <w:sz w:val="24"/>
              </w:rPr>
            </w:pPr>
            <w:r>
              <w:rPr>
                <w:rFonts w:hint="eastAsia" w:ascii="仿宋_GB2312" w:hAnsi="Times New Roman" w:eastAsia="仿宋_GB2312" w:cs="Times New Roman"/>
                <w:kern w:val="0"/>
                <w:sz w:val="24"/>
              </w:rPr>
              <w:t>年业务收入指标</w:t>
            </w:r>
          </w:p>
        </w:tc>
        <w:tc>
          <w:tcPr>
            <w:tcW w:w="2268" w:type="dxa"/>
            <w:tcBorders>
              <w:top w:val="single" w:color="auto" w:sz="4" w:space="0"/>
              <w:left w:val="nil"/>
              <w:bottom w:val="single" w:color="auto" w:sz="4" w:space="0"/>
              <w:right w:val="single" w:color="auto" w:sz="4" w:space="0"/>
            </w:tcBorders>
            <w:vAlign w:val="center"/>
          </w:tcPr>
          <w:p w14:paraId="0B22FC0E">
            <w:pPr>
              <w:spacing w:line="440" w:lineRule="atLeast"/>
              <w:jc w:val="center"/>
              <w:rPr>
                <w:rFonts w:ascii="仿宋_GB2312" w:hAnsi="Times New Roman" w:eastAsia="仿宋_GB2312" w:cs="Times New Roman"/>
                <w:kern w:val="0"/>
                <w:sz w:val="24"/>
              </w:rPr>
            </w:pPr>
            <w:r>
              <w:rPr>
                <w:rFonts w:hint="eastAsia" w:ascii="仿宋_GB2312" w:hAnsi="Times New Roman" w:eastAsia="仿宋_GB2312" w:cs="Times New Roman"/>
                <w:kern w:val="0"/>
                <w:sz w:val="24"/>
              </w:rPr>
              <w:t>25-40</w:t>
            </w:r>
          </w:p>
        </w:tc>
      </w:tr>
      <w:tr w14:paraId="1A1BFC38">
        <w:tblPrEx>
          <w:tblCellMar>
            <w:top w:w="0" w:type="dxa"/>
            <w:left w:w="108" w:type="dxa"/>
            <w:bottom w:w="0" w:type="dxa"/>
            <w:right w:w="108" w:type="dxa"/>
          </w:tblCellMar>
        </w:tblPrEx>
        <w:trPr>
          <w:trHeight w:val="285" w:hRule="atLeast"/>
        </w:trPr>
        <w:tc>
          <w:tcPr>
            <w:tcW w:w="959" w:type="dxa"/>
            <w:tcBorders>
              <w:top w:val="single" w:color="auto" w:sz="4" w:space="0"/>
              <w:left w:val="single" w:color="auto" w:sz="4" w:space="0"/>
              <w:bottom w:val="single" w:color="auto" w:sz="4" w:space="0"/>
              <w:right w:val="single" w:color="auto" w:sz="4" w:space="0"/>
            </w:tcBorders>
            <w:vAlign w:val="center"/>
          </w:tcPr>
          <w:p w14:paraId="65AECA39">
            <w:pPr>
              <w:spacing w:line="440" w:lineRule="atLeast"/>
              <w:jc w:val="center"/>
              <w:rPr>
                <w:rFonts w:ascii="仿宋_GB2312" w:hAnsi="Times New Roman" w:eastAsia="仿宋_GB2312" w:cs="Times New Roman"/>
                <w:kern w:val="0"/>
                <w:sz w:val="24"/>
              </w:rPr>
            </w:pPr>
            <w:r>
              <w:rPr>
                <w:rFonts w:hint="eastAsia" w:ascii="仿宋_GB2312" w:hAnsi="Times New Roman" w:eastAsia="仿宋_GB2312" w:cs="Times New Roman"/>
                <w:kern w:val="0"/>
                <w:sz w:val="24"/>
              </w:rPr>
              <w:t>2</w:t>
            </w:r>
          </w:p>
        </w:tc>
        <w:tc>
          <w:tcPr>
            <w:tcW w:w="4961" w:type="dxa"/>
            <w:tcBorders>
              <w:top w:val="single" w:color="auto" w:sz="4" w:space="0"/>
              <w:left w:val="nil"/>
              <w:bottom w:val="single" w:color="auto" w:sz="4" w:space="0"/>
              <w:right w:val="single" w:color="auto" w:sz="4" w:space="0"/>
            </w:tcBorders>
            <w:vAlign w:val="center"/>
          </w:tcPr>
          <w:p w14:paraId="701DB92E">
            <w:pPr>
              <w:spacing w:line="440" w:lineRule="atLeast"/>
              <w:rPr>
                <w:rFonts w:ascii="仿宋_GB2312" w:hAnsi="Times New Roman" w:eastAsia="仿宋_GB2312" w:cs="Times New Roman"/>
                <w:kern w:val="0"/>
                <w:sz w:val="24"/>
              </w:rPr>
            </w:pPr>
            <w:r>
              <w:rPr>
                <w:rFonts w:hint="eastAsia" w:ascii="仿宋_GB2312" w:hAnsi="Times New Roman" w:eastAsia="仿宋_GB2312" w:cs="Times New Roman"/>
                <w:kern w:val="0"/>
                <w:sz w:val="24"/>
              </w:rPr>
              <w:t>资产评估师数量指标</w:t>
            </w:r>
          </w:p>
        </w:tc>
        <w:tc>
          <w:tcPr>
            <w:tcW w:w="2268" w:type="dxa"/>
            <w:tcBorders>
              <w:top w:val="single" w:color="auto" w:sz="4" w:space="0"/>
              <w:left w:val="nil"/>
              <w:bottom w:val="single" w:color="auto" w:sz="4" w:space="0"/>
              <w:right w:val="single" w:color="auto" w:sz="4" w:space="0"/>
            </w:tcBorders>
            <w:vAlign w:val="center"/>
          </w:tcPr>
          <w:p w14:paraId="5ADB9DA6">
            <w:pPr>
              <w:spacing w:line="440" w:lineRule="atLeast"/>
              <w:jc w:val="center"/>
              <w:rPr>
                <w:rFonts w:ascii="仿宋_GB2312" w:hAnsi="Times New Roman" w:eastAsia="仿宋_GB2312" w:cs="Times New Roman"/>
                <w:kern w:val="0"/>
                <w:sz w:val="24"/>
              </w:rPr>
            </w:pPr>
            <w:r>
              <w:rPr>
                <w:rFonts w:hint="eastAsia" w:ascii="仿宋_GB2312" w:hAnsi="Times New Roman" w:eastAsia="仿宋_GB2312" w:cs="Times New Roman"/>
                <w:kern w:val="0"/>
                <w:sz w:val="24"/>
              </w:rPr>
              <w:t>10-25</w:t>
            </w:r>
          </w:p>
        </w:tc>
      </w:tr>
      <w:tr w14:paraId="787E81E3">
        <w:tblPrEx>
          <w:tblCellMar>
            <w:top w:w="0" w:type="dxa"/>
            <w:left w:w="108" w:type="dxa"/>
            <w:bottom w:w="0" w:type="dxa"/>
            <w:right w:w="108" w:type="dxa"/>
          </w:tblCellMar>
        </w:tblPrEx>
        <w:trPr>
          <w:trHeight w:val="285" w:hRule="atLeast"/>
        </w:trPr>
        <w:tc>
          <w:tcPr>
            <w:tcW w:w="959" w:type="dxa"/>
            <w:tcBorders>
              <w:top w:val="single" w:color="auto" w:sz="4" w:space="0"/>
              <w:left w:val="single" w:color="auto" w:sz="4" w:space="0"/>
              <w:bottom w:val="single" w:color="auto" w:sz="4" w:space="0"/>
              <w:right w:val="single" w:color="auto" w:sz="4" w:space="0"/>
            </w:tcBorders>
            <w:vAlign w:val="center"/>
          </w:tcPr>
          <w:p w14:paraId="7B4B77B6">
            <w:pPr>
              <w:spacing w:line="440" w:lineRule="atLeast"/>
              <w:jc w:val="center"/>
              <w:rPr>
                <w:rFonts w:ascii="仿宋_GB2312" w:hAnsi="Times New Roman" w:eastAsia="仿宋_GB2312" w:cs="Times New Roman"/>
                <w:kern w:val="0"/>
                <w:sz w:val="24"/>
              </w:rPr>
            </w:pPr>
            <w:r>
              <w:rPr>
                <w:rFonts w:hint="eastAsia" w:ascii="仿宋_GB2312" w:hAnsi="Times New Roman" w:eastAsia="仿宋_GB2312" w:cs="Times New Roman"/>
                <w:kern w:val="0"/>
                <w:sz w:val="24"/>
              </w:rPr>
              <w:t>3</w:t>
            </w:r>
          </w:p>
        </w:tc>
        <w:tc>
          <w:tcPr>
            <w:tcW w:w="4961" w:type="dxa"/>
            <w:tcBorders>
              <w:top w:val="single" w:color="auto" w:sz="4" w:space="0"/>
              <w:left w:val="nil"/>
              <w:bottom w:val="single" w:color="auto" w:sz="4" w:space="0"/>
              <w:right w:val="single" w:color="auto" w:sz="4" w:space="0"/>
            </w:tcBorders>
            <w:vAlign w:val="center"/>
          </w:tcPr>
          <w:p w14:paraId="735116C4">
            <w:pPr>
              <w:spacing w:line="440" w:lineRule="atLeast"/>
              <w:rPr>
                <w:rFonts w:ascii="仿宋_GB2312" w:hAnsi="Times New Roman" w:eastAsia="仿宋_GB2312" w:cs="Times New Roman"/>
                <w:kern w:val="0"/>
                <w:sz w:val="24"/>
              </w:rPr>
            </w:pPr>
            <w:r>
              <w:rPr>
                <w:rFonts w:hint="eastAsia" w:ascii="仿宋_GB2312" w:hAnsi="Times New Roman" w:eastAsia="仿宋_GB2312" w:cs="Times New Roman"/>
                <w:kern w:val="0"/>
                <w:sz w:val="24"/>
              </w:rPr>
              <w:t>资产评估师年人均收入指标</w:t>
            </w:r>
          </w:p>
        </w:tc>
        <w:tc>
          <w:tcPr>
            <w:tcW w:w="2268" w:type="dxa"/>
            <w:tcBorders>
              <w:top w:val="single" w:color="auto" w:sz="4" w:space="0"/>
              <w:left w:val="nil"/>
              <w:bottom w:val="single" w:color="auto" w:sz="4" w:space="0"/>
              <w:right w:val="single" w:color="auto" w:sz="4" w:space="0"/>
            </w:tcBorders>
            <w:vAlign w:val="center"/>
          </w:tcPr>
          <w:p w14:paraId="52ECFD6E">
            <w:pPr>
              <w:spacing w:line="440" w:lineRule="atLeast"/>
              <w:jc w:val="center"/>
              <w:rPr>
                <w:rFonts w:ascii="仿宋_GB2312" w:hAnsi="Times New Roman" w:eastAsia="仿宋_GB2312" w:cs="Times New Roman"/>
                <w:kern w:val="0"/>
                <w:sz w:val="24"/>
              </w:rPr>
            </w:pPr>
            <w:r>
              <w:rPr>
                <w:rFonts w:hint="eastAsia" w:ascii="仿宋_GB2312" w:hAnsi="Times New Roman" w:eastAsia="仿宋_GB2312" w:cs="Times New Roman"/>
                <w:kern w:val="0"/>
                <w:sz w:val="24"/>
              </w:rPr>
              <w:t>5-15</w:t>
            </w:r>
          </w:p>
        </w:tc>
      </w:tr>
      <w:tr w14:paraId="0ED33FE9">
        <w:tblPrEx>
          <w:tblCellMar>
            <w:top w:w="0" w:type="dxa"/>
            <w:left w:w="108" w:type="dxa"/>
            <w:bottom w:w="0" w:type="dxa"/>
            <w:right w:w="108" w:type="dxa"/>
          </w:tblCellMar>
        </w:tblPrEx>
        <w:trPr>
          <w:trHeight w:val="285" w:hRule="atLeast"/>
        </w:trPr>
        <w:tc>
          <w:tcPr>
            <w:tcW w:w="959" w:type="dxa"/>
            <w:tcBorders>
              <w:top w:val="single" w:color="auto" w:sz="4" w:space="0"/>
              <w:left w:val="single" w:color="auto" w:sz="4" w:space="0"/>
              <w:bottom w:val="single" w:color="auto" w:sz="4" w:space="0"/>
              <w:right w:val="single" w:color="auto" w:sz="4" w:space="0"/>
            </w:tcBorders>
            <w:vAlign w:val="center"/>
          </w:tcPr>
          <w:p w14:paraId="391EF032">
            <w:pPr>
              <w:spacing w:line="440" w:lineRule="atLeast"/>
              <w:jc w:val="center"/>
              <w:rPr>
                <w:rFonts w:ascii="仿宋_GB2312" w:hAnsi="Times New Roman" w:eastAsia="仿宋_GB2312" w:cs="Times New Roman"/>
                <w:kern w:val="0"/>
                <w:sz w:val="24"/>
              </w:rPr>
            </w:pPr>
            <w:r>
              <w:rPr>
                <w:rFonts w:hint="eastAsia" w:ascii="仿宋_GB2312" w:hAnsi="Times New Roman" w:eastAsia="仿宋_GB2312" w:cs="Times New Roman"/>
                <w:kern w:val="0"/>
                <w:sz w:val="24"/>
              </w:rPr>
              <w:t>4</w:t>
            </w:r>
          </w:p>
        </w:tc>
        <w:tc>
          <w:tcPr>
            <w:tcW w:w="4961" w:type="dxa"/>
            <w:tcBorders>
              <w:top w:val="single" w:color="auto" w:sz="4" w:space="0"/>
              <w:left w:val="nil"/>
              <w:bottom w:val="single" w:color="auto" w:sz="4" w:space="0"/>
              <w:right w:val="single" w:color="auto" w:sz="4" w:space="0"/>
            </w:tcBorders>
            <w:vAlign w:val="center"/>
          </w:tcPr>
          <w:p w14:paraId="68820F2E">
            <w:pPr>
              <w:spacing w:line="440" w:lineRule="atLeast"/>
              <w:rPr>
                <w:rFonts w:ascii="仿宋_GB2312" w:hAnsi="Times New Roman" w:eastAsia="仿宋_GB2312" w:cs="Times New Roman"/>
                <w:kern w:val="0"/>
                <w:sz w:val="24"/>
              </w:rPr>
            </w:pPr>
            <w:r>
              <w:rPr>
                <w:rFonts w:hint="eastAsia" w:ascii="仿宋_GB2312" w:hAnsi="Times New Roman" w:eastAsia="仿宋_GB2312" w:cs="Times New Roman"/>
                <w:kern w:val="0"/>
                <w:sz w:val="24"/>
              </w:rPr>
              <w:t>资产评估师平均执业年限指标</w:t>
            </w:r>
          </w:p>
        </w:tc>
        <w:tc>
          <w:tcPr>
            <w:tcW w:w="2268" w:type="dxa"/>
            <w:tcBorders>
              <w:top w:val="single" w:color="auto" w:sz="4" w:space="0"/>
              <w:left w:val="nil"/>
              <w:bottom w:val="single" w:color="auto" w:sz="4" w:space="0"/>
              <w:right w:val="single" w:color="auto" w:sz="4" w:space="0"/>
            </w:tcBorders>
            <w:vAlign w:val="center"/>
          </w:tcPr>
          <w:p w14:paraId="494D9A49">
            <w:pPr>
              <w:spacing w:line="440" w:lineRule="atLeast"/>
              <w:jc w:val="center"/>
              <w:rPr>
                <w:rFonts w:ascii="仿宋_GB2312" w:hAnsi="Times New Roman" w:eastAsia="仿宋_GB2312" w:cs="Times New Roman"/>
                <w:kern w:val="0"/>
                <w:sz w:val="24"/>
              </w:rPr>
            </w:pPr>
            <w:r>
              <w:rPr>
                <w:rFonts w:hint="eastAsia" w:ascii="仿宋_GB2312" w:hAnsi="Times New Roman" w:eastAsia="仿宋_GB2312" w:cs="Times New Roman"/>
                <w:kern w:val="0"/>
                <w:sz w:val="24"/>
              </w:rPr>
              <w:t>2-5</w:t>
            </w:r>
          </w:p>
        </w:tc>
      </w:tr>
      <w:tr w14:paraId="709D15A8">
        <w:tblPrEx>
          <w:tblCellMar>
            <w:top w:w="0" w:type="dxa"/>
            <w:left w:w="108" w:type="dxa"/>
            <w:bottom w:w="0" w:type="dxa"/>
            <w:right w:w="108" w:type="dxa"/>
          </w:tblCellMar>
        </w:tblPrEx>
        <w:trPr>
          <w:trHeight w:val="285" w:hRule="atLeast"/>
        </w:trPr>
        <w:tc>
          <w:tcPr>
            <w:tcW w:w="959" w:type="dxa"/>
            <w:tcBorders>
              <w:top w:val="single" w:color="auto" w:sz="4" w:space="0"/>
              <w:left w:val="single" w:color="auto" w:sz="4" w:space="0"/>
              <w:bottom w:val="single" w:color="auto" w:sz="4" w:space="0"/>
              <w:right w:val="single" w:color="auto" w:sz="4" w:space="0"/>
            </w:tcBorders>
            <w:vAlign w:val="center"/>
          </w:tcPr>
          <w:p w14:paraId="0AD4AD08">
            <w:pPr>
              <w:spacing w:line="440" w:lineRule="atLeast"/>
              <w:jc w:val="center"/>
              <w:rPr>
                <w:rFonts w:ascii="仿宋_GB2312" w:hAnsi="Times New Roman" w:eastAsia="仿宋_GB2312" w:cs="Times New Roman"/>
                <w:kern w:val="0"/>
                <w:sz w:val="24"/>
              </w:rPr>
            </w:pPr>
            <w:r>
              <w:rPr>
                <w:rFonts w:hint="eastAsia" w:ascii="仿宋_GB2312" w:hAnsi="Times New Roman" w:eastAsia="仿宋_GB2312" w:cs="Times New Roman"/>
                <w:kern w:val="0"/>
                <w:sz w:val="24"/>
              </w:rPr>
              <w:t>5</w:t>
            </w:r>
          </w:p>
        </w:tc>
        <w:tc>
          <w:tcPr>
            <w:tcW w:w="4961" w:type="dxa"/>
            <w:tcBorders>
              <w:top w:val="single" w:color="auto" w:sz="4" w:space="0"/>
              <w:left w:val="nil"/>
              <w:bottom w:val="single" w:color="auto" w:sz="4" w:space="0"/>
              <w:right w:val="single" w:color="auto" w:sz="4" w:space="0"/>
            </w:tcBorders>
            <w:vAlign w:val="center"/>
          </w:tcPr>
          <w:p w14:paraId="2061415A">
            <w:pPr>
              <w:spacing w:line="440" w:lineRule="atLeast"/>
              <w:rPr>
                <w:rFonts w:ascii="仿宋_GB2312" w:hAnsi="Times New Roman" w:eastAsia="仿宋_GB2312" w:cs="Times New Roman"/>
                <w:kern w:val="0"/>
                <w:sz w:val="24"/>
              </w:rPr>
            </w:pPr>
            <w:r>
              <w:rPr>
                <w:rFonts w:hint="eastAsia" w:ascii="仿宋_GB2312" w:hAnsi="Times New Roman" w:eastAsia="仿宋_GB2312" w:cs="Times New Roman"/>
                <w:kern w:val="0"/>
                <w:sz w:val="24"/>
              </w:rPr>
              <w:t>人才培养指标</w:t>
            </w:r>
          </w:p>
        </w:tc>
        <w:tc>
          <w:tcPr>
            <w:tcW w:w="2268" w:type="dxa"/>
            <w:tcBorders>
              <w:top w:val="single" w:color="auto" w:sz="4" w:space="0"/>
              <w:left w:val="nil"/>
              <w:bottom w:val="single" w:color="auto" w:sz="4" w:space="0"/>
              <w:right w:val="single" w:color="auto" w:sz="4" w:space="0"/>
            </w:tcBorders>
            <w:vAlign w:val="center"/>
          </w:tcPr>
          <w:p w14:paraId="3D636B39">
            <w:pPr>
              <w:spacing w:line="440" w:lineRule="atLeast"/>
              <w:jc w:val="center"/>
              <w:rPr>
                <w:rFonts w:ascii="仿宋_GB2312" w:hAnsi="Times New Roman" w:eastAsia="仿宋_GB2312" w:cs="Times New Roman"/>
                <w:kern w:val="0"/>
                <w:sz w:val="24"/>
              </w:rPr>
            </w:pPr>
            <w:r>
              <w:rPr>
                <w:rFonts w:hint="eastAsia" w:ascii="仿宋_GB2312" w:hAnsi="Times New Roman" w:eastAsia="仿宋_GB2312" w:cs="Times New Roman"/>
                <w:kern w:val="0"/>
                <w:sz w:val="24"/>
              </w:rPr>
              <w:t>2-5</w:t>
            </w:r>
          </w:p>
        </w:tc>
      </w:tr>
      <w:tr w14:paraId="5C774052">
        <w:tblPrEx>
          <w:tblCellMar>
            <w:top w:w="0" w:type="dxa"/>
            <w:left w:w="108" w:type="dxa"/>
            <w:bottom w:w="0" w:type="dxa"/>
            <w:right w:w="108" w:type="dxa"/>
          </w:tblCellMar>
        </w:tblPrEx>
        <w:trPr>
          <w:trHeight w:val="285" w:hRule="atLeast"/>
        </w:trPr>
        <w:tc>
          <w:tcPr>
            <w:tcW w:w="959" w:type="dxa"/>
            <w:tcBorders>
              <w:top w:val="single" w:color="auto" w:sz="4" w:space="0"/>
              <w:left w:val="single" w:color="auto" w:sz="4" w:space="0"/>
              <w:bottom w:val="single" w:color="auto" w:sz="4" w:space="0"/>
              <w:right w:val="single" w:color="auto" w:sz="4" w:space="0"/>
            </w:tcBorders>
            <w:vAlign w:val="center"/>
          </w:tcPr>
          <w:p w14:paraId="7B4C749B">
            <w:pPr>
              <w:spacing w:line="440" w:lineRule="atLeast"/>
              <w:jc w:val="center"/>
              <w:rPr>
                <w:rFonts w:ascii="仿宋_GB2312" w:hAnsi="Times New Roman" w:eastAsia="仿宋_GB2312" w:cs="Times New Roman"/>
                <w:kern w:val="0"/>
                <w:sz w:val="24"/>
              </w:rPr>
            </w:pPr>
            <w:r>
              <w:rPr>
                <w:rFonts w:hint="eastAsia" w:ascii="仿宋_GB2312" w:hAnsi="Times New Roman" w:eastAsia="仿宋_GB2312" w:cs="Times New Roman"/>
                <w:kern w:val="0"/>
                <w:sz w:val="24"/>
              </w:rPr>
              <w:t>6</w:t>
            </w:r>
          </w:p>
        </w:tc>
        <w:tc>
          <w:tcPr>
            <w:tcW w:w="4961" w:type="dxa"/>
            <w:tcBorders>
              <w:top w:val="single" w:color="auto" w:sz="4" w:space="0"/>
              <w:left w:val="nil"/>
              <w:bottom w:val="single" w:color="auto" w:sz="4" w:space="0"/>
              <w:right w:val="single" w:color="auto" w:sz="4" w:space="0"/>
            </w:tcBorders>
            <w:vAlign w:val="center"/>
          </w:tcPr>
          <w:p w14:paraId="1D365A06">
            <w:pPr>
              <w:spacing w:line="440" w:lineRule="atLeast"/>
              <w:rPr>
                <w:rFonts w:ascii="仿宋_GB2312" w:hAnsi="Times New Roman" w:eastAsia="仿宋_GB2312" w:cs="Times New Roman"/>
                <w:kern w:val="0"/>
                <w:sz w:val="24"/>
              </w:rPr>
            </w:pPr>
            <w:r>
              <w:rPr>
                <w:rFonts w:hint="eastAsia" w:ascii="仿宋_GB2312" w:hAnsi="Times New Roman" w:eastAsia="仿宋_GB2312" w:cs="Times New Roman"/>
                <w:kern w:val="0"/>
                <w:sz w:val="24"/>
              </w:rPr>
              <w:t>执业质量指标</w:t>
            </w:r>
          </w:p>
        </w:tc>
        <w:tc>
          <w:tcPr>
            <w:tcW w:w="2268" w:type="dxa"/>
            <w:tcBorders>
              <w:top w:val="single" w:color="auto" w:sz="4" w:space="0"/>
              <w:left w:val="nil"/>
              <w:bottom w:val="single" w:color="auto" w:sz="4" w:space="0"/>
              <w:right w:val="single" w:color="auto" w:sz="4" w:space="0"/>
            </w:tcBorders>
            <w:vAlign w:val="center"/>
          </w:tcPr>
          <w:p w14:paraId="1A22037F">
            <w:pPr>
              <w:spacing w:line="440" w:lineRule="atLeast"/>
              <w:jc w:val="center"/>
              <w:rPr>
                <w:rFonts w:ascii="仿宋_GB2312" w:hAnsi="Times New Roman" w:eastAsia="仿宋_GB2312" w:cs="Times New Roman"/>
                <w:kern w:val="0"/>
                <w:sz w:val="24"/>
              </w:rPr>
            </w:pPr>
            <w:r>
              <w:rPr>
                <w:rFonts w:hint="eastAsia" w:ascii="仿宋_GB2312" w:hAnsi="Times New Roman" w:eastAsia="仿宋_GB2312" w:cs="Times New Roman"/>
                <w:kern w:val="0"/>
                <w:sz w:val="24"/>
              </w:rPr>
              <w:t>25-40</w:t>
            </w:r>
          </w:p>
        </w:tc>
      </w:tr>
      <w:tr w14:paraId="7739B9EA">
        <w:tblPrEx>
          <w:tblCellMar>
            <w:top w:w="0" w:type="dxa"/>
            <w:left w:w="108" w:type="dxa"/>
            <w:bottom w:w="0" w:type="dxa"/>
            <w:right w:w="108" w:type="dxa"/>
          </w:tblCellMar>
        </w:tblPrEx>
        <w:trPr>
          <w:trHeight w:val="285" w:hRule="atLeast"/>
        </w:trPr>
        <w:tc>
          <w:tcPr>
            <w:tcW w:w="959" w:type="dxa"/>
            <w:tcBorders>
              <w:top w:val="single" w:color="auto" w:sz="4" w:space="0"/>
              <w:left w:val="single" w:color="auto" w:sz="4" w:space="0"/>
              <w:bottom w:val="single" w:color="auto" w:sz="4" w:space="0"/>
              <w:right w:val="single" w:color="auto" w:sz="4" w:space="0"/>
            </w:tcBorders>
            <w:vAlign w:val="center"/>
          </w:tcPr>
          <w:p w14:paraId="1B56AF44">
            <w:pPr>
              <w:spacing w:line="440" w:lineRule="atLeast"/>
              <w:jc w:val="center"/>
              <w:rPr>
                <w:rFonts w:ascii="仿宋_GB2312" w:hAnsi="Times New Roman" w:eastAsia="仿宋_GB2312" w:cs="Times New Roman"/>
                <w:kern w:val="0"/>
                <w:sz w:val="24"/>
              </w:rPr>
            </w:pPr>
            <w:r>
              <w:rPr>
                <w:rFonts w:hint="eastAsia" w:ascii="仿宋_GB2312" w:hAnsi="Times New Roman" w:eastAsia="仿宋_GB2312" w:cs="Times New Roman"/>
                <w:kern w:val="0"/>
                <w:sz w:val="24"/>
              </w:rPr>
              <w:t>7</w:t>
            </w:r>
          </w:p>
        </w:tc>
        <w:tc>
          <w:tcPr>
            <w:tcW w:w="4961" w:type="dxa"/>
            <w:tcBorders>
              <w:top w:val="single" w:color="auto" w:sz="4" w:space="0"/>
              <w:left w:val="nil"/>
              <w:bottom w:val="single" w:color="auto" w:sz="4" w:space="0"/>
              <w:right w:val="single" w:color="auto" w:sz="4" w:space="0"/>
            </w:tcBorders>
            <w:vAlign w:val="center"/>
          </w:tcPr>
          <w:p w14:paraId="20ACCD84">
            <w:pPr>
              <w:spacing w:line="440" w:lineRule="atLeast"/>
              <w:rPr>
                <w:rFonts w:ascii="仿宋_GB2312" w:hAnsi="Times New Roman" w:eastAsia="仿宋_GB2312" w:cs="Times New Roman"/>
                <w:kern w:val="0"/>
                <w:sz w:val="24"/>
              </w:rPr>
            </w:pPr>
            <w:r>
              <w:rPr>
                <w:rFonts w:hint="eastAsia" w:ascii="仿宋_GB2312" w:hAnsi="Times New Roman" w:eastAsia="仿宋_GB2312" w:cs="Times New Roman"/>
                <w:kern w:val="0"/>
                <w:sz w:val="24"/>
              </w:rPr>
              <w:t>行业贡献指标</w:t>
            </w:r>
          </w:p>
        </w:tc>
        <w:tc>
          <w:tcPr>
            <w:tcW w:w="2268" w:type="dxa"/>
            <w:tcBorders>
              <w:top w:val="single" w:color="auto" w:sz="4" w:space="0"/>
              <w:left w:val="nil"/>
              <w:bottom w:val="single" w:color="auto" w:sz="4" w:space="0"/>
              <w:right w:val="single" w:color="auto" w:sz="4" w:space="0"/>
            </w:tcBorders>
            <w:vAlign w:val="center"/>
          </w:tcPr>
          <w:p w14:paraId="10942284">
            <w:pPr>
              <w:spacing w:line="440" w:lineRule="atLeast"/>
              <w:ind w:right="120"/>
              <w:jc w:val="center"/>
              <w:rPr>
                <w:rFonts w:ascii="仿宋_GB2312" w:hAnsi="Times New Roman" w:eastAsia="仿宋_GB2312" w:cs="Times New Roman"/>
                <w:kern w:val="0"/>
                <w:sz w:val="24"/>
              </w:rPr>
            </w:pPr>
            <w:r>
              <w:rPr>
                <w:rFonts w:hint="eastAsia" w:ascii="仿宋_GB2312" w:hAnsi="Times New Roman" w:eastAsia="仿宋_GB2312" w:cs="Times New Roman"/>
                <w:kern w:val="0"/>
                <w:sz w:val="24"/>
              </w:rPr>
              <w:t>5-15</w:t>
            </w:r>
          </w:p>
        </w:tc>
      </w:tr>
    </w:tbl>
    <w:p w14:paraId="1C6D9D33">
      <w:pPr>
        <w:spacing w:line="440" w:lineRule="atLeast"/>
        <w:rPr>
          <w:rFonts w:ascii="宋体" w:hAnsi="宋体" w:eastAsia="宋体" w:cs="宋体"/>
          <w:sz w:val="24"/>
        </w:rPr>
      </w:pPr>
      <w:r>
        <w:rPr>
          <w:rFonts w:hint="eastAsia" w:ascii="宋体" w:hAnsi="宋体" w:eastAsia="宋体" w:cs="宋体"/>
          <w:sz w:val="24"/>
        </w:rPr>
        <w:t>附表2</w:t>
      </w:r>
    </w:p>
    <w:p w14:paraId="2E9DCD77">
      <w:pPr>
        <w:spacing w:after="312" w:line="440" w:lineRule="atLeast"/>
        <w:jc w:val="center"/>
        <w:rPr>
          <w:rFonts w:ascii="宋体" w:hAnsi="宋体" w:eastAsia="宋体" w:cs="Times New Roman"/>
          <w:b/>
          <w:bCs/>
          <w:sz w:val="24"/>
        </w:rPr>
      </w:pPr>
      <w:r>
        <w:rPr>
          <w:rFonts w:hint="eastAsia" w:ascii="宋体" w:hAnsi="宋体" w:eastAsia="宋体" w:cs="Times New Roman"/>
          <w:b/>
          <w:bCs/>
          <w:sz w:val="24"/>
        </w:rPr>
        <w:t>执业质量减分标准</w:t>
      </w:r>
    </w:p>
    <w:tbl>
      <w:tblPr>
        <w:tblStyle w:val="24"/>
        <w:tblW w:w="8906" w:type="dxa"/>
        <w:jc w:val="center"/>
        <w:tblLayout w:type="fixed"/>
        <w:tblCellMar>
          <w:top w:w="0" w:type="dxa"/>
          <w:left w:w="108" w:type="dxa"/>
          <w:bottom w:w="0" w:type="dxa"/>
          <w:right w:w="108" w:type="dxa"/>
        </w:tblCellMar>
      </w:tblPr>
      <w:tblGrid>
        <w:gridCol w:w="857"/>
        <w:gridCol w:w="2576"/>
        <w:gridCol w:w="1134"/>
        <w:gridCol w:w="1134"/>
        <w:gridCol w:w="1134"/>
        <w:gridCol w:w="1134"/>
        <w:gridCol w:w="937"/>
      </w:tblGrid>
      <w:tr w14:paraId="5097043B">
        <w:trPr>
          <w:jc w:val="center"/>
        </w:trPr>
        <w:tc>
          <w:tcPr>
            <w:tcW w:w="857" w:type="dxa"/>
            <w:vMerge w:val="restart"/>
            <w:tcBorders>
              <w:top w:val="single" w:color="auto" w:sz="4" w:space="0"/>
              <w:left w:val="single" w:color="auto" w:sz="4" w:space="0"/>
              <w:bottom w:val="single" w:color="auto" w:sz="4" w:space="0"/>
              <w:right w:val="single" w:color="auto" w:sz="4" w:space="0"/>
            </w:tcBorders>
            <w:vAlign w:val="center"/>
          </w:tcPr>
          <w:p w14:paraId="44FE1754">
            <w:pPr>
              <w:spacing w:line="440" w:lineRule="atLeast"/>
              <w:jc w:val="center"/>
              <w:rPr>
                <w:rFonts w:ascii="仿宋_GB2312" w:hAnsi="Times New Roman" w:eastAsia="仿宋_GB2312" w:cs="Times New Roman"/>
                <w:sz w:val="24"/>
              </w:rPr>
            </w:pPr>
            <w:r>
              <w:rPr>
                <w:rFonts w:hint="eastAsia" w:ascii="仿宋_GB2312" w:hAnsi="Times New Roman" w:eastAsia="仿宋_GB2312" w:cs="Times New Roman"/>
                <w:sz w:val="24"/>
              </w:rPr>
              <w:t>类</w:t>
            </w:r>
          </w:p>
          <w:p w14:paraId="5791F555">
            <w:pPr>
              <w:spacing w:line="440" w:lineRule="atLeast"/>
              <w:jc w:val="center"/>
              <w:rPr>
                <w:rFonts w:ascii="仿宋_GB2312" w:hAnsi="Times New Roman" w:eastAsia="仿宋_GB2312" w:cs="Times New Roman"/>
                <w:sz w:val="24"/>
              </w:rPr>
            </w:pPr>
            <w:r>
              <w:rPr>
                <w:rFonts w:hint="eastAsia" w:ascii="仿宋_GB2312" w:hAnsi="Times New Roman" w:eastAsia="仿宋_GB2312" w:cs="Times New Roman"/>
                <w:sz w:val="24"/>
              </w:rPr>
              <w:t>别</w:t>
            </w:r>
          </w:p>
        </w:tc>
        <w:tc>
          <w:tcPr>
            <w:tcW w:w="2576" w:type="dxa"/>
            <w:vMerge w:val="restart"/>
            <w:tcBorders>
              <w:top w:val="single" w:color="auto" w:sz="4" w:space="0"/>
              <w:left w:val="nil"/>
              <w:bottom w:val="single" w:color="auto" w:sz="4" w:space="0"/>
              <w:right w:val="single" w:color="auto" w:sz="4" w:space="0"/>
            </w:tcBorders>
            <w:vAlign w:val="center"/>
          </w:tcPr>
          <w:p w14:paraId="3577E81E">
            <w:pPr>
              <w:spacing w:line="440" w:lineRule="atLeast"/>
              <w:jc w:val="center"/>
              <w:rPr>
                <w:rFonts w:ascii="仿宋_GB2312" w:hAnsi="Times New Roman" w:eastAsia="仿宋_GB2312" w:cs="Times New Roman"/>
                <w:sz w:val="24"/>
              </w:rPr>
            </w:pPr>
            <w:r>
              <w:rPr>
                <w:rFonts w:hint="eastAsia" w:ascii="仿宋_GB2312" w:hAnsi="Times New Roman" w:eastAsia="仿宋_GB2312" w:cs="Times New Roman"/>
                <w:sz w:val="24"/>
              </w:rPr>
              <w:t>项目</w:t>
            </w:r>
          </w:p>
        </w:tc>
        <w:tc>
          <w:tcPr>
            <w:tcW w:w="5473" w:type="dxa"/>
            <w:gridSpan w:val="5"/>
            <w:tcBorders>
              <w:top w:val="single" w:color="auto" w:sz="4" w:space="0"/>
              <w:left w:val="nil"/>
              <w:bottom w:val="single" w:color="auto" w:sz="4" w:space="0"/>
              <w:right w:val="single" w:color="auto" w:sz="4" w:space="0"/>
            </w:tcBorders>
            <w:vAlign w:val="center"/>
          </w:tcPr>
          <w:p w14:paraId="2CA07415">
            <w:pPr>
              <w:spacing w:line="440" w:lineRule="atLeast"/>
              <w:jc w:val="center"/>
              <w:rPr>
                <w:rFonts w:ascii="仿宋_GB2312" w:hAnsi="Times New Roman" w:eastAsia="仿宋_GB2312" w:cs="Times New Roman"/>
                <w:sz w:val="24"/>
              </w:rPr>
            </w:pPr>
            <w:r>
              <w:rPr>
                <w:rFonts w:hint="eastAsia" w:ascii="仿宋_GB2312" w:hAnsi="Times New Roman" w:eastAsia="仿宋_GB2312" w:cs="Times New Roman"/>
                <w:sz w:val="24"/>
              </w:rPr>
              <w:t>受处罚或惩戒的年度及对应减分值</w:t>
            </w:r>
          </w:p>
        </w:tc>
      </w:tr>
      <w:tr w14:paraId="13D3223D">
        <w:trPr>
          <w:jc w:val="center"/>
        </w:trPr>
        <w:tc>
          <w:tcPr>
            <w:tcW w:w="857" w:type="dxa"/>
            <w:vMerge w:val="continue"/>
            <w:tcBorders>
              <w:top w:val="single" w:color="auto" w:sz="4" w:space="0"/>
              <w:left w:val="single" w:color="auto" w:sz="4" w:space="0"/>
              <w:bottom w:val="single" w:color="auto" w:sz="4" w:space="0"/>
              <w:right w:val="single" w:color="auto" w:sz="4" w:space="0"/>
            </w:tcBorders>
            <w:vAlign w:val="center"/>
          </w:tcPr>
          <w:p w14:paraId="3E10EB86">
            <w:pPr>
              <w:spacing w:line="440" w:lineRule="atLeast"/>
              <w:jc w:val="left"/>
              <w:rPr>
                <w:rFonts w:ascii="仿宋_GB2312" w:hAnsi="Times New Roman" w:eastAsia="仿宋_GB2312" w:cs="Times New Roman"/>
                <w:sz w:val="24"/>
              </w:rPr>
            </w:pPr>
          </w:p>
        </w:tc>
        <w:tc>
          <w:tcPr>
            <w:tcW w:w="2576" w:type="dxa"/>
            <w:vMerge w:val="continue"/>
            <w:tcBorders>
              <w:top w:val="single" w:color="auto" w:sz="4" w:space="0"/>
              <w:left w:val="nil"/>
              <w:bottom w:val="single" w:color="auto" w:sz="4" w:space="0"/>
              <w:right w:val="single" w:color="auto" w:sz="4" w:space="0"/>
            </w:tcBorders>
            <w:vAlign w:val="center"/>
          </w:tcPr>
          <w:p w14:paraId="0ABED272">
            <w:pPr>
              <w:spacing w:line="440" w:lineRule="atLeast"/>
              <w:jc w:val="left"/>
              <w:rPr>
                <w:rFonts w:ascii="仿宋_GB2312" w:hAnsi="Times New Roman" w:eastAsia="仿宋_GB2312" w:cs="Times New Roman"/>
                <w:sz w:val="24"/>
              </w:rPr>
            </w:pPr>
          </w:p>
        </w:tc>
        <w:tc>
          <w:tcPr>
            <w:tcW w:w="1134" w:type="dxa"/>
            <w:tcBorders>
              <w:top w:val="single" w:color="auto" w:sz="4" w:space="0"/>
              <w:left w:val="nil"/>
              <w:bottom w:val="single" w:color="auto" w:sz="4" w:space="0"/>
              <w:right w:val="single" w:color="auto" w:sz="4" w:space="0"/>
            </w:tcBorders>
            <w:vAlign w:val="center"/>
          </w:tcPr>
          <w:p w14:paraId="3B977DA3">
            <w:pPr>
              <w:spacing w:line="440" w:lineRule="atLeast"/>
              <w:jc w:val="center"/>
              <w:rPr>
                <w:rFonts w:ascii="仿宋_GB2312" w:hAnsi="Times New Roman" w:eastAsia="仿宋_GB2312" w:cs="Times New Roman"/>
                <w:sz w:val="24"/>
              </w:rPr>
            </w:pPr>
            <w:r>
              <w:rPr>
                <w:rFonts w:hint="eastAsia" w:ascii="仿宋_GB2312" w:hAnsi="Times New Roman" w:eastAsia="仿宋_GB2312" w:cs="Times New Roman"/>
                <w:sz w:val="24"/>
              </w:rPr>
              <w:t>前4年</w:t>
            </w:r>
          </w:p>
        </w:tc>
        <w:tc>
          <w:tcPr>
            <w:tcW w:w="1134" w:type="dxa"/>
            <w:tcBorders>
              <w:top w:val="single" w:color="auto" w:sz="4" w:space="0"/>
              <w:left w:val="nil"/>
              <w:bottom w:val="single" w:color="auto" w:sz="4" w:space="0"/>
              <w:right w:val="single" w:color="auto" w:sz="4" w:space="0"/>
            </w:tcBorders>
            <w:vAlign w:val="center"/>
          </w:tcPr>
          <w:p w14:paraId="789D2E61">
            <w:pPr>
              <w:spacing w:line="440" w:lineRule="atLeast"/>
              <w:jc w:val="center"/>
              <w:rPr>
                <w:rFonts w:ascii="仿宋_GB2312" w:hAnsi="Times New Roman" w:eastAsia="仿宋_GB2312" w:cs="Times New Roman"/>
                <w:sz w:val="24"/>
              </w:rPr>
            </w:pPr>
            <w:r>
              <w:rPr>
                <w:rFonts w:hint="eastAsia" w:ascii="仿宋_GB2312" w:hAnsi="Times New Roman" w:eastAsia="仿宋_GB2312" w:cs="Times New Roman"/>
                <w:sz w:val="24"/>
              </w:rPr>
              <w:t>前3年</w:t>
            </w:r>
          </w:p>
        </w:tc>
        <w:tc>
          <w:tcPr>
            <w:tcW w:w="1134" w:type="dxa"/>
            <w:tcBorders>
              <w:top w:val="single" w:color="auto" w:sz="4" w:space="0"/>
              <w:left w:val="nil"/>
              <w:bottom w:val="single" w:color="auto" w:sz="4" w:space="0"/>
              <w:right w:val="single" w:color="auto" w:sz="4" w:space="0"/>
            </w:tcBorders>
            <w:vAlign w:val="center"/>
          </w:tcPr>
          <w:p w14:paraId="11069F02">
            <w:pPr>
              <w:spacing w:line="440" w:lineRule="atLeast"/>
              <w:jc w:val="center"/>
              <w:rPr>
                <w:rFonts w:ascii="仿宋_GB2312" w:hAnsi="Times New Roman" w:eastAsia="仿宋_GB2312" w:cs="Times New Roman"/>
                <w:sz w:val="24"/>
              </w:rPr>
            </w:pPr>
            <w:r>
              <w:rPr>
                <w:rFonts w:hint="eastAsia" w:ascii="仿宋_GB2312" w:hAnsi="Times New Roman" w:eastAsia="仿宋_GB2312" w:cs="Times New Roman"/>
                <w:sz w:val="24"/>
              </w:rPr>
              <w:t>前2年</w:t>
            </w:r>
          </w:p>
        </w:tc>
        <w:tc>
          <w:tcPr>
            <w:tcW w:w="1134" w:type="dxa"/>
            <w:tcBorders>
              <w:top w:val="single" w:color="auto" w:sz="4" w:space="0"/>
              <w:left w:val="nil"/>
              <w:bottom w:val="single" w:color="auto" w:sz="4" w:space="0"/>
              <w:right w:val="single" w:color="auto" w:sz="4" w:space="0"/>
            </w:tcBorders>
            <w:vAlign w:val="center"/>
          </w:tcPr>
          <w:p w14:paraId="1E910874">
            <w:pPr>
              <w:spacing w:line="440" w:lineRule="atLeast"/>
              <w:jc w:val="center"/>
              <w:rPr>
                <w:rFonts w:ascii="仿宋_GB2312" w:hAnsi="Times New Roman" w:eastAsia="仿宋_GB2312" w:cs="Times New Roman"/>
                <w:sz w:val="24"/>
              </w:rPr>
            </w:pPr>
            <w:r>
              <w:rPr>
                <w:rFonts w:hint="eastAsia" w:ascii="仿宋_GB2312" w:hAnsi="Times New Roman" w:eastAsia="仿宋_GB2312" w:cs="Times New Roman"/>
                <w:sz w:val="24"/>
              </w:rPr>
              <w:t>前1年</w:t>
            </w:r>
          </w:p>
        </w:tc>
        <w:tc>
          <w:tcPr>
            <w:tcW w:w="937" w:type="dxa"/>
            <w:tcBorders>
              <w:top w:val="single" w:color="auto" w:sz="4" w:space="0"/>
              <w:left w:val="nil"/>
              <w:bottom w:val="single" w:color="auto" w:sz="4" w:space="0"/>
              <w:right w:val="single" w:color="auto" w:sz="4" w:space="0"/>
            </w:tcBorders>
            <w:vAlign w:val="center"/>
          </w:tcPr>
          <w:p w14:paraId="342DA54D">
            <w:pPr>
              <w:spacing w:line="440" w:lineRule="atLeast"/>
              <w:jc w:val="center"/>
              <w:rPr>
                <w:rFonts w:ascii="仿宋_GB2312" w:hAnsi="Times New Roman" w:eastAsia="仿宋_GB2312" w:cs="Times New Roman"/>
                <w:sz w:val="24"/>
              </w:rPr>
            </w:pPr>
            <w:r>
              <w:rPr>
                <w:rFonts w:hint="eastAsia" w:ascii="仿宋_GB2312" w:hAnsi="Times New Roman" w:eastAsia="仿宋_GB2312" w:cs="Times New Roman"/>
                <w:sz w:val="24"/>
              </w:rPr>
              <w:t>评价</w:t>
            </w:r>
          </w:p>
          <w:p w14:paraId="0DBCE774">
            <w:pPr>
              <w:spacing w:line="440" w:lineRule="atLeast"/>
              <w:jc w:val="center"/>
              <w:rPr>
                <w:rFonts w:ascii="仿宋_GB2312" w:hAnsi="Times New Roman" w:eastAsia="仿宋_GB2312" w:cs="Times New Roman"/>
                <w:sz w:val="24"/>
              </w:rPr>
            </w:pPr>
            <w:r>
              <w:rPr>
                <w:rFonts w:hint="eastAsia" w:ascii="仿宋_GB2312" w:hAnsi="Times New Roman" w:eastAsia="仿宋_GB2312" w:cs="Times New Roman"/>
                <w:sz w:val="24"/>
              </w:rPr>
              <w:t>年度</w:t>
            </w:r>
          </w:p>
        </w:tc>
      </w:tr>
      <w:tr w14:paraId="4ACE8BF8">
        <w:tblPrEx>
          <w:tblCellMar>
            <w:top w:w="0" w:type="dxa"/>
            <w:left w:w="108" w:type="dxa"/>
            <w:bottom w:w="0" w:type="dxa"/>
            <w:right w:w="108" w:type="dxa"/>
          </w:tblCellMar>
        </w:tblPrEx>
        <w:trPr>
          <w:jc w:val="center"/>
        </w:trPr>
        <w:tc>
          <w:tcPr>
            <w:tcW w:w="857" w:type="dxa"/>
            <w:vMerge w:val="restart"/>
            <w:tcBorders>
              <w:top w:val="nil"/>
              <w:left w:val="single" w:color="auto" w:sz="4" w:space="0"/>
              <w:bottom w:val="single" w:color="auto" w:sz="4" w:space="0"/>
              <w:right w:val="single" w:color="auto" w:sz="4" w:space="0"/>
            </w:tcBorders>
            <w:vAlign w:val="center"/>
          </w:tcPr>
          <w:p w14:paraId="39C9DBAB">
            <w:pPr>
              <w:spacing w:line="440" w:lineRule="atLeast"/>
              <w:jc w:val="center"/>
              <w:rPr>
                <w:rFonts w:ascii="仿宋_GB2312" w:hAnsi="Times New Roman" w:eastAsia="仿宋_GB2312" w:cs="Times New Roman"/>
                <w:sz w:val="24"/>
              </w:rPr>
            </w:pPr>
            <w:r>
              <w:rPr>
                <w:rFonts w:hint="eastAsia" w:ascii="仿宋_GB2312" w:hAnsi="Times New Roman" w:eastAsia="仿宋_GB2312" w:cs="Times New Roman"/>
                <w:sz w:val="24"/>
              </w:rPr>
              <w:t>行政处罚</w:t>
            </w:r>
          </w:p>
        </w:tc>
        <w:tc>
          <w:tcPr>
            <w:tcW w:w="2576" w:type="dxa"/>
            <w:tcBorders>
              <w:top w:val="single" w:color="auto" w:sz="4" w:space="0"/>
              <w:left w:val="nil"/>
              <w:bottom w:val="single" w:color="auto" w:sz="4" w:space="0"/>
              <w:right w:val="single" w:color="auto" w:sz="4" w:space="0"/>
            </w:tcBorders>
            <w:vAlign w:val="center"/>
          </w:tcPr>
          <w:p w14:paraId="1E18C2D5">
            <w:pPr>
              <w:spacing w:line="440" w:lineRule="atLeast"/>
              <w:jc w:val="left"/>
              <w:rPr>
                <w:rFonts w:ascii="仿宋_GB2312" w:hAnsi="Times New Roman" w:eastAsia="仿宋_GB2312" w:cs="Times New Roman"/>
                <w:sz w:val="24"/>
              </w:rPr>
            </w:pPr>
            <w:r>
              <w:rPr>
                <w:rFonts w:hint="eastAsia" w:ascii="仿宋_GB2312" w:hAnsi="Times New Roman" w:eastAsia="仿宋_GB2312" w:cs="Times New Roman"/>
                <w:sz w:val="24"/>
              </w:rPr>
              <w:t>警告</w:t>
            </w:r>
          </w:p>
        </w:tc>
        <w:tc>
          <w:tcPr>
            <w:tcW w:w="1134" w:type="dxa"/>
            <w:tcBorders>
              <w:top w:val="single" w:color="auto" w:sz="4" w:space="0"/>
              <w:left w:val="nil"/>
              <w:bottom w:val="single" w:color="auto" w:sz="4" w:space="0"/>
              <w:right w:val="single" w:color="auto" w:sz="4" w:space="0"/>
            </w:tcBorders>
            <w:vAlign w:val="center"/>
          </w:tcPr>
          <w:p w14:paraId="0AD10AF1">
            <w:pPr>
              <w:spacing w:line="440" w:lineRule="atLeast"/>
              <w:jc w:val="center"/>
              <w:rPr>
                <w:rFonts w:ascii="仿宋_GB2312" w:hAnsi="Times New Roman" w:eastAsia="仿宋_GB2312" w:cs="Times New Roman"/>
                <w:color w:val="000000"/>
                <w:sz w:val="24"/>
              </w:rPr>
            </w:pPr>
            <w:r>
              <w:rPr>
                <w:rFonts w:hint="eastAsia" w:ascii="仿宋_GB2312" w:hAnsi="Times New Roman" w:eastAsia="仿宋_GB2312" w:cs="Times New Roman"/>
                <w:color w:val="000000"/>
                <w:sz w:val="24"/>
              </w:rPr>
              <w:t>3</w:t>
            </w:r>
          </w:p>
        </w:tc>
        <w:tc>
          <w:tcPr>
            <w:tcW w:w="1134" w:type="dxa"/>
            <w:tcBorders>
              <w:top w:val="single" w:color="auto" w:sz="4" w:space="0"/>
              <w:left w:val="nil"/>
              <w:bottom w:val="single" w:color="auto" w:sz="4" w:space="0"/>
              <w:right w:val="single" w:color="auto" w:sz="4" w:space="0"/>
            </w:tcBorders>
            <w:vAlign w:val="center"/>
          </w:tcPr>
          <w:p w14:paraId="36B87246">
            <w:pPr>
              <w:spacing w:line="440" w:lineRule="atLeast"/>
              <w:jc w:val="center"/>
              <w:rPr>
                <w:rFonts w:ascii="仿宋_GB2312" w:hAnsi="Times New Roman" w:eastAsia="仿宋_GB2312" w:cs="Times New Roman"/>
                <w:color w:val="000000"/>
                <w:sz w:val="24"/>
              </w:rPr>
            </w:pPr>
            <w:r>
              <w:rPr>
                <w:rFonts w:hint="eastAsia" w:ascii="仿宋_GB2312" w:hAnsi="Times New Roman" w:eastAsia="仿宋_GB2312" w:cs="Times New Roman"/>
                <w:color w:val="000000"/>
                <w:sz w:val="24"/>
              </w:rPr>
              <w:t>6</w:t>
            </w:r>
          </w:p>
        </w:tc>
        <w:tc>
          <w:tcPr>
            <w:tcW w:w="1134" w:type="dxa"/>
            <w:tcBorders>
              <w:top w:val="single" w:color="auto" w:sz="4" w:space="0"/>
              <w:left w:val="nil"/>
              <w:bottom w:val="single" w:color="auto" w:sz="4" w:space="0"/>
              <w:right w:val="single" w:color="auto" w:sz="4" w:space="0"/>
            </w:tcBorders>
            <w:vAlign w:val="center"/>
          </w:tcPr>
          <w:p w14:paraId="298D0706">
            <w:pPr>
              <w:spacing w:line="440" w:lineRule="atLeast"/>
              <w:jc w:val="center"/>
              <w:rPr>
                <w:rFonts w:ascii="仿宋_GB2312" w:hAnsi="Times New Roman" w:eastAsia="仿宋_GB2312" w:cs="Times New Roman"/>
                <w:color w:val="000000"/>
                <w:sz w:val="24"/>
              </w:rPr>
            </w:pPr>
            <w:r>
              <w:rPr>
                <w:rFonts w:hint="eastAsia" w:ascii="仿宋_GB2312" w:hAnsi="Times New Roman" w:eastAsia="仿宋_GB2312" w:cs="Times New Roman"/>
                <w:color w:val="000000"/>
                <w:sz w:val="24"/>
              </w:rPr>
              <w:t>10</w:t>
            </w:r>
          </w:p>
        </w:tc>
        <w:tc>
          <w:tcPr>
            <w:tcW w:w="1134" w:type="dxa"/>
            <w:tcBorders>
              <w:top w:val="single" w:color="auto" w:sz="4" w:space="0"/>
              <w:left w:val="nil"/>
              <w:bottom w:val="single" w:color="auto" w:sz="4" w:space="0"/>
              <w:right w:val="single" w:color="auto" w:sz="4" w:space="0"/>
            </w:tcBorders>
            <w:vAlign w:val="center"/>
          </w:tcPr>
          <w:p w14:paraId="71F36B12">
            <w:pPr>
              <w:spacing w:line="440" w:lineRule="atLeast"/>
              <w:jc w:val="center"/>
              <w:rPr>
                <w:rFonts w:ascii="仿宋_GB2312" w:hAnsi="Times New Roman" w:eastAsia="仿宋_GB2312" w:cs="Times New Roman"/>
                <w:color w:val="000000"/>
                <w:sz w:val="24"/>
              </w:rPr>
            </w:pPr>
            <w:r>
              <w:rPr>
                <w:rFonts w:hint="eastAsia" w:ascii="仿宋_GB2312" w:hAnsi="Times New Roman" w:eastAsia="仿宋_GB2312" w:cs="Times New Roman"/>
                <w:color w:val="000000"/>
                <w:sz w:val="24"/>
              </w:rPr>
              <w:t>13</w:t>
            </w:r>
          </w:p>
        </w:tc>
        <w:tc>
          <w:tcPr>
            <w:tcW w:w="937" w:type="dxa"/>
            <w:tcBorders>
              <w:top w:val="single" w:color="auto" w:sz="4" w:space="0"/>
              <w:left w:val="nil"/>
              <w:bottom w:val="single" w:color="auto" w:sz="4" w:space="0"/>
              <w:right w:val="single" w:color="auto" w:sz="4" w:space="0"/>
            </w:tcBorders>
            <w:vAlign w:val="center"/>
          </w:tcPr>
          <w:p w14:paraId="33FD2AC6">
            <w:pPr>
              <w:spacing w:line="440" w:lineRule="atLeast"/>
              <w:jc w:val="center"/>
              <w:rPr>
                <w:rFonts w:ascii="仿宋_GB2312" w:hAnsi="Times New Roman" w:eastAsia="仿宋_GB2312" w:cs="Times New Roman"/>
                <w:color w:val="000000"/>
                <w:sz w:val="24"/>
              </w:rPr>
            </w:pPr>
            <w:r>
              <w:rPr>
                <w:rFonts w:hint="eastAsia" w:ascii="仿宋_GB2312" w:hAnsi="Times New Roman" w:eastAsia="仿宋_GB2312" w:cs="Times New Roman"/>
                <w:color w:val="000000"/>
                <w:sz w:val="24"/>
              </w:rPr>
              <w:t>16</w:t>
            </w:r>
          </w:p>
        </w:tc>
      </w:tr>
      <w:tr w14:paraId="7BB80759">
        <w:tblPrEx>
          <w:tblCellMar>
            <w:top w:w="0" w:type="dxa"/>
            <w:left w:w="108" w:type="dxa"/>
            <w:bottom w:w="0" w:type="dxa"/>
            <w:right w:w="108" w:type="dxa"/>
          </w:tblCellMar>
        </w:tblPrEx>
        <w:trPr>
          <w:jc w:val="center"/>
        </w:trPr>
        <w:tc>
          <w:tcPr>
            <w:tcW w:w="857" w:type="dxa"/>
            <w:vMerge w:val="continue"/>
            <w:tcBorders>
              <w:top w:val="nil"/>
              <w:left w:val="single" w:color="auto" w:sz="4" w:space="0"/>
              <w:bottom w:val="single" w:color="auto" w:sz="4" w:space="0"/>
              <w:right w:val="single" w:color="auto" w:sz="4" w:space="0"/>
            </w:tcBorders>
            <w:vAlign w:val="center"/>
          </w:tcPr>
          <w:p w14:paraId="2D5022E3">
            <w:pPr>
              <w:spacing w:line="440" w:lineRule="atLeast"/>
              <w:jc w:val="left"/>
              <w:rPr>
                <w:rFonts w:ascii="仿宋_GB2312" w:hAnsi="Times New Roman" w:eastAsia="仿宋_GB2312" w:cs="Times New Roman"/>
                <w:sz w:val="24"/>
              </w:rPr>
            </w:pPr>
          </w:p>
        </w:tc>
        <w:tc>
          <w:tcPr>
            <w:tcW w:w="2576" w:type="dxa"/>
            <w:tcBorders>
              <w:top w:val="single" w:color="auto" w:sz="4" w:space="0"/>
              <w:left w:val="nil"/>
              <w:bottom w:val="single" w:color="auto" w:sz="4" w:space="0"/>
              <w:right w:val="single" w:color="auto" w:sz="4" w:space="0"/>
            </w:tcBorders>
            <w:vAlign w:val="center"/>
          </w:tcPr>
          <w:p w14:paraId="3C282AB9">
            <w:pPr>
              <w:spacing w:line="440" w:lineRule="atLeast"/>
              <w:jc w:val="left"/>
              <w:rPr>
                <w:rFonts w:ascii="仿宋_GB2312" w:hAnsi="Times New Roman" w:eastAsia="仿宋_GB2312" w:cs="Times New Roman"/>
                <w:sz w:val="24"/>
              </w:rPr>
            </w:pPr>
            <w:r>
              <w:rPr>
                <w:rFonts w:hint="eastAsia" w:ascii="仿宋_GB2312" w:hAnsi="Times New Roman" w:eastAsia="仿宋_GB2312" w:cs="Times New Roman"/>
                <w:sz w:val="24"/>
              </w:rPr>
              <w:t>罚款</w:t>
            </w:r>
          </w:p>
        </w:tc>
        <w:tc>
          <w:tcPr>
            <w:tcW w:w="1134" w:type="dxa"/>
            <w:tcBorders>
              <w:top w:val="single" w:color="auto" w:sz="4" w:space="0"/>
              <w:left w:val="nil"/>
              <w:bottom w:val="single" w:color="auto" w:sz="4" w:space="0"/>
              <w:right w:val="single" w:color="auto" w:sz="4" w:space="0"/>
            </w:tcBorders>
            <w:vAlign w:val="center"/>
          </w:tcPr>
          <w:p w14:paraId="11C40A3C">
            <w:pPr>
              <w:spacing w:line="440" w:lineRule="atLeast"/>
              <w:jc w:val="center"/>
              <w:rPr>
                <w:rFonts w:ascii="仿宋_GB2312" w:hAnsi="Times New Roman" w:eastAsia="仿宋_GB2312" w:cs="Times New Roman"/>
                <w:color w:val="000000"/>
                <w:sz w:val="24"/>
              </w:rPr>
            </w:pPr>
            <w:r>
              <w:rPr>
                <w:rFonts w:hint="eastAsia" w:ascii="仿宋_GB2312" w:hAnsi="Times New Roman" w:eastAsia="仿宋_GB2312" w:cs="Times New Roman"/>
                <w:color w:val="000000"/>
                <w:sz w:val="24"/>
              </w:rPr>
              <w:t>4</w:t>
            </w:r>
          </w:p>
        </w:tc>
        <w:tc>
          <w:tcPr>
            <w:tcW w:w="1134" w:type="dxa"/>
            <w:tcBorders>
              <w:top w:val="single" w:color="auto" w:sz="4" w:space="0"/>
              <w:left w:val="nil"/>
              <w:bottom w:val="single" w:color="auto" w:sz="4" w:space="0"/>
              <w:right w:val="single" w:color="auto" w:sz="4" w:space="0"/>
            </w:tcBorders>
            <w:vAlign w:val="center"/>
          </w:tcPr>
          <w:p w14:paraId="1B3F9889">
            <w:pPr>
              <w:spacing w:line="440" w:lineRule="atLeast"/>
              <w:jc w:val="center"/>
              <w:rPr>
                <w:rFonts w:ascii="仿宋_GB2312" w:hAnsi="Times New Roman" w:eastAsia="仿宋_GB2312" w:cs="Times New Roman"/>
                <w:color w:val="000000"/>
                <w:sz w:val="24"/>
              </w:rPr>
            </w:pPr>
            <w:r>
              <w:rPr>
                <w:rFonts w:hint="eastAsia" w:ascii="仿宋_GB2312" w:hAnsi="Times New Roman" w:eastAsia="仿宋_GB2312" w:cs="Times New Roman"/>
                <w:color w:val="000000"/>
                <w:sz w:val="24"/>
              </w:rPr>
              <w:t>8</w:t>
            </w:r>
          </w:p>
        </w:tc>
        <w:tc>
          <w:tcPr>
            <w:tcW w:w="1134" w:type="dxa"/>
            <w:tcBorders>
              <w:top w:val="single" w:color="auto" w:sz="4" w:space="0"/>
              <w:left w:val="nil"/>
              <w:bottom w:val="single" w:color="auto" w:sz="4" w:space="0"/>
              <w:right w:val="single" w:color="auto" w:sz="4" w:space="0"/>
            </w:tcBorders>
            <w:vAlign w:val="center"/>
          </w:tcPr>
          <w:p w14:paraId="7E939596">
            <w:pPr>
              <w:spacing w:line="440" w:lineRule="atLeast"/>
              <w:jc w:val="center"/>
              <w:rPr>
                <w:rFonts w:ascii="仿宋_GB2312" w:hAnsi="Times New Roman" w:eastAsia="仿宋_GB2312" w:cs="Times New Roman"/>
                <w:color w:val="000000"/>
                <w:sz w:val="24"/>
              </w:rPr>
            </w:pPr>
            <w:r>
              <w:rPr>
                <w:rFonts w:hint="eastAsia" w:ascii="仿宋_GB2312" w:hAnsi="Times New Roman" w:eastAsia="仿宋_GB2312" w:cs="Times New Roman"/>
                <w:color w:val="000000"/>
                <w:sz w:val="24"/>
              </w:rPr>
              <w:t>12</w:t>
            </w:r>
          </w:p>
        </w:tc>
        <w:tc>
          <w:tcPr>
            <w:tcW w:w="1134" w:type="dxa"/>
            <w:tcBorders>
              <w:top w:val="single" w:color="auto" w:sz="4" w:space="0"/>
              <w:left w:val="nil"/>
              <w:bottom w:val="single" w:color="auto" w:sz="4" w:space="0"/>
              <w:right w:val="single" w:color="auto" w:sz="4" w:space="0"/>
            </w:tcBorders>
            <w:vAlign w:val="center"/>
          </w:tcPr>
          <w:p w14:paraId="61B79E9B">
            <w:pPr>
              <w:spacing w:line="440" w:lineRule="atLeast"/>
              <w:jc w:val="center"/>
              <w:rPr>
                <w:rFonts w:ascii="仿宋_GB2312" w:hAnsi="Times New Roman" w:eastAsia="仿宋_GB2312" w:cs="Times New Roman"/>
                <w:color w:val="000000"/>
                <w:sz w:val="24"/>
              </w:rPr>
            </w:pPr>
            <w:r>
              <w:rPr>
                <w:rFonts w:hint="eastAsia" w:ascii="仿宋_GB2312" w:hAnsi="Times New Roman" w:eastAsia="仿宋_GB2312" w:cs="Times New Roman"/>
                <w:color w:val="000000"/>
                <w:sz w:val="24"/>
              </w:rPr>
              <w:t>16</w:t>
            </w:r>
          </w:p>
        </w:tc>
        <w:tc>
          <w:tcPr>
            <w:tcW w:w="937" w:type="dxa"/>
            <w:tcBorders>
              <w:top w:val="single" w:color="auto" w:sz="4" w:space="0"/>
              <w:left w:val="nil"/>
              <w:bottom w:val="single" w:color="auto" w:sz="4" w:space="0"/>
              <w:right w:val="single" w:color="auto" w:sz="4" w:space="0"/>
            </w:tcBorders>
            <w:vAlign w:val="center"/>
          </w:tcPr>
          <w:p w14:paraId="160FDEA8">
            <w:pPr>
              <w:spacing w:line="440" w:lineRule="atLeast"/>
              <w:jc w:val="center"/>
              <w:rPr>
                <w:rFonts w:ascii="仿宋_GB2312" w:hAnsi="Times New Roman" w:eastAsia="仿宋_GB2312" w:cs="Times New Roman"/>
                <w:color w:val="000000"/>
                <w:sz w:val="24"/>
              </w:rPr>
            </w:pPr>
            <w:r>
              <w:rPr>
                <w:rFonts w:hint="eastAsia" w:ascii="仿宋_GB2312" w:hAnsi="Times New Roman" w:eastAsia="仿宋_GB2312" w:cs="Times New Roman"/>
                <w:color w:val="000000"/>
                <w:sz w:val="24"/>
              </w:rPr>
              <w:t>20</w:t>
            </w:r>
          </w:p>
        </w:tc>
      </w:tr>
      <w:tr w14:paraId="36473494">
        <w:tblPrEx>
          <w:tblCellMar>
            <w:top w:w="0" w:type="dxa"/>
            <w:left w:w="108" w:type="dxa"/>
            <w:bottom w:w="0" w:type="dxa"/>
            <w:right w:w="108" w:type="dxa"/>
          </w:tblCellMar>
        </w:tblPrEx>
        <w:trPr>
          <w:jc w:val="center"/>
        </w:trPr>
        <w:tc>
          <w:tcPr>
            <w:tcW w:w="857" w:type="dxa"/>
            <w:vMerge w:val="continue"/>
            <w:tcBorders>
              <w:top w:val="nil"/>
              <w:left w:val="single" w:color="auto" w:sz="4" w:space="0"/>
              <w:bottom w:val="single" w:color="auto" w:sz="4" w:space="0"/>
              <w:right w:val="single" w:color="auto" w:sz="4" w:space="0"/>
            </w:tcBorders>
            <w:vAlign w:val="center"/>
          </w:tcPr>
          <w:p w14:paraId="0EC8453C">
            <w:pPr>
              <w:spacing w:line="440" w:lineRule="atLeast"/>
              <w:jc w:val="left"/>
              <w:rPr>
                <w:rFonts w:ascii="仿宋_GB2312" w:hAnsi="Times New Roman" w:eastAsia="仿宋_GB2312" w:cs="Times New Roman"/>
                <w:sz w:val="24"/>
              </w:rPr>
            </w:pPr>
          </w:p>
        </w:tc>
        <w:tc>
          <w:tcPr>
            <w:tcW w:w="2576" w:type="dxa"/>
            <w:tcBorders>
              <w:top w:val="single" w:color="auto" w:sz="4" w:space="0"/>
              <w:left w:val="nil"/>
              <w:bottom w:val="single" w:color="auto" w:sz="4" w:space="0"/>
              <w:right w:val="single" w:color="auto" w:sz="4" w:space="0"/>
            </w:tcBorders>
            <w:vAlign w:val="center"/>
          </w:tcPr>
          <w:p w14:paraId="7FBDC870">
            <w:pPr>
              <w:spacing w:line="440" w:lineRule="atLeast"/>
              <w:jc w:val="left"/>
              <w:rPr>
                <w:rFonts w:ascii="仿宋_GB2312" w:hAnsi="Times New Roman" w:eastAsia="仿宋_GB2312" w:cs="Times New Roman"/>
                <w:sz w:val="24"/>
              </w:rPr>
            </w:pPr>
            <w:r>
              <w:rPr>
                <w:rFonts w:hint="eastAsia" w:ascii="仿宋_GB2312" w:hAnsi="Times New Roman" w:eastAsia="仿宋_GB2312" w:cs="Times New Roman"/>
                <w:sz w:val="24"/>
              </w:rPr>
              <w:t>没收非法所得</w:t>
            </w:r>
          </w:p>
        </w:tc>
        <w:tc>
          <w:tcPr>
            <w:tcW w:w="1134" w:type="dxa"/>
            <w:tcBorders>
              <w:top w:val="single" w:color="auto" w:sz="4" w:space="0"/>
              <w:left w:val="nil"/>
              <w:bottom w:val="single" w:color="auto" w:sz="4" w:space="0"/>
              <w:right w:val="single" w:color="auto" w:sz="4" w:space="0"/>
            </w:tcBorders>
            <w:vAlign w:val="center"/>
          </w:tcPr>
          <w:p w14:paraId="04973907">
            <w:pPr>
              <w:spacing w:line="440" w:lineRule="atLeast"/>
              <w:jc w:val="center"/>
              <w:rPr>
                <w:rFonts w:ascii="仿宋_GB2312" w:hAnsi="Times New Roman" w:eastAsia="仿宋_GB2312" w:cs="Times New Roman"/>
                <w:color w:val="000000"/>
                <w:sz w:val="24"/>
              </w:rPr>
            </w:pPr>
            <w:r>
              <w:rPr>
                <w:rFonts w:hint="eastAsia" w:ascii="仿宋_GB2312" w:hAnsi="Times New Roman" w:eastAsia="仿宋_GB2312" w:cs="Times New Roman"/>
                <w:color w:val="000000"/>
                <w:sz w:val="24"/>
              </w:rPr>
              <w:t>6</w:t>
            </w:r>
          </w:p>
        </w:tc>
        <w:tc>
          <w:tcPr>
            <w:tcW w:w="1134" w:type="dxa"/>
            <w:tcBorders>
              <w:top w:val="single" w:color="auto" w:sz="4" w:space="0"/>
              <w:left w:val="nil"/>
              <w:bottom w:val="single" w:color="auto" w:sz="4" w:space="0"/>
              <w:right w:val="single" w:color="auto" w:sz="4" w:space="0"/>
            </w:tcBorders>
            <w:vAlign w:val="center"/>
          </w:tcPr>
          <w:p w14:paraId="04333F53">
            <w:pPr>
              <w:spacing w:line="440" w:lineRule="atLeast"/>
              <w:jc w:val="center"/>
              <w:rPr>
                <w:rFonts w:ascii="仿宋_GB2312" w:hAnsi="Times New Roman" w:eastAsia="仿宋_GB2312" w:cs="Times New Roman"/>
                <w:color w:val="000000"/>
                <w:sz w:val="24"/>
              </w:rPr>
            </w:pPr>
            <w:r>
              <w:rPr>
                <w:rFonts w:hint="eastAsia" w:ascii="仿宋_GB2312" w:hAnsi="Times New Roman" w:eastAsia="仿宋_GB2312" w:cs="Times New Roman"/>
                <w:color w:val="000000"/>
                <w:sz w:val="24"/>
              </w:rPr>
              <w:t>12</w:t>
            </w:r>
          </w:p>
        </w:tc>
        <w:tc>
          <w:tcPr>
            <w:tcW w:w="1134" w:type="dxa"/>
            <w:tcBorders>
              <w:top w:val="single" w:color="auto" w:sz="4" w:space="0"/>
              <w:left w:val="nil"/>
              <w:bottom w:val="single" w:color="auto" w:sz="4" w:space="0"/>
              <w:right w:val="single" w:color="auto" w:sz="4" w:space="0"/>
            </w:tcBorders>
            <w:vAlign w:val="center"/>
          </w:tcPr>
          <w:p w14:paraId="230BD89E">
            <w:pPr>
              <w:spacing w:line="440" w:lineRule="atLeast"/>
              <w:jc w:val="center"/>
              <w:rPr>
                <w:rFonts w:ascii="仿宋_GB2312" w:hAnsi="Times New Roman" w:eastAsia="仿宋_GB2312" w:cs="Times New Roman"/>
                <w:color w:val="000000"/>
                <w:sz w:val="24"/>
              </w:rPr>
            </w:pPr>
            <w:r>
              <w:rPr>
                <w:rFonts w:hint="eastAsia" w:ascii="仿宋_GB2312" w:hAnsi="Times New Roman" w:eastAsia="仿宋_GB2312" w:cs="Times New Roman"/>
                <w:color w:val="000000"/>
                <w:sz w:val="24"/>
              </w:rPr>
              <w:t>18</w:t>
            </w:r>
          </w:p>
        </w:tc>
        <w:tc>
          <w:tcPr>
            <w:tcW w:w="1134" w:type="dxa"/>
            <w:tcBorders>
              <w:top w:val="single" w:color="auto" w:sz="4" w:space="0"/>
              <w:left w:val="nil"/>
              <w:bottom w:val="single" w:color="auto" w:sz="4" w:space="0"/>
              <w:right w:val="single" w:color="auto" w:sz="4" w:space="0"/>
            </w:tcBorders>
            <w:vAlign w:val="center"/>
          </w:tcPr>
          <w:p w14:paraId="40BD8C43">
            <w:pPr>
              <w:spacing w:line="440" w:lineRule="atLeast"/>
              <w:jc w:val="center"/>
              <w:rPr>
                <w:rFonts w:ascii="仿宋_GB2312" w:hAnsi="Times New Roman" w:eastAsia="仿宋_GB2312" w:cs="Times New Roman"/>
                <w:color w:val="000000"/>
                <w:sz w:val="24"/>
              </w:rPr>
            </w:pPr>
            <w:r>
              <w:rPr>
                <w:rFonts w:hint="eastAsia" w:ascii="仿宋_GB2312" w:hAnsi="Times New Roman" w:eastAsia="仿宋_GB2312" w:cs="Times New Roman"/>
                <w:color w:val="000000"/>
                <w:sz w:val="24"/>
              </w:rPr>
              <w:t>24</w:t>
            </w:r>
          </w:p>
        </w:tc>
        <w:tc>
          <w:tcPr>
            <w:tcW w:w="937" w:type="dxa"/>
            <w:tcBorders>
              <w:top w:val="single" w:color="auto" w:sz="4" w:space="0"/>
              <w:left w:val="nil"/>
              <w:bottom w:val="single" w:color="auto" w:sz="4" w:space="0"/>
              <w:right w:val="single" w:color="auto" w:sz="4" w:space="0"/>
            </w:tcBorders>
            <w:vAlign w:val="center"/>
          </w:tcPr>
          <w:p w14:paraId="1719E395">
            <w:pPr>
              <w:spacing w:line="440" w:lineRule="atLeast"/>
              <w:jc w:val="center"/>
              <w:rPr>
                <w:rFonts w:ascii="仿宋_GB2312" w:hAnsi="Times New Roman" w:eastAsia="仿宋_GB2312" w:cs="Times New Roman"/>
                <w:color w:val="000000"/>
                <w:sz w:val="24"/>
              </w:rPr>
            </w:pPr>
            <w:r>
              <w:rPr>
                <w:rFonts w:hint="eastAsia" w:ascii="仿宋_GB2312" w:hAnsi="Times New Roman" w:eastAsia="仿宋_GB2312" w:cs="Times New Roman"/>
                <w:color w:val="000000"/>
                <w:sz w:val="24"/>
              </w:rPr>
              <w:t>30</w:t>
            </w:r>
          </w:p>
        </w:tc>
      </w:tr>
      <w:tr w14:paraId="3E4549CD">
        <w:tblPrEx>
          <w:tblCellMar>
            <w:top w:w="0" w:type="dxa"/>
            <w:left w:w="108" w:type="dxa"/>
            <w:bottom w:w="0" w:type="dxa"/>
            <w:right w:w="108" w:type="dxa"/>
          </w:tblCellMar>
        </w:tblPrEx>
        <w:trPr>
          <w:jc w:val="center"/>
        </w:trPr>
        <w:tc>
          <w:tcPr>
            <w:tcW w:w="857" w:type="dxa"/>
            <w:vMerge w:val="continue"/>
            <w:tcBorders>
              <w:top w:val="nil"/>
              <w:left w:val="single" w:color="auto" w:sz="4" w:space="0"/>
              <w:bottom w:val="single" w:color="auto" w:sz="4" w:space="0"/>
              <w:right w:val="single" w:color="auto" w:sz="4" w:space="0"/>
            </w:tcBorders>
            <w:vAlign w:val="center"/>
          </w:tcPr>
          <w:p w14:paraId="19B78B7E">
            <w:pPr>
              <w:spacing w:line="440" w:lineRule="atLeast"/>
              <w:jc w:val="left"/>
              <w:rPr>
                <w:rFonts w:ascii="仿宋_GB2312" w:hAnsi="Times New Roman" w:eastAsia="仿宋_GB2312" w:cs="Times New Roman"/>
                <w:sz w:val="24"/>
              </w:rPr>
            </w:pPr>
          </w:p>
        </w:tc>
        <w:tc>
          <w:tcPr>
            <w:tcW w:w="2576" w:type="dxa"/>
            <w:tcBorders>
              <w:top w:val="single" w:color="auto" w:sz="4" w:space="0"/>
              <w:left w:val="nil"/>
              <w:bottom w:val="single" w:color="auto" w:sz="4" w:space="0"/>
              <w:right w:val="single" w:color="auto" w:sz="4" w:space="0"/>
            </w:tcBorders>
            <w:vAlign w:val="center"/>
          </w:tcPr>
          <w:p w14:paraId="440962FA">
            <w:pPr>
              <w:spacing w:line="440" w:lineRule="atLeast"/>
              <w:jc w:val="left"/>
              <w:rPr>
                <w:rFonts w:ascii="仿宋_GB2312" w:hAnsi="Times New Roman" w:eastAsia="仿宋_GB2312" w:cs="Times New Roman"/>
                <w:sz w:val="24"/>
              </w:rPr>
            </w:pPr>
            <w:r>
              <w:rPr>
                <w:rFonts w:hint="eastAsia" w:ascii="仿宋_GB2312" w:hAnsi="Times New Roman" w:eastAsia="仿宋_GB2312" w:cs="Times New Roman"/>
                <w:sz w:val="24"/>
              </w:rPr>
              <w:t>暂停执业</w:t>
            </w:r>
          </w:p>
        </w:tc>
        <w:tc>
          <w:tcPr>
            <w:tcW w:w="1134" w:type="dxa"/>
            <w:tcBorders>
              <w:top w:val="single" w:color="auto" w:sz="4" w:space="0"/>
              <w:left w:val="nil"/>
              <w:bottom w:val="single" w:color="auto" w:sz="4" w:space="0"/>
              <w:right w:val="single" w:color="auto" w:sz="4" w:space="0"/>
            </w:tcBorders>
            <w:vAlign w:val="center"/>
          </w:tcPr>
          <w:p w14:paraId="1042A31C">
            <w:pPr>
              <w:spacing w:line="440" w:lineRule="atLeast"/>
              <w:jc w:val="center"/>
              <w:rPr>
                <w:rFonts w:ascii="仿宋_GB2312" w:hAnsi="Times New Roman" w:eastAsia="仿宋_GB2312" w:cs="Times New Roman"/>
                <w:color w:val="000000"/>
                <w:sz w:val="24"/>
              </w:rPr>
            </w:pPr>
            <w:r>
              <w:rPr>
                <w:rFonts w:hint="eastAsia" w:ascii="仿宋_GB2312" w:hAnsi="Times New Roman" w:eastAsia="仿宋_GB2312" w:cs="Times New Roman"/>
                <w:color w:val="000000"/>
                <w:sz w:val="24"/>
              </w:rPr>
              <w:t>8</w:t>
            </w:r>
          </w:p>
        </w:tc>
        <w:tc>
          <w:tcPr>
            <w:tcW w:w="1134" w:type="dxa"/>
            <w:tcBorders>
              <w:top w:val="single" w:color="auto" w:sz="4" w:space="0"/>
              <w:left w:val="nil"/>
              <w:bottom w:val="single" w:color="auto" w:sz="4" w:space="0"/>
              <w:right w:val="single" w:color="auto" w:sz="4" w:space="0"/>
            </w:tcBorders>
            <w:vAlign w:val="center"/>
          </w:tcPr>
          <w:p w14:paraId="7DA643C6">
            <w:pPr>
              <w:spacing w:line="440" w:lineRule="atLeast"/>
              <w:jc w:val="center"/>
              <w:rPr>
                <w:rFonts w:ascii="仿宋_GB2312" w:hAnsi="Times New Roman" w:eastAsia="仿宋_GB2312" w:cs="Times New Roman"/>
                <w:color w:val="000000"/>
                <w:sz w:val="24"/>
              </w:rPr>
            </w:pPr>
            <w:r>
              <w:rPr>
                <w:rFonts w:hint="eastAsia" w:ascii="仿宋_GB2312" w:hAnsi="Times New Roman" w:eastAsia="仿宋_GB2312" w:cs="Times New Roman"/>
                <w:color w:val="000000"/>
                <w:sz w:val="24"/>
              </w:rPr>
              <w:t>16</w:t>
            </w:r>
          </w:p>
        </w:tc>
        <w:tc>
          <w:tcPr>
            <w:tcW w:w="1134" w:type="dxa"/>
            <w:tcBorders>
              <w:top w:val="single" w:color="auto" w:sz="4" w:space="0"/>
              <w:left w:val="nil"/>
              <w:bottom w:val="single" w:color="auto" w:sz="4" w:space="0"/>
              <w:right w:val="single" w:color="auto" w:sz="4" w:space="0"/>
            </w:tcBorders>
            <w:vAlign w:val="center"/>
          </w:tcPr>
          <w:p w14:paraId="1D122CF0">
            <w:pPr>
              <w:spacing w:line="440" w:lineRule="atLeast"/>
              <w:jc w:val="center"/>
              <w:rPr>
                <w:rFonts w:ascii="仿宋_GB2312" w:hAnsi="Times New Roman" w:eastAsia="仿宋_GB2312" w:cs="Times New Roman"/>
                <w:color w:val="000000"/>
                <w:sz w:val="24"/>
              </w:rPr>
            </w:pPr>
            <w:r>
              <w:rPr>
                <w:rFonts w:hint="eastAsia" w:ascii="仿宋_GB2312" w:hAnsi="Times New Roman" w:eastAsia="仿宋_GB2312" w:cs="Times New Roman"/>
                <w:color w:val="000000"/>
                <w:sz w:val="24"/>
              </w:rPr>
              <w:t>24</w:t>
            </w:r>
          </w:p>
        </w:tc>
        <w:tc>
          <w:tcPr>
            <w:tcW w:w="1134" w:type="dxa"/>
            <w:tcBorders>
              <w:top w:val="single" w:color="auto" w:sz="4" w:space="0"/>
              <w:left w:val="nil"/>
              <w:bottom w:val="single" w:color="auto" w:sz="4" w:space="0"/>
              <w:right w:val="single" w:color="auto" w:sz="4" w:space="0"/>
            </w:tcBorders>
            <w:vAlign w:val="center"/>
          </w:tcPr>
          <w:p w14:paraId="1878802E">
            <w:pPr>
              <w:spacing w:line="440" w:lineRule="atLeast"/>
              <w:jc w:val="center"/>
              <w:rPr>
                <w:rFonts w:ascii="仿宋_GB2312" w:hAnsi="Times New Roman" w:eastAsia="仿宋_GB2312" w:cs="Times New Roman"/>
                <w:color w:val="000000"/>
                <w:sz w:val="24"/>
              </w:rPr>
            </w:pPr>
            <w:r>
              <w:rPr>
                <w:rFonts w:hint="eastAsia" w:ascii="仿宋_GB2312" w:hAnsi="Times New Roman" w:eastAsia="仿宋_GB2312" w:cs="Times New Roman"/>
                <w:color w:val="000000"/>
                <w:sz w:val="24"/>
              </w:rPr>
              <w:t>32</w:t>
            </w:r>
          </w:p>
        </w:tc>
        <w:tc>
          <w:tcPr>
            <w:tcW w:w="937" w:type="dxa"/>
            <w:tcBorders>
              <w:top w:val="single" w:color="auto" w:sz="4" w:space="0"/>
              <w:left w:val="nil"/>
              <w:bottom w:val="single" w:color="auto" w:sz="4" w:space="0"/>
              <w:right w:val="single" w:color="auto" w:sz="4" w:space="0"/>
            </w:tcBorders>
            <w:vAlign w:val="center"/>
          </w:tcPr>
          <w:p w14:paraId="1CF60800">
            <w:pPr>
              <w:spacing w:line="440" w:lineRule="atLeast"/>
              <w:jc w:val="center"/>
              <w:rPr>
                <w:rFonts w:ascii="仿宋_GB2312" w:hAnsi="Times New Roman" w:eastAsia="仿宋_GB2312" w:cs="Times New Roman"/>
                <w:color w:val="000000"/>
                <w:sz w:val="24"/>
              </w:rPr>
            </w:pPr>
            <w:r>
              <w:rPr>
                <w:rFonts w:hint="eastAsia" w:ascii="仿宋_GB2312" w:hAnsi="Times New Roman" w:eastAsia="仿宋_GB2312" w:cs="Times New Roman"/>
                <w:color w:val="000000"/>
                <w:sz w:val="24"/>
              </w:rPr>
              <w:t>40</w:t>
            </w:r>
          </w:p>
        </w:tc>
      </w:tr>
      <w:tr w14:paraId="2F6F6AF0">
        <w:trPr>
          <w:trHeight w:val="267" w:hRule="atLeast"/>
          <w:jc w:val="center"/>
        </w:trPr>
        <w:tc>
          <w:tcPr>
            <w:tcW w:w="857" w:type="dxa"/>
            <w:vMerge w:val="restart"/>
            <w:tcBorders>
              <w:top w:val="nil"/>
              <w:left w:val="single" w:color="auto" w:sz="4" w:space="0"/>
              <w:bottom w:val="single" w:color="auto" w:sz="4" w:space="0"/>
              <w:right w:val="single" w:color="auto" w:sz="4" w:space="0"/>
            </w:tcBorders>
            <w:vAlign w:val="center"/>
          </w:tcPr>
          <w:p w14:paraId="027A8F08">
            <w:pPr>
              <w:spacing w:line="440" w:lineRule="atLeast"/>
              <w:jc w:val="center"/>
              <w:rPr>
                <w:rFonts w:ascii="仿宋_GB2312" w:hAnsi="Times New Roman" w:eastAsia="仿宋_GB2312" w:cs="Times New Roman"/>
                <w:sz w:val="24"/>
              </w:rPr>
            </w:pPr>
            <w:r>
              <w:rPr>
                <w:rFonts w:hint="eastAsia" w:ascii="仿宋_GB2312" w:hAnsi="Times New Roman" w:eastAsia="仿宋_GB2312" w:cs="Times New Roman"/>
                <w:sz w:val="24"/>
              </w:rPr>
              <w:t>自律惩戒</w:t>
            </w:r>
          </w:p>
        </w:tc>
        <w:tc>
          <w:tcPr>
            <w:tcW w:w="2576" w:type="dxa"/>
            <w:tcBorders>
              <w:top w:val="single" w:color="auto" w:sz="4" w:space="0"/>
              <w:left w:val="nil"/>
              <w:bottom w:val="single" w:color="auto" w:sz="4" w:space="0"/>
              <w:right w:val="single" w:color="auto" w:sz="4" w:space="0"/>
            </w:tcBorders>
            <w:vAlign w:val="center"/>
          </w:tcPr>
          <w:p w14:paraId="3CD1076C">
            <w:pPr>
              <w:spacing w:line="440" w:lineRule="atLeast"/>
              <w:jc w:val="left"/>
              <w:rPr>
                <w:rFonts w:ascii="仿宋_GB2312" w:hAnsi="Times New Roman" w:eastAsia="仿宋_GB2312" w:cs="Times New Roman"/>
                <w:sz w:val="24"/>
              </w:rPr>
            </w:pPr>
            <w:r>
              <w:rPr>
                <w:rFonts w:hint="eastAsia" w:ascii="仿宋_GB2312" w:hAnsi="Times New Roman" w:eastAsia="仿宋_GB2312" w:cs="Times New Roman"/>
                <w:sz w:val="24"/>
              </w:rPr>
              <w:t>警告</w:t>
            </w:r>
          </w:p>
        </w:tc>
        <w:tc>
          <w:tcPr>
            <w:tcW w:w="1134" w:type="dxa"/>
            <w:tcBorders>
              <w:top w:val="single" w:color="auto" w:sz="4" w:space="0"/>
              <w:left w:val="nil"/>
              <w:bottom w:val="single" w:color="auto" w:sz="4" w:space="0"/>
              <w:right w:val="single" w:color="auto" w:sz="4" w:space="0"/>
            </w:tcBorders>
            <w:vAlign w:val="center"/>
          </w:tcPr>
          <w:p w14:paraId="0961F7BC">
            <w:pPr>
              <w:spacing w:line="440" w:lineRule="atLeast"/>
              <w:jc w:val="center"/>
              <w:rPr>
                <w:rFonts w:ascii="仿宋_GB2312" w:hAnsi="Times New Roman" w:eastAsia="仿宋_GB2312" w:cs="Times New Roman"/>
                <w:color w:val="000000"/>
                <w:sz w:val="24"/>
              </w:rPr>
            </w:pPr>
            <w:r>
              <w:rPr>
                <w:rFonts w:hint="eastAsia" w:ascii="仿宋_GB2312" w:hAnsi="Times New Roman" w:eastAsia="仿宋_GB2312" w:cs="Times New Roman"/>
                <w:color w:val="000000"/>
                <w:sz w:val="24"/>
              </w:rPr>
              <w:t>2</w:t>
            </w:r>
          </w:p>
        </w:tc>
        <w:tc>
          <w:tcPr>
            <w:tcW w:w="1134" w:type="dxa"/>
            <w:tcBorders>
              <w:top w:val="single" w:color="auto" w:sz="4" w:space="0"/>
              <w:left w:val="nil"/>
              <w:bottom w:val="single" w:color="auto" w:sz="4" w:space="0"/>
              <w:right w:val="single" w:color="auto" w:sz="4" w:space="0"/>
            </w:tcBorders>
            <w:vAlign w:val="center"/>
          </w:tcPr>
          <w:p w14:paraId="16C034B9">
            <w:pPr>
              <w:spacing w:line="440" w:lineRule="atLeast"/>
              <w:jc w:val="center"/>
              <w:rPr>
                <w:rFonts w:ascii="仿宋_GB2312" w:hAnsi="Times New Roman" w:eastAsia="仿宋_GB2312" w:cs="Times New Roman"/>
                <w:color w:val="000000"/>
                <w:sz w:val="24"/>
              </w:rPr>
            </w:pPr>
            <w:r>
              <w:rPr>
                <w:rFonts w:hint="eastAsia" w:ascii="仿宋_GB2312" w:hAnsi="Times New Roman" w:eastAsia="仿宋_GB2312" w:cs="Times New Roman"/>
                <w:color w:val="000000"/>
                <w:sz w:val="24"/>
              </w:rPr>
              <w:t>3</w:t>
            </w:r>
          </w:p>
        </w:tc>
        <w:tc>
          <w:tcPr>
            <w:tcW w:w="1134" w:type="dxa"/>
            <w:tcBorders>
              <w:top w:val="single" w:color="auto" w:sz="4" w:space="0"/>
              <w:left w:val="nil"/>
              <w:bottom w:val="single" w:color="auto" w:sz="4" w:space="0"/>
              <w:right w:val="single" w:color="auto" w:sz="4" w:space="0"/>
            </w:tcBorders>
            <w:vAlign w:val="center"/>
          </w:tcPr>
          <w:p w14:paraId="6E7265B9">
            <w:pPr>
              <w:spacing w:line="440" w:lineRule="atLeast"/>
              <w:jc w:val="center"/>
              <w:rPr>
                <w:rFonts w:ascii="仿宋_GB2312" w:hAnsi="Times New Roman" w:eastAsia="仿宋_GB2312" w:cs="Times New Roman"/>
                <w:color w:val="000000"/>
                <w:sz w:val="24"/>
              </w:rPr>
            </w:pPr>
            <w:r>
              <w:rPr>
                <w:rFonts w:hint="eastAsia" w:ascii="仿宋_GB2312" w:hAnsi="Times New Roman" w:eastAsia="仿宋_GB2312" w:cs="Times New Roman"/>
                <w:color w:val="000000"/>
                <w:sz w:val="24"/>
              </w:rPr>
              <w:t>5</w:t>
            </w:r>
          </w:p>
        </w:tc>
        <w:tc>
          <w:tcPr>
            <w:tcW w:w="1134" w:type="dxa"/>
            <w:tcBorders>
              <w:top w:val="single" w:color="auto" w:sz="4" w:space="0"/>
              <w:left w:val="nil"/>
              <w:bottom w:val="single" w:color="auto" w:sz="4" w:space="0"/>
              <w:right w:val="single" w:color="auto" w:sz="4" w:space="0"/>
            </w:tcBorders>
            <w:vAlign w:val="center"/>
          </w:tcPr>
          <w:p w14:paraId="6F72DDE8">
            <w:pPr>
              <w:spacing w:line="440" w:lineRule="atLeast"/>
              <w:jc w:val="center"/>
              <w:rPr>
                <w:rFonts w:ascii="仿宋_GB2312" w:hAnsi="Times New Roman" w:eastAsia="仿宋_GB2312" w:cs="Times New Roman"/>
                <w:color w:val="000000"/>
                <w:sz w:val="24"/>
              </w:rPr>
            </w:pPr>
            <w:r>
              <w:rPr>
                <w:rFonts w:hint="eastAsia" w:ascii="仿宋_GB2312" w:hAnsi="Times New Roman" w:eastAsia="仿宋_GB2312" w:cs="Times New Roman"/>
                <w:color w:val="000000"/>
                <w:sz w:val="24"/>
              </w:rPr>
              <w:t>6</w:t>
            </w:r>
          </w:p>
        </w:tc>
        <w:tc>
          <w:tcPr>
            <w:tcW w:w="937" w:type="dxa"/>
            <w:tcBorders>
              <w:top w:val="single" w:color="auto" w:sz="4" w:space="0"/>
              <w:left w:val="nil"/>
              <w:bottom w:val="single" w:color="auto" w:sz="4" w:space="0"/>
              <w:right w:val="single" w:color="auto" w:sz="4" w:space="0"/>
            </w:tcBorders>
            <w:vAlign w:val="center"/>
          </w:tcPr>
          <w:p w14:paraId="3C0FCF82">
            <w:pPr>
              <w:spacing w:line="440" w:lineRule="atLeast"/>
              <w:jc w:val="center"/>
              <w:rPr>
                <w:rFonts w:ascii="仿宋_GB2312" w:hAnsi="Times New Roman" w:eastAsia="仿宋_GB2312" w:cs="Times New Roman"/>
                <w:color w:val="000000"/>
                <w:sz w:val="24"/>
              </w:rPr>
            </w:pPr>
            <w:r>
              <w:rPr>
                <w:rFonts w:hint="eastAsia" w:ascii="仿宋_GB2312" w:hAnsi="Times New Roman" w:eastAsia="仿宋_GB2312" w:cs="Times New Roman"/>
                <w:color w:val="000000"/>
                <w:sz w:val="24"/>
              </w:rPr>
              <w:t>8</w:t>
            </w:r>
          </w:p>
        </w:tc>
      </w:tr>
      <w:tr w14:paraId="1E7E61FA">
        <w:tblPrEx>
          <w:tblCellMar>
            <w:top w:w="0" w:type="dxa"/>
            <w:left w:w="108" w:type="dxa"/>
            <w:bottom w:w="0" w:type="dxa"/>
            <w:right w:w="108" w:type="dxa"/>
          </w:tblCellMar>
        </w:tblPrEx>
        <w:trPr>
          <w:jc w:val="center"/>
        </w:trPr>
        <w:tc>
          <w:tcPr>
            <w:tcW w:w="857" w:type="dxa"/>
            <w:vMerge w:val="continue"/>
            <w:tcBorders>
              <w:top w:val="nil"/>
              <w:left w:val="single" w:color="auto" w:sz="4" w:space="0"/>
              <w:bottom w:val="single" w:color="auto" w:sz="4" w:space="0"/>
              <w:right w:val="single" w:color="auto" w:sz="4" w:space="0"/>
            </w:tcBorders>
            <w:vAlign w:val="center"/>
          </w:tcPr>
          <w:p w14:paraId="3DC0C6F9">
            <w:pPr>
              <w:spacing w:line="440" w:lineRule="atLeast"/>
              <w:jc w:val="left"/>
              <w:rPr>
                <w:rFonts w:ascii="仿宋_GB2312" w:hAnsi="Times New Roman" w:eastAsia="仿宋_GB2312" w:cs="Times New Roman"/>
                <w:sz w:val="24"/>
              </w:rPr>
            </w:pPr>
          </w:p>
        </w:tc>
        <w:tc>
          <w:tcPr>
            <w:tcW w:w="2576" w:type="dxa"/>
            <w:tcBorders>
              <w:top w:val="single" w:color="auto" w:sz="4" w:space="0"/>
              <w:left w:val="nil"/>
              <w:bottom w:val="single" w:color="auto" w:sz="4" w:space="0"/>
              <w:right w:val="single" w:color="auto" w:sz="4" w:space="0"/>
            </w:tcBorders>
            <w:vAlign w:val="center"/>
          </w:tcPr>
          <w:p w14:paraId="7D8BA335">
            <w:pPr>
              <w:spacing w:line="440" w:lineRule="atLeast"/>
              <w:jc w:val="left"/>
              <w:rPr>
                <w:rFonts w:ascii="仿宋_GB2312" w:hAnsi="Times New Roman" w:eastAsia="仿宋_GB2312" w:cs="Times New Roman"/>
                <w:sz w:val="24"/>
              </w:rPr>
            </w:pPr>
            <w:r>
              <w:rPr>
                <w:rFonts w:hint="eastAsia" w:ascii="仿宋_GB2312" w:hAnsi="Times New Roman" w:eastAsia="仿宋_GB2312" w:cs="Times New Roman"/>
                <w:sz w:val="24"/>
              </w:rPr>
              <w:t>限期整改</w:t>
            </w:r>
          </w:p>
        </w:tc>
        <w:tc>
          <w:tcPr>
            <w:tcW w:w="1134" w:type="dxa"/>
            <w:tcBorders>
              <w:top w:val="single" w:color="auto" w:sz="4" w:space="0"/>
              <w:left w:val="nil"/>
              <w:bottom w:val="single" w:color="auto" w:sz="4" w:space="0"/>
              <w:right w:val="single" w:color="auto" w:sz="4" w:space="0"/>
            </w:tcBorders>
            <w:vAlign w:val="center"/>
          </w:tcPr>
          <w:p w14:paraId="4E2967EE">
            <w:pPr>
              <w:spacing w:line="440" w:lineRule="atLeast"/>
              <w:jc w:val="center"/>
              <w:rPr>
                <w:rFonts w:ascii="仿宋_GB2312" w:hAnsi="Times New Roman" w:eastAsia="仿宋_GB2312" w:cs="Times New Roman"/>
                <w:color w:val="000000"/>
                <w:sz w:val="24"/>
              </w:rPr>
            </w:pPr>
            <w:r>
              <w:rPr>
                <w:rFonts w:hint="eastAsia" w:ascii="仿宋_GB2312" w:hAnsi="Times New Roman" w:eastAsia="仿宋_GB2312" w:cs="Times New Roman"/>
                <w:color w:val="000000"/>
                <w:sz w:val="24"/>
              </w:rPr>
              <w:t>2</w:t>
            </w:r>
          </w:p>
        </w:tc>
        <w:tc>
          <w:tcPr>
            <w:tcW w:w="1134" w:type="dxa"/>
            <w:tcBorders>
              <w:top w:val="single" w:color="auto" w:sz="4" w:space="0"/>
              <w:left w:val="nil"/>
              <w:bottom w:val="single" w:color="auto" w:sz="4" w:space="0"/>
              <w:right w:val="single" w:color="auto" w:sz="4" w:space="0"/>
            </w:tcBorders>
            <w:vAlign w:val="center"/>
          </w:tcPr>
          <w:p w14:paraId="4573CD65">
            <w:pPr>
              <w:spacing w:line="440" w:lineRule="atLeast"/>
              <w:jc w:val="center"/>
              <w:rPr>
                <w:rFonts w:ascii="仿宋_GB2312" w:hAnsi="Times New Roman" w:eastAsia="仿宋_GB2312" w:cs="Times New Roman"/>
                <w:color w:val="000000"/>
                <w:sz w:val="24"/>
              </w:rPr>
            </w:pPr>
            <w:r>
              <w:rPr>
                <w:rFonts w:hint="eastAsia" w:ascii="仿宋_GB2312" w:hAnsi="Times New Roman" w:eastAsia="仿宋_GB2312" w:cs="Times New Roman"/>
                <w:color w:val="000000"/>
                <w:sz w:val="24"/>
              </w:rPr>
              <w:t>5</w:t>
            </w:r>
          </w:p>
        </w:tc>
        <w:tc>
          <w:tcPr>
            <w:tcW w:w="1134" w:type="dxa"/>
            <w:tcBorders>
              <w:top w:val="single" w:color="auto" w:sz="4" w:space="0"/>
              <w:left w:val="nil"/>
              <w:bottom w:val="single" w:color="auto" w:sz="4" w:space="0"/>
              <w:right w:val="single" w:color="auto" w:sz="4" w:space="0"/>
            </w:tcBorders>
            <w:vAlign w:val="center"/>
          </w:tcPr>
          <w:p w14:paraId="41157294">
            <w:pPr>
              <w:spacing w:line="440" w:lineRule="atLeast"/>
              <w:jc w:val="center"/>
              <w:rPr>
                <w:rFonts w:ascii="仿宋_GB2312" w:hAnsi="Times New Roman" w:eastAsia="仿宋_GB2312" w:cs="Times New Roman"/>
                <w:color w:val="000000"/>
                <w:sz w:val="24"/>
              </w:rPr>
            </w:pPr>
            <w:r>
              <w:rPr>
                <w:rFonts w:hint="eastAsia" w:ascii="仿宋_GB2312" w:hAnsi="Times New Roman" w:eastAsia="仿宋_GB2312" w:cs="Times New Roman"/>
                <w:color w:val="000000"/>
                <w:sz w:val="24"/>
              </w:rPr>
              <w:t>7</w:t>
            </w:r>
          </w:p>
        </w:tc>
        <w:tc>
          <w:tcPr>
            <w:tcW w:w="1134" w:type="dxa"/>
            <w:tcBorders>
              <w:top w:val="single" w:color="auto" w:sz="4" w:space="0"/>
              <w:left w:val="nil"/>
              <w:bottom w:val="single" w:color="auto" w:sz="4" w:space="0"/>
              <w:right w:val="single" w:color="auto" w:sz="4" w:space="0"/>
            </w:tcBorders>
            <w:vAlign w:val="center"/>
          </w:tcPr>
          <w:p w14:paraId="636D5810">
            <w:pPr>
              <w:spacing w:line="440" w:lineRule="atLeast"/>
              <w:jc w:val="center"/>
              <w:rPr>
                <w:rFonts w:ascii="仿宋_GB2312" w:hAnsi="Times New Roman" w:eastAsia="仿宋_GB2312" w:cs="Times New Roman"/>
                <w:color w:val="000000"/>
                <w:sz w:val="24"/>
              </w:rPr>
            </w:pPr>
            <w:r>
              <w:rPr>
                <w:rFonts w:hint="eastAsia" w:ascii="仿宋_GB2312" w:hAnsi="Times New Roman" w:eastAsia="仿宋_GB2312" w:cs="Times New Roman"/>
                <w:color w:val="000000"/>
                <w:sz w:val="24"/>
              </w:rPr>
              <w:t>10</w:t>
            </w:r>
          </w:p>
        </w:tc>
        <w:tc>
          <w:tcPr>
            <w:tcW w:w="937" w:type="dxa"/>
            <w:tcBorders>
              <w:top w:val="single" w:color="auto" w:sz="4" w:space="0"/>
              <w:left w:val="nil"/>
              <w:bottom w:val="single" w:color="auto" w:sz="4" w:space="0"/>
              <w:right w:val="single" w:color="auto" w:sz="4" w:space="0"/>
            </w:tcBorders>
            <w:vAlign w:val="center"/>
          </w:tcPr>
          <w:p w14:paraId="6237B5AC">
            <w:pPr>
              <w:spacing w:line="440" w:lineRule="atLeast"/>
              <w:jc w:val="center"/>
              <w:rPr>
                <w:rFonts w:ascii="仿宋_GB2312" w:hAnsi="Times New Roman" w:eastAsia="仿宋_GB2312" w:cs="Times New Roman"/>
                <w:color w:val="000000"/>
                <w:sz w:val="24"/>
              </w:rPr>
            </w:pPr>
            <w:r>
              <w:rPr>
                <w:rFonts w:hint="eastAsia" w:ascii="仿宋_GB2312" w:hAnsi="Times New Roman" w:eastAsia="仿宋_GB2312" w:cs="Times New Roman"/>
                <w:color w:val="000000"/>
                <w:sz w:val="24"/>
              </w:rPr>
              <w:t>12</w:t>
            </w:r>
          </w:p>
        </w:tc>
      </w:tr>
      <w:tr w14:paraId="315D3C19">
        <w:trPr>
          <w:jc w:val="center"/>
        </w:trPr>
        <w:tc>
          <w:tcPr>
            <w:tcW w:w="857" w:type="dxa"/>
            <w:vMerge w:val="continue"/>
            <w:tcBorders>
              <w:top w:val="nil"/>
              <w:left w:val="single" w:color="auto" w:sz="4" w:space="0"/>
              <w:bottom w:val="single" w:color="auto" w:sz="4" w:space="0"/>
              <w:right w:val="single" w:color="auto" w:sz="4" w:space="0"/>
            </w:tcBorders>
            <w:vAlign w:val="center"/>
          </w:tcPr>
          <w:p w14:paraId="4D40555A">
            <w:pPr>
              <w:spacing w:line="440" w:lineRule="atLeast"/>
              <w:jc w:val="left"/>
              <w:rPr>
                <w:rFonts w:ascii="仿宋_GB2312" w:hAnsi="Times New Roman" w:eastAsia="仿宋_GB2312" w:cs="Times New Roman"/>
                <w:sz w:val="24"/>
              </w:rPr>
            </w:pPr>
          </w:p>
        </w:tc>
        <w:tc>
          <w:tcPr>
            <w:tcW w:w="2576" w:type="dxa"/>
            <w:tcBorders>
              <w:top w:val="single" w:color="auto" w:sz="4" w:space="0"/>
              <w:left w:val="nil"/>
              <w:bottom w:val="single" w:color="auto" w:sz="4" w:space="0"/>
              <w:right w:val="single" w:color="auto" w:sz="4" w:space="0"/>
            </w:tcBorders>
            <w:vAlign w:val="center"/>
          </w:tcPr>
          <w:p w14:paraId="6B70494A">
            <w:pPr>
              <w:spacing w:line="440" w:lineRule="atLeast"/>
              <w:jc w:val="left"/>
              <w:rPr>
                <w:rFonts w:ascii="仿宋_GB2312" w:hAnsi="Times New Roman" w:eastAsia="仿宋_GB2312" w:cs="Times New Roman"/>
                <w:sz w:val="24"/>
              </w:rPr>
            </w:pPr>
            <w:r>
              <w:rPr>
                <w:rFonts w:hint="eastAsia" w:ascii="仿宋_GB2312" w:hAnsi="Times New Roman" w:eastAsia="仿宋_GB2312" w:cs="Times New Roman"/>
                <w:sz w:val="24"/>
              </w:rPr>
              <w:t>行业内通报批评</w:t>
            </w:r>
          </w:p>
        </w:tc>
        <w:tc>
          <w:tcPr>
            <w:tcW w:w="1134" w:type="dxa"/>
            <w:tcBorders>
              <w:top w:val="single" w:color="auto" w:sz="4" w:space="0"/>
              <w:left w:val="nil"/>
              <w:bottom w:val="single" w:color="auto" w:sz="4" w:space="0"/>
              <w:right w:val="single" w:color="auto" w:sz="4" w:space="0"/>
            </w:tcBorders>
            <w:vAlign w:val="center"/>
          </w:tcPr>
          <w:p w14:paraId="71C9A222">
            <w:pPr>
              <w:spacing w:line="440" w:lineRule="atLeast"/>
              <w:jc w:val="center"/>
              <w:rPr>
                <w:rFonts w:ascii="仿宋_GB2312" w:hAnsi="Times New Roman" w:eastAsia="仿宋_GB2312" w:cs="Times New Roman"/>
                <w:color w:val="000000"/>
                <w:sz w:val="24"/>
              </w:rPr>
            </w:pPr>
            <w:r>
              <w:rPr>
                <w:rFonts w:hint="eastAsia" w:ascii="仿宋_GB2312" w:hAnsi="Times New Roman" w:eastAsia="仿宋_GB2312" w:cs="Times New Roman"/>
                <w:color w:val="000000"/>
                <w:sz w:val="24"/>
              </w:rPr>
              <w:t>4</w:t>
            </w:r>
          </w:p>
        </w:tc>
        <w:tc>
          <w:tcPr>
            <w:tcW w:w="1134" w:type="dxa"/>
            <w:tcBorders>
              <w:top w:val="single" w:color="auto" w:sz="4" w:space="0"/>
              <w:left w:val="nil"/>
              <w:bottom w:val="single" w:color="auto" w:sz="4" w:space="0"/>
              <w:right w:val="single" w:color="auto" w:sz="4" w:space="0"/>
            </w:tcBorders>
            <w:vAlign w:val="center"/>
          </w:tcPr>
          <w:p w14:paraId="70EC1C48">
            <w:pPr>
              <w:spacing w:line="440" w:lineRule="atLeast"/>
              <w:jc w:val="center"/>
              <w:rPr>
                <w:rFonts w:ascii="仿宋_GB2312" w:hAnsi="Times New Roman" w:eastAsia="仿宋_GB2312" w:cs="Times New Roman"/>
                <w:color w:val="000000"/>
                <w:sz w:val="24"/>
              </w:rPr>
            </w:pPr>
            <w:r>
              <w:rPr>
                <w:rFonts w:hint="eastAsia" w:ascii="仿宋_GB2312" w:hAnsi="Times New Roman" w:eastAsia="仿宋_GB2312" w:cs="Times New Roman"/>
                <w:color w:val="000000"/>
                <w:sz w:val="24"/>
              </w:rPr>
              <w:t>8</w:t>
            </w:r>
          </w:p>
        </w:tc>
        <w:tc>
          <w:tcPr>
            <w:tcW w:w="1134" w:type="dxa"/>
            <w:tcBorders>
              <w:top w:val="single" w:color="auto" w:sz="4" w:space="0"/>
              <w:left w:val="nil"/>
              <w:bottom w:val="single" w:color="auto" w:sz="4" w:space="0"/>
              <w:right w:val="single" w:color="auto" w:sz="4" w:space="0"/>
            </w:tcBorders>
            <w:vAlign w:val="center"/>
          </w:tcPr>
          <w:p w14:paraId="3A9216CC">
            <w:pPr>
              <w:spacing w:line="440" w:lineRule="atLeast"/>
              <w:jc w:val="center"/>
              <w:rPr>
                <w:rFonts w:ascii="仿宋_GB2312" w:hAnsi="Times New Roman" w:eastAsia="仿宋_GB2312" w:cs="Times New Roman"/>
                <w:color w:val="000000"/>
                <w:sz w:val="24"/>
              </w:rPr>
            </w:pPr>
            <w:r>
              <w:rPr>
                <w:rFonts w:hint="eastAsia" w:ascii="仿宋_GB2312" w:hAnsi="Times New Roman" w:eastAsia="仿宋_GB2312" w:cs="Times New Roman"/>
                <w:color w:val="000000"/>
                <w:sz w:val="24"/>
              </w:rPr>
              <w:t>12</w:t>
            </w:r>
          </w:p>
        </w:tc>
        <w:tc>
          <w:tcPr>
            <w:tcW w:w="1134" w:type="dxa"/>
            <w:tcBorders>
              <w:top w:val="single" w:color="auto" w:sz="4" w:space="0"/>
              <w:left w:val="nil"/>
              <w:bottom w:val="single" w:color="auto" w:sz="4" w:space="0"/>
              <w:right w:val="single" w:color="auto" w:sz="4" w:space="0"/>
            </w:tcBorders>
            <w:vAlign w:val="center"/>
          </w:tcPr>
          <w:p w14:paraId="04930284">
            <w:pPr>
              <w:spacing w:line="440" w:lineRule="atLeast"/>
              <w:jc w:val="center"/>
              <w:rPr>
                <w:rFonts w:ascii="仿宋_GB2312" w:hAnsi="Times New Roman" w:eastAsia="仿宋_GB2312" w:cs="Times New Roman"/>
                <w:color w:val="000000"/>
                <w:sz w:val="24"/>
              </w:rPr>
            </w:pPr>
            <w:r>
              <w:rPr>
                <w:rFonts w:hint="eastAsia" w:ascii="仿宋_GB2312" w:hAnsi="Times New Roman" w:eastAsia="仿宋_GB2312" w:cs="Times New Roman"/>
                <w:color w:val="000000"/>
                <w:sz w:val="24"/>
              </w:rPr>
              <w:t>16</w:t>
            </w:r>
          </w:p>
        </w:tc>
        <w:tc>
          <w:tcPr>
            <w:tcW w:w="937" w:type="dxa"/>
            <w:tcBorders>
              <w:top w:val="single" w:color="auto" w:sz="4" w:space="0"/>
              <w:left w:val="nil"/>
              <w:bottom w:val="single" w:color="auto" w:sz="4" w:space="0"/>
              <w:right w:val="single" w:color="auto" w:sz="4" w:space="0"/>
            </w:tcBorders>
            <w:vAlign w:val="center"/>
          </w:tcPr>
          <w:p w14:paraId="155ABE75">
            <w:pPr>
              <w:spacing w:line="440" w:lineRule="atLeast"/>
              <w:jc w:val="center"/>
              <w:rPr>
                <w:rFonts w:ascii="仿宋_GB2312" w:hAnsi="Times New Roman" w:eastAsia="仿宋_GB2312" w:cs="Times New Roman"/>
                <w:color w:val="000000"/>
                <w:sz w:val="24"/>
              </w:rPr>
            </w:pPr>
            <w:r>
              <w:rPr>
                <w:rFonts w:hint="eastAsia" w:ascii="仿宋_GB2312" w:hAnsi="Times New Roman" w:eastAsia="仿宋_GB2312" w:cs="Times New Roman"/>
                <w:color w:val="000000"/>
                <w:sz w:val="24"/>
              </w:rPr>
              <w:t>20</w:t>
            </w:r>
          </w:p>
        </w:tc>
      </w:tr>
      <w:tr w14:paraId="484D3D38">
        <w:tblPrEx>
          <w:tblCellMar>
            <w:top w:w="0" w:type="dxa"/>
            <w:left w:w="108" w:type="dxa"/>
            <w:bottom w:w="0" w:type="dxa"/>
            <w:right w:w="108" w:type="dxa"/>
          </w:tblCellMar>
        </w:tblPrEx>
        <w:trPr>
          <w:trHeight w:val="360" w:hRule="atLeast"/>
          <w:jc w:val="center"/>
        </w:trPr>
        <w:tc>
          <w:tcPr>
            <w:tcW w:w="857" w:type="dxa"/>
            <w:vMerge w:val="continue"/>
            <w:tcBorders>
              <w:top w:val="nil"/>
              <w:left w:val="single" w:color="auto" w:sz="4" w:space="0"/>
              <w:bottom w:val="single" w:color="auto" w:sz="4" w:space="0"/>
              <w:right w:val="single" w:color="auto" w:sz="4" w:space="0"/>
            </w:tcBorders>
            <w:vAlign w:val="center"/>
          </w:tcPr>
          <w:p w14:paraId="4A4E1225">
            <w:pPr>
              <w:spacing w:line="440" w:lineRule="atLeast"/>
              <w:jc w:val="left"/>
              <w:rPr>
                <w:rFonts w:ascii="仿宋_GB2312" w:hAnsi="Times New Roman" w:eastAsia="仿宋_GB2312" w:cs="Times New Roman"/>
                <w:sz w:val="24"/>
              </w:rPr>
            </w:pPr>
          </w:p>
        </w:tc>
        <w:tc>
          <w:tcPr>
            <w:tcW w:w="2576" w:type="dxa"/>
            <w:tcBorders>
              <w:top w:val="single" w:color="auto" w:sz="4" w:space="0"/>
              <w:left w:val="nil"/>
              <w:bottom w:val="single" w:color="auto" w:sz="4" w:space="0"/>
              <w:right w:val="single" w:color="auto" w:sz="4" w:space="0"/>
            </w:tcBorders>
            <w:vAlign w:val="center"/>
          </w:tcPr>
          <w:p w14:paraId="5915F84B">
            <w:pPr>
              <w:spacing w:line="440" w:lineRule="atLeast"/>
              <w:jc w:val="left"/>
              <w:rPr>
                <w:rFonts w:ascii="仿宋_GB2312" w:hAnsi="Times New Roman" w:eastAsia="仿宋_GB2312" w:cs="Times New Roman"/>
                <w:sz w:val="24"/>
              </w:rPr>
            </w:pPr>
            <w:r>
              <w:rPr>
                <w:rFonts w:hint="eastAsia" w:ascii="仿宋_GB2312" w:hAnsi="Times New Roman" w:eastAsia="仿宋_GB2312" w:cs="Times New Roman"/>
                <w:sz w:val="24"/>
              </w:rPr>
              <w:t>公开谴责</w:t>
            </w:r>
          </w:p>
        </w:tc>
        <w:tc>
          <w:tcPr>
            <w:tcW w:w="1134" w:type="dxa"/>
            <w:tcBorders>
              <w:top w:val="single" w:color="auto" w:sz="4" w:space="0"/>
              <w:left w:val="nil"/>
              <w:bottom w:val="single" w:color="auto" w:sz="4" w:space="0"/>
              <w:right w:val="single" w:color="auto" w:sz="4" w:space="0"/>
            </w:tcBorders>
            <w:vAlign w:val="center"/>
          </w:tcPr>
          <w:p w14:paraId="6296954C">
            <w:pPr>
              <w:spacing w:line="440" w:lineRule="atLeast"/>
              <w:jc w:val="center"/>
              <w:rPr>
                <w:rFonts w:ascii="仿宋_GB2312" w:hAnsi="Times New Roman" w:eastAsia="仿宋_GB2312" w:cs="Times New Roman"/>
                <w:color w:val="000000"/>
                <w:sz w:val="24"/>
              </w:rPr>
            </w:pPr>
            <w:r>
              <w:rPr>
                <w:rFonts w:hint="eastAsia" w:ascii="仿宋_GB2312" w:hAnsi="Times New Roman" w:eastAsia="仿宋_GB2312" w:cs="Times New Roman"/>
                <w:color w:val="000000"/>
                <w:sz w:val="24"/>
              </w:rPr>
              <w:t>6</w:t>
            </w:r>
          </w:p>
        </w:tc>
        <w:tc>
          <w:tcPr>
            <w:tcW w:w="1134" w:type="dxa"/>
            <w:tcBorders>
              <w:top w:val="single" w:color="auto" w:sz="4" w:space="0"/>
              <w:left w:val="nil"/>
              <w:bottom w:val="single" w:color="auto" w:sz="4" w:space="0"/>
              <w:right w:val="single" w:color="auto" w:sz="4" w:space="0"/>
            </w:tcBorders>
            <w:vAlign w:val="center"/>
          </w:tcPr>
          <w:p w14:paraId="44D59C60">
            <w:pPr>
              <w:spacing w:line="440" w:lineRule="atLeast"/>
              <w:jc w:val="center"/>
              <w:rPr>
                <w:rFonts w:ascii="仿宋_GB2312" w:hAnsi="Times New Roman" w:eastAsia="仿宋_GB2312" w:cs="Times New Roman"/>
                <w:color w:val="000000"/>
                <w:sz w:val="24"/>
              </w:rPr>
            </w:pPr>
            <w:r>
              <w:rPr>
                <w:rFonts w:hint="eastAsia" w:ascii="仿宋_GB2312" w:hAnsi="Times New Roman" w:eastAsia="仿宋_GB2312" w:cs="Times New Roman"/>
                <w:color w:val="000000"/>
                <w:sz w:val="24"/>
              </w:rPr>
              <w:t>12</w:t>
            </w:r>
          </w:p>
        </w:tc>
        <w:tc>
          <w:tcPr>
            <w:tcW w:w="1134" w:type="dxa"/>
            <w:tcBorders>
              <w:top w:val="single" w:color="auto" w:sz="4" w:space="0"/>
              <w:left w:val="nil"/>
              <w:bottom w:val="single" w:color="auto" w:sz="4" w:space="0"/>
              <w:right w:val="single" w:color="auto" w:sz="4" w:space="0"/>
            </w:tcBorders>
            <w:vAlign w:val="center"/>
          </w:tcPr>
          <w:p w14:paraId="13A3843A">
            <w:pPr>
              <w:spacing w:line="440" w:lineRule="atLeast"/>
              <w:jc w:val="center"/>
              <w:rPr>
                <w:rFonts w:ascii="仿宋_GB2312" w:hAnsi="Times New Roman" w:eastAsia="仿宋_GB2312" w:cs="Times New Roman"/>
                <w:color w:val="000000"/>
                <w:sz w:val="24"/>
              </w:rPr>
            </w:pPr>
            <w:r>
              <w:rPr>
                <w:rFonts w:hint="eastAsia" w:ascii="仿宋_GB2312" w:hAnsi="Times New Roman" w:eastAsia="仿宋_GB2312" w:cs="Times New Roman"/>
                <w:color w:val="000000"/>
                <w:sz w:val="24"/>
              </w:rPr>
              <w:t>18</w:t>
            </w:r>
          </w:p>
        </w:tc>
        <w:tc>
          <w:tcPr>
            <w:tcW w:w="1134" w:type="dxa"/>
            <w:tcBorders>
              <w:top w:val="single" w:color="auto" w:sz="4" w:space="0"/>
              <w:left w:val="nil"/>
              <w:bottom w:val="single" w:color="auto" w:sz="4" w:space="0"/>
              <w:right w:val="single" w:color="auto" w:sz="4" w:space="0"/>
            </w:tcBorders>
            <w:vAlign w:val="center"/>
          </w:tcPr>
          <w:p w14:paraId="55DA790E">
            <w:pPr>
              <w:spacing w:line="440" w:lineRule="atLeast"/>
              <w:jc w:val="center"/>
              <w:rPr>
                <w:rFonts w:ascii="仿宋_GB2312" w:hAnsi="Times New Roman" w:eastAsia="仿宋_GB2312" w:cs="Times New Roman"/>
                <w:color w:val="000000"/>
                <w:sz w:val="24"/>
              </w:rPr>
            </w:pPr>
            <w:r>
              <w:rPr>
                <w:rFonts w:hint="eastAsia" w:ascii="仿宋_GB2312" w:hAnsi="Times New Roman" w:eastAsia="仿宋_GB2312" w:cs="Times New Roman"/>
                <w:color w:val="000000"/>
                <w:sz w:val="24"/>
              </w:rPr>
              <w:t>24</w:t>
            </w:r>
          </w:p>
        </w:tc>
        <w:tc>
          <w:tcPr>
            <w:tcW w:w="937" w:type="dxa"/>
            <w:tcBorders>
              <w:top w:val="single" w:color="auto" w:sz="4" w:space="0"/>
              <w:left w:val="nil"/>
              <w:bottom w:val="single" w:color="auto" w:sz="4" w:space="0"/>
              <w:right w:val="single" w:color="auto" w:sz="4" w:space="0"/>
            </w:tcBorders>
            <w:vAlign w:val="center"/>
          </w:tcPr>
          <w:p w14:paraId="2551DB88">
            <w:pPr>
              <w:spacing w:line="440" w:lineRule="atLeast"/>
              <w:jc w:val="center"/>
              <w:rPr>
                <w:rFonts w:ascii="仿宋_GB2312" w:hAnsi="Times New Roman" w:eastAsia="仿宋_GB2312" w:cs="Times New Roman"/>
                <w:color w:val="000000"/>
                <w:sz w:val="24"/>
              </w:rPr>
            </w:pPr>
            <w:r>
              <w:rPr>
                <w:rFonts w:hint="eastAsia" w:ascii="仿宋_GB2312" w:hAnsi="Times New Roman" w:eastAsia="仿宋_GB2312" w:cs="Times New Roman"/>
                <w:color w:val="000000"/>
                <w:sz w:val="24"/>
              </w:rPr>
              <w:t>30</w:t>
            </w:r>
          </w:p>
        </w:tc>
      </w:tr>
      <w:tr w14:paraId="66C46265">
        <w:tblPrEx>
          <w:tblCellMar>
            <w:top w:w="0" w:type="dxa"/>
            <w:left w:w="108" w:type="dxa"/>
            <w:bottom w:w="0" w:type="dxa"/>
            <w:right w:w="108" w:type="dxa"/>
          </w:tblCellMar>
        </w:tblPrEx>
        <w:trPr>
          <w:trHeight w:val="360" w:hRule="atLeast"/>
          <w:jc w:val="center"/>
        </w:trPr>
        <w:tc>
          <w:tcPr>
            <w:tcW w:w="857" w:type="dxa"/>
            <w:vMerge w:val="continue"/>
            <w:tcBorders>
              <w:top w:val="nil"/>
              <w:left w:val="single" w:color="auto" w:sz="4" w:space="0"/>
              <w:bottom w:val="single" w:color="auto" w:sz="4" w:space="0"/>
              <w:right w:val="single" w:color="auto" w:sz="4" w:space="0"/>
            </w:tcBorders>
            <w:vAlign w:val="center"/>
          </w:tcPr>
          <w:p w14:paraId="6E76C6C6">
            <w:pPr>
              <w:spacing w:line="440" w:lineRule="atLeast"/>
              <w:jc w:val="left"/>
              <w:rPr>
                <w:rFonts w:ascii="仿宋_GB2312" w:hAnsi="Times New Roman" w:eastAsia="仿宋_GB2312" w:cs="Times New Roman"/>
                <w:sz w:val="24"/>
              </w:rPr>
            </w:pPr>
          </w:p>
        </w:tc>
        <w:tc>
          <w:tcPr>
            <w:tcW w:w="2576" w:type="dxa"/>
            <w:tcBorders>
              <w:top w:val="single" w:color="auto" w:sz="4" w:space="0"/>
              <w:left w:val="nil"/>
              <w:bottom w:val="single" w:color="auto" w:sz="4" w:space="0"/>
              <w:right w:val="single" w:color="auto" w:sz="4" w:space="0"/>
            </w:tcBorders>
            <w:vAlign w:val="center"/>
          </w:tcPr>
          <w:p w14:paraId="0EEA465C">
            <w:pPr>
              <w:spacing w:line="440" w:lineRule="atLeast"/>
              <w:jc w:val="left"/>
              <w:rPr>
                <w:rFonts w:ascii="仿宋_GB2312" w:hAnsi="Times New Roman" w:eastAsia="仿宋_GB2312" w:cs="Times New Roman"/>
                <w:sz w:val="24"/>
              </w:rPr>
            </w:pPr>
            <w:r>
              <w:rPr>
                <w:rFonts w:hint="eastAsia" w:ascii="仿宋_GB2312" w:hAnsi="Times New Roman" w:eastAsia="仿宋_GB2312" w:cs="Times New Roman"/>
                <w:sz w:val="24"/>
              </w:rPr>
              <w:t>吊销资产评估师职业资格证书</w:t>
            </w:r>
          </w:p>
        </w:tc>
        <w:tc>
          <w:tcPr>
            <w:tcW w:w="1134" w:type="dxa"/>
            <w:tcBorders>
              <w:top w:val="single" w:color="auto" w:sz="4" w:space="0"/>
              <w:left w:val="nil"/>
              <w:bottom w:val="single" w:color="auto" w:sz="4" w:space="0"/>
              <w:right w:val="single" w:color="auto" w:sz="4" w:space="0"/>
            </w:tcBorders>
            <w:vAlign w:val="center"/>
          </w:tcPr>
          <w:p w14:paraId="63056CD6">
            <w:pPr>
              <w:spacing w:line="440" w:lineRule="atLeast"/>
              <w:jc w:val="center"/>
              <w:rPr>
                <w:rFonts w:ascii="仿宋_GB2312" w:hAnsi="Times New Roman" w:eastAsia="仿宋_GB2312" w:cs="Times New Roman"/>
                <w:color w:val="000000"/>
                <w:sz w:val="24"/>
              </w:rPr>
            </w:pPr>
            <w:r>
              <w:rPr>
                <w:rFonts w:hint="eastAsia" w:ascii="仿宋_GB2312" w:hAnsi="Times New Roman" w:eastAsia="仿宋_GB2312" w:cs="Times New Roman"/>
                <w:color w:val="000000"/>
                <w:sz w:val="24"/>
              </w:rPr>
              <w:t>8</w:t>
            </w:r>
          </w:p>
        </w:tc>
        <w:tc>
          <w:tcPr>
            <w:tcW w:w="1134" w:type="dxa"/>
            <w:tcBorders>
              <w:top w:val="single" w:color="auto" w:sz="4" w:space="0"/>
              <w:left w:val="nil"/>
              <w:bottom w:val="single" w:color="auto" w:sz="4" w:space="0"/>
              <w:right w:val="single" w:color="auto" w:sz="4" w:space="0"/>
            </w:tcBorders>
            <w:vAlign w:val="center"/>
          </w:tcPr>
          <w:p w14:paraId="0E821C62">
            <w:pPr>
              <w:spacing w:line="440" w:lineRule="atLeast"/>
              <w:jc w:val="center"/>
              <w:rPr>
                <w:rFonts w:ascii="仿宋_GB2312" w:hAnsi="Times New Roman" w:eastAsia="仿宋_GB2312" w:cs="Times New Roman"/>
                <w:color w:val="000000"/>
                <w:sz w:val="24"/>
              </w:rPr>
            </w:pPr>
            <w:r>
              <w:rPr>
                <w:rFonts w:hint="eastAsia" w:ascii="仿宋_GB2312" w:hAnsi="Times New Roman" w:eastAsia="仿宋_GB2312" w:cs="Times New Roman"/>
                <w:color w:val="000000"/>
                <w:sz w:val="24"/>
              </w:rPr>
              <w:t>16</w:t>
            </w:r>
          </w:p>
        </w:tc>
        <w:tc>
          <w:tcPr>
            <w:tcW w:w="1134" w:type="dxa"/>
            <w:tcBorders>
              <w:top w:val="single" w:color="auto" w:sz="4" w:space="0"/>
              <w:left w:val="nil"/>
              <w:bottom w:val="single" w:color="auto" w:sz="4" w:space="0"/>
              <w:right w:val="single" w:color="auto" w:sz="4" w:space="0"/>
            </w:tcBorders>
            <w:vAlign w:val="center"/>
          </w:tcPr>
          <w:p w14:paraId="3FCAC795">
            <w:pPr>
              <w:spacing w:line="440" w:lineRule="atLeast"/>
              <w:jc w:val="center"/>
              <w:rPr>
                <w:rFonts w:ascii="仿宋_GB2312" w:hAnsi="Times New Roman" w:eastAsia="仿宋_GB2312" w:cs="Times New Roman"/>
                <w:color w:val="000000"/>
                <w:sz w:val="24"/>
              </w:rPr>
            </w:pPr>
            <w:r>
              <w:rPr>
                <w:rFonts w:hint="eastAsia" w:ascii="仿宋_GB2312" w:hAnsi="Times New Roman" w:eastAsia="仿宋_GB2312" w:cs="Times New Roman"/>
                <w:color w:val="000000"/>
                <w:sz w:val="24"/>
              </w:rPr>
              <w:t>24</w:t>
            </w:r>
          </w:p>
        </w:tc>
        <w:tc>
          <w:tcPr>
            <w:tcW w:w="1134" w:type="dxa"/>
            <w:tcBorders>
              <w:top w:val="single" w:color="auto" w:sz="4" w:space="0"/>
              <w:left w:val="nil"/>
              <w:bottom w:val="single" w:color="auto" w:sz="4" w:space="0"/>
              <w:right w:val="single" w:color="auto" w:sz="4" w:space="0"/>
            </w:tcBorders>
            <w:vAlign w:val="center"/>
          </w:tcPr>
          <w:p w14:paraId="664CA2BD">
            <w:pPr>
              <w:spacing w:line="440" w:lineRule="atLeast"/>
              <w:jc w:val="center"/>
              <w:rPr>
                <w:rFonts w:ascii="仿宋_GB2312" w:hAnsi="Times New Roman" w:eastAsia="仿宋_GB2312" w:cs="Times New Roman"/>
                <w:color w:val="000000"/>
                <w:sz w:val="24"/>
              </w:rPr>
            </w:pPr>
            <w:r>
              <w:rPr>
                <w:rFonts w:hint="eastAsia" w:ascii="仿宋_GB2312" w:hAnsi="Times New Roman" w:eastAsia="仿宋_GB2312" w:cs="Times New Roman"/>
                <w:color w:val="000000"/>
                <w:sz w:val="24"/>
              </w:rPr>
              <w:t>32</w:t>
            </w:r>
          </w:p>
        </w:tc>
        <w:tc>
          <w:tcPr>
            <w:tcW w:w="937" w:type="dxa"/>
            <w:tcBorders>
              <w:top w:val="single" w:color="auto" w:sz="4" w:space="0"/>
              <w:left w:val="nil"/>
              <w:bottom w:val="single" w:color="auto" w:sz="4" w:space="0"/>
              <w:right w:val="single" w:color="auto" w:sz="4" w:space="0"/>
            </w:tcBorders>
            <w:vAlign w:val="center"/>
          </w:tcPr>
          <w:p w14:paraId="5DF7F64B">
            <w:pPr>
              <w:spacing w:line="440" w:lineRule="atLeast"/>
              <w:jc w:val="center"/>
              <w:rPr>
                <w:rFonts w:ascii="仿宋_GB2312" w:hAnsi="Times New Roman" w:eastAsia="仿宋_GB2312" w:cs="Times New Roman"/>
                <w:color w:val="000000"/>
                <w:sz w:val="24"/>
              </w:rPr>
            </w:pPr>
            <w:r>
              <w:rPr>
                <w:rFonts w:hint="eastAsia" w:ascii="仿宋_GB2312" w:hAnsi="Times New Roman" w:eastAsia="仿宋_GB2312" w:cs="Times New Roman"/>
                <w:color w:val="000000"/>
                <w:sz w:val="24"/>
              </w:rPr>
              <w:t>40</w:t>
            </w:r>
          </w:p>
        </w:tc>
      </w:tr>
    </w:tbl>
    <w:p w14:paraId="4107E219">
      <w:pPr>
        <w:spacing w:line="440" w:lineRule="atLeast"/>
        <w:jc w:val="left"/>
        <w:rPr>
          <w:rFonts w:ascii="Times New Roman" w:hAnsi="Times New Roman" w:eastAsia="仿宋_GB2312" w:cs="Times New Roman"/>
          <w:sz w:val="24"/>
        </w:rPr>
      </w:pPr>
      <w:r>
        <w:rPr>
          <w:rFonts w:ascii="Times New Roman" w:hAnsi="Times New Roman" w:eastAsia="仿宋_GB2312" w:cs="Times New Roman"/>
          <w:sz w:val="24"/>
        </w:rPr>
        <w:t>注：资产评估师在以前年度所受处罚应扣减的分值计入其基准日所在评估机构。</w:t>
      </w:r>
    </w:p>
    <w:p w14:paraId="122698A3">
      <w:pPr>
        <w:spacing w:line="440" w:lineRule="atLeast"/>
        <w:rPr>
          <w:rFonts w:ascii="华文中宋" w:hAnsi="华文中宋" w:eastAsia="华文中宋" w:cs="宋体"/>
          <w:bCs/>
          <w:kern w:val="36"/>
          <w:sz w:val="36"/>
          <w:szCs w:val="36"/>
        </w:rPr>
      </w:pPr>
      <w:r>
        <w:rPr>
          <w:rFonts w:ascii="Times New Roman" w:hAnsi="Times New Roman" w:eastAsia="宋体" w:cs="Times New Roman"/>
          <w:sz w:val="24"/>
        </w:rPr>
        <w:br w:type="page"/>
      </w:r>
    </w:p>
    <w:p w14:paraId="4D30430C">
      <w:pPr>
        <w:pStyle w:val="5"/>
        <w:spacing w:line="440" w:lineRule="atLeast"/>
        <w:jc w:val="center"/>
        <w:rPr>
          <w:rFonts w:ascii="宋体" w:hAnsi="宋体" w:eastAsia="宋体" w:cs="宋体"/>
        </w:rPr>
      </w:pPr>
      <w:bookmarkStart w:id="55" w:name="_Toc13725"/>
      <w:r>
        <w:rPr>
          <w:rFonts w:hint="eastAsia" w:ascii="宋体" w:hAnsi="宋体" w:eastAsia="宋体" w:cs="宋体"/>
        </w:rPr>
        <w:t>中国资产评估协会会费管理办法</w:t>
      </w:r>
      <w:bookmarkEnd w:id="55"/>
    </w:p>
    <w:p w14:paraId="301EAD3C">
      <w:pPr>
        <w:shd w:val="clear" w:color="auto" w:fill="FFFFFF"/>
        <w:spacing w:line="440" w:lineRule="atLeast"/>
        <w:jc w:val="center"/>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2019年5月15日中国资产评估协会发布　中评协〔2019〕16号</w:t>
      </w:r>
    </w:p>
    <w:p w14:paraId="51EAFCA8">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第一章　总则</w:t>
      </w:r>
    </w:p>
    <w:p w14:paraId="05E70ED6">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第一条</w:t>
      </w:r>
      <w:r>
        <w:rPr>
          <w:rFonts w:hint="eastAsia" w:ascii="宋体" w:hAnsi="宋体" w:eastAsia="宋体" w:cs="宋体"/>
          <w:color w:val="000000"/>
          <w:kern w:val="0"/>
          <w:sz w:val="24"/>
          <w:shd w:val="clear" w:color="auto" w:fill="FFFFFF"/>
        </w:rPr>
        <w:t>　为规范中国资产评估协会（以下简称中评协）会费收取和使用，保障中评协充分履行《中华人民共和国资产评估法》规定的职责，根据《中国资产评估协会章程》（以下简称《章程》）</w:t>
      </w:r>
    </w:p>
    <w:p w14:paraId="16F73DF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等有关规定，制定本办法。</w:t>
      </w:r>
    </w:p>
    <w:p w14:paraId="253722B0">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第二条</w:t>
      </w:r>
      <w:r>
        <w:rPr>
          <w:rFonts w:hint="eastAsia" w:ascii="宋体" w:hAnsi="宋体" w:eastAsia="宋体" w:cs="宋体"/>
          <w:color w:val="000000"/>
          <w:kern w:val="0"/>
          <w:sz w:val="24"/>
          <w:shd w:val="clear" w:color="auto" w:fill="FFFFFF"/>
        </w:rPr>
        <w:t>　中评协会员应当按照本办法的规定交纳会费。</w:t>
      </w:r>
    </w:p>
    <w:p w14:paraId="0857AA2F">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第三条</w:t>
      </w:r>
      <w:r>
        <w:rPr>
          <w:rFonts w:hint="eastAsia" w:ascii="宋体" w:hAnsi="宋体" w:eastAsia="宋体" w:cs="宋体"/>
          <w:color w:val="000000"/>
          <w:kern w:val="0"/>
          <w:sz w:val="24"/>
          <w:shd w:val="clear" w:color="auto" w:fill="FFFFFF"/>
        </w:rPr>
        <w:t>　会费分为单位会员会费和个人会员会费。</w:t>
      </w:r>
    </w:p>
    <w:p w14:paraId="2082F8D9">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第四条</w:t>
      </w:r>
      <w:r>
        <w:rPr>
          <w:rFonts w:hint="eastAsia" w:ascii="宋体" w:hAnsi="宋体" w:eastAsia="宋体" w:cs="宋体"/>
          <w:color w:val="000000"/>
          <w:kern w:val="0"/>
          <w:sz w:val="24"/>
          <w:shd w:val="clear" w:color="auto" w:fill="FFFFFF"/>
        </w:rPr>
        <w:t>　会员会费按年度收取。</w:t>
      </w:r>
    </w:p>
    <w:p w14:paraId="1BA002AA">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第二章　会费交纳标准及程序</w:t>
      </w:r>
    </w:p>
    <w:p w14:paraId="5B46042F">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第五条</w:t>
      </w:r>
      <w:r>
        <w:rPr>
          <w:rFonts w:hint="eastAsia" w:ascii="宋体" w:hAnsi="宋体" w:eastAsia="宋体" w:cs="宋体"/>
          <w:color w:val="000000"/>
          <w:kern w:val="0"/>
          <w:sz w:val="24"/>
          <w:shd w:val="clear" w:color="auto" w:fill="FFFFFF"/>
        </w:rPr>
        <w:t>　单位会员会费标准</w:t>
      </w:r>
    </w:p>
    <w:p w14:paraId="01A7AB1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评估机构会员上一个会计年度内从事各项业务取得的收入总和（以下称年度收入总和）在300万元（含）以下的，交纳10000元；300万元以上至3000万元（含）以下的，交纳50000元；3000万元以上的，交纳800000元。</w:t>
      </w:r>
    </w:p>
    <w:p w14:paraId="13A3D0C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评估机构会员按上述标准计算的会费额度高于原标准（中评协〔2005〕101号）计算额度的，高出部分免予交纳。</w:t>
      </w:r>
    </w:p>
    <w:p w14:paraId="4D0E80A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评估机构会员应当按要求如实填报相关财务状况，提供经审计的财务报表或相关纳税申报表，并按规定上报机构备案所在地地方协会和中评协。其中，评估机构会员会费免交的相关信息，应在年度资产评估行业会计报表中予以单独列示。</w:t>
      </w:r>
    </w:p>
    <w:p w14:paraId="50C487B3">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第六条</w:t>
      </w:r>
      <w:r>
        <w:rPr>
          <w:rFonts w:hint="eastAsia" w:ascii="宋体" w:hAnsi="宋体" w:eastAsia="宋体" w:cs="宋体"/>
          <w:color w:val="000000"/>
          <w:kern w:val="0"/>
          <w:sz w:val="24"/>
          <w:shd w:val="clear" w:color="auto" w:fill="FFFFFF"/>
        </w:rPr>
        <w:t>　个人会员会费标准</w:t>
      </w:r>
    </w:p>
    <w:p w14:paraId="20D3222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执业会员交纳4000元。其中，非证券资格评估机构执业会员（不含证券资格评估机构分支机构执业会员）减免一半交纳。</w:t>
      </w:r>
    </w:p>
    <w:p w14:paraId="61213AAD">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第七条</w:t>
      </w:r>
      <w:r>
        <w:rPr>
          <w:rFonts w:hint="eastAsia" w:ascii="宋体" w:hAnsi="宋体" w:eastAsia="宋体" w:cs="宋体"/>
          <w:color w:val="000000"/>
          <w:kern w:val="0"/>
          <w:sz w:val="24"/>
          <w:shd w:val="clear" w:color="auto" w:fill="FFFFFF"/>
        </w:rPr>
        <w:t>　评估机构应当于每年4月30日以前向其所在地地方协会交纳当年度单位会员会费，其分支机构的单位会员会费按属地原则交所在地地方协会。</w:t>
      </w:r>
    </w:p>
    <w:p w14:paraId="1CF24921">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第八条</w:t>
      </w:r>
      <w:r>
        <w:rPr>
          <w:rFonts w:hint="eastAsia" w:ascii="宋体" w:hAnsi="宋体" w:eastAsia="宋体" w:cs="宋体"/>
          <w:color w:val="000000"/>
          <w:kern w:val="0"/>
          <w:sz w:val="24"/>
          <w:shd w:val="clear" w:color="auto" w:fill="FFFFFF"/>
        </w:rPr>
        <w:t>　个人会员会费每年4月30日以前通过所在评估机构会员单位上交所在地地方协会。</w:t>
      </w:r>
    </w:p>
    <w:p w14:paraId="43E6884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个人会员会费以评估机构参加当年度执业会员年检人数计算。</w:t>
      </w:r>
    </w:p>
    <w:p w14:paraId="3D3AD2CC">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第九条</w:t>
      </w:r>
      <w:r>
        <w:rPr>
          <w:rFonts w:hint="eastAsia" w:ascii="宋体" w:hAnsi="宋体" w:eastAsia="宋体" w:cs="宋体"/>
          <w:color w:val="000000"/>
          <w:kern w:val="0"/>
          <w:sz w:val="24"/>
          <w:shd w:val="clear" w:color="auto" w:fill="FFFFFF"/>
        </w:rPr>
        <w:t>　评估机构因遭遇自然灾害等不可抗力导致交纳单位会员会费困难的，可以向所在地地方协会提出申请，并报中评协同意后予以减免。</w:t>
      </w:r>
    </w:p>
    <w:p w14:paraId="0541785C">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第十条</w:t>
      </w:r>
      <w:r>
        <w:rPr>
          <w:rFonts w:hint="eastAsia" w:ascii="宋体" w:hAnsi="宋体" w:eastAsia="宋体" w:cs="宋体"/>
          <w:color w:val="000000"/>
          <w:kern w:val="0"/>
          <w:sz w:val="24"/>
          <w:shd w:val="clear" w:color="auto" w:fill="FFFFFF"/>
        </w:rPr>
        <w:t>　每年5月31日前，地方协会应当将收缴的单位会员及个人会员会费按40%的比例划交中评协。</w:t>
      </w:r>
    </w:p>
    <w:p w14:paraId="5DF6CF92">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第三章　会费的使用及管理</w:t>
      </w:r>
    </w:p>
    <w:p w14:paraId="7FB1E540">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第十一条</w:t>
      </w:r>
      <w:r>
        <w:rPr>
          <w:rFonts w:hint="eastAsia" w:ascii="宋体" w:hAnsi="宋体" w:eastAsia="宋体" w:cs="宋体"/>
          <w:color w:val="000000"/>
          <w:kern w:val="0"/>
          <w:sz w:val="24"/>
          <w:shd w:val="clear" w:color="auto" w:fill="FFFFFF"/>
        </w:rPr>
        <w:t>　会费开支范围：</w:t>
      </w:r>
    </w:p>
    <w:p w14:paraId="236CA50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（一）召开会员代表大会、理事会、常务理事会、会长会等的各项支出；</w:t>
      </w:r>
    </w:p>
    <w:p w14:paraId="0B31558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（二）开展行业党建工作的支出；</w:t>
      </w:r>
    </w:p>
    <w:p w14:paraId="5530C47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（三）制定并组织实施行业发展规划和目标的支出；</w:t>
      </w:r>
    </w:p>
    <w:p w14:paraId="790A74E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（四）制定资产评估执业准则和职业道德准则等自律管理制度规范的支出；</w:t>
      </w:r>
    </w:p>
    <w:p w14:paraId="4D8F497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（五）开展行业自律监管、检查及奖惩的支出；</w:t>
      </w:r>
    </w:p>
    <w:p w14:paraId="1238D39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（六）组织开展会员管理及继续教育的支出；</w:t>
      </w:r>
    </w:p>
    <w:p w14:paraId="23D9AB7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（七）开展行业国际交流与合作的支出；</w:t>
      </w:r>
    </w:p>
    <w:p w14:paraId="0BC6062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（八）开展理论课题研究和市场业务拓展的支出；</w:t>
      </w:r>
    </w:p>
    <w:p w14:paraId="78C40AD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（九）开展行业信息化建设及对外宣传的支出；</w:t>
      </w:r>
    </w:p>
    <w:p w14:paraId="0A5433D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（十）开展专门委员会、专业委员会活动的支出；</w:t>
      </w:r>
    </w:p>
    <w:p w14:paraId="6918AAC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（十一）保障会员依法开展业务，维护会员合法权益的支出；</w:t>
      </w:r>
    </w:p>
    <w:p w14:paraId="465A130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（十二）发生的社会公益性捐赠支出；</w:t>
      </w:r>
    </w:p>
    <w:p w14:paraId="3A49B1F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（十三）中评协秘书处的日常支出；</w:t>
      </w:r>
    </w:p>
    <w:p w14:paraId="0B617DB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（十四）其他的必要支出。</w:t>
      </w:r>
    </w:p>
    <w:p w14:paraId="47E7054F">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第十二条</w:t>
      </w:r>
      <w:r>
        <w:rPr>
          <w:rFonts w:hint="eastAsia" w:ascii="宋体" w:hAnsi="宋体" w:eastAsia="宋体" w:cs="宋体"/>
          <w:color w:val="000000"/>
          <w:kern w:val="0"/>
          <w:sz w:val="24"/>
          <w:shd w:val="clear" w:color="auto" w:fill="FFFFFF"/>
        </w:rPr>
        <w:t>　中评协年度会费收缴、支出状况，每年应当经会计师事务所审计并向常务理事会报告。</w:t>
      </w:r>
    </w:p>
    <w:p w14:paraId="45512836">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第十三条</w:t>
      </w:r>
      <w:r>
        <w:rPr>
          <w:rFonts w:hint="eastAsia" w:ascii="宋体" w:hAnsi="宋体" w:eastAsia="宋体" w:cs="宋体"/>
          <w:color w:val="000000"/>
          <w:kern w:val="0"/>
          <w:sz w:val="24"/>
          <w:shd w:val="clear" w:color="auto" w:fill="FFFFFF"/>
        </w:rPr>
        <w:t>　会费收支情况接受会员代表大会的审查。</w:t>
      </w:r>
    </w:p>
    <w:p w14:paraId="5FFDEB9C">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第十四条</w:t>
      </w:r>
      <w:r>
        <w:rPr>
          <w:rFonts w:hint="eastAsia" w:ascii="宋体" w:hAnsi="宋体" w:eastAsia="宋体" w:cs="宋体"/>
          <w:color w:val="000000"/>
          <w:kern w:val="0"/>
          <w:sz w:val="24"/>
          <w:shd w:val="clear" w:color="auto" w:fill="FFFFFF"/>
        </w:rPr>
        <w:t>　中评协应当集中公示并定期更新会费收费项目、收费标准、收费依据等信息，建立收费信息主动公开长效机制。</w:t>
      </w:r>
    </w:p>
    <w:p w14:paraId="1183C92D">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第十五条</w:t>
      </w:r>
      <w:r>
        <w:rPr>
          <w:rFonts w:hint="eastAsia" w:ascii="宋体" w:hAnsi="宋体" w:eastAsia="宋体" w:cs="宋体"/>
          <w:color w:val="000000"/>
          <w:kern w:val="0"/>
          <w:sz w:val="24"/>
          <w:shd w:val="clear" w:color="auto" w:fill="FFFFFF"/>
        </w:rPr>
        <w:t>　中评协应当按国家的有关规定和要求，建立并严格执行相关财务会计管理制度。</w:t>
      </w:r>
    </w:p>
    <w:p w14:paraId="4A7BD5E8">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第十六条</w:t>
      </w:r>
      <w:r>
        <w:rPr>
          <w:rFonts w:hint="eastAsia" w:ascii="宋体" w:hAnsi="宋体" w:eastAsia="宋体" w:cs="宋体"/>
          <w:color w:val="000000"/>
          <w:kern w:val="0"/>
          <w:sz w:val="24"/>
          <w:shd w:val="clear" w:color="auto" w:fill="FFFFFF"/>
        </w:rPr>
        <w:t>　中评协应当对会费交纳情况进行督促检查。会员未按时足额交纳会费或拒绝交纳会费的，由中评协或地方协会按照《章程》等有关规定予以处理。</w:t>
      </w:r>
    </w:p>
    <w:p w14:paraId="3E391DB6">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第四章　附则</w:t>
      </w:r>
    </w:p>
    <w:p w14:paraId="2EAFFD24">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第十七条</w:t>
      </w:r>
      <w:r>
        <w:rPr>
          <w:rFonts w:hint="eastAsia" w:ascii="宋体" w:hAnsi="宋体" w:eastAsia="宋体" w:cs="宋体"/>
          <w:color w:val="000000"/>
          <w:kern w:val="0"/>
          <w:sz w:val="24"/>
          <w:shd w:val="clear" w:color="auto" w:fill="FFFFFF"/>
        </w:rPr>
        <w:t>　本办法自常务理事会审议通过之日起施行，待下次全国会员代表大会予以追认。</w:t>
      </w:r>
    </w:p>
    <w:p w14:paraId="0BE1F0B5">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第十八条</w:t>
      </w:r>
      <w:r>
        <w:rPr>
          <w:rFonts w:hint="eastAsia" w:ascii="宋体" w:hAnsi="宋体" w:eastAsia="宋体" w:cs="宋体"/>
          <w:color w:val="000000"/>
          <w:kern w:val="0"/>
          <w:sz w:val="24"/>
          <w:shd w:val="clear" w:color="auto" w:fill="FFFFFF"/>
        </w:rPr>
        <w:t>　本办法由中评协常务理事会负责解释。</w:t>
      </w:r>
    </w:p>
    <w:p w14:paraId="1A88A2FF">
      <w:pPr>
        <w:pStyle w:val="5"/>
        <w:spacing w:line="440" w:lineRule="atLeast"/>
        <w:jc w:val="center"/>
        <w:rPr>
          <w:rFonts w:ascii="宋体" w:hAnsi="宋体" w:eastAsia="宋体" w:cs="宋体"/>
        </w:rPr>
      </w:pPr>
      <w:r>
        <w:rPr>
          <w:rFonts w:hint="eastAsia" w:ascii="宋体" w:hAnsi="宋体" w:eastAsia="宋体" w:cs="宋体"/>
        </w:rPr>
        <w:br w:type="page"/>
      </w:r>
      <w:bookmarkStart w:id="56" w:name="_Toc13809"/>
      <w:r>
        <w:rPr>
          <w:rFonts w:hint="eastAsia" w:ascii="宋体" w:hAnsi="宋体" w:eastAsia="宋体" w:cs="宋体"/>
        </w:rPr>
        <w:t>资产评估行业谈话提醒办法</w:t>
      </w:r>
      <w:bookmarkEnd w:id="56"/>
    </w:p>
    <w:p w14:paraId="75D2A9BB">
      <w:pPr>
        <w:shd w:val="clear" w:color="auto" w:fill="FFFFFF"/>
        <w:spacing w:line="440" w:lineRule="atLeast"/>
        <w:jc w:val="center"/>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2006年5月16日中国资产评估协会发布　中评协〔2006〕97号</w:t>
      </w:r>
    </w:p>
    <w:p w14:paraId="61B14048">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第一条</w:t>
      </w:r>
      <w:r>
        <w:rPr>
          <w:rFonts w:hint="eastAsia" w:ascii="宋体" w:hAnsi="宋体" w:eastAsia="宋体" w:cs="宋体"/>
          <w:color w:val="000000"/>
          <w:kern w:val="0"/>
          <w:sz w:val="24"/>
          <w:shd w:val="clear" w:color="auto" w:fill="FFFFFF"/>
        </w:rPr>
        <w:t>　为健全资产评估行业自律机制，规范注册资产评估师和资产评估机构的执业行为，防范执业风险，根据《</w:t>
      </w:r>
      <w:r>
        <w:fldChar w:fldCharType="begin"/>
      </w:r>
      <w:r>
        <w:instrText xml:space="preserve"> HYPERLINK "http://www.fae.cn/flfg/find_by_idSearch.do?id=65327" </w:instrText>
      </w:r>
      <w:r>
        <w:fldChar w:fldCharType="separate"/>
      </w:r>
      <w:r>
        <w:rPr>
          <w:rFonts w:hint="eastAsia" w:ascii="宋体" w:hAnsi="宋体" w:eastAsia="宋体" w:cs="宋体"/>
          <w:color w:val="000000"/>
          <w:kern w:val="0"/>
          <w:sz w:val="24"/>
          <w:shd w:val="clear" w:color="auto" w:fill="FFFFFF"/>
        </w:rPr>
        <w:t>中国资产评估协会章程</w:t>
      </w:r>
      <w:r>
        <w:rPr>
          <w:rFonts w:hint="eastAsia" w:ascii="宋体" w:hAnsi="宋体" w:eastAsia="宋体" w:cs="宋体"/>
          <w:color w:val="000000"/>
          <w:kern w:val="0"/>
          <w:sz w:val="24"/>
          <w:shd w:val="clear" w:color="auto" w:fill="FFFFFF"/>
        </w:rPr>
        <w:fldChar w:fldCharType="end"/>
      </w:r>
      <w:r>
        <w:rPr>
          <w:rFonts w:hint="eastAsia" w:ascii="宋体" w:hAnsi="宋体" w:eastAsia="宋体" w:cs="宋体"/>
          <w:color w:val="000000"/>
          <w:kern w:val="0"/>
          <w:sz w:val="24"/>
          <w:shd w:val="clear" w:color="auto" w:fill="FFFFFF"/>
        </w:rPr>
        <w:t>》的有关规定，制定本办法。</w:t>
      </w:r>
      <w:bookmarkStart w:id="57" w:name="law2"/>
      <w:bookmarkEnd w:id="57"/>
    </w:p>
    <w:p w14:paraId="6A29EFCB">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第二条</w:t>
      </w:r>
      <w:r>
        <w:rPr>
          <w:rFonts w:hint="eastAsia" w:ascii="宋体" w:hAnsi="宋体" w:eastAsia="宋体" w:cs="宋体"/>
          <w:color w:val="000000"/>
          <w:kern w:val="0"/>
          <w:sz w:val="24"/>
          <w:shd w:val="clear" w:color="auto" w:fill="FFFFFF"/>
        </w:rPr>
        <w:t>　注册资产评估师和资产评估机构存在《</w:t>
      </w:r>
      <w:r>
        <w:fldChar w:fldCharType="begin"/>
      </w:r>
      <w:r>
        <w:instrText xml:space="preserve"> HYPERLINK "http://www.fae.cn/flfg/find_by_idSearch.do?id=179752" </w:instrText>
      </w:r>
      <w:r>
        <w:fldChar w:fldCharType="separate"/>
      </w:r>
      <w:r>
        <w:rPr>
          <w:rFonts w:hint="eastAsia" w:ascii="宋体" w:hAnsi="宋体" w:eastAsia="宋体" w:cs="宋体"/>
          <w:color w:val="000000"/>
          <w:kern w:val="0"/>
          <w:sz w:val="24"/>
          <w:shd w:val="clear" w:color="auto" w:fill="FFFFFF"/>
        </w:rPr>
        <w:t>资产评估执业行为自律惩戒办法（试行）</w:t>
      </w:r>
      <w:r>
        <w:rPr>
          <w:rFonts w:hint="eastAsia" w:ascii="宋体" w:hAnsi="宋体" w:eastAsia="宋体" w:cs="宋体"/>
          <w:color w:val="000000"/>
          <w:kern w:val="0"/>
          <w:sz w:val="24"/>
          <w:shd w:val="clear" w:color="auto" w:fill="FFFFFF"/>
        </w:rPr>
        <w:fldChar w:fldCharType="end"/>
      </w:r>
      <w:r>
        <w:rPr>
          <w:rFonts w:hint="eastAsia" w:ascii="宋体" w:hAnsi="宋体" w:eastAsia="宋体" w:cs="宋体"/>
          <w:color w:val="000000"/>
          <w:kern w:val="0"/>
          <w:sz w:val="24"/>
          <w:shd w:val="clear" w:color="auto" w:fill="FFFFFF"/>
        </w:rPr>
        <w:t>》中规定的违规行为，但性质或情节轻微，不足以予以自律惩戒的，资产评估协会可以依据本办法对其进行谈话提醒。</w:t>
      </w:r>
    </w:p>
    <w:p w14:paraId="5FC2FB0B">
      <w:pPr>
        <w:shd w:val="clear" w:color="auto" w:fill="FFFFFF"/>
        <w:spacing w:line="440" w:lineRule="atLeast"/>
        <w:ind w:firstLine="482" w:firstLineChars="200"/>
        <w:rPr>
          <w:rFonts w:ascii="宋体" w:hAnsi="宋体" w:eastAsia="宋体" w:cs="宋体"/>
          <w:color w:val="000000"/>
          <w:kern w:val="0"/>
          <w:sz w:val="24"/>
          <w:shd w:val="clear" w:color="auto" w:fill="FFFFFF"/>
        </w:rPr>
      </w:pPr>
      <w:bookmarkStart w:id="58" w:name="law3"/>
      <w:bookmarkEnd w:id="58"/>
      <w:r>
        <w:rPr>
          <w:rFonts w:hint="eastAsia" w:ascii="宋体" w:hAnsi="宋体" w:eastAsia="宋体" w:cs="宋体"/>
          <w:b/>
          <w:color w:val="000000"/>
          <w:kern w:val="0"/>
          <w:sz w:val="24"/>
          <w:shd w:val="clear" w:color="auto" w:fill="FFFFFF"/>
        </w:rPr>
        <w:t>第三条</w:t>
      </w:r>
      <w:r>
        <w:rPr>
          <w:rFonts w:hint="eastAsia" w:ascii="宋体" w:hAnsi="宋体" w:eastAsia="宋体" w:cs="宋体"/>
          <w:color w:val="000000"/>
          <w:kern w:val="0"/>
          <w:sz w:val="24"/>
          <w:shd w:val="clear" w:color="auto" w:fill="FFFFFF"/>
        </w:rPr>
        <w:t>　本办法所称谈话提醒，是指资产评估协会与注册资产评估师和资产评估机构负责人（以下统称谈话对象）当面交流，指出谈话对象存在的问题，进行有针对性的提醒、教育，促使其纠正违规行为的非惩戒性自律管理手段。</w:t>
      </w:r>
    </w:p>
    <w:p w14:paraId="649E70D4">
      <w:pPr>
        <w:shd w:val="clear" w:color="auto" w:fill="FFFFFF"/>
        <w:spacing w:line="440" w:lineRule="atLeast"/>
        <w:ind w:firstLine="482" w:firstLineChars="200"/>
        <w:rPr>
          <w:rFonts w:ascii="宋体" w:hAnsi="宋体" w:eastAsia="宋体" w:cs="宋体"/>
          <w:color w:val="000000"/>
          <w:kern w:val="0"/>
          <w:sz w:val="24"/>
          <w:shd w:val="clear" w:color="auto" w:fill="FFFFFF"/>
        </w:rPr>
      </w:pPr>
      <w:bookmarkStart w:id="59" w:name="law4"/>
      <w:bookmarkEnd w:id="59"/>
      <w:r>
        <w:rPr>
          <w:rFonts w:hint="eastAsia" w:ascii="宋体" w:hAnsi="宋体" w:eastAsia="宋体" w:cs="宋体"/>
          <w:b/>
          <w:color w:val="000000"/>
          <w:kern w:val="0"/>
          <w:sz w:val="24"/>
          <w:shd w:val="clear" w:color="auto" w:fill="FFFFFF"/>
        </w:rPr>
        <w:t>第四条</w:t>
      </w:r>
      <w:r>
        <w:rPr>
          <w:rFonts w:hint="eastAsia" w:ascii="宋体" w:hAnsi="宋体" w:eastAsia="宋体" w:cs="宋体"/>
          <w:color w:val="000000"/>
          <w:kern w:val="0"/>
          <w:sz w:val="24"/>
          <w:shd w:val="clear" w:color="auto" w:fill="FFFFFF"/>
        </w:rPr>
        <w:t>　中国资产评估协会（以下简称中评协）负责全行业的谈话提醒工作，并指导各省、自治区、直辖市、计划单列市资产评估协会（以下简称地方协会）的谈话提醒工作。</w:t>
      </w:r>
    </w:p>
    <w:p w14:paraId="3CBF575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中评协直接办理注册资产评估师和资产评估机构涉及证券业务评估或具有重大影响的违规行为的谈话提醒。</w:t>
      </w:r>
    </w:p>
    <w:p w14:paraId="43B3BC4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中评协授权地方协会对本辖区注册资产评估师和资产评估机构不涉及证券评估业务的违规行为进行谈话提醒。</w:t>
      </w:r>
    </w:p>
    <w:p w14:paraId="6003AE9C">
      <w:pPr>
        <w:shd w:val="clear" w:color="auto" w:fill="FFFFFF"/>
        <w:spacing w:line="440" w:lineRule="atLeast"/>
        <w:ind w:firstLine="482" w:firstLineChars="200"/>
        <w:rPr>
          <w:rFonts w:ascii="宋体" w:hAnsi="宋体" w:eastAsia="宋体" w:cs="宋体"/>
          <w:color w:val="000000"/>
          <w:kern w:val="0"/>
          <w:sz w:val="24"/>
          <w:shd w:val="clear" w:color="auto" w:fill="FFFFFF"/>
        </w:rPr>
      </w:pPr>
      <w:bookmarkStart w:id="60" w:name="law5"/>
      <w:bookmarkEnd w:id="60"/>
      <w:r>
        <w:rPr>
          <w:rFonts w:hint="eastAsia" w:ascii="宋体" w:hAnsi="宋体" w:eastAsia="宋体" w:cs="宋体"/>
          <w:b/>
          <w:color w:val="000000"/>
          <w:kern w:val="0"/>
          <w:sz w:val="24"/>
          <w:shd w:val="clear" w:color="auto" w:fill="FFFFFF"/>
        </w:rPr>
        <w:t>第五条</w:t>
      </w:r>
      <w:r>
        <w:rPr>
          <w:rFonts w:hint="eastAsia" w:ascii="宋体" w:hAnsi="宋体" w:eastAsia="宋体" w:cs="宋体"/>
          <w:color w:val="000000"/>
          <w:kern w:val="0"/>
          <w:sz w:val="24"/>
          <w:shd w:val="clear" w:color="auto" w:fill="FFFFFF"/>
        </w:rPr>
        <w:t>　资产评估协会应当提前5个工作日将谈话时间、地点、事由、要求等以书面形式通知谈话对象。</w:t>
      </w:r>
    </w:p>
    <w:p w14:paraId="551C2B5C">
      <w:pPr>
        <w:shd w:val="clear" w:color="auto" w:fill="FFFFFF"/>
        <w:spacing w:line="440" w:lineRule="atLeast"/>
        <w:ind w:firstLine="482" w:firstLineChars="200"/>
        <w:rPr>
          <w:rFonts w:ascii="宋体" w:hAnsi="宋体" w:eastAsia="宋体" w:cs="宋体"/>
          <w:color w:val="000000"/>
          <w:kern w:val="0"/>
          <w:sz w:val="24"/>
          <w:shd w:val="clear" w:color="auto" w:fill="FFFFFF"/>
        </w:rPr>
      </w:pPr>
      <w:bookmarkStart w:id="61" w:name="law6"/>
      <w:bookmarkEnd w:id="61"/>
      <w:r>
        <w:rPr>
          <w:rFonts w:hint="eastAsia" w:ascii="宋体" w:hAnsi="宋体" w:eastAsia="宋体" w:cs="宋体"/>
          <w:b/>
          <w:color w:val="000000"/>
          <w:kern w:val="0"/>
          <w:sz w:val="24"/>
          <w:shd w:val="clear" w:color="auto" w:fill="FFFFFF"/>
        </w:rPr>
        <w:t>第六条</w:t>
      </w:r>
      <w:r>
        <w:rPr>
          <w:rFonts w:hint="eastAsia" w:ascii="宋体" w:hAnsi="宋体" w:eastAsia="宋体" w:cs="宋体"/>
          <w:color w:val="000000"/>
          <w:kern w:val="0"/>
          <w:sz w:val="24"/>
          <w:shd w:val="clear" w:color="auto" w:fill="FFFFFF"/>
        </w:rPr>
        <w:t>　谈话对象不能按时参加谈话提醒的，应当在接到书面通知之日起3个工作日内向资产评估协会请假，针对同一问题的谈话提醒，谈话对象请假次数不得超过2次。</w:t>
      </w:r>
    </w:p>
    <w:p w14:paraId="3B40F0BA">
      <w:pPr>
        <w:shd w:val="clear" w:color="auto" w:fill="FFFFFF"/>
        <w:spacing w:line="440" w:lineRule="atLeast"/>
        <w:ind w:firstLine="482" w:firstLineChars="200"/>
        <w:rPr>
          <w:rFonts w:ascii="宋体" w:hAnsi="宋体" w:eastAsia="宋体" w:cs="宋体"/>
          <w:color w:val="000000"/>
          <w:kern w:val="0"/>
          <w:sz w:val="24"/>
          <w:shd w:val="clear" w:color="auto" w:fill="FFFFFF"/>
        </w:rPr>
      </w:pPr>
      <w:bookmarkStart w:id="62" w:name="law7"/>
      <w:bookmarkEnd w:id="62"/>
      <w:r>
        <w:rPr>
          <w:rFonts w:hint="eastAsia" w:ascii="宋体" w:hAnsi="宋体" w:eastAsia="宋体" w:cs="宋体"/>
          <w:b/>
          <w:color w:val="000000"/>
          <w:kern w:val="0"/>
          <w:sz w:val="24"/>
          <w:shd w:val="clear" w:color="auto" w:fill="FFFFFF"/>
        </w:rPr>
        <w:t>第七条</w:t>
      </w:r>
      <w:r>
        <w:rPr>
          <w:rFonts w:hint="eastAsia" w:ascii="宋体" w:hAnsi="宋体" w:eastAsia="宋体" w:cs="宋体"/>
          <w:color w:val="000000"/>
          <w:kern w:val="0"/>
          <w:sz w:val="24"/>
          <w:shd w:val="clear" w:color="auto" w:fill="FFFFFF"/>
        </w:rPr>
        <w:t>　谈话对象未经资产评估协会同意，不参加谈话提醒的，资产评估协会应当按照有关规定对其予以自律惩戒。</w:t>
      </w:r>
    </w:p>
    <w:p w14:paraId="1F13ABD9">
      <w:pPr>
        <w:shd w:val="clear" w:color="auto" w:fill="FFFFFF"/>
        <w:spacing w:line="440" w:lineRule="atLeast"/>
        <w:ind w:firstLine="482" w:firstLineChars="200"/>
        <w:rPr>
          <w:rFonts w:ascii="宋体" w:hAnsi="宋体" w:eastAsia="宋体" w:cs="宋体"/>
          <w:color w:val="000000"/>
          <w:kern w:val="0"/>
          <w:sz w:val="24"/>
          <w:shd w:val="clear" w:color="auto" w:fill="FFFFFF"/>
        </w:rPr>
      </w:pPr>
      <w:bookmarkStart w:id="63" w:name="law8"/>
      <w:bookmarkEnd w:id="63"/>
      <w:r>
        <w:rPr>
          <w:rFonts w:hint="eastAsia" w:ascii="宋体" w:hAnsi="宋体" w:eastAsia="宋体" w:cs="宋体"/>
          <w:b/>
          <w:color w:val="000000"/>
          <w:kern w:val="0"/>
          <w:sz w:val="24"/>
          <w:shd w:val="clear" w:color="auto" w:fill="FFFFFF"/>
        </w:rPr>
        <w:t>第八条</w:t>
      </w:r>
      <w:r>
        <w:rPr>
          <w:rFonts w:hint="eastAsia" w:ascii="宋体" w:hAnsi="宋体" w:eastAsia="宋体" w:cs="宋体"/>
          <w:color w:val="000000"/>
          <w:kern w:val="0"/>
          <w:sz w:val="24"/>
          <w:shd w:val="clear" w:color="auto" w:fill="FFFFFF"/>
        </w:rPr>
        <w:t>　资产评估协会应当有2名以上工作人员参加谈话提醒，并对谈话提醒内容予以记录。谈话结束时，参加谈话的工作人员和谈话对象应在谈话记录上签字。</w:t>
      </w:r>
    </w:p>
    <w:p w14:paraId="0B783EA9">
      <w:pPr>
        <w:shd w:val="clear" w:color="auto" w:fill="FFFFFF"/>
        <w:spacing w:line="440" w:lineRule="atLeast"/>
        <w:ind w:firstLine="482" w:firstLineChars="200"/>
        <w:rPr>
          <w:rFonts w:ascii="宋体" w:hAnsi="宋体" w:eastAsia="宋体" w:cs="宋体"/>
          <w:color w:val="000000"/>
          <w:kern w:val="0"/>
          <w:sz w:val="24"/>
          <w:shd w:val="clear" w:color="auto" w:fill="FFFFFF"/>
        </w:rPr>
      </w:pPr>
      <w:bookmarkStart w:id="64" w:name="law9"/>
      <w:bookmarkEnd w:id="64"/>
      <w:r>
        <w:rPr>
          <w:rFonts w:hint="eastAsia" w:ascii="宋体" w:hAnsi="宋体" w:eastAsia="宋体" w:cs="宋体"/>
          <w:b/>
          <w:color w:val="000000"/>
          <w:kern w:val="0"/>
          <w:sz w:val="24"/>
          <w:shd w:val="clear" w:color="auto" w:fill="FFFFFF"/>
        </w:rPr>
        <w:t>第九条</w:t>
      </w:r>
      <w:r>
        <w:rPr>
          <w:rFonts w:hint="eastAsia" w:ascii="宋体" w:hAnsi="宋体" w:eastAsia="宋体" w:cs="宋体"/>
          <w:color w:val="000000"/>
          <w:kern w:val="0"/>
          <w:sz w:val="24"/>
          <w:shd w:val="clear" w:color="auto" w:fill="FFFFFF"/>
        </w:rPr>
        <w:t>　谈话对象应当按谈话提醒的有关要求认真整改，并将整改报告在规定的时间内报送资产评估协会。</w:t>
      </w:r>
    </w:p>
    <w:p w14:paraId="3B35DF2B">
      <w:pPr>
        <w:shd w:val="clear" w:color="auto" w:fill="FFFFFF"/>
        <w:spacing w:line="440" w:lineRule="atLeast"/>
        <w:ind w:firstLine="482" w:firstLineChars="200"/>
        <w:rPr>
          <w:rFonts w:ascii="宋体" w:hAnsi="宋体" w:eastAsia="宋体" w:cs="宋体"/>
          <w:color w:val="000000"/>
          <w:kern w:val="0"/>
          <w:sz w:val="24"/>
          <w:shd w:val="clear" w:color="auto" w:fill="FFFFFF"/>
        </w:rPr>
      </w:pPr>
      <w:bookmarkStart w:id="65" w:name="law10"/>
      <w:bookmarkEnd w:id="65"/>
      <w:r>
        <w:rPr>
          <w:rFonts w:hint="eastAsia" w:ascii="宋体" w:hAnsi="宋体" w:eastAsia="宋体" w:cs="宋体"/>
          <w:b/>
          <w:color w:val="000000"/>
          <w:kern w:val="0"/>
          <w:sz w:val="24"/>
          <w:shd w:val="clear" w:color="auto" w:fill="FFFFFF"/>
        </w:rPr>
        <w:t>第十条</w:t>
      </w:r>
      <w:r>
        <w:rPr>
          <w:rFonts w:hint="eastAsia" w:ascii="宋体" w:hAnsi="宋体" w:eastAsia="宋体" w:cs="宋体"/>
          <w:color w:val="000000"/>
          <w:kern w:val="0"/>
          <w:sz w:val="24"/>
          <w:shd w:val="clear" w:color="auto" w:fill="FFFFFF"/>
        </w:rPr>
        <w:t>　资产评估协会应当将谈话记录及谈话对象的整改报告等材料归档保管。</w:t>
      </w:r>
    </w:p>
    <w:p w14:paraId="1B14261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参加谈话提醒的人员应当对谈话提醒过程中涉及的国家秘密、商业秘密和个人隐私予以保密。</w:t>
      </w:r>
    </w:p>
    <w:p w14:paraId="6855FF60">
      <w:pPr>
        <w:shd w:val="clear" w:color="auto" w:fill="FFFFFF"/>
        <w:spacing w:line="440" w:lineRule="atLeast"/>
        <w:ind w:firstLine="482" w:firstLineChars="200"/>
        <w:rPr>
          <w:rFonts w:ascii="宋体" w:hAnsi="宋体" w:eastAsia="宋体" w:cs="宋体"/>
          <w:color w:val="000000"/>
          <w:kern w:val="0"/>
          <w:sz w:val="24"/>
          <w:shd w:val="clear" w:color="auto" w:fill="FFFFFF"/>
        </w:rPr>
      </w:pPr>
      <w:bookmarkStart w:id="66" w:name="law12"/>
      <w:bookmarkEnd w:id="66"/>
      <w:r>
        <w:rPr>
          <w:rFonts w:hint="eastAsia" w:ascii="宋体" w:hAnsi="宋体" w:eastAsia="宋体" w:cs="宋体"/>
          <w:b/>
          <w:color w:val="000000"/>
          <w:kern w:val="0"/>
          <w:sz w:val="24"/>
          <w:shd w:val="clear" w:color="auto" w:fill="FFFFFF"/>
        </w:rPr>
        <w:t>第十二条</w:t>
      </w:r>
      <w:r>
        <w:rPr>
          <w:rFonts w:hint="eastAsia" w:ascii="宋体" w:hAnsi="宋体" w:eastAsia="宋体" w:cs="宋体"/>
          <w:color w:val="000000"/>
          <w:kern w:val="0"/>
          <w:sz w:val="24"/>
          <w:shd w:val="clear" w:color="auto" w:fill="FFFFFF"/>
        </w:rPr>
        <w:t>　资产评估协会应当对违反本办法第十一条规定的资产评估协会工作人员按照资产评估协会的有关规章制度予以处分。</w:t>
      </w:r>
    </w:p>
    <w:p w14:paraId="445F8C23">
      <w:pPr>
        <w:shd w:val="clear" w:color="auto" w:fill="FFFFFF"/>
        <w:spacing w:line="440" w:lineRule="atLeast"/>
        <w:ind w:firstLine="482" w:firstLineChars="200"/>
        <w:rPr>
          <w:rFonts w:ascii="宋体" w:hAnsi="宋体" w:eastAsia="宋体" w:cs="宋体"/>
          <w:color w:val="000000"/>
          <w:kern w:val="0"/>
          <w:sz w:val="24"/>
          <w:shd w:val="clear" w:color="auto" w:fill="FFFFFF"/>
        </w:rPr>
      </w:pPr>
      <w:bookmarkStart w:id="67" w:name="law13"/>
      <w:bookmarkEnd w:id="67"/>
      <w:r>
        <w:rPr>
          <w:rFonts w:hint="eastAsia" w:ascii="宋体" w:hAnsi="宋体" w:eastAsia="宋体" w:cs="宋体"/>
          <w:b/>
          <w:color w:val="000000"/>
          <w:kern w:val="0"/>
          <w:sz w:val="24"/>
          <w:shd w:val="clear" w:color="auto" w:fill="FFFFFF"/>
        </w:rPr>
        <w:t>第十三条</w:t>
      </w:r>
      <w:r>
        <w:rPr>
          <w:rFonts w:hint="eastAsia" w:ascii="宋体" w:hAnsi="宋体" w:eastAsia="宋体" w:cs="宋体"/>
          <w:color w:val="000000"/>
          <w:kern w:val="0"/>
          <w:sz w:val="24"/>
          <w:shd w:val="clear" w:color="auto" w:fill="FFFFFF"/>
        </w:rPr>
        <w:t>　各地方协会应当于每年1月15日前将上一年度谈话提醒情况统计表报中评协备案。</w:t>
      </w:r>
    </w:p>
    <w:p w14:paraId="6FF82886">
      <w:pPr>
        <w:shd w:val="clear" w:color="auto" w:fill="FFFFFF"/>
        <w:spacing w:line="440" w:lineRule="atLeast"/>
        <w:ind w:firstLine="482" w:firstLineChars="200"/>
        <w:rPr>
          <w:rFonts w:ascii="宋体" w:hAnsi="宋体" w:eastAsia="宋体" w:cs="宋体"/>
          <w:color w:val="000000"/>
          <w:kern w:val="0"/>
          <w:sz w:val="24"/>
          <w:shd w:val="clear" w:color="auto" w:fill="FFFFFF"/>
        </w:rPr>
      </w:pPr>
      <w:bookmarkStart w:id="68" w:name="law14"/>
      <w:bookmarkEnd w:id="68"/>
      <w:r>
        <w:rPr>
          <w:rFonts w:hint="eastAsia" w:ascii="宋体" w:hAnsi="宋体" w:eastAsia="宋体" w:cs="宋体"/>
          <w:b/>
          <w:color w:val="000000"/>
          <w:kern w:val="0"/>
          <w:sz w:val="24"/>
          <w:shd w:val="clear" w:color="auto" w:fill="FFFFFF"/>
        </w:rPr>
        <w:t>第十四条</w:t>
      </w:r>
      <w:r>
        <w:rPr>
          <w:rFonts w:hint="eastAsia" w:ascii="宋体" w:hAnsi="宋体" w:eastAsia="宋体" w:cs="宋体"/>
          <w:color w:val="000000"/>
          <w:kern w:val="0"/>
          <w:sz w:val="24"/>
          <w:shd w:val="clear" w:color="auto" w:fill="FFFFFF"/>
        </w:rPr>
        <w:t>　本办法由中国资产评估协会负责解释。</w:t>
      </w:r>
    </w:p>
    <w:p w14:paraId="458F6161">
      <w:pPr>
        <w:shd w:val="clear" w:color="auto" w:fill="FFFFFF"/>
        <w:spacing w:line="440" w:lineRule="atLeast"/>
        <w:ind w:firstLine="482" w:firstLineChars="200"/>
        <w:rPr>
          <w:rFonts w:ascii="宋体" w:hAnsi="宋体" w:eastAsia="宋体" w:cs="宋体"/>
          <w:color w:val="000000"/>
          <w:kern w:val="0"/>
          <w:sz w:val="24"/>
          <w:shd w:val="clear" w:color="auto" w:fill="FFFFFF"/>
        </w:rPr>
      </w:pPr>
      <w:bookmarkStart w:id="69" w:name="law15"/>
      <w:bookmarkEnd w:id="69"/>
      <w:r>
        <w:rPr>
          <w:rFonts w:hint="eastAsia" w:ascii="宋体" w:hAnsi="宋体" w:eastAsia="宋体" w:cs="宋体"/>
          <w:b/>
          <w:color w:val="000000"/>
          <w:kern w:val="0"/>
          <w:sz w:val="24"/>
          <w:shd w:val="clear" w:color="auto" w:fill="FFFFFF"/>
        </w:rPr>
        <w:t>第十五条</w:t>
      </w:r>
      <w:r>
        <w:rPr>
          <w:rFonts w:hint="eastAsia" w:ascii="宋体" w:hAnsi="宋体" w:eastAsia="宋体" w:cs="宋体"/>
          <w:color w:val="000000"/>
          <w:kern w:val="0"/>
          <w:sz w:val="24"/>
          <w:shd w:val="clear" w:color="auto" w:fill="FFFFFF"/>
        </w:rPr>
        <w:t>　本办法自发布之日起施行。</w:t>
      </w:r>
    </w:p>
    <w:p w14:paraId="1FB55BB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br w:type="page"/>
      </w:r>
    </w:p>
    <w:p w14:paraId="6EB2718F">
      <w:pPr>
        <w:pStyle w:val="5"/>
        <w:spacing w:line="440" w:lineRule="atLeast"/>
        <w:jc w:val="center"/>
        <w:rPr>
          <w:rFonts w:ascii="宋体" w:hAnsi="宋体" w:eastAsia="宋体" w:cs="宋体"/>
        </w:rPr>
      </w:pPr>
      <w:bookmarkStart w:id="70" w:name="_Toc4239"/>
      <w:r>
        <w:rPr>
          <w:rFonts w:hint="eastAsia" w:ascii="宋体" w:hAnsi="宋体" w:eastAsia="宋体" w:cs="宋体"/>
        </w:rPr>
        <w:t>首席评估师管理办法</w:t>
      </w:r>
      <w:bookmarkEnd w:id="70"/>
    </w:p>
    <w:p w14:paraId="4FA607F4">
      <w:pPr>
        <w:shd w:val="clear" w:color="auto" w:fill="FFFFFF"/>
        <w:spacing w:line="440" w:lineRule="atLeast"/>
        <w:jc w:val="center"/>
      </w:pPr>
      <w:r>
        <w:rPr>
          <w:rFonts w:hint="eastAsia" w:ascii="宋体" w:hAnsi="宋体" w:eastAsia="宋体" w:cs="宋体"/>
          <w:color w:val="000000"/>
          <w:kern w:val="0"/>
          <w:sz w:val="24"/>
          <w:shd w:val="clear" w:color="auto" w:fill="FFFFFF"/>
        </w:rPr>
        <w:t>2021年7月1日中国资产评估协会发布　中评协办〔2021〕33号</w:t>
      </w:r>
    </w:p>
    <w:p w14:paraId="7BF63589">
      <w:pPr>
        <w:jc w:val="center"/>
        <w:rPr>
          <w:rFonts w:ascii="仿宋_GB2312" w:hAnsi="仿宋" w:eastAsia="仿宋_GB2312"/>
          <w:sz w:val="32"/>
          <w:szCs w:val="32"/>
        </w:rPr>
      </w:pPr>
    </w:p>
    <w:p w14:paraId="1B01B0BC">
      <w:pPr>
        <w:jc w:val="center"/>
        <w:rPr>
          <w:rFonts w:asciiTheme="minorEastAsia" w:hAnsiTheme="minorEastAsia"/>
          <w:b/>
          <w:sz w:val="24"/>
        </w:rPr>
      </w:pPr>
      <w:r>
        <w:rPr>
          <w:rFonts w:hint="eastAsia" w:asciiTheme="minorEastAsia" w:hAnsiTheme="minorEastAsia"/>
          <w:b/>
          <w:sz w:val="24"/>
        </w:rPr>
        <w:t>第一章  总  则</w:t>
      </w:r>
    </w:p>
    <w:p w14:paraId="1BB1E5A3">
      <w:pPr>
        <w:spacing w:line="440" w:lineRule="atLeast"/>
        <w:ind w:firstLine="482" w:firstLineChars="200"/>
        <w:rPr>
          <w:rFonts w:asciiTheme="minorEastAsia" w:hAnsiTheme="minorEastAsia"/>
          <w:sz w:val="24"/>
        </w:rPr>
      </w:pPr>
      <w:r>
        <w:rPr>
          <w:rFonts w:hint="eastAsia" w:asciiTheme="minorEastAsia" w:hAnsiTheme="minorEastAsia"/>
          <w:b/>
          <w:sz w:val="24"/>
        </w:rPr>
        <w:t>第一条</w:t>
      </w:r>
      <w:r>
        <w:rPr>
          <w:rFonts w:hint="eastAsia" w:asciiTheme="minorEastAsia" w:hAnsiTheme="minorEastAsia"/>
          <w:sz w:val="24"/>
        </w:rPr>
        <w:t xml:space="preserve">  为防范执业风险，规范资产评估机构首席评估师的管理，明确首席评估师的职责和权限，发挥首席评估师在资产评估机构执业质量控制中的作用，根据《资产评估行业财政监督管理办法》制定本办法。</w:t>
      </w:r>
    </w:p>
    <w:p w14:paraId="60F0B4AC">
      <w:pPr>
        <w:spacing w:line="440" w:lineRule="atLeast"/>
        <w:ind w:firstLine="482" w:firstLineChars="200"/>
        <w:rPr>
          <w:rFonts w:asciiTheme="minorEastAsia" w:hAnsiTheme="minorEastAsia"/>
          <w:sz w:val="24"/>
        </w:rPr>
      </w:pPr>
      <w:r>
        <w:rPr>
          <w:rFonts w:hint="eastAsia" w:asciiTheme="minorEastAsia" w:hAnsiTheme="minorEastAsia"/>
          <w:b/>
          <w:sz w:val="24"/>
        </w:rPr>
        <w:t>第二条</w:t>
      </w:r>
      <w:r>
        <w:rPr>
          <w:rFonts w:hint="eastAsia" w:asciiTheme="minorEastAsia" w:hAnsiTheme="minorEastAsia"/>
          <w:sz w:val="24"/>
        </w:rPr>
        <w:t xml:space="preserve">  资产评估机构应当建立首席评估师制度，指定一名取得资产评估师资格的本机构合伙人或者股东担任首席评估师，专门负责执业质量控制。</w:t>
      </w:r>
    </w:p>
    <w:p w14:paraId="4991560B">
      <w:pPr>
        <w:spacing w:line="440" w:lineRule="atLeast"/>
        <w:ind w:firstLine="482" w:firstLineChars="200"/>
        <w:rPr>
          <w:rFonts w:asciiTheme="minorEastAsia" w:hAnsiTheme="minorEastAsia"/>
          <w:sz w:val="24"/>
        </w:rPr>
      </w:pPr>
      <w:r>
        <w:rPr>
          <w:rFonts w:hint="eastAsia" w:asciiTheme="minorEastAsia" w:hAnsiTheme="minorEastAsia"/>
          <w:b/>
          <w:sz w:val="24"/>
        </w:rPr>
        <w:t>第三条</w:t>
      </w:r>
      <w:r>
        <w:rPr>
          <w:rFonts w:hint="eastAsia" w:asciiTheme="minorEastAsia" w:hAnsiTheme="minorEastAsia"/>
          <w:sz w:val="24"/>
        </w:rPr>
        <w:t xml:space="preserve">  首席评估师作为资产评估机构最高管理层在业务质量控制体系方面的责任人，直接对最高管理层负责。</w:t>
      </w:r>
    </w:p>
    <w:p w14:paraId="574681AA">
      <w:pPr>
        <w:spacing w:line="440" w:lineRule="atLeast"/>
        <w:ind w:firstLine="480" w:firstLineChars="200"/>
        <w:rPr>
          <w:rFonts w:asciiTheme="minorEastAsia" w:hAnsiTheme="minorEastAsia"/>
          <w:sz w:val="24"/>
        </w:rPr>
      </w:pPr>
      <w:r>
        <w:rPr>
          <w:rFonts w:hint="eastAsia" w:asciiTheme="minorEastAsia" w:hAnsiTheme="minorEastAsia"/>
          <w:sz w:val="24"/>
        </w:rPr>
        <w:t>本办法所称最高管理层是指公司制资产评估机构的董事会（执行董事）或合伙制资产评估机构的合伙人管理委员会（执行合伙事务的合伙人）。</w:t>
      </w:r>
    </w:p>
    <w:p w14:paraId="28AD67A5">
      <w:pPr>
        <w:spacing w:line="440" w:lineRule="atLeast"/>
        <w:ind w:firstLine="482" w:firstLineChars="200"/>
        <w:rPr>
          <w:rFonts w:asciiTheme="minorEastAsia" w:hAnsiTheme="minorEastAsia"/>
          <w:sz w:val="24"/>
        </w:rPr>
      </w:pPr>
      <w:r>
        <w:rPr>
          <w:rFonts w:hint="eastAsia" w:asciiTheme="minorEastAsia" w:hAnsiTheme="minorEastAsia"/>
          <w:b/>
          <w:sz w:val="24"/>
        </w:rPr>
        <w:t>第四条</w:t>
      </w:r>
      <w:r>
        <w:rPr>
          <w:rFonts w:hint="eastAsia" w:asciiTheme="minorEastAsia" w:hAnsiTheme="minorEastAsia"/>
          <w:sz w:val="24"/>
        </w:rPr>
        <w:t xml:space="preserve">  资产评估机构最高管理层应当支持并保障首席评估师按照规定行使职权。</w:t>
      </w:r>
    </w:p>
    <w:p w14:paraId="52F0540E">
      <w:pPr>
        <w:spacing w:line="440" w:lineRule="atLeast"/>
        <w:ind w:firstLine="482" w:firstLineChars="200"/>
        <w:rPr>
          <w:rFonts w:asciiTheme="minorEastAsia" w:hAnsiTheme="minorEastAsia"/>
          <w:sz w:val="24"/>
        </w:rPr>
      </w:pPr>
      <w:r>
        <w:rPr>
          <w:rFonts w:hint="eastAsia" w:asciiTheme="minorEastAsia" w:hAnsiTheme="minorEastAsia"/>
          <w:b/>
          <w:sz w:val="24"/>
        </w:rPr>
        <w:t>第五条</w:t>
      </w:r>
      <w:r>
        <w:rPr>
          <w:rFonts w:hint="eastAsia" w:asciiTheme="minorEastAsia" w:hAnsiTheme="minorEastAsia"/>
          <w:sz w:val="24"/>
        </w:rPr>
        <w:t xml:space="preserve">  中国资产评估协会（以下简称中评协）直接负责经过备案从事证券评估业务的资产评估机构（以下简称</w:t>
      </w:r>
      <w:bookmarkStart w:id="71" w:name="_Hlk63348545"/>
      <w:r>
        <w:rPr>
          <w:rFonts w:hint="eastAsia" w:asciiTheme="minorEastAsia" w:hAnsiTheme="minorEastAsia"/>
          <w:sz w:val="24"/>
        </w:rPr>
        <w:t>证券评估机构</w:t>
      </w:r>
      <w:bookmarkEnd w:id="71"/>
      <w:r>
        <w:rPr>
          <w:rFonts w:hint="eastAsia" w:asciiTheme="minorEastAsia" w:hAnsiTheme="minorEastAsia"/>
          <w:sz w:val="24"/>
        </w:rPr>
        <w:t>）首席评估师的管理工作；各省、自治区、直辖市、计划单列市资产评估协会（以下简称地方协会）负责本地区从事非证券评估业务的资产评估机构（以下简称非证券评估机构）首席评估师的管理工作。</w:t>
      </w:r>
    </w:p>
    <w:p w14:paraId="58944BD7">
      <w:pPr>
        <w:spacing w:line="440" w:lineRule="atLeast"/>
        <w:jc w:val="center"/>
        <w:rPr>
          <w:rFonts w:asciiTheme="minorEastAsia" w:hAnsiTheme="minorEastAsia"/>
          <w:b/>
          <w:sz w:val="24"/>
        </w:rPr>
      </w:pPr>
      <w:r>
        <w:rPr>
          <w:rFonts w:hint="eastAsia" w:asciiTheme="minorEastAsia" w:hAnsiTheme="minorEastAsia"/>
          <w:b/>
          <w:sz w:val="24"/>
        </w:rPr>
        <w:t>第二章</w:t>
      </w:r>
      <w:r>
        <w:rPr>
          <w:rFonts w:hint="eastAsia" w:asciiTheme="minorEastAsia" w:hAnsiTheme="minorEastAsia"/>
          <w:b/>
          <w:sz w:val="24"/>
        </w:rPr>
        <w:tab/>
      </w:r>
      <w:r>
        <w:rPr>
          <w:rFonts w:hint="eastAsia" w:asciiTheme="minorEastAsia" w:hAnsiTheme="minorEastAsia"/>
          <w:b/>
          <w:sz w:val="24"/>
        </w:rPr>
        <w:t>首席评估师的产生</w:t>
      </w:r>
    </w:p>
    <w:p w14:paraId="3A49DC1B">
      <w:pPr>
        <w:spacing w:line="440" w:lineRule="atLeast"/>
        <w:ind w:firstLine="482" w:firstLineChars="200"/>
        <w:rPr>
          <w:rFonts w:asciiTheme="minorEastAsia" w:hAnsiTheme="minorEastAsia"/>
          <w:sz w:val="24"/>
        </w:rPr>
      </w:pPr>
      <w:r>
        <w:rPr>
          <w:rFonts w:hint="eastAsia" w:asciiTheme="minorEastAsia" w:hAnsiTheme="minorEastAsia"/>
          <w:b/>
          <w:sz w:val="24"/>
        </w:rPr>
        <w:t>第六条</w:t>
      </w:r>
      <w:r>
        <w:rPr>
          <w:rFonts w:hint="eastAsia" w:asciiTheme="minorEastAsia" w:hAnsiTheme="minorEastAsia"/>
          <w:sz w:val="24"/>
        </w:rPr>
        <w:t xml:space="preserve">  首席评估师应当具备下列条件：</w:t>
      </w:r>
    </w:p>
    <w:p w14:paraId="4311EDDE">
      <w:pPr>
        <w:spacing w:line="440" w:lineRule="atLeast"/>
        <w:ind w:firstLine="480" w:firstLineChars="200"/>
        <w:rPr>
          <w:rFonts w:asciiTheme="minorEastAsia" w:hAnsiTheme="minorEastAsia"/>
          <w:sz w:val="24"/>
        </w:rPr>
      </w:pPr>
      <w:r>
        <w:rPr>
          <w:rFonts w:hint="eastAsia" w:asciiTheme="minorEastAsia" w:hAnsiTheme="minorEastAsia"/>
          <w:sz w:val="24"/>
        </w:rPr>
        <w:t>（一）持有资产评估师证书；</w:t>
      </w:r>
    </w:p>
    <w:p w14:paraId="52477A84">
      <w:pPr>
        <w:spacing w:line="440" w:lineRule="atLeast"/>
        <w:ind w:firstLine="480" w:firstLineChars="200"/>
        <w:rPr>
          <w:rFonts w:asciiTheme="minorEastAsia" w:hAnsiTheme="minorEastAsia"/>
          <w:sz w:val="24"/>
        </w:rPr>
      </w:pPr>
      <w:r>
        <w:rPr>
          <w:rFonts w:hint="eastAsia" w:asciiTheme="minorEastAsia" w:hAnsiTheme="minorEastAsia"/>
          <w:sz w:val="24"/>
        </w:rPr>
        <w:t>（二）担任资产评估机构的股东（或合伙人）；</w:t>
      </w:r>
    </w:p>
    <w:p w14:paraId="7376DD13">
      <w:pPr>
        <w:spacing w:line="440" w:lineRule="atLeast"/>
        <w:ind w:firstLine="480" w:firstLineChars="200"/>
        <w:rPr>
          <w:rFonts w:asciiTheme="minorEastAsia" w:hAnsiTheme="minorEastAsia"/>
          <w:sz w:val="24"/>
        </w:rPr>
      </w:pPr>
      <w:r>
        <w:rPr>
          <w:rFonts w:hint="eastAsia" w:asciiTheme="minorEastAsia" w:hAnsiTheme="minorEastAsia"/>
          <w:sz w:val="24"/>
        </w:rPr>
        <w:t xml:space="preserve">（三）取得资产评估师证书后，近三年连续专职从事资产评估业务； </w:t>
      </w:r>
    </w:p>
    <w:p w14:paraId="661A7D7C">
      <w:pPr>
        <w:spacing w:line="440" w:lineRule="atLeast"/>
        <w:ind w:firstLine="480" w:firstLineChars="200"/>
        <w:rPr>
          <w:rFonts w:asciiTheme="minorEastAsia" w:hAnsiTheme="minorEastAsia"/>
          <w:sz w:val="24"/>
        </w:rPr>
      </w:pPr>
      <w:r>
        <w:rPr>
          <w:rFonts w:hint="eastAsia" w:asciiTheme="minorEastAsia" w:hAnsiTheme="minorEastAsia"/>
          <w:sz w:val="24"/>
        </w:rPr>
        <w:t>（四）成为首席评估师前，三年内未因评估执业行为受到行业自律惩戒或行政处罚；</w:t>
      </w:r>
    </w:p>
    <w:p w14:paraId="414E2BD2">
      <w:pPr>
        <w:spacing w:line="440" w:lineRule="atLeast"/>
        <w:ind w:firstLine="480" w:firstLineChars="200"/>
        <w:rPr>
          <w:rFonts w:asciiTheme="minorEastAsia" w:hAnsiTheme="minorEastAsia"/>
          <w:sz w:val="24"/>
        </w:rPr>
      </w:pPr>
      <w:r>
        <w:rPr>
          <w:rFonts w:hint="eastAsia" w:asciiTheme="minorEastAsia" w:hAnsiTheme="minorEastAsia"/>
          <w:sz w:val="24"/>
        </w:rPr>
        <w:t>（五）熟悉国家相关的法律制度和资产评估准则，熟练掌握评估技术和质量监控的业务知识，具有较强的专业能力和组织管理能力；</w:t>
      </w:r>
    </w:p>
    <w:p w14:paraId="711EA340">
      <w:pPr>
        <w:spacing w:line="440" w:lineRule="atLeast"/>
        <w:ind w:firstLine="480" w:firstLineChars="200"/>
        <w:rPr>
          <w:rFonts w:asciiTheme="minorEastAsia" w:hAnsiTheme="minorEastAsia"/>
          <w:sz w:val="24"/>
        </w:rPr>
      </w:pPr>
      <w:r>
        <w:rPr>
          <w:rFonts w:hint="eastAsia" w:asciiTheme="minorEastAsia" w:hAnsiTheme="minorEastAsia"/>
          <w:sz w:val="24"/>
        </w:rPr>
        <w:t>（六）具有良好的社会声誉和职业道德，忠诚评估行业，积极为资产评估行业发展作贡献。</w:t>
      </w:r>
    </w:p>
    <w:p w14:paraId="350B6422">
      <w:pPr>
        <w:spacing w:line="440" w:lineRule="atLeast"/>
        <w:ind w:firstLine="482" w:firstLineChars="200"/>
        <w:rPr>
          <w:rFonts w:asciiTheme="minorEastAsia" w:hAnsiTheme="minorEastAsia"/>
          <w:sz w:val="24"/>
        </w:rPr>
      </w:pPr>
      <w:r>
        <w:rPr>
          <w:rFonts w:hint="eastAsia" w:asciiTheme="minorEastAsia" w:hAnsiTheme="minorEastAsia"/>
          <w:b/>
          <w:sz w:val="24"/>
        </w:rPr>
        <w:t>第七条</w:t>
      </w:r>
      <w:r>
        <w:rPr>
          <w:rFonts w:hint="eastAsia" w:asciiTheme="minorEastAsia" w:hAnsiTheme="minorEastAsia"/>
          <w:sz w:val="24"/>
        </w:rPr>
        <w:t xml:space="preserve">  首席评估师由资产评估机构最高管理层提名产生。</w:t>
      </w:r>
    </w:p>
    <w:p w14:paraId="51D5B754">
      <w:pPr>
        <w:spacing w:line="440" w:lineRule="atLeast"/>
        <w:ind w:firstLine="482" w:firstLineChars="200"/>
        <w:rPr>
          <w:rFonts w:asciiTheme="minorEastAsia" w:hAnsiTheme="minorEastAsia"/>
          <w:sz w:val="24"/>
        </w:rPr>
      </w:pPr>
      <w:r>
        <w:rPr>
          <w:rFonts w:hint="eastAsia" w:asciiTheme="minorEastAsia" w:hAnsiTheme="minorEastAsia"/>
          <w:b/>
          <w:sz w:val="24"/>
        </w:rPr>
        <w:t>第八条</w:t>
      </w:r>
      <w:r>
        <w:rPr>
          <w:rFonts w:hint="eastAsia" w:asciiTheme="minorEastAsia" w:hAnsiTheme="minorEastAsia"/>
          <w:sz w:val="24"/>
        </w:rPr>
        <w:t xml:space="preserve">  资产评估机构任命首席评估师后，应当在10个工作日内备案，其中：证券评估机构向中评协备案，非证券评估机构向所在地地方协会备案。</w:t>
      </w:r>
    </w:p>
    <w:p w14:paraId="51E49F8A">
      <w:pPr>
        <w:spacing w:line="440" w:lineRule="atLeast"/>
        <w:ind w:firstLine="480" w:firstLineChars="200"/>
        <w:rPr>
          <w:rFonts w:asciiTheme="minorEastAsia" w:hAnsiTheme="minorEastAsia"/>
          <w:sz w:val="24"/>
        </w:rPr>
      </w:pPr>
      <w:r>
        <w:rPr>
          <w:rFonts w:hint="eastAsia" w:asciiTheme="minorEastAsia" w:hAnsiTheme="minorEastAsia"/>
          <w:sz w:val="24"/>
        </w:rPr>
        <w:t>办理首席评估师备案应提交下列材料：</w:t>
      </w:r>
    </w:p>
    <w:p w14:paraId="6C9BA7AE">
      <w:pPr>
        <w:spacing w:line="440" w:lineRule="atLeast"/>
        <w:ind w:firstLine="480" w:firstLineChars="200"/>
        <w:rPr>
          <w:rFonts w:asciiTheme="minorEastAsia" w:hAnsiTheme="minorEastAsia"/>
          <w:sz w:val="24"/>
        </w:rPr>
      </w:pPr>
      <w:r>
        <w:rPr>
          <w:rFonts w:hint="eastAsia" w:asciiTheme="minorEastAsia" w:hAnsiTheme="minorEastAsia"/>
          <w:sz w:val="24"/>
        </w:rPr>
        <w:t>（一）任命或聘任首席评估师的文件；</w:t>
      </w:r>
    </w:p>
    <w:p w14:paraId="2F748120">
      <w:pPr>
        <w:spacing w:line="440" w:lineRule="atLeast"/>
        <w:ind w:firstLine="480" w:firstLineChars="200"/>
        <w:rPr>
          <w:rFonts w:asciiTheme="minorEastAsia" w:hAnsiTheme="minorEastAsia"/>
          <w:sz w:val="24"/>
        </w:rPr>
      </w:pPr>
      <w:r>
        <w:rPr>
          <w:rFonts w:hint="eastAsia" w:asciiTheme="minorEastAsia" w:hAnsiTheme="minorEastAsia"/>
          <w:sz w:val="24"/>
        </w:rPr>
        <w:t>（二）首席评估师基本情况备案表；</w:t>
      </w:r>
    </w:p>
    <w:p w14:paraId="1D6DCCFD">
      <w:pPr>
        <w:spacing w:line="440" w:lineRule="atLeast"/>
        <w:ind w:firstLine="480" w:firstLineChars="200"/>
        <w:rPr>
          <w:rFonts w:asciiTheme="minorEastAsia" w:hAnsiTheme="minorEastAsia"/>
          <w:sz w:val="24"/>
        </w:rPr>
      </w:pPr>
      <w:r>
        <w:rPr>
          <w:rFonts w:hint="eastAsia" w:asciiTheme="minorEastAsia" w:hAnsiTheme="minorEastAsia"/>
          <w:sz w:val="24"/>
        </w:rPr>
        <w:t>（三）本机构首席评估师管理制度。</w:t>
      </w:r>
    </w:p>
    <w:p w14:paraId="5CC074D5">
      <w:pPr>
        <w:spacing w:line="440" w:lineRule="atLeast"/>
        <w:ind w:firstLine="482" w:firstLineChars="200"/>
        <w:rPr>
          <w:rFonts w:asciiTheme="minorEastAsia" w:hAnsiTheme="minorEastAsia"/>
          <w:sz w:val="24"/>
        </w:rPr>
      </w:pPr>
      <w:r>
        <w:rPr>
          <w:rFonts w:hint="eastAsia" w:asciiTheme="minorEastAsia" w:hAnsiTheme="minorEastAsia"/>
          <w:b/>
          <w:sz w:val="24"/>
        </w:rPr>
        <w:t>第九条</w:t>
      </w:r>
      <w:r>
        <w:rPr>
          <w:rFonts w:hint="eastAsia" w:asciiTheme="minorEastAsia" w:hAnsiTheme="minorEastAsia"/>
          <w:sz w:val="24"/>
        </w:rPr>
        <w:t xml:space="preserve">  评估协会发现资产评估机构备案的首席评估师人选不符合本办法第六条规定条件的，应当及时要求资产评估机构更换人选。</w:t>
      </w:r>
    </w:p>
    <w:p w14:paraId="7401BEF4">
      <w:pPr>
        <w:spacing w:line="440" w:lineRule="atLeast"/>
        <w:jc w:val="center"/>
        <w:rPr>
          <w:rFonts w:asciiTheme="minorEastAsia" w:hAnsiTheme="minorEastAsia"/>
          <w:b/>
          <w:sz w:val="24"/>
        </w:rPr>
      </w:pPr>
      <w:r>
        <w:rPr>
          <w:rFonts w:hint="eastAsia" w:asciiTheme="minorEastAsia" w:hAnsiTheme="minorEastAsia"/>
          <w:b/>
          <w:sz w:val="24"/>
        </w:rPr>
        <w:t>第三章</w:t>
      </w:r>
      <w:r>
        <w:rPr>
          <w:rFonts w:hint="eastAsia" w:asciiTheme="minorEastAsia" w:hAnsiTheme="minorEastAsia"/>
          <w:b/>
          <w:sz w:val="24"/>
        </w:rPr>
        <w:tab/>
      </w:r>
      <w:r>
        <w:rPr>
          <w:rFonts w:hint="eastAsia" w:asciiTheme="minorEastAsia" w:hAnsiTheme="minorEastAsia"/>
          <w:b/>
          <w:sz w:val="24"/>
        </w:rPr>
        <w:t>首席评估师的职责和权限</w:t>
      </w:r>
    </w:p>
    <w:p w14:paraId="38071E5C">
      <w:pPr>
        <w:spacing w:line="440" w:lineRule="atLeast"/>
        <w:ind w:firstLine="482" w:firstLineChars="200"/>
        <w:rPr>
          <w:rFonts w:asciiTheme="minorEastAsia" w:hAnsiTheme="minorEastAsia"/>
          <w:sz w:val="24"/>
        </w:rPr>
      </w:pPr>
      <w:r>
        <w:rPr>
          <w:rFonts w:hint="eastAsia" w:asciiTheme="minorEastAsia" w:hAnsiTheme="minorEastAsia"/>
          <w:b/>
          <w:sz w:val="24"/>
        </w:rPr>
        <w:t>第十条</w:t>
      </w:r>
      <w:r>
        <w:rPr>
          <w:rFonts w:hint="eastAsia" w:asciiTheme="minorEastAsia" w:hAnsiTheme="minorEastAsia"/>
          <w:sz w:val="24"/>
        </w:rPr>
        <w:t xml:space="preserve">  首席评估师代表资产评估机构最高管理层负责本机构下列工作：</w:t>
      </w:r>
    </w:p>
    <w:p w14:paraId="36A4357C">
      <w:pPr>
        <w:spacing w:line="440" w:lineRule="atLeast"/>
        <w:ind w:firstLine="480" w:firstLineChars="200"/>
        <w:rPr>
          <w:rFonts w:asciiTheme="minorEastAsia" w:hAnsiTheme="minorEastAsia"/>
          <w:sz w:val="24"/>
        </w:rPr>
      </w:pPr>
      <w:r>
        <w:rPr>
          <w:rFonts w:hint="eastAsia" w:asciiTheme="minorEastAsia" w:hAnsiTheme="minorEastAsia"/>
          <w:sz w:val="24"/>
        </w:rPr>
        <w:t>（一）确保机构内部质量控制体系的建立，推动质量控制体系的实施，监督质量控制体系的运行，向最高管理层报告并提出改进的建议和方案；</w:t>
      </w:r>
    </w:p>
    <w:p w14:paraId="2536712E">
      <w:pPr>
        <w:spacing w:line="440" w:lineRule="atLeast"/>
        <w:ind w:firstLine="480" w:firstLineChars="200"/>
        <w:rPr>
          <w:rFonts w:asciiTheme="minorEastAsia" w:hAnsiTheme="minorEastAsia"/>
          <w:sz w:val="24"/>
        </w:rPr>
      </w:pPr>
      <w:r>
        <w:rPr>
          <w:rFonts w:hint="eastAsia" w:asciiTheme="minorEastAsia" w:hAnsiTheme="minorEastAsia"/>
          <w:sz w:val="24"/>
        </w:rPr>
        <w:t>（二）组织制定机构内部的技术标准；</w:t>
      </w:r>
    </w:p>
    <w:p w14:paraId="49AB1EBA">
      <w:pPr>
        <w:spacing w:line="440" w:lineRule="atLeast"/>
        <w:ind w:firstLine="480" w:firstLineChars="200"/>
        <w:rPr>
          <w:rFonts w:asciiTheme="minorEastAsia" w:hAnsiTheme="minorEastAsia"/>
          <w:sz w:val="24"/>
        </w:rPr>
      </w:pPr>
      <w:r>
        <w:rPr>
          <w:rFonts w:hint="eastAsia" w:asciiTheme="minorEastAsia" w:hAnsiTheme="minorEastAsia"/>
          <w:sz w:val="24"/>
        </w:rPr>
        <w:t>（三）组织对业务疑难问题或者争议事项进行处理；</w:t>
      </w:r>
    </w:p>
    <w:p w14:paraId="5F0561A1">
      <w:pPr>
        <w:spacing w:line="440" w:lineRule="atLeast"/>
        <w:ind w:firstLine="480" w:firstLineChars="200"/>
        <w:rPr>
          <w:rFonts w:asciiTheme="minorEastAsia" w:hAnsiTheme="minorEastAsia"/>
          <w:sz w:val="24"/>
        </w:rPr>
      </w:pPr>
      <w:r>
        <w:rPr>
          <w:rFonts w:hint="eastAsia" w:asciiTheme="minorEastAsia" w:hAnsiTheme="minorEastAsia"/>
          <w:sz w:val="24"/>
        </w:rPr>
        <w:t>（四）组织评估人员的业务培训；</w:t>
      </w:r>
    </w:p>
    <w:p w14:paraId="19211C32">
      <w:pPr>
        <w:spacing w:line="440" w:lineRule="atLeast"/>
        <w:ind w:firstLine="480" w:firstLineChars="200"/>
        <w:rPr>
          <w:rFonts w:asciiTheme="minorEastAsia" w:hAnsiTheme="minorEastAsia"/>
          <w:sz w:val="24"/>
        </w:rPr>
      </w:pPr>
      <w:r>
        <w:rPr>
          <w:rFonts w:hint="eastAsia" w:asciiTheme="minorEastAsia" w:hAnsiTheme="minorEastAsia"/>
          <w:sz w:val="24"/>
        </w:rPr>
        <w:t>（五）承办最高管理层交办的其他工作。</w:t>
      </w:r>
    </w:p>
    <w:p w14:paraId="469B253F">
      <w:pPr>
        <w:spacing w:line="440" w:lineRule="atLeast"/>
        <w:ind w:firstLine="482" w:firstLineChars="200"/>
        <w:rPr>
          <w:rFonts w:asciiTheme="minorEastAsia" w:hAnsiTheme="minorEastAsia"/>
          <w:sz w:val="24"/>
        </w:rPr>
      </w:pPr>
      <w:r>
        <w:rPr>
          <w:rFonts w:hint="eastAsia" w:asciiTheme="minorEastAsia" w:hAnsiTheme="minorEastAsia"/>
          <w:b/>
          <w:sz w:val="24"/>
        </w:rPr>
        <w:t>第十一条</w:t>
      </w:r>
      <w:r>
        <w:rPr>
          <w:rFonts w:hint="eastAsia" w:asciiTheme="minorEastAsia" w:hAnsiTheme="minorEastAsia"/>
          <w:sz w:val="24"/>
        </w:rPr>
        <w:t xml:space="preserve">  首席评估师应当积极参加评估协会组织的专业监管工作，参与课题研究、准则制订、培训教学和专业咨询等行业建设工作。</w:t>
      </w:r>
    </w:p>
    <w:p w14:paraId="20E30C83">
      <w:pPr>
        <w:spacing w:line="440" w:lineRule="atLeast"/>
        <w:ind w:firstLine="482" w:firstLineChars="200"/>
        <w:rPr>
          <w:rFonts w:asciiTheme="minorEastAsia" w:hAnsiTheme="minorEastAsia"/>
          <w:sz w:val="24"/>
        </w:rPr>
      </w:pPr>
      <w:r>
        <w:rPr>
          <w:rFonts w:hint="eastAsia" w:asciiTheme="minorEastAsia" w:hAnsiTheme="minorEastAsia"/>
          <w:b/>
          <w:sz w:val="24"/>
        </w:rPr>
        <w:t>第十二条</w:t>
      </w:r>
      <w:r>
        <w:rPr>
          <w:rFonts w:hint="eastAsia" w:asciiTheme="minorEastAsia" w:hAnsiTheme="minorEastAsia"/>
          <w:sz w:val="24"/>
        </w:rPr>
        <w:t xml:space="preserve">  首席评估师享有以下权利:</w:t>
      </w:r>
    </w:p>
    <w:p w14:paraId="229BBEC0">
      <w:pPr>
        <w:spacing w:line="440" w:lineRule="atLeast"/>
        <w:ind w:firstLine="480" w:firstLineChars="200"/>
        <w:rPr>
          <w:rFonts w:asciiTheme="minorEastAsia" w:hAnsiTheme="minorEastAsia"/>
          <w:sz w:val="24"/>
        </w:rPr>
      </w:pPr>
      <w:r>
        <w:rPr>
          <w:rFonts w:hint="eastAsia" w:asciiTheme="minorEastAsia" w:hAnsiTheme="minorEastAsia"/>
          <w:sz w:val="24"/>
        </w:rPr>
        <w:t>（一）对本机构违反质量控制体系的行为，有权制止或者纠正，对制止或者纠正无效的，提请最高管理层处理；</w:t>
      </w:r>
    </w:p>
    <w:p w14:paraId="0746AE65">
      <w:pPr>
        <w:spacing w:line="440" w:lineRule="atLeast"/>
        <w:ind w:firstLine="480" w:firstLineChars="200"/>
        <w:rPr>
          <w:rFonts w:asciiTheme="minorEastAsia" w:hAnsiTheme="minorEastAsia"/>
          <w:sz w:val="24"/>
        </w:rPr>
      </w:pPr>
      <w:r>
        <w:rPr>
          <w:rFonts w:hint="eastAsia" w:asciiTheme="minorEastAsia" w:hAnsiTheme="minorEastAsia"/>
          <w:sz w:val="24"/>
        </w:rPr>
        <w:t>（二）对本机构有重大争议的评估报告，有权组织专业评审，评审意见不一致时，提请最高管理层处理；</w:t>
      </w:r>
    </w:p>
    <w:p w14:paraId="3923CC52">
      <w:pPr>
        <w:spacing w:line="440" w:lineRule="atLeast"/>
        <w:ind w:firstLine="480" w:firstLineChars="200"/>
        <w:rPr>
          <w:rFonts w:asciiTheme="minorEastAsia" w:hAnsiTheme="minorEastAsia"/>
          <w:sz w:val="24"/>
        </w:rPr>
      </w:pPr>
      <w:r>
        <w:rPr>
          <w:rFonts w:hint="eastAsia" w:asciiTheme="minorEastAsia" w:hAnsiTheme="minorEastAsia"/>
          <w:sz w:val="24"/>
        </w:rPr>
        <w:t>（三）优先参加评估协会举办的学术研究和相关学术活动；</w:t>
      </w:r>
    </w:p>
    <w:p w14:paraId="72837F98">
      <w:pPr>
        <w:spacing w:line="440" w:lineRule="atLeast"/>
        <w:ind w:firstLine="480" w:firstLineChars="200"/>
        <w:rPr>
          <w:rFonts w:asciiTheme="minorEastAsia" w:hAnsiTheme="minorEastAsia"/>
          <w:sz w:val="24"/>
        </w:rPr>
      </w:pPr>
      <w:r>
        <w:rPr>
          <w:rFonts w:hint="eastAsia" w:asciiTheme="minorEastAsia" w:hAnsiTheme="minorEastAsia"/>
          <w:sz w:val="24"/>
        </w:rPr>
        <w:t>（四）优先成为评估协会专家库成员；</w:t>
      </w:r>
    </w:p>
    <w:p w14:paraId="3988B41F">
      <w:pPr>
        <w:spacing w:line="440" w:lineRule="atLeast"/>
        <w:ind w:firstLine="480" w:firstLineChars="200"/>
        <w:rPr>
          <w:rFonts w:asciiTheme="minorEastAsia" w:hAnsiTheme="minorEastAsia"/>
          <w:sz w:val="24"/>
        </w:rPr>
      </w:pPr>
      <w:r>
        <w:rPr>
          <w:rFonts w:hint="eastAsia" w:asciiTheme="minorEastAsia" w:hAnsiTheme="minorEastAsia"/>
          <w:sz w:val="24"/>
        </w:rPr>
        <w:t>（五）优先作为评估行业专业人才向其他相关部门推荐。</w:t>
      </w:r>
    </w:p>
    <w:p w14:paraId="52622ADB">
      <w:pPr>
        <w:spacing w:line="440" w:lineRule="atLeast"/>
        <w:ind w:firstLine="482" w:firstLineChars="200"/>
        <w:rPr>
          <w:rFonts w:asciiTheme="minorEastAsia" w:hAnsiTheme="minorEastAsia"/>
          <w:sz w:val="24"/>
        </w:rPr>
      </w:pPr>
      <w:r>
        <w:rPr>
          <w:rFonts w:hint="eastAsia" w:asciiTheme="minorEastAsia" w:hAnsiTheme="minorEastAsia"/>
          <w:b/>
          <w:sz w:val="24"/>
        </w:rPr>
        <w:t>第十三条</w:t>
      </w:r>
      <w:r>
        <w:rPr>
          <w:rFonts w:hint="eastAsia" w:asciiTheme="minorEastAsia" w:hAnsiTheme="minorEastAsia"/>
          <w:sz w:val="24"/>
        </w:rPr>
        <w:t xml:space="preserve">  资产评估机构执业人员的任用、晋升、调动、奖惩，应当事先征求首席评估师的意见。</w:t>
      </w:r>
    </w:p>
    <w:p w14:paraId="4174649B">
      <w:pPr>
        <w:spacing w:line="440" w:lineRule="atLeast"/>
        <w:jc w:val="center"/>
        <w:rPr>
          <w:rFonts w:asciiTheme="minorEastAsia" w:hAnsiTheme="minorEastAsia"/>
          <w:b/>
          <w:sz w:val="24"/>
        </w:rPr>
      </w:pPr>
      <w:r>
        <w:rPr>
          <w:rFonts w:hint="eastAsia" w:asciiTheme="minorEastAsia" w:hAnsiTheme="minorEastAsia"/>
          <w:b/>
          <w:sz w:val="24"/>
        </w:rPr>
        <w:t>第四章</w:t>
      </w:r>
      <w:r>
        <w:rPr>
          <w:rFonts w:hint="eastAsia" w:asciiTheme="minorEastAsia" w:hAnsiTheme="minorEastAsia"/>
          <w:b/>
          <w:sz w:val="24"/>
        </w:rPr>
        <w:tab/>
      </w:r>
      <w:r>
        <w:rPr>
          <w:rFonts w:hint="eastAsia" w:asciiTheme="minorEastAsia" w:hAnsiTheme="minorEastAsia"/>
          <w:b/>
          <w:sz w:val="24"/>
        </w:rPr>
        <w:t>首席评估师的管理</w:t>
      </w:r>
    </w:p>
    <w:p w14:paraId="5C478111">
      <w:pPr>
        <w:spacing w:line="440" w:lineRule="atLeast"/>
        <w:ind w:firstLine="482" w:firstLineChars="200"/>
        <w:rPr>
          <w:rFonts w:asciiTheme="minorEastAsia" w:hAnsiTheme="minorEastAsia"/>
          <w:sz w:val="24"/>
        </w:rPr>
      </w:pPr>
      <w:r>
        <w:rPr>
          <w:rFonts w:hint="eastAsia" w:asciiTheme="minorEastAsia" w:hAnsiTheme="minorEastAsia"/>
          <w:b/>
          <w:sz w:val="24"/>
        </w:rPr>
        <w:t>第十四条</w:t>
      </w:r>
      <w:r>
        <w:rPr>
          <w:rFonts w:hint="eastAsia" w:asciiTheme="minorEastAsia" w:hAnsiTheme="minorEastAsia"/>
          <w:sz w:val="24"/>
        </w:rPr>
        <w:t xml:space="preserve">  首席评估师任期3年，可连任。</w:t>
      </w:r>
    </w:p>
    <w:p w14:paraId="492C40B6">
      <w:pPr>
        <w:spacing w:line="440" w:lineRule="atLeast"/>
        <w:ind w:firstLine="480" w:firstLineChars="200"/>
        <w:rPr>
          <w:rFonts w:asciiTheme="minorEastAsia" w:hAnsiTheme="minorEastAsia"/>
          <w:sz w:val="24"/>
        </w:rPr>
      </w:pPr>
      <w:r>
        <w:rPr>
          <w:rFonts w:hint="eastAsia" w:asciiTheme="minorEastAsia" w:hAnsiTheme="minorEastAsia"/>
          <w:sz w:val="24"/>
        </w:rPr>
        <w:t>首席评估师应当于每年3月底前，向评估协会提交年度履职情况和本机构执业质量控制体系运转情况报告。</w:t>
      </w:r>
    </w:p>
    <w:p w14:paraId="09C5BE44">
      <w:pPr>
        <w:spacing w:line="440" w:lineRule="atLeast"/>
        <w:ind w:firstLine="482" w:firstLineChars="200"/>
        <w:rPr>
          <w:rFonts w:asciiTheme="minorEastAsia" w:hAnsiTheme="minorEastAsia"/>
          <w:sz w:val="24"/>
        </w:rPr>
      </w:pPr>
      <w:r>
        <w:rPr>
          <w:rFonts w:hint="eastAsia" w:asciiTheme="minorEastAsia" w:hAnsiTheme="minorEastAsia"/>
          <w:b/>
          <w:sz w:val="24"/>
        </w:rPr>
        <w:t>第十五条</w:t>
      </w:r>
      <w:r>
        <w:rPr>
          <w:rFonts w:hint="eastAsia" w:asciiTheme="minorEastAsia" w:hAnsiTheme="minorEastAsia"/>
          <w:sz w:val="24"/>
        </w:rPr>
        <w:t xml:space="preserve">  资产评估机构变更首席评估师的，按照本办法第六条至第九条的规定办理。</w:t>
      </w:r>
    </w:p>
    <w:p w14:paraId="32069CA1">
      <w:pPr>
        <w:spacing w:line="440" w:lineRule="atLeast"/>
        <w:ind w:firstLine="482" w:firstLineChars="200"/>
        <w:rPr>
          <w:rFonts w:asciiTheme="minorEastAsia" w:hAnsiTheme="minorEastAsia"/>
          <w:sz w:val="24"/>
        </w:rPr>
      </w:pPr>
      <w:r>
        <w:rPr>
          <w:rFonts w:hint="eastAsia" w:asciiTheme="minorEastAsia" w:hAnsiTheme="minorEastAsia"/>
          <w:b/>
          <w:sz w:val="24"/>
        </w:rPr>
        <w:t>第十六条</w:t>
      </w:r>
      <w:r>
        <w:rPr>
          <w:rFonts w:hint="eastAsia" w:asciiTheme="minorEastAsia" w:hAnsiTheme="minorEastAsia"/>
          <w:sz w:val="24"/>
        </w:rPr>
        <w:t xml:space="preserve">  首席评估师有下列情形之一的，资产评估机构应当在20个工作日变更首席评估师，并向资产评估协会备案：</w:t>
      </w:r>
    </w:p>
    <w:p w14:paraId="21237B9F">
      <w:pPr>
        <w:spacing w:line="440" w:lineRule="atLeast"/>
        <w:ind w:firstLine="480" w:firstLineChars="200"/>
        <w:rPr>
          <w:rFonts w:asciiTheme="minorEastAsia" w:hAnsiTheme="minorEastAsia"/>
          <w:sz w:val="24"/>
        </w:rPr>
      </w:pPr>
      <w:r>
        <w:rPr>
          <w:rFonts w:hint="eastAsia" w:asciiTheme="minorEastAsia" w:hAnsiTheme="minorEastAsia"/>
          <w:sz w:val="24"/>
        </w:rPr>
        <w:t>（一）未能认真履行本办法规定的首席评估师职责的；</w:t>
      </w:r>
    </w:p>
    <w:p w14:paraId="73726D31">
      <w:pPr>
        <w:spacing w:line="440" w:lineRule="atLeast"/>
        <w:ind w:firstLine="480" w:firstLineChars="200"/>
        <w:rPr>
          <w:rFonts w:asciiTheme="minorEastAsia" w:hAnsiTheme="minorEastAsia"/>
          <w:sz w:val="24"/>
        </w:rPr>
      </w:pPr>
      <w:r>
        <w:rPr>
          <w:rFonts w:hint="eastAsia" w:asciiTheme="minorEastAsia" w:hAnsiTheme="minorEastAsia"/>
          <w:sz w:val="24"/>
        </w:rPr>
        <w:t>（二）因评估执业行为受到行业自律惩戒或行政处罚的；</w:t>
      </w:r>
    </w:p>
    <w:p w14:paraId="5F086922">
      <w:pPr>
        <w:spacing w:line="440" w:lineRule="atLeast"/>
        <w:ind w:firstLine="480" w:firstLineChars="200"/>
        <w:rPr>
          <w:rFonts w:asciiTheme="minorEastAsia" w:hAnsiTheme="minorEastAsia"/>
          <w:sz w:val="24"/>
        </w:rPr>
      </w:pPr>
      <w:r>
        <w:rPr>
          <w:rFonts w:hint="eastAsia" w:asciiTheme="minorEastAsia" w:hAnsiTheme="minorEastAsia"/>
          <w:sz w:val="24"/>
        </w:rPr>
        <w:t>（三）受到刑事处罚的；</w:t>
      </w:r>
    </w:p>
    <w:p w14:paraId="3E7D008A">
      <w:pPr>
        <w:spacing w:line="440" w:lineRule="atLeast"/>
        <w:ind w:firstLine="480" w:firstLineChars="200"/>
        <w:rPr>
          <w:rFonts w:asciiTheme="minorEastAsia" w:hAnsiTheme="minorEastAsia"/>
          <w:sz w:val="24"/>
        </w:rPr>
      </w:pPr>
      <w:r>
        <w:rPr>
          <w:rFonts w:hint="eastAsia" w:asciiTheme="minorEastAsia" w:hAnsiTheme="minorEastAsia"/>
          <w:sz w:val="24"/>
        </w:rPr>
        <w:t>（四）工作中出现重大失误，导致本机构出具的评估报告出现重大执业质量问题，且产生严重后果的；</w:t>
      </w:r>
    </w:p>
    <w:p w14:paraId="7DE060D9">
      <w:pPr>
        <w:spacing w:line="440" w:lineRule="atLeast"/>
        <w:ind w:firstLine="480" w:firstLineChars="200"/>
        <w:rPr>
          <w:rFonts w:asciiTheme="minorEastAsia" w:hAnsiTheme="minorEastAsia"/>
          <w:sz w:val="24"/>
        </w:rPr>
      </w:pPr>
      <w:r>
        <w:rPr>
          <w:rFonts w:hint="eastAsia" w:asciiTheme="minorEastAsia" w:hAnsiTheme="minorEastAsia"/>
          <w:sz w:val="24"/>
        </w:rPr>
        <w:t>（五）因情况变化不再符合本办法规定的首席评估师任职条件的。</w:t>
      </w:r>
    </w:p>
    <w:p w14:paraId="6E020D03">
      <w:pPr>
        <w:spacing w:line="440" w:lineRule="atLeast"/>
        <w:ind w:firstLine="482" w:firstLineChars="200"/>
        <w:rPr>
          <w:rFonts w:asciiTheme="minorEastAsia" w:hAnsiTheme="minorEastAsia"/>
          <w:sz w:val="24"/>
        </w:rPr>
      </w:pPr>
      <w:r>
        <w:rPr>
          <w:rFonts w:hint="eastAsia" w:asciiTheme="minorEastAsia" w:hAnsiTheme="minorEastAsia"/>
          <w:b/>
          <w:sz w:val="24"/>
        </w:rPr>
        <w:t>第十七条</w:t>
      </w:r>
      <w:r>
        <w:rPr>
          <w:rFonts w:hint="eastAsia" w:asciiTheme="minorEastAsia" w:hAnsiTheme="minorEastAsia"/>
          <w:sz w:val="24"/>
        </w:rPr>
        <w:t xml:space="preserve">  评估协会应当建立资产评估机构首席评估师档案。地方协会应当将首席评估师档案向中评协备案。</w:t>
      </w:r>
    </w:p>
    <w:p w14:paraId="6A5E7646">
      <w:pPr>
        <w:spacing w:line="440" w:lineRule="atLeast"/>
        <w:ind w:firstLine="480" w:firstLineChars="200"/>
        <w:rPr>
          <w:rFonts w:asciiTheme="minorEastAsia" w:hAnsiTheme="minorEastAsia"/>
          <w:sz w:val="24"/>
        </w:rPr>
      </w:pPr>
      <w:r>
        <w:rPr>
          <w:rFonts w:hint="eastAsia" w:asciiTheme="minorEastAsia" w:hAnsiTheme="minorEastAsia"/>
          <w:sz w:val="24"/>
        </w:rPr>
        <w:t xml:space="preserve">评估协会应当每年对资产评估机构首席评估师予以公示。 </w:t>
      </w:r>
    </w:p>
    <w:p w14:paraId="3BF2689E">
      <w:pPr>
        <w:spacing w:line="440" w:lineRule="atLeast"/>
        <w:ind w:firstLine="482" w:firstLineChars="200"/>
        <w:rPr>
          <w:rFonts w:asciiTheme="minorEastAsia" w:hAnsiTheme="minorEastAsia"/>
          <w:sz w:val="24"/>
        </w:rPr>
      </w:pPr>
      <w:r>
        <w:rPr>
          <w:rFonts w:hint="eastAsia" w:asciiTheme="minorEastAsia" w:hAnsiTheme="minorEastAsia"/>
          <w:b/>
          <w:sz w:val="24"/>
        </w:rPr>
        <w:t>第十八条</w:t>
      </w:r>
      <w:r>
        <w:rPr>
          <w:rFonts w:hint="eastAsia" w:asciiTheme="minorEastAsia" w:hAnsiTheme="minorEastAsia"/>
          <w:sz w:val="24"/>
        </w:rPr>
        <w:t xml:space="preserve">  评估协会应当每年对首席评估师进行胜任能力培训。</w:t>
      </w:r>
    </w:p>
    <w:p w14:paraId="0204389A">
      <w:pPr>
        <w:spacing w:line="440" w:lineRule="atLeast"/>
        <w:ind w:firstLine="482" w:firstLineChars="200"/>
        <w:rPr>
          <w:rFonts w:asciiTheme="minorEastAsia" w:hAnsiTheme="minorEastAsia"/>
          <w:sz w:val="24"/>
        </w:rPr>
      </w:pPr>
      <w:r>
        <w:rPr>
          <w:rFonts w:hint="eastAsia" w:asciiTheme="minorEastAsia" w:hAnsiTheme="minorEastAsia"/>
          <w:b/>
          <w:sz w:val="24"/>
        </w:rPr>
        <w:t>第十九条</w:t>
      </w:r>
      <w:r>
        <w:rPr>
          <w:rFonts w:hint="eastAsia" w:asciiTheme="minorEastAsia" w:hAnsiTheme="minorEastAsia"/>
          <w:sz w:val="24"/>
        </w:rPr>
        <w:t xml:space="preserve">  评估协会对涉及评估报告执业质量的案件，可以对该机构首席评估师进行约谈。</w:t>
      </w:r>
    </w:p>
    <w:p w14:paraId="1857C30E">
      <w:pPr>
        <w:spacing w:line="440" w:lineRule="atLeast"/>
        <w:ind w:firstLine="482" w:firstLineChars="200"/>
        <w:rPr>
          <w:rFonts w:asciiTheme="minorEastAsia" w:hAnsiTheme="minorEastAsia"/>
          <w:sz w:val="24"/>
        </w:rPr>
      </w:pPr>
      <w:r>
        <w:rPr>
          <w:rFonts w:hint="eastAsia" w:asciiTheme="minorEastAsia" w:hAnsiTheme="minorEastAsia"/>
          <w:b/>
          <w:sz w:val="24"/>
        </w:rPr>
        <w:t>第二十条</w:t>
      </w:r>
      <w:r>
        <w:rPr>
          <w:rFonts w:hint="eastAsia" w:asciiTheme="minorEastAsia" w:hAnsiTheme="minorEastAsia"/>
          <w:sz w:val="24"/>
        </w:rPr>
        <w:t xml:space="preserve">  对违反本办法规定的资产评估机构及其首席评估师，评估协会应当要求其限期整改。</w:t>
      </w:r>
    </w:p>
    <w:p w14:paraId="129589F3">
      <w:pPr>
        <w:spacing w:line="440" w:lineRule="atLeast"/>
        <w:jc w:val="center"/>
        <w:rPr>
          <w:rFonts w:asciiTheme="minorEastAsia" w:hAnsiTheme="minorEastAsia"/>
          <w:b/>
          <w:sz w:val="24"/>
        </w:rPr>
      </w:pPr>
      <w:r>
        <w:rPr>
          <w:rFonts w:hint="eastAsia" w:asciiTheme="minorEastAsia" w:hAnsiTheme="minorEastAsia"/>
          <w:b/>
          <w:sz w:val="24"/>
        </w:rPr>
        <w:t>第五章  附  则</w:t>
      </w:r>
    </w:p>
    <w:p w14:paraId="15C65C01">
      <w:pPr>
        <w:spacing w:line="440" w:lineRule="atLeast"/>
        <w:ind w:firstLine="482" w:firstLineChars="200"/>
        <w:rPr>
          <w:rFonts w:asciiTheme="minorEastAsia" w:hAnsiTheme="minorEastAsia"/>
          <w:sz w:val="24"/>
        </w:rPr>
      </w:pPr>
      <w:r>
        <w:rPr>
          <w:rFonts w:hint="eastAsia" w:asciiTheme="minorEastAsia" w:hAnsiTheme="minorEastAsia"/>
          <w:b/>
          <w:sz w:val="24"/>
        </w:rPr>
        <w:t>第二十一条</w:t>
      </w:r>
      <w:r>
        <w:rPr>
          <w:rFonts w:hint="eastAsia" w:asciiTheme="minorEastAsia" w:hAnsiTheme="minorEastAsia"/>
          <w:sz w:val="24"/>
        </w:rPr>
        <w:t xml:space="preserve"> 本办法自发布之日起施行。中国资产评估协会于2014年7月10日发布的《首席评估师管理办法》（中评协</w:t>
      </w:r>
      <w:r>
        <w:rPr>
          <w:rFonts w:asciiTheme="minorEastAsia" w:hAnsiTheme="minorEastAsia"/>
          <w:bCs/>
          <w:sz w:val="24"/>
        </w:rPr>
        <w:t>〔</w:t>
      </w:r>
      <w:r>
        <w:rPr>
          <w:rFonts w:hint="eastAsia" w:asciiTheme="minorEastAsia" w:hAnsiTheme="minorEastAsia"/>
          <w:sz w:val="24"/>
        </w:rPr>
        <w:t>2014</w:t>
      </w:r>
      <w:r>
        <w:rPr>
          <w:rFonts w:asciiTheme="minorEastAsia" w:hAnsiTheme="minorEastAsia"/>
          <w:bCs/>
          <w:sz w:val="24"/>
        </w:rPr>
        <w:t>〕</w:t>
      </w:r>
      <w:r>
        <w:rPr>
          <w:rFonts w:hint="eastAsia" w:asciiTheme="minorEastAsia" w:hAnsiTheme="minorEastAsia"/>
          <w:sz w:val="24"/>
        </w:rPr>
        <w:t>125号）同时废止。</w:t>
      </w:r>
    </w:p>
    <w:p w14:paraId="65D1C50A">
      <w:pPr>
        <w:pStyle w:val="2"/>
      </w:pPr>
      <w:r>
        <w:br w:type="page"/>
      </w:r>
    </w:p>
    <w:p w14:paraId="45E9B49B">
      <w:pPr>
        <w:pStyle w:val="5"/>
        <w:spacing w:line="440" w:lineRule="atLeast"/>
        <w:jc w:val="center"/>
        <w:rPr>
          <w:rFonts w:ascii="宋体" w:hAnsi="宋体" w:eastAsia="宋体" w:cs="宋体"/>
        </w:rPr>
      </w:pPr>
      <w:bookmarkStart w:id="72" w:name="_Toc14672"/>
      <w:r>
        <w:rPr>
          <w:rFonts w:hint="eastAsia" w:ascii="宋体" w:hAnsi="宋体" w:eastAsia="宋体" w:cs="宋体"/>
        </w:rPr>
        <w:t>中国资产评估协会会员执业行为自律惩戒办法</w:t>
      </w:r>
      <w:bookmarkEnd w:id="72"/>
    </w:p>
    <w:p w14:paraId="07F0ED7A">
      <w:pPr>
        <w:shd w:val="clear" w:color="auto" w:fill="FFFFFF"/>
        <w:spacing w:line="440" w:lineRule="atLeast"/>
        <w:jc w:val="center"/>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2018年5月24日中国资产评估协会发布　中评协〔2018〕23号</w:t>
      </w:r>
    </w:p>
    <w:p w14:paraId="29FAB5E7">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第一章　总则</w:t>
      </w:r>
    </w:p>
    <w:p w14:paraId="7056F594">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第一条</w:t>
      </w:r>
      <w:r>
        <w:rPr>
          <w:rFonts w:hint="eastAsia" w:ascii="宋体" w:hAnsi="宋体" w:eastAsia="宋体" w:cs="宋体"/>
          <w:color w:val="000000"/>
          <w:kern w:val="0"/>
          <w:sz w:val="24"/>
          <w:shd w:val="clear" w:color="auto" w:fill="FFFFFF"/>
        </w:rPr>
        <w:t>　为加强资产评估行业自律监管，规范会员执业行为，提高资产评估执业质量，保护资产评估当事人合法权益和公共利益，维护社会主义市场经济秩序，根据《中华人民共和国资产评估法》、国家其他有关法律、行政法规和《中国资产评估协会章程》的规定，制定本办法。</w:t>
      </w:r>
    </w:p>
    <w:p w14:paraId="601E09E0">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第二条</w:t>
      </w:r>
      <w:r>
        <w:rPr>
          <w:rFonts w:hint="eastAsia" w:ascii="宋体" w:hAnsi="宋体" w:eastAsia="宋体" w:cs="宋体"/>
          <w:color w:val="000000"/>
          <w:kern w:val="0"/>
          <w:sz w:val="24"/>
          <w:shd w:val="clear" w:color="auto" w:fill="FFFFFF"/>
        </w:rPr>
        <w:t>　中国资产评估协会（以下简称中评协）负责对会员的违法违规行为进行自律惩戒。</w:t>
      </w:r>
    </w:p>
    <w:p w14:paraId="7969EF4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本办法所称会员是指中评协会员中的个人执业会员和评估机构会员。</w:t>
      </w:r>
    </w:p>
    <w:p w14:paraId="043740D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本办法所称违法违规行为是指会员在执业过程中发生的，违反国家法律、行政法规、资产评估准则和其他相关规定的，应予自律惩戒的行为。</w:t>
      </w:r>
    </w:p>
    <w:p w14:paraId="574EFC44">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第三条</w:t>
      </w:r>
      <w:r>
        <w:rPr>
          <w:rFonts w:hint="eastAsia" w:ascii="宋体" w:hAnsi="宋体" w:eastAsia="宋体" w:cs="宋体"/>
          <w:color w:val="000000"/>
          <w:kern w:val="0"/>
          <w:sz w:val="24"/>
          <w:shd w:val="clear" w:color="auto" w:fill="FFFFFF"/>
        </w:rPr>
        <w:t>　会员有下列情形之一的，依据本办法予以自律惩戒：</w:t>
      </w:r>
    </w:p>
    <w:p w14:paraId="697013F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（一）违反《中华人民共和国资产评估法》、国家其他有关法律、行政法规、规章和规范性文件规定的；</w:t>
      </w:r>
    </w:p>
    <w:p w14:paraId="2C9C866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（二）违反资产评估基本准则的；</w:t>
      </w:r>
    </w:p>
    <w:p w14:paraId="71DBDDE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（三）违反资产评估职业道德准则和执业准则的；</w:t>
      </w:r>
    </w:p>
    <w:p w14:paraId="3ADBFFF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（四）违反《中国资产评估协会章程》规定的；</w:t>
      </w:r>
    </w:p>
    <w:p w14:paraId="7F43FDC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（五）存在其他应予惩戒的违法违规行为的。</w:t>
      </w:r>
    </w:p>
    <w:p w14:paraId="07E37CE1">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第四条</w:t>
      </w:r>
      <w:r>
        <w:rPr>
          <w:rFonts w:hint="eastAsia" w:ascii="宋体" w:hAnsi="宋体" w:eastAsia="宋体" w:cs="宋体"/>
          <w:color w:val="000000"/>
          <w:kern w:val="0"/>
          <w:sz w:val="24"/>
          <w:shd w:val="clear" w:color="auto" w:fill="FFFFFF"/>
        </w:rPr>
        <w:t>　自律惩戒应当遵循公开、公平、公正和坚持惩戒与教育相结合的原则。</w:t>
      </w:r>
    </w:p>
    <w:p w14:paraId="78DE0621">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第二章　自律惩戒的种类和运用规则</w:t>
      </w:r>
    </w:p>
    <w:p w14:paraId="253C37E7">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第五条</w:t>
      </w:r>
      <w:r>
        <w:rPr>
          <w:rFonts w:hint="eastAsia" w:ascii="宋体" w:hAnsi="宋体" w:eastAsia="宋体" w:cs="宋体"/>
          <w:color w:val="000000"/>
          <w:kern w:val="0"/>
          <w:sz w:val="24"/>
          <w:shd w:val="clear" w:color="auto" w:fill="FFFFFF"/>
        </w:rPr>
        <w:t>　对存在违法违规行为应予自律惩戒的会员，应当根据情节轻重予以以下自律惩戒：</w:t>
      </w:r>
    </w:p>
    <w:p w14:paraId="4AA0336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（一）警告；</w:t>
      </w:r>
    </w:p>
    <w:p w14:paraId="64E7C11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（二）严重警告；</w:t>
      </w:r>
    </w:p>
    <w:p w14:paraId="6F10882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（三）通报批评；</w:t>
      </w:r>
    </w:p>
    <w:p w14:paraId="10747A9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（四）公开谴责；</w:t>
      </w:r>
    </w:p>
    <w:p w14:paraId="10D6EB2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（五）取消会员资格。</w:t>
      </w:r>
    </w:p>
    <w:p w14:paraId="396AF5FE">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第六条</w:t>
      </w:r>
      <w:r>
        <w:rPr>
          <w:rFonts w:hint="eastAsia" w:ascii="宋体" w:hAnsi="宋体" w:eastAsia="宋体" w:cs="宋体"/>
          <w:color w:val="000000"/>
          <w:kern w:val="0"/>
          <w:sz w:val="24"/>
          <w:shd w:val="clear" w:color="auto" w:fill="FFFFFF"/>
        </w:rPr>
        <w:t>　会员有下列情形之一的，可以减轻惩戒：</w:t>
      </w:r>
    </w:p>
    <w:p w14:paraId="5565431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（一）违法违规行为被发现前主动改正或主动消除、减轻违法违规行为后果的；</w:t>
      </w:r>
    </w:p>
    <w:p w14:paraId="6A72630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（二）违法违规行为被发现前主动向中评协报告，并且作出书面反省的；</w:t>
      </w:r>
    </w:p>
    <w:p w14:paraId="1DC7D7B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（三）其他可以减轻惩戒情形的。</w:t>
      </w:r>
    </w:p>
    <w:p w14:paraId="5FFD675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对会员应当予以警告，但有上述情形的，可以免于惩戒。</w:t>
      </w:r>
    </w:p>
    <w:p w14:paraId="4256A28A">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第七条</w:t>
      </w:r>
      <w:r>
        <w:rPr>
          <w:rFonts w:hint="eastAsia" w:ascii="宋体" w:hAnsi="宋体" w:eastAsia="宋体" w:cs="宋体"/>
          <w:color w:val="000000"/>
          <w:kern w:val="0"/>
          <w:sz w:val="24"/>
          <w:shd w:val="clear" w:color="auto" w:fill="FFFFFF"/>
        </w:rPr>
        <w:t>　会员有下列情形之一的，应当加重惩戒：</w:t>
      </w:r>
    </w:p>
    <w:p w14:paraId="4D32DE2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（一）对投诉人、举报人、证人、检查人员等相关人员进行威胁、报复、阻挠的；</w:t>
      </w:r>
    </w:p>
    <w:p w14:paraId="3E3233D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（二）违法违规行为发生后编造、隐匿、销毁、涂改、丢弃证据材料的；</w:t>
      </w:r>
    </w:p>
    <w:p w14:paraId="5802120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（三）其他应予加重惩戒情形的。</w:t>
      </w:r>
    </w:p>
    <w:p w14:paraId="6A6286CA">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第八条</w:t>
      </w:r>
      <w:r>
        <w:rPr>
          <w:rFonts w:hint="eastAsia" w:ascii="宋体" w:hAnsi="宋体" w:eastAsia="宋体" w:cs="宋体"/>
          <w:color w:val="000000"/>
          <w:kern w:val="0"/>
          <w:sz w:val="24"/>
          <w:shd w:val="clear" w:color="auto" w:fill="FFFFFF"/>
        </w:rPr>
        <w:t>　会员有本办法规定的两种或两种以上应当受到惩戒行为的，应当合并处理。按照数种行为中应当受到的最高惩戒档次予以惩戒。有三个或三个以上应当受到同档最高惩戒行为的，应当视情形加重一档或更高档次予以惩戒。</w:t>
      </w:r>
    </w:p>
    <w:p w14:paraId="3574866F">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第三章　对个人执业会员的自律惩戒</w:t>
      </w:r>
    </w:p>
    <w:p w14:paraId="31DC4477">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第九条</w:t>
      </w:r>
      <w:r>
        <w:rPr>
          <w:rFonts w:hint="eastAsia" w:ascii="宋体" w:hAnsi="宋体" w:eastAsia="宋体" w:cs="宋体"/>
          <w:color w:val="000000"/>
          <w:kern w:val="0"/>
          <w:sz w:val="24"/>
          <w:shd w:val="clear" w:color="auto" w:fill="FFFFFF"/>
        </w:rPr>
        <w:t>　个人执业会员有下列行为之一，情节较轻的，予以通报批评；情节较重的，予以公开谴责；情节特别严重的，取消会员资格：</w:t>
      </w:r>
    </w:p>
    <w:p w14:paraId="20BF98B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（一）私自接受委托从事业务、收取费用的；</w:t>
      </w:r>
    </w:p>
    <w:p w14:paraId="2537437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（二）同时在两个或两个以上资产评估机构从事业务的；</w:t>
      </w:r>
    </w:p>
    <w:p w14:paraId="305936A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（三）采用欺骗、利诱、胁迫，或者贬损、诋毁其他评估专业人员等不正当手段招揽业务的；</w:t>
      </w:r>
    </w:p>
    <w:p w14:paraId="57FC1A6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（四）允许他人以本人名义从事业务，或者冒用他人名义从事业务的；</w:t>
      </w:r>
    </w:p>
    <w:p w14:paraId="779BFE9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（五）签署本人未承办业务的评估报告或者有重大遗漏的评估报告的；</w:t>
      </w:r>
    </w:p>
    <w:p w14:paraId="2289B09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（六）索要、收受或者变相索要、收受合同约定以外的酬金、财物，或者谋取其他不正当利益的；</w:t>
      </w:r>
    </w:p>
    <w:p w14:paraId="5F8486F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（七）签署虚假报告的。</w:t>
      </w:r>
    </w:p>
    <w:p w14:paraId="10DD4991">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第十条</w:t>
      </w:r>
      <w:r>
        <w:rPr>
          <w:rFonts w:hint="eastAsia" w:ascii="宋体" w:hAnsi="宋体" w:eastAsia="宋体" w:cs="宋体"/>
          <w:color w:val="000000"/>
          <w:kern w:val="0"/>
          <w:sz w:val="24"/>
          <w:shd w:val="clear" w:color="auto" w:fill="FFFFFF"/>
        </w:rPr>
        <w:t>　个人执业会员有下列行为之一，情节较轻的，予以警告；情节较重的，予以严重警告；情节特别严重的，予以通报批评或公开谴责：</w:t>
      </w:r>
    </w:p>
    <w:p w14:paraId="0CD990A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（一）对其专业胜任能力和执业经验进行夸张、虚假和误导性宣传的；</w:t>
      </w:r>
    </w:p>
    <w:p w14:paraId="53C9CA5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（二）对评估活动中知悉的国家秘密、商业秘密、个人隐私未尽到保密义务的；</w:t>
      </w:r>
    </w:p>
    <w:p w14:paraId="2ED2CF0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（三）与委托人或者其他相关当事人及评估对象有利害关系时，未能回避的；</w:t>
      </w:r>
    </w:p>
    <w:p w14:paraId="671F876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（四）未能拒绝委托人或者其他相关当事人的干预，且对评估结果产生影响的；</w:t>
      </w:r>
    </w:p>
    <w:p w14:paraId="0B187DB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（五）直接以预先设定的价值作为评估结论的；</w:t>
      </w:r>
    </w:p>
    <w:p w14:paraId="03C5F63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（六）未指导专家和相关业务助理人员遵守准则相关条款的。</w:t>
      </w:r>
    </w:p>
    <w:p w14:paraId="2FCEE5AE">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第十一条</w:t>
      </w:r>
      <w:r>
        <w:rPr>
          <w:rFonts w:hint="eastAsia" w:ascii="宋体" w:hAnsi="宋体" w:eastAsia="宋体" w:cs="宋体"/>
          <w:color w:val="000000"/>
          <w:kern w:val="0"/>
          <w:sz w:val="24"/>
          <w:shd w:val="clear" w:color="auto" w:fill="FFFFFF"/>
        </w:rPr>
        <w:t>　个人执业会员拒绝、阻挠、拖延检查、调查的，予以通报批评；情节恶劣的，予以公开谴责或取消会员资格。</w:t>
      </w:r>
    </w:p>
    <w:p w14:paraId="714D85B4">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第十二条</w:t>
      </w:r>
      <w:r>
        <w:rPr>
          <w:rFonts w:hint="eastAsia" w:ascii="宋体" w:hAnsi="宋体" w:eastAsia="宋体" w:cs="宋体"/>
          <w:color w:val="000000"/>
          <w:kern w:val="0"/>
          <w:sz w:val="24"/>
          <w:shd w:val="clear" w:color="auto" w:fill="FFFFFF"/>
        </w:rPr>
        <w:t>　个人执业会员在执业中，资产评估基本程序缺失，情节较轻的，予以严重警告；情节较重的，予以通报批评；情节特别严重的，予以公开谴责。</w:t>
      </w:r>
    </w:p>
    <w:p w14:paraId="2EAD2305">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第十三条</w:t>
      </w:r>
      <w:r>
        <w:rPr>
          <w:rFonts w:hint="eastAsia" w:ascii="宋体" w:hAnsi="宋体" w:eastAsia="宋体" w:cs="宋体"/>
          <w:color w:val="000000"/>
          <w:kern w:val="0"/>
          <w:sz w:val="24"/>
          <w:shd w:val="clear" w:color="auto" w:fill="FFFFFF"/>
        </w:rPr>
        <w:t>　个人执业会员在执业中，资产评估程序受限、对评估结论产生重大影响或者无法判断其影响程度时，未按要求出具资产评估报告，情节较轻的，予以严重警告；情节较重的，予以通报批评；情节特别严重的，予以公开谴责。</w:t>
      </w:r>
    </w:p>
    <w:p w14:paraId="56AC12F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资产评估程序受限、经采取措施弥补程序缺失且未对评估结论产生重大影响时，未在资产评估报告中进行相关披露，情节较轻的，予以警告；情节较重的，予以严重警告；情节特别严重的，予以通报批评。</w:t>
      </w:r>
    </w:p>
    <w:p w14:paraId="0116C7C4">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第十四条</w:t>
      </w:r>
      <w:r>
        <w:rPr>
          <w:rFonts w:hint="eastAsia" w:ascii="宋体" w:hAnsi="宋体" w:eastAsia="宋体" w:cs="宋体"/>
          <w:color w:val="000000"/>
          <w:kern w:val="0"/>
          <w:sz w:val="24"/>
          <w:shd w:val="clear" w:color="auto" w:fill="FFFFFF"/>
        </w:rPr>
        <w:t>　个人执业会员在执业中，资产评估程序履行不充分、不到位，情节较轻的，予以警告；情节较重的，予以严重警告；情节特别严重的，予以通报批评。</w:t>
      </w:r>
    </w:p>
    <w:p w14:paraId="5426281D">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第十五条</w:t>
      </w:r>
      <w:r>
        <w:rPr>
          <w:rFonts w:hint="eastAsia" w:ascii="宋体" w:hAnsi="宋体" w:eastAsia="宋体" w:cs="宋体"/>
          <w:color w:val="000000"/>
          <w:kern w:val="0"/>
          <w:sz w:val="24"/>
          <w:shd w:val="clear" w:color="auto" w:fill="FFFFFF"/>
        </w:rPr>
        <w:t>　个人执业会员在执业中，未根据相关条件选择适当的价值类型，并未对价值类型予以明确定义，有下列行为之一，情节较轻的，予以警告；情节较重的，予以严重警告；情节特别严重的，予以通报批评：</w:t>
      </w:r>
    </w:p>
    <w:p w14:paraId="2BEE061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（一）资产评估报告无价值类型定义，或未说明选择价值类型理由的；</w:t>
      </w:r>
    </w:p>
    <w:p w14:paraId="614A21A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（二）资产评估报告中实际评估对象、范围、评定估算方法与选定的价值类型不符的。</w:t>
      </w:r>
    </w:p>
    <w:p w14:paraId="64B292C5">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第十六条</w:t>
      </w:r>
      <w:r>
        <w:rPr>
          <w:rFonts w:hint="eastAsia" w:ascii="宋体" w:hAnsi="宋体" w:eastAsia="宋体" w:cs="宋体"/>
          <w:color w:val="000000"/>
          <w:kern w:val="0"/>
          <w:sz w:val="24"/>
          <w:shd w:val="clear" w:color="auto" w:fill="FFFFFF"/>
        </w:rPr>
        <w:t>　个人执业会员在执业中，未根据相关条件恰当选择评估方法及相应的公式和参数，未合理分析、计算、判断，有下列行为之一，情节较轻的，予以警告；情节较重的，予以严重警告；情节特别严重的，予以通报批评或公开谴责：</w:t>
      </w:r>
    </w:p>
    <w:p w14:paraId="6323926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（一）评估方法选取依据不充分的；</w:t>
      </w:r>
    </w:p>
    <w:p w14:paraId="1E25F17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（二）评估方法选择不当的；</w:t>
      </w:r>
    </w:p>
    <w:p w14:paraId="328F83B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（三）选取相应的公式和参数有误的；</w:t>
      </w:r>
    </w:p>
    <w:p w14:paraId="65DA2A3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（四）分析、计算和判断有误的。</w:t>
      </w:r>
    </w:p>
    <w:p w14:paraId="71E6FDD6">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第十七条</w:t>
      </w:r>
      <w:r>
        <w:rPr>
          <w:rFonts w:hint="eastAsia" w:ascii="宋体" w:hAnsi="宋体" w:eastAsia="宋体" w:cs="宋体"/>
          <w:color w:val="000000"/>
          <w:kern w:val="0"/>
          <w:sz w:val="24"/>
          <w:shd w:val="clear" w:color="auto" w:fill="FFFFFF"/>
        </w:rPr>
        <w:t>　个人执业会员在执业中，未合理使用评估假设，并未在报告中披露评估假设及其对评估结论的影响，有下列情形之一，情节较轻的，予以警告；情节较重的，予以严重警告；情节特别严重的，予以通报批评或公开谴责：</w:t>
      </w:r>
    </w:p>
    <w:p w14:paraId="6758FB1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（一）关键评估假设与现实情况明显不符且无法提供合理解释的；</w:t>
      </w:r>
    </w:p>
    <w:p w14:paraId="18BEE6A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（二）评估方法的选择和评估假设不匹配，评估假设适用不当的；</w:t>
      </w:r>
    </w:p>
    <w:p w14:paraId="04AEA12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（三）评估假设披露不够充分，缺乏必要假设的；</w:t>
      </w:r>
    </w:p>
    <w:p w14:paraId="6EA4F55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（四）评估假设存在明显不合理、不恰当情况的；</w:t>
      </w:r>
    </w:p>
    <w:p w14:paraId="10D3993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（五）评估假设对结论的重大影响未披露的；</w:t>
      </w:r>
    </w:p>
    <w:p w14:paraId="1DCB784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（六）评估假设对结论的合理性、充分性不够的。</w:t>
      </w:r>
    </w:p>
    <w:p w14:paraId="421705AE">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第十八条</w:t>
      </w:r>
      <w:r>
        <w:rPr>
          <w:rFonts w:hint="eastAsia" w:ascii="宋体" w:hAnsi="宋体" w:eastAsia="宋体" w:cs="宋体"/>
          <w:color w:val="000000"/>
          <w:kern w:val="0"/>
          <w:sz w:val="24"/>
          <w:shd w:val="clear" w:color="auto" w:fill="FFFFFF"/>
        </w:rPr>
        <w:t>　个人执业会员签署的资产评估报告内容缺失，情节较轻的，予以警告；情节较重的，予以严重警告；情节特别严重的，予以通报批评或公开谴责。</w:t>
      </w:r>
    </w:p>
    <w:p w14:paraId="019E03C0">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第十九条</w:t>
      </w:r>
      <w:r>
        <w:rPr>
          <w:rFonts w:hint="eastAsia" w:ascii="宋体" w:hAnsi="宋体" w:eastAsia="宋体" w:cs="宋体"/>
          <w:color w:val="000000"/>
          <w:kern w:val="0"/>
          <w:sz w:val="24"/>
          <w:shd w:val="clear" w:color="auto" w:fill="FFFFFF"/>
        </w:rPr>
        <w:t>　个人执业会员签署的资产评估报告内容规范性存在问题，有下列情形之一，情节较轻的，予以警告；情节较重的，予以严重警告；情节特别严重的，予以通报批评：</w:t>
      </w:r>
    </w:p>
    <w:p w14:paraId="3BD815C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（一）资产评估采用的法律依据、准则依据、权属依据及取价依据引用错误或已失效的；</w:t>
      </w:r>
    </w:p>
    <w:p w14:paraId="0DDD8E7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（二）资产评估报告使用的语言文字、计量币种不符合要求的；</w:t>
      </w:r>
    </w:p>
    <w:p w14:paraId="54AE8FE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（三）资产评估报告明确的评估结论使用有效期不符合要求的；</w:t>
      </w:r>
    </w:p>
    <w:p w14:paraId="2240D9A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（四）资产评估报告的特别事项说明不符合要求的；</w:t>
      </w:r>
    </w:p>
    <w:p w14:paraId="57521F2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（五）评估对象和评估范围不清晰的。</w:t>
      </w:r>
    </w:p>
    <w:p w14:paraId="24109DFB">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第二十条</w:t>
      </w:r>
      <w:r>
        <w:rPr>
          <w:rFonts w:hint="eastAsia" w:ascii="宋体" w:hAnsi="宋体" w:eastAsia="宋体" w:cs="宋体"/>
          <w:color w:val="000000"/>
          <w:kern w:val="0"/>
          <w:sz w:val="24"/>
          <w:shd w:val="clear" w:color="auto" w:fill="FFFFFF"/>
        </w:rPr>
        <w:t>　个人执业会员签署的资产评估报告内容与委托合同存在冲突，有下列行为之一，情节较轻的，予以警告；情节较重的，予以严重警告；情节特别严重的，予以通报批评：</w:t>
      </w:r>
    </w:p>
    <w:p w14:paraId="310AED8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（一）资产评估报告载明的评估目的不明确或不唯一，或者资产评估报告的评估目的与资产评估委托合同约定的评估目的不一致的；</w:t>
      </w:r>
    </w:p>
    <w:p w14:paraId="6CF08AB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（二）资产评估报告中的评估对象和评估范围与资产评估委托合同约定的评估对象和评估范围不一致的；</w:t>
      </w:r>
    </w:p>
    <w:p w14:paraId="203852B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（三）资产评估报告载明的评估基准日与资产评估委托合同约定的评估基准日不一致的。</w:t>
      </w:r>
    </w:p>
    <w:p w14:paraId="721E1F0E">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第二十一条</w:t>
      </w:r>
      <w:r>
        <w:rPr>
          <w:rFonts w:hint="eastAsia" w:ascii="宋体" w:hAnsi="宋体" w:eastAsia="宋体" w:cs="宋体"/>
          <w:color w:val="000000"/>
          <w:kern w:val="0"/>
          <w:sz w:val="24"/>
          <w:shd w:val="clear" w:color="auto" w:fill="FFFFFF"/>
        </w:rPr>
        <w:t>　个人执业会员工作底稿内容缺失，情节较轻的，予以警告；情节较重的，予以严重警告；情节特别严重的，予以通报批评或公开谴责。</w:t>
      </w:r>
    </w:p>
    <w:p w14:paraId="46C878E7">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第二十二条</w:t>
      </w:r>
      <w:r>
        <w:rPr>
          <w:rFonts w:hint="eastAsia" w:ascii="宋体" w:hAnsi="宋体" w:eastAsia="宋体" w:cs="宋体"/>
          <w:color w:val="000000"/>
          <w:kern w:val="0"/>
          <w:sz w:val="24"/>
          <w:shd w:val="clear" w:color="auto" w:fill="FFFFFF"/>
        </w:rPr>
        <w:t>　个人执业会员工作底稿内容规范性存在问题，有下列情形之一，情节较轻的，予以警告；情节较重的，予以严重警告；情节特别严重的，予以通报批评或公开谴责：</w:t>
      </w:r>
    </w:p>
    <w:p w14:paraId="78FF9A8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（一）收集的重要资料未由提供方通过签字、盖章或者法律允许的其他方式确认的；</w:t>
      </w:r>
    </w:p>
    <w:p w14:paraId="4CB2C83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（二）未对委托人提供的资料真实、准确、完整性进行核查验证的；</w:t>
      </w:r>
    </w:p>
    <w:p w14:paraId="1FA1007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（三）因法律法规规定或客观条件限制无法实施核查验证，工作底稿中未说明的；</w:t>
      </w:r>
    </w:p>
    <w:p w14:paraId="4AE30A5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（四）需聘请专家或利用专业报告，未在工作底稿中记录聘请专家进行协助工作情况及专家工作成果的；</w:t>
      </w:r>
    </w:p>
    <w:p w14:paraId="5E59265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（五）工作底稿未反映内部审核过程的；</w:t>
      </w:r>
    </w:p>
    <w:p w14:paraId="047458D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（六）未根据资产评估业务特点和工作底稿类别，编制工作底稿目录，建立必要的索引号，以反映工作底稿间的勾稽关系的。</w:t>
      </w:r>
    </w:p>
    <w:p w14:paraId="7782A90C">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第二十三条</w:t>
      </w:r>
      <w:r>
        <w:rPr>
          <w:rFonts w:hint="eastAsia" w:ascii="宋体" w:hAnsi="宋体" w:eastAsia="宋体" w:cs="宋体"/>
          <w:color w:val="000000"/>
          <w:kern w:val="0"/>
          <w:sz w:val="24"/>
          <w:shd w:val="clear" w:color="auto" w:fill="FFFFFF"/>
        </w:rPr>
        <w:t>　个人执业会员在执业中，未按照相关规定进行资产评估档案归集，情节较轻的，予以警告；情节较重的，予以严重警告；情节特别严重的，予以通报批评。</w:t>
      </w:r>
    </w:p>
    <w:p w14:paraId="473C0E77">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第四章　对评估机构会员的自律惩戒</w:t>
      </w:r>
    </w:p>
    <w:p w14:paraId="1E181301">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第二十四条</w:t>
      </w:r>
      <w:r>
        <w:rPr>
          <w:rFonts w:hint="eastAsia" w:ascii="宋体" w:hAnsi="宋体" w:eastAsia="宋体" w:cs="宋体"/>
          <w:color w:val="000000"/>
          <w:kern w:val="0"/>
          <w:sz w:val="24"/>
          <w:shd w:val="clear" w:color="auto" w:fill="FFFFFF"/>
        </w:rPr>
        <w:t>　评估机构会员有下列行为之一，情节较轻的，予以通报批评；情节较重的，予以公开谴责；情节特别严重的，取消会员资格：</w:t>
      </w:r>
    </w:p>
    <w:p w14:paraId="1777EBD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（一）利用开展业务之便，谋取不正当利益的；</w:t>
      </w:r>
    </w:p>
    <w:p w14:paraId="271A3B7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（二）允许其他机构以本机构名义开展业务，或者冒用其他机构名义开展业务的；</w:t>
      </w:r>
    </w:p>
    <w:p w14:paraId="53D7D1F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（三）以恶性压价、支付回扣、虚假宣传，或者贬损、诋毁其他评估机构等不正当手段招揽业务的；</w:t>
      </w:r>
    </w:p>
    <w:p w14:paraId="506AC2E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（四）受理与自身有利害关系的业务的；</w:t>
      </w:r>
    </w:p>
    <w:p w14:paraId="3A2A6C2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（五）分别接受利益冲突双方的委托，对同一评估对象进行评估的；</w:t>
      </w:r>
    </w:p>
    <w:p w14:paraId="1B912FB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（六）出具有重大遗漏的评估报告的；</w:t>
      </w:r>
    </w:p>
    <w:p w14:paraId="511FA34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（七）未按规定的期限保存评估档案的；</w:t>
      </w:r>
    </w:p>
    <w:p w14:paraId="3286428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（八）聘用或者指定不符合法律规定的人员从事评估业务的；</w:t>
      </w:r>
    </w:p>
    <w:p w14:paraId="6DBB999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（九）对本机构的评估专业人员疏于管理，造成不良后果的；</w:t>
      </w:r>
    </w:p>
    <w:p w14:paraId="61C8ED2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（十）出具虚假评估报告的。</w:t>
      </w:r>
    </w:p>
    <w:p w14:paraId="2CC5AC51">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第二十五条</w:t>
      </w:r>
      <w:r>
        <w:rPr>
          <w:rFonts w:hint="eastAsia" w:ascii="宋体" w:hAnsi="宋体" w:eastAsia="宋体" w:cs="宋体"/>
          <w:color w:val="000000"/>
          <w:kern w:val="0"/>
          <w:sz w:val="24"/>
          <w:shd w:val="clear" w:color="auto" w:fill="FFFFFF"/>
        </w:rPr>
        <w:t>　评估机构会员有下列行为之一，情节较轻的，予以警告；情节较重的，予以严重警告；情节特别严重的，予以通报批评或公开谴责：</w:t>
      </w:r>
    </w:p>
    <w:p w14:paraId="10E4C99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（一）对其专业胜任能力和执业经验进行夸张、虚假和误导性宣传的；</w:t>
      </w:r>
    </w:p>
    <w:p w14:paraId="261A4B4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（二）未能拒绝委托人或者其他相关当事人的干预，且对评估结果产生影响的；</w:t>
      </w:r>
    </w:p>
    <w:p w14:paraId="39A73D1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（三）直接以预先设定的价值作为评估结论的；</w:t>
      </w:r>
    </w:p>
    <w:p w14:paraId="2CEAE52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（四）未指导专家和相关业务助理人员遵守准则相关条款的。</w:t>
      </w:r>
    </w:p>
    <w:p w14:paraId="1EC6BC22">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第二十六条</w:t>
      </w:r>
      <w:r>
        <w:rPr>
          <w:rFonts w:hint="eastAsia" w:ascii="宋体" w:hAnsi="宋体" w:eastAsia="宋体" w:cs="宋体"/>
          <w:color w:val="000000"/>
          <w:kern w:val="0"/>
          <w:sz w:val="24"/>
          <w:shd w:val="clear" w:color="auto" w:fill="FFFFFF"/>
        </w:rPr>
        <w:t>　评估机构会员拒绝、阻挠、拖延检查、调查的，予以通报批评；情节恶劣的，予以公开谴责或取消会员资格。</w:t>
      </w:r>
    </w:p>
    <w:p w14:paraId="2C416370">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第二十七条</w:t>
      </w:r>
      <w:r>
        <w:rPr>
          <w:rFonts w:hint="eastAsia" w:ascii="宋体" w:hAnsi="宋体" w:eastAsia="宋体" w:cs="宋体"/>
          <w:color w:val="000000"/>
          <w:kern w:val="0"/>
          <w:sz w:val="24"/>
          <w:shd w:val="clear" w:color="auto" w:fill="FFFFFF"/>
        </w:rPr>
        <w:t>　评估机构会员有本办法</w:t>
      </w:r>
      <w:r>
        <w:rPr>
          <w:rFonts w:hint="eastAsia" w:ascii="宋体" w:hAnsi="宋体" w:eastAsia="宋体" w:cs="宋体"/>
          <w:bCs/>
          <w:color w:val="000000"/>
          <w:kern w:val="0"/>
          <w:sz w:val="24"/>
          <w:shd w:val="clear" w:color="auto" w:fill="FFFFFF"/>
        </w:rPr>
        <w:t>第十二条至第二十二条</w:t>
      </w:r>
      <w:r>
        <w:rPr>
          <w:rFonts w:hint="eastAsia" w:ascii="宋体" w:hAnsi="宋体" w:eastAsia="宋体" w:cs="宋体"/>
          <w:color w:val="000000"/>
          <w:kern w:val="0"/>
          <w:sz w:val="24"/>
          <w:shd w:val="clear" w:color="auto" w:fill="FFFFFF"/>
        </w:rPr>
        <w:t>规定的违规行为之一，情节较轻的，予以警告；情节较重的，予以严重警告；情节特别严重的，予以通报批评或公开谴责。</w:t>
      </w:r>
    </w:p>
    <w:p w14:paraId="0D28D4A7">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第二十八条</w:t>
      </w:r>
      <w:r>
        <w:rPr>
          <w:rFonts w:hint="eastAsia" w:ascii="宋体" w:hAnsi="宋体" w:eastAsia="宋体" w:cs="宋体"/>
          <w:color w:val="000000"/>
          <w:kern w:val="0"/>
          <w:sz w:val="24"/>
          <w:shd w:val="clear" w:color="auto" w:fill="FFFFFF"/>
        </w:rPr>
        <w:t>　评估机构会员内部质量控制有下列情形之一的，予以警告；情节特别严重的，予以严重警告：</w:t>
      </w:r>
    </w:p>
    <w:p w14:paraId="6A24695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（一）内部质量控制制度或质量控制体系不健全的；</w:t>
      </w:r>
    </w:p>
    <w:p w14:paraId="4317101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（二）内部质量控制制度未得到有效实施的。</w:t>
      </w:r>
    </w:p>
    <w:p w14:paraId="2DBAD14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评估机构会员未建立内部质量控制制度及质量控制体系的，予以通报批评。</w:t>
      </w:r>
    </w:p>
    <w:p w14:paraId="6CF25A61">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第二十九条</w:t>
      </w:r>
      <w:r>
        <w:rPr>
          <w:rFonts w:hint="eastAsia" w:ascii="宋体" w:hAnsi="宋体" w:eastAsia="宋体" w:cs="宋体"/>
          <w:color w:val="000000"/>
          <w:kern w:val="0"/>
          <w:sz w:val="24"/>
          <w:shd w:val="clear" w:color="auto" w:fill="FFFFFF"/>
        </w:rPr>
        <w:t>　评估机构会员未妥善保存各类介质形式的评估档案，情节较轻的，予以警告；情节较重的，予以严重警告；情节特别严重的，予以通报批评或公开谴责。</w:t>
      </w:r>
    </w:p>
    <w:p w14:paraId="7B15B83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在资产评估档案管理过程中，未在规定期限内形成资产评估档案或未严格执行保密制度、向无权调阅的机构或个人提供档案，情节较轻的，予以警告；情节较重的，予以严重警告；情节特别严重的，予以通报批评或公开谴责。</w:t>
      </w:r>
    </w:p>
    <w:p w14:paraId="7363BCF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对在规定保存期内的资产评估档案非法删改和销毁的，予以公开谴责；情节特别严重的，取消会员资格。</w:t>
      </w:r>
    </w:p>
    <w:p w14:paraId="032C68EE">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第五章　自律惩戒组织和实施</w:t>
      </w:r>
    </w:p>
    <w:p w14:paraId="0220F34E">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第三十条</w:t>
      </w:r>
      <w:r>
        <w:rPr>
          <w:rFonts w:hint="eastAsia" w:ascii="宋体" w:hAnsi="宋体" w:eastAsia="宋体" w:cs="宋体"/>
          <w:color w:val="000000"/>
          <w:kern w:val="0"/>
          <w:sz w:val="24"/>
          <w:shd w:val="clear" w:color="auto" w:fill="FFFFFF"/>
        </w:rPr>
        <w:t>　中评协理事会设立惩戒委员会，负责资产评估行业自律惩戒的实施。</w:t>
      </w:r>
    </w:p>
    <w:p w14:paraId="33D4863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中评协惩戒委员会设办公室。办公室设在中评协秘书处，承担惩戒委员会日常工作。</w:t>
      </w:r>
    </w:p>
    <w:p w14:paraId="17644ECD">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第三十一条</w:t>
      </w:r>
      <w:r>
        <w:rPr>
          <w:rFonts w:hint="eastAsia" w:ascii="宋体" w:hAnsi="宋体" w:eastAsia="宋体" w:cs="宋体"/>
          <w:color w:val="000000"/>
          <w:kern w:val="0"/>
          <w:sz w:val="24"/>
          <w:shd w:val="clear" w:color="auto" w:fill="FFFFFF"/>
        </w:rPr>
        <w:t>　中评协秘书处在组织检查、调查有关会员违法违规行为事实的基础上，提出惩戒处理建议，并提议召开惩戒委员会会议审议。</w:t>
      </w:r>
    </w:p>
    <w:p w14:paraId="633F4255">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第三十二条</w:t>
      </w:r>
      <w:r>
        <w:rPr>
          <w:rFonts w:hint="eastAsia" w:ascii="宋体" w:hAnsi="宋体" w:eastAsia="宋体" w:cs="宋体"/>
          <w:color w:val="000000"/>
          <w:kern w:val="0"/>
          <w:sz w:val="24"/>
          <w:shd w:val="clear" w:color="auto" w:fill="FFFFFF"/>
        </w:rPr>
        <w:t>　惩戒委员会会议在审议认定会员违法违规行为事实清楚的基础上，对惩戒处理建议进行投票表决，形成惩戒决定意见。</w:t>
      </w:r>
    </w:p>
    <w:p w14:paraId="4D07EB38">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第三十三条</w:t>
      </w:r>
      <w:r>
        <w:rPr>
          <w:rFonts w:hint="eastAsia" w:ascii="宋体" w:hAnsi="宋体" w:eastAsia="宋体" w:cs="宋体"/>
          <w:color w:val="000000"/>
          <w:kern w:val="0"/>
          <w:sz w:val="24"/>
          <w:shd w:val="clear" w:color="auto" w:fill="FFFFFF"/>
        </w:rPr>
        <w:t>　中评协秘书处根据惩戒决定意见，向当事方发送《惩戒告知书》。</w:t>
      </w:r>
    </w:p>
    <w:p w14:paraId="604E079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当事方无异议的，中评协秘书处依据惩戒决定意见形成惩戒决定。</w:t>
      </w:r>
    </w:p>
    <w:p w14:paraId="10FA6FC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当事方有异议的，可自接到《惩戒告知书》之日起15个工作日内向中评协秘书处提出书面陈述、申辩。</w:t>
      </w:r>
    </w:p>
    <w:p w14:paraId="3E6423C3">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第三十四条</w:t>
      </w:r>
      <w:r>
        <w:rPr>
          <w:rFonts w:hint="eastAsia" w:ascii="宋体" w:hAnsi="宋体" w:eastAsia="宋体" w:cs="宋体"/>
          <w:color w:val="000000"/>
          <w:kern w:val="0"/>
          <w:sz w:val="24"/>
          <w:shd w:val="clear" w:color="auto" w:fill="FFFFFF"/>
        </w:rPr>
        <w:t>　中评协秘书处针对陈述、申辩事项研究提出处理建议后，提议召开惩戒委员会会议再次进行审议表决，并形成惩戒决定。</w:t>
      </w:r>
    </w:p>
    <w:p w14:paraId="6A89221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再次审议表决前，惩戒委员会可以要求当事方到惩戒委员会会议接受委员询问。</w:t>
      </w:r>
    </w:p>
    <w:p w14:paraId="272064AD">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第三十五条</w:t>
      </w:r>
      <w:r>
        <w:rPr>
          <w:rFonts w:hint="eastAsia" w:ascii="宋体" w:hAnsi="宋体" w:eastAsia="宋体" w:cs="宋体"/>
          <w:color w:val="000000"/>
          <w:kern w:val="0"/>
          <w:sz w:val="24"/>
          <w:shd w:val="clear" w:color="auto" w:fill="FFFFFF"/>
        </w:rPr>
        <w:t>　惩戒决定形成后，中评协秘书处向当事方发送《惩戒决定书》。</w:t>
      </w:r>
    </w:p>
    <w:p w14:paraId="2B0E4EA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当事方对《惩戒决定书》提出申诉的，按照中评协有关申诉管理办法执行。</w:t>
      </w:r>
    </w:p>
    <w:p w14:paraId="2CBC797B">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第三十六条</w:t>
      </w:r>
      <w:r>
        <w:rPr>
          <w:rFonts w:hint="eastAsia" w:ascii="宋体" w:hAnsi="宋体" w:eastAsia="宋体" w:cs="宋体"/>
          <w:color w:val="000000"/>
          <w:kern w:val="0"/>
          <w:sz w:val="24"/>
          <w:shd w:val="clear" w:color="auto" w:fill="FFFFFF"/>
        </w:rPr>
        <w:t>　惩戒工作结束后，中评协秘书处应及时将惩戒情况报告资产评估行业有关行政管理部门。</w:t>
      </w:r>
    </w:p>
    <w:p w14:paraId="7402BA14">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第三十七条</w:t>
      </w:r>
      <w:r>
        <w:rPr>
          <w:rFonts w:hint="eastAsia" w:ascii="宋体" w:hAnsi="宋体" w:eastAsia="宋体" w:cs="宋体"/>
          <w:color w:val="000000"/>
          <w:kern w:val="0"/>
          <w:sz w:val="24"/>
          <w:shd w:val="clear" w:color="auto" w:fill="FFFFFF"/>
        </w:rPr>
        <w:t>　中评协直接办理特别机构会员及其个人执业会员违法违规行为的自律惩戒。</w:t>
      </w:r>
    </w:p>
    <w:p w14:paraId="30122F9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中评协可以委托地方资产评估协会对本辖区中评协非特别机构会员及其个人执业会员的违法违规行为进行自律惩戒。</w:t>
      </w:r>
    </w:p>
    <w:p w14:paraId="24A03753">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第三十八条</w:t>
      </w:r>
      <w:r>
        <w:rPr>
          <w:rFonts w:hint="eastAsia" w:ascii="宋体" w:hAnsi="宋体" w:eastAsia="宋体" w:cs="宋体"/>
          <w:color w:val="000000"/>
          <w:kern w:val="0"/>
          <w:sz w:val="24"/>
          <w:shd w:val="clear" w:color="auto" w:fill="FFFFFF"/>
        </w:rPr>
        <w:t>　地方资产评估协会认为会员存在的违法违规行为应当取消会员资格的，应当将对会员违法违规行为的调查结果、相关证明材料和处理建议报送中评协，由中评协根据违法违规事实作出自律惩戒决定。</w:t>
      </w:r>
    </w:p>
    <w:p w14:paraId="76394739">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第六章　工作纪律</w:t>
      </w:r>
    </w:p>
    <w:p w14:paraId="6F90926A">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第三十九条</w:t>
      </w:r>
      <w:r>
        <w:rPr>
          <w:rFonts w:hint="eastAsia" w:ascii="宋体" w:hAnsi="宋体" w:eastAsia="宋体" w:cs="宋体"/>
          <w:color w:val="000000"/>
          <w:kern w:val="0"/>
          <w:sz w:val="24"/>
          <w:shd w:val="clear" w:color="auto" w:fill="FFFFFF"/>
        </w:rPr>
        <w:t>　自律惩戒工作人员与相关当事方之间存在以下亲属关系及利害关系时应当回避，当事方有权申请其回避：</w:t>
      </w:r>
    </w:p>
    <w:p w14:paraId="2C97411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（一）自律惩戒工作人员与当事方有亲属关系的；</w:t>
      </w:r>
    </w:p>
    <w:p w14:paraId="33E311B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（二）自律惩戒工作人员与当事方同在一家资产评估机构的；</w:t>
      </w:r>
    </w:p>
    <w:p w14:paraId="1B27C92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（三）其他可能影响自律惩戒公正实施情形的。</w:t>
      </w:r>
    </w:p>
    <w:p w14:paraId="1BF49F5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自律惩戒工作人员包括惩戒委员会委员、委员会办公室的工作人员。</w:t>
      </w:r>
    </w:p>
    <w:p w14:paraId="57745A9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亲属是指夫妻、直系血亲、三代以内旁系血亲以及近姻亲。</w:t>
      </w:r>
    </w:p>
    <w:p w14:paraId="5766A616">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第四十条</w:t>
      </w:r>
      <w:r>
        <w:rPr>
          <w:rFonts w:hint="eastAsia" w:ascii="宋体" w:hAnsi="宋体" w:eastAsia="宋体" w:cs="宋体"/>
          <w:color w:val="000000"/>
          <w:kern w:val="0"/>
          <w:sz w:val="24"/>
          <w:shd w:val="clear" w:color="auto" w:fill="FFFFFF"/>
        </w:rPr>
        <w:t>　惩戒委员会委员涉及下列情形之一的，视情节轻重给予批评教育、取消惩戒委员资格、通报批评、5年内不得担任中评协专门专业委员会委员的处分；委员会办公室的工作人员涉及下列情形之一的，视情节轻重给予批评教育、组织处理或纪律处分：</w:t>
      </w:r>
    </w:p>
    <w:p w14:paraId="2281E74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（一）惩戒工作期间就惩戒事项与当事人私下接触的；</w:t>
      </w:r>
    </w:p>
    <w:p w14:paraId="43395F0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（二）串通表决或诱导表决的；</w:t>
      </w:r>
    </w:p>
    <w:p w14:paraId="7CE81AA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（三）泄露惩戒事项审议情况和表决具体情况的；</w:t>
      </w:r>
    </w:p>
    <w:p w14:paraId="70B08A8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（四）利用惩戒事项谋取私利或为他人谋取利益的；</w:t>
      </w:r>
    </w:p>
    <w:p w14:paraId="1171697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（五）应当回避而未主动申请回避的。</w:t>
      </w:r>
    </w:p>
    <w:p w14:paraId="710C3E01">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第四十一条</w:t>
      </w:r>
      <w:r>
        <w:rPr>
          <w:rFonts w:hint="eastAsia" w:ascii="宋体" w:hAnsi="宋体" w:eastAsia="宋体" w:cs="宋体"/>
          <w:color w:val="000000"/>
          <w:kern w:val="0"/>
          <w:sz w:val="24"/>
          <w:shd w:val="clear" w:color="auto" w:fill="FFFFFF"/>
        </w:rPr>
        <w:t>　当事方或其他受托人说情干预、打听审议情况、过问表决结果的，自律惩戒工作人员应当及时向中评协秘书处报告。</w:t>
      </w:r>
    </w:p>
    <w:p w14:paraId="2AB8446D">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第七章　附则</w:t>
      </w:r>
    </w:p>
    <w:p w14:paraId="6FA5E9CE">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第四十二条</w:t>
      </w:r>
      <w:r>
        <w:rPr>
          <w:rFonts w:hint="eastAsia" w:ascii="宋体" w:hAnsi="宋体" w:eastAsia="宋体" w:cs="宋体"/>
          <w:color w:val="000000"/>
          <w:kern w:val="0"/>
          <w:sz w:val="24"/>
          <w:shd w:val="clear" w:color="auto" w:fill="FFFFFF"/>
        </w:rPr>
        <w:t>　地方资产评估协会自律惩戒工作参照本办法执行。</w:t>
      </w:r>
    </w:p>
    <w:p w14:paraId="4E3A38E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中评协对地方资产评估协会自律惩戒工作进行指导和监督。</w:t>
      </w:r>
    </w:p>
    <w:p w14:paraId="7B70AC9F">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第四十三条</w:t>
      </w:r>
      <w:r>
        <w:rPr>
          <w:rFonts w:hint="eastAsia" w:ascii="宋体" w:hAnsi="宋体" w:eastAsia="宋体" w:cs="宋体"/>
          <w:color w:val="000000"/>
          <w:kern w:val="0"/>
          <w:sz w:val="24"/>
          <w:shd w:val="clear" w:color="auto" w:fill="FFFFFF"/>
        </w:rPr>
        <w:t>　地方资产评估协会受中评协委托作出惩戒决定的，应在15个工作日内报中评协备案；并于每年12月31日前将本年度惩戒汇总情况报中评协。</w:t>
      </w:r>
    </w:p>
    <w:p w14:paraId="07A147E3">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第四十四条</w:t>
      </w:r>
      <w:r>
        <w:rPr>
          <w:rFonts w:hint="eastAsia" w:ascii="宋体" w:hAnsi="宋体" w:eastAsia="宋体" w:cs="宋体"/>
          <w:color w:val="000000"/>
          <w:kern w:val="0"/>
          <w:sz w:val="24"/>
          <w:shd w:val="clear" w:color="auto" w:fill="FFFFFF"/>
        </w:rPr>
        <w:t>　本办法由中评协负责解释。</w:t>
      </w:r>
    </w:p>
    <w:p w14:paraId="6AC44E6B">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第四十五条</w:t>
      </w:r>
      <w:r>
        <w:rPr>
          <w:rFonts w:hint="eastAsia" w:ascii="宋体" w:hAnsi="宋体" w:eastAsia="宋体" w:cs="宋体"/>
          <w:color w:val="000000"/>
          <w:kern w:val="0"/>
          <w:sz w:val="24"/>
          <w:shd w:val="clear" w:color="auto" w:fill="FFFFFF"/>
        </w:rPr>
        <w:t>　本办法自2018年6月1日起施行。《资产评估执业行为自律惩戒办法》（试行）（中评协〔2005〕183号）同时废止。</w:t>
      </w:r>
    </w:p>
    <w:p w14:paraId="66E1F47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br w:type="page"/>
      </w:r>
    </w:p>
    <w:p w14:paraId="6A391413">
      <w:pPr>
        <w:pStyle w:val="5"/>
        <w:spacing w:line="440" w:lineRule="atLeast"/>
        <w:jc w:val="center"/>
        <w:rPr>
          <w:rFonts w:ascii="宋体" w:hAnsi="宋体" w:eastAsia="宋体" w:cs="宋体"/>
        </w:rPr>
      </w:pPr>
      <w:bookmarkStart w:id="73" w:name="_Toc29418"/>
      <w:r>
        <w:rPr>
          <w:rFonts w:hint="eastAsia" w:ascii="宋体" w:hAnsi="宋体" w:eastAsia="宋体" w:cs="宋体"/>
        </w:rPr>
        <w:t>中国资产评估协会会员申诉管理办法</w:t>
      </w:r>
      <w:bookmarkEnd w:id="73"/>
    </w:p>
    <w:p w14:paraId="2F3770BC">
      <w:pPr>
        <w:shd w:val="clear" w:color="auto" w:fill="FFFFFF"/>
        <w:spacing w:line="440" w:lineRule="atLeast"/>
        <w:jc w:val="center"/>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2018年11月16日中国资产评估协会发布　中评协〔2018〕43号</w:t>
      </w:r>
    </w:p>
    <w:p w14:paraId="156341B4">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第一章　总则</w:t>
      </w:r>
    </w:p>
    <w:p w14:paraId="1C47E4F5">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第一条</w:t>
      </w:r>
      <w:r>
        <w:rPr>
          <w:rFonts w:hint="eastAsia" w:ascii="宋体" w:hAnsi="宋体" w:eastAsia="宋体" w:cs="宋体"/>
          <w:color w:val="000000"/>
          <w:kern w:val="0"/>
          <w:sz w:val="24"/>
          <w:shd w:val="clear" w:color="auto" w:fill="FFFFFF"/>
        </w:rPr>
        <w:t>　为维护会员的合法权益，规范会员申诉管理工作，根据《中华人民共和国资产评估法》和《中国资产评估协会章程》等有关规定，制定本办法。</w:t>
      </w:r>
    </w:p>
    <w:p w14:paraId="23E7EF8D">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第二条</w:t>
      </w:r>
      <w:r>
        <w:rPr>
          <w:rFonts w:hint="eastAsia" w:ascii="宋体" w:hAnsi="宋体" w:eastAsia="宋体" w:cs="宋体"/>
          <w:color w:val="000000"/>
          <w:kern w:val="0"/>
          <w:sz w:val="24"/>
          <w:shd w:val="clear" w:color="auto" w:fill="FFFFFF"/>
        </w:rPr>
        <w:t>　本办法所称申诉是指会员不服中国资产评估协会（以下简称中评协）作出的自律惩戒决定，向中评协申诉与维权委员会（以下简称申诉委员会）申述理由，并请求重新处理的行为。</w:t>
      </w:r>
    </w:p>
    <w:p w14:paraId="483DEFB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本办法所称会员，是指中评协会员中的执业会员和评估机构会员。</w:t>
      </w:r>
    </w:p>
    <w:p w14:paraId="370F8E9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中评协会员的申诉申请、受理、处理及决定等申诉管理工作，适用本办法。</w:t>
      </w:r>
    </w:p>
    <w:p w14:paraId="3082A05E">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第三条</w:t>
      </w:r>
      <w:r>
        <w:rPr>
          <w:rFonts w:hint="eastAsia" w:ascii="宋体" w:hAnsi="宋体" w:eastAsia="宋体" w:cs="宋体"/>
          <w:color w:val="000000"/>
          <w:kern w:val="0"/>
          <w:sz w:val="24"/>
          <w:shd w:val="clear" w:color="auto" w:fill="FFFFFF"/>
        </w:rPr>
        <w:t>　申诉管理工作应当以事实为依据，以国家法律、行政法规、资产评估准则和其他相关规定为标准，坚持独立、客观、公平、公正、合法、合理的原则。</w:t>
      </w:r>
    </w:p>
    <w:p w14:paraId="4CD59A46">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第二章　申诉申请与受理</w:t>
      </w:r>
    </w:p>
    <w:p w14:paraId="265C1C58">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第四条</w:t>
      </w:r>
      <w:r>
        <w:rPr>
          <w:rFonts w:hint="eastAsia" w:ascii="宋体" w:hAnsi="宋体" w:eastAsia="宋体" w:cs="宋体"/>
          <w:color w:val="000000"/>
          <w:kern w:val="0"/>
          <w:sz w:val="24"/>
          <w:shd w:val="clear" w:color="auto" w:fill="FFFFFF"/>
        </w:rPr>
        <w:t>　中评协理事会设立申诉委员会，负责会员的申诉与维权工作。申诉委员会设办公室，办公室设在中评协秘书处，承担委员会日常工作。</w:t>
      </w:r>
    </w:p>
    <w:p w14:paraId="20055D7A">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第五条</w:t>
      </w:r>
      <w:r>
        <w:rPr>
          <w:rFonts w:hint="eastAsia" w:ascii="宋体" w:hAnsi="宋体" w:eastAsia="宋体" w:cs="宋体"/>
          <w:color w:val="000000"/>
          <w:kern w:val="0"/>
          <w:sz w:val="24"/>
          <w:shd w:val="clear" w:color="auto" w:fill="FFFFFF"/>
        </w:rPr>
        <w:t>　会员对中评协作出的自律惩戒决定不服的，可以自收到自律惩戒决定书之日起15个工作日内向中评协秘书处提出书面申诉。因不可抗力或其它正当理由在上述规定时间内无法申诉的，应当自收到自律惩戒决定书之日起15个工作日内告知申诉委员会办公室并提供相应证明材料说明受到的不可抗力或其它正当理由，并在前述因素消除之日起15个工作日内提交书面申诉。</w:t>
      </w:r>
    </w:p>
    <w:p w14:paraId="0A187E28">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第六条</w:t>
      </w:r>
      <w:r>
        <w:rPr>
          <w:rFonts w:hint="eastAsia" w:ascii="宋体" w:hAnsi="宋体" w:eastAsia="宋体" w:cs="宋体"/>
          <w:color w:val="000000"/>
          <w:kern w:val="0"/>
          <w:sz w:val="24"/>
          <w:shd w:val="clear" w:color="auto" w:fill="FFFFFF"/>
        </w:rPr>
        <w:t>　申请申诉应当符合下列条件：</w:t>
      </w:r>
    </w:p>
    <w:p w14:paraId="1076024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（一）申诉人是自律惩戒决定书中载明的当事人；</w:t>
      </w:r>
    </w:p>
    <w:p w14:paraId="5C41097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（二）有明确的被申诉人；</w:t>
      </w:r>
    </w:p>
    <w:p w14:paraId="6DCC353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（三）未超过本办法第五条规定的申诉期限；</w:t>
      </w:r>
    </w:p>
    <w:p w14:paraId="0FC3186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（四）有具体的申诉请求、申诉理由及证据材料。</w:t>
      </w:r>
    </w:p>
    <w:p w14:paraId="52AB26C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证据材料应包括在原自律惩戒程序中未提供过的或虽已在原自律惩戒程序中提供，但中评协在原自律惩戒决定形成过程中未充分考虑的、影响自律惩戒结果的证据。自律检查过程中应提交而未提交的材料不能作为新的证据材料。</w:t>
      </w:r>
    </w:p>
    <w:p w14:paraId="77913D01">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第七条</w:t>
      </w:r>
      <w:r>
        <w:rPr>
          <w:rFonts w:hint="eastAsia" w:ascii="宋体" w:hAnsi="宋体" w:eastAsia="宋体" w:cs="宋体"/>
          <w:color w:val="000000"/>
          <w:kern w:val="0"/>
          <w:sz w:val="24"/>
          <w:shd w:val="clear" w:color="auto" w:fill="FFFFFF"/>
        </w:rPr>
        <w:t>　中评协对有下列情形之一的申诉案件不予受理：</w:t>
      </w:r>
    </w:p>
    <w:p w14:paraId="4F855E2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（一）不符合第六条规定的申诉条件的；</w:t>
      </w:r>
    </w:p>
    <w:p w14:paraId="0C2599E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（二）行政机关、监察机关、司法机关、仲裁机构已经受理或者处理的。</w:t>
      </w:r>
    </w:p>
    <w:p w14:paraId="7436068F">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第八条</w:t>
      </w:r>
      <w:r>
        <w:rPr>
          <w:rFonts w:hint="eastAsia" w:ascii="宋体" w:hAnsi="宋体" w:eastAsia="宋体" w:cs="宋体"/>
          <w:color w:val="000000"/>
          <w:kern w:val="0"/>
          <w:sz w:val="24"/>
          <w:shd w:val="clear" w:color="auto" w:fill="FFFFFF"/>
        </w:rPr>
        <w:t>　会员申请申诉的，应当提交以下申诉材料：</w:t>
      </w:r>
    </w:p>
    <w:p w14:paraId="52F2CE6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（一）申诉申请书；</w:t>
      </w:r>
    </w:p>
    <w:p w14:paraId="0675992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申诉申请书应当载明下列事项：</w:t>
      </w:r>
    </w:p>
    <w:p w14:paraId="02EBAF6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申诉人的基本情况，包括：个人执业会员的姓名、年龄、身份证号码、所在机构名称、主要负责人或者法定代表人的姓名、职务、住所、邮政编码、联系方式；评估机构会员的名称、住所、邮政编码、联系方式、法定代表人或者主要负责人的姓名、职务；</w:t>
      </w:r>
    </w:p>
    <w:p w14:paraId="26AA5FC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2.申诉诉求和理由及相关的举证材料；</w:t>
      </w:r>
    </w:p>
    <w:p w14:paraId="4FCE8EA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3.申诉人签名及申诉日期。</w:t>
      </w:r>
    </w:p>
    <w:p w14:paraId="64B3395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（二）自律惩戒决定书（复印件）；</w:t>
      </w:r>
    </w:p>
    <w:p w14:paraId="003A965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（三）其它需要提交的材料。</w:t>
      </w:r>
    </w:p>
    <w:p w14:paraId="35897077">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第九条</w:t>
      </w:r>
      <w:r>
        <w:rPr>
          <w:rFonts w:hint="eastAsia" w:ascii="宋体" w:hAnsi="宋体" w:eastAsia="宋体" w:cs="宋体"/>
          <w:color w:val="000000"/>
          <w:kern w:val="0"/>
          <w:sz w:val="24"/>
          <w:shd w:val="clear" w:color="auto" w:fill="FFFFFF"/>
        </w:rPr>
        <w:t>　申诉委员会办公室应当自收到申诉材料之日起10个工作日内，作出受理或者不予受理的决定，并通知申诉人；对于不予受理的申诉，应当告知不予受理的理由。</w:t>
      </w:r>
    </w:p>
    <w:p w14:paraId="67D9C13C">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第三章　申诉的调查取证</w:t>
      </w:r>
    </w:p>
    <w:p w14:paraId="7134D029">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第十条</w:t>
      </w:r>
      <w:r>
        <w:rPr>
          <w:rFonts w:hint="eastAsia" w:ascii="宋体" w:hAnsi="宋体" w:eastAsia="宋体" w:cs="宋体"/>
          <w:color w:val="000000"/>
          <w:kern w:val="0"/>
          <w:sz w:val="24"/>
          <w:shd w:val="clear" w:color="auto" w:fill="FFFFFF"/>
        </w:rPr>
        <w:t>　申诉委员会对已经受理的申诉案件，成立申诉案件工作组，针对申诉人所提出的申诉理由、证据材料等进行调查、了解、取证。</w:t>
      </w:r>
    </w:p>
    <w:p w14:paraId="67DBDB2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申诉案件工作组由3至5人组成，成员由申诉委员会主任会议决定。成员应当是申诉委员会委员。</w:t>
      </w:r>
    </w:p>
    <w:p w14:paraId="59DD2184">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第十一条</w:t>
      </w:r>
      <w:r>
        <w:rPr>
          <w:rFonts w:hint="eastAsia" w:ascii="宋体" w:hAnsi="宋体" w:eastAsia="宋体" w:cs="宋体"/>
          <w:color w:val="000000"/>
          <w:kern w:val="0"/>
          <w:sz w:val="24"/>
          <w:shd w:val="clear" w:color="auto" w:fill="FFFFFF"/>
        </w:rPr>
        <w:t>　申诉案件工作组可以采用约谈申诉当事人、查阅申诉所涉及的相关资料等方式，对申诉相关事宜进行调查、了解及查验。申诉当事双方应当配合申诉案件工作组的工作。</w:t>
      </w:r>
    </w:p>
    <w:p w14:paraId="11C16364">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第十二条</w:t>
      </w:r>
      <w:r>
        <w:rPr>
          <w:rFonts w:hint="eastAsia" w:ascii="宋体" w:hAnsi="宋体" w:eastAsia="宋体" w:cs="宋体"/>
          <w:color w:val="000000"/>
          <w:kern w:val="0"/>
          <w:sz w:val="24"/>
          <w:shd w:val="clear" w:color="auto" w:fill="FFFFFF"/>
        </w:rPr>
        <w:t>　申诉案件工作组在调查、了解及取证工作结束后，应当形成书面调查取证报告，并提交申诉委员会。</w:t>
      </w:r>
    </w:p>
    <w:p w14:paraId="6D79315E">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第十三条</w:t>
      </w:r>
      <w:r>
        <w:rPr>
          <w:rFonts w:hint="eastAsia" w:ascii="宋体" w:hAnsi="宋体" w:eastAsia="宋体" w:cs="宋体"/>
          <w:color w:val="000000"/>
          <w:kern w:val="0"/>
          <w:sz w:val="24"/>
          <w:shd w:val="clear" w:color="auto" w:fill="FFFFFF"/>
        </w:rPr>
        <w:t>　申诉案件工作组的调查、了解和取证工作应当在申诉受理日后30个工作日内完成，因特殊情况需要延期的，应当经申诉委员会主任会议批准。</w:t>
      </w:r>
    </w:p>
    <w:p w14:paraId="3604B231">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第十四条</w:t>
      </w:r>
      <w:r>
        <w:rPr>
          <w:rFonts w:hint="eastAsia" w:ascii="宋体" w:hAnsi="宋体" w:eastAsia="宋体" w:cs="宋体"/>
          <w:color w:val="000000"/>
          <w:kern w:val="0"/>
          <w:sz w:val="24"/>
          <w:shd w:val="clear" w:color="auto" w:fill="FFFFFF"/>
        </w:rPr>
        <w:t>　申诉委员会可以根据申诉处理需要，采取听证的方式，听取申诉人举证和陈述申诉理由，听取被申诉人陈述惩戒理由。</w:t>
      </w:r>
    </w:p>
    <w:p w14:paraId="0C29C8D2">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第十五条</w:t>
      </w:r>
      <w:r>
        <w:rPr>
          <w:rFonts w:hint="eastAsia" w:ascii="宋体" w:hAnsi="宋体" w:eastAsia="宋体" w:cs="宋体"/>
          <w:color w:val="000000"/>
          <w:kern w:val="0"/>
          <w:sz w:val="24"/>
          <w:shd w:val="clear" w:color="auto" w:fill="FFFFFF"/>
        </w:rPr>
        <w:t>　听证可采取书面听证或现场听证的方式。听证由中评协申诉委员会主任委员或主任委员委托的副主任委员主持，听证人员由申诉委员会委员组成，听证内容应当只针对申诉理由所举证据，不实行全案听证。</w:t>
      </w:r>
    </w:p>
    <w:p w14:paraId="1D58A484">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第十六条</w:t>
      </w:r>
      <w:r>
        <w:rPr>
          <w:rFonts w:hint="eastAsia" w:ascii="宋体" w:hAnsi="宋体" w:eastAsia="宋体" w:cs="宋体"/>
          <w:color w:val="000000"/>
          <w:kern w:val="0"/>
          <w:sz w:val="24"/>
          <w:shd w:val="clear" w:color="auto" w:fill="FFFFFF"/>
        </w:rPr>
        <w:t>　申诉委员会决定进行书面听证后，申诉人和惩戒决定方应于10个工作日内反馈意见，申诉委员会可根据书面反馈意见作出最终申诉决定。</w:t>
      </w:r>
    </w:p>
    <w:p w14:paraId="01FF0A2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申诉委员会认为需进行现场听证的，应当提前5个工作日书面通知申诉当事双方举行听证的时间、地点等其它有关事项。</w:t>
      </w:r>
    </w:p>
    <w:p w14:paraId="65EE90B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申诉当事双方不能按时参加听证的，应当在听证举行前3个工作日提出延期听证申请。</w:t>
      </w:r>
    </w:p>
    <w:p w14:paraId="53EDB2E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申诉人无故不参加听证的，视为其放弃申诉的权利，不得以同一事实和理由再次提出申诉申请。</w:t>
      </w:r>
    </w:p>
    <w:p w14:paraId="1EF098E9">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第十七条</w:t>
      </w:r>
      <w:r>
        <w:rPr>
          <w:rFonts w:hint="eastAsia" w:ascii="宋体" w:hAnsi="宋体" w:eastAsia="宋体" w:cs="宋体"/>
          <w:color w:val="000000"/>
          <w:kern w:val="0"/>
          <w:sz w:val="24"/>
          <w:shd w:val="clear" w:color="auto" w:fill="FFFFFF"/>
        </w:rPr>
        <w:t>　申诉人认为听证主持人、听证员、记录员与申诉案件有利害关系的，有权向申诉委员会申请相关人员回避。</w:t>
      </w:r>
    </w:p>
    <w:p w14:paraId="3269186E">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第十八条</w:t>
      </w:r>
      <w:r>
        <w:rPr>
          <w:rFonts w:hint="eastAsia" w:ascii="宋体" w:hAnsi="宋体" w:eastAsia="宋体" w:cs="宋体"/>
          <w:color w:val="000000"/>
          <w:kern w:val="0"/>
          <w:sz w:val="24"/>
          <w:shd w:val="clear" w:color="auto" w:fill="FFFFFF"/>
        </w:rPr>
        <w:t>　申诉委员会办公室应当形成听证笔录并妥善保管。</w:t>
      </w:r>
    </w:p>
    <w:p w14:paraId="6DE62627">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第十九条</w:t>
      </w:r>
      <w:r>
        <w:rPr>
          <w:rFonts w:hint="eastAsia" w:ascii="宋体" w:hAnsi="宋体" w:eastAsia="宋体" w:cs="宋体"/>
          <w:color w:val="000000"/>
          <w:kern w:val="0"/>
          <w:sz w:val="24"/>
          <w:shd w:val="clear" w:color="auto" w:fill="FFFFFF"/>
        </w:rPr>
        <w:t>　现场听证应按以下程序进行：</w:t>
      </w:r>
    </w:p>
    <w:p w14:paraId="20D18BA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（一）听证开始时由听证主持人介绍参加听证人员，宣布案由，并告知申诉人享有陈述、申辩和质证的权利，宣布听证开始；</w:t>
      </w:r>
    </w:p>
    <w:p w14:paraId="24C1B6C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（二）申诉人举证和陈述申诉理由，被申诉人举证和提出　，听证人员可以就案件所涉及的事实进行提问，听证主持人在听证过程中有权对双方的辩论予以制止；</w:t>
      </w:r>
    </w:p>
    <w:p w14:paraId="5AA3E4F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听证主持人宣布听证结束，听证笔录应交听证主持人、听证人员、记录员、申诉人和被申诉人阅读，确认无误后，在听证笔录上签字。认为有误的，有权要求补充或改正。无正当理由拒绝签字的，记明情况存档。</w:t>
      </w:r>
    </w:p>
    <w:p w14:paraId="25EDB8DE">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第四章　申诉决定</w:t>
      </w:r>
    </w:p>
    <w:p w14:paraId="24FD0FEB">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第二十条</w:t>
      </w:r>
      <w:r>
        <w:rPr>
          <w:rFonts w:hint="eastAsia" w:ascii="宋体" w:hAnsi="宋体" w:eastAsia="宋体" w:cs="宋体"/>
          <w:color w:val="000000"/>
          <w:kern w:val="0"/>
          <w:sz w:val="24"/>
          <w:shd w:val="clear" w:color="auto" w:fill="FFFFFF"/>
        </w:rPr>
        <w:t>　在申诉案件工作组调查取证工作或听证结束后，申诉委员会应当召开全体会议，对申诉案件工作组的调查取证报告或听证情况进行合议评判，由出席会议人员三分之二表决通过，按照下列规定作出申诉决定：</w:t>
      </w:r>
    </w:p>
    <w:p w14:paraId="08A4A8C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（一）原自律惩戒决定事实清楚，证据充分确凿，惩戒依据正确，程序合规的，应作出维持原自律惩戒的决定；</w:t>
      </w:r>
    </w:p>
    <w:p w14:paraId="716249A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（二）原自律惩戒决定有下列情形之一的，应作出变更或撤销原自律惩戒的决定：</w:t>
      </w:r>
    </w:p>
    <w:p w14:paraId="05BFF1E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1．事实不清，证据不足；</w:t>
      </w:r>
    </w:p>
    <w:p w14:paraId="4036725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2．惩戒依据不恰当；</w:t>
      </w:r>
    </w:p>
    <w:p w14:paraId="0A184DF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3．惩戒程序不规范。</w:t>
      </w:r>
    </w:p>
    <w:p w14:paraId="0A8D0676">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第二十一条</w:t>
      </w:r>
      <w:r>
        <w:rPr>
          <w:rFonts w:hint="eastAsia" w:ascii="宋体" w:hAnsi="宋体" w:eastAsia="宋体" w:cs="宋体"/>
          <w:color w:val="000000"/>
          <w:kern w:val="0"/>
          <w:sz w:val="24"/>
          <w:shd w:val="clear" w:color="auto" w:fill="FFFFFF"/>
        </w:rPr>
        <w:t>　申诉委员会对已经受理的申诉案件应当自申诉申请受理后45个工作日内作出申诉决定，特殊情况可延长，但最长不得超过90个工作日。</w:t>
      </w:r>
    </w:p>
    <w:p w14:paraId="5FE1337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申诉委员会作出申诉决定，提交中评协秘书处审议后下达申诉决定书。需提交中评协理事会审议决定的，中评协秘书处应提交中评协理事会审议决定。</w:t>
      </w:r>
    </w:p>
    <w:p w14:paraId="29525FC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申诉决定书应以纸质形式送达当事人。送达方式可采取申请人签收或按照申请人通信地址邮寄，也可以参照《民事诉讼法》规定的其它送达方式。</w:t>
      </w:r>
    </w:p>
    <w:p w14:paraId="35BF7456">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第二十二条</w:t>
      </w:r>
      <w:r>
        <w:rPr>
          <w:rFonts w:hint="eastAsia" w:ascii="宋体" w:hAnsi="宋体" w:eastAsia="宋体" w:cs="宋体"/>
          <w:color w:val="000000"/>
          <w:kern w:val="0"/>
          <w:sz w:val="24"/>
          <w:shd w:val="clear" w:color="auto" w:fill="FFFFFF"/>
        </w:rPr>
        <w:t>　申诉决定书应当载明下列主要事项：</w:t>
      </w:r>
    </w:p>
    <w:p w14:paraId="22795A3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（一）申诉人的姓名、所在机构或名称、地址和主要负责人的姓名、职务；</w:t>
      </w:r>
    </w:p>
    <w:p w14:paraId="0F22E49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（二）被申诉人的名称、地址；</w:t>
      </w:r>
    </w:p>
    <w:p w14:paraId="139D177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（三）申诉的要求和理由；</w:t>
      </w:r>
    </w:p>
    <w:p w14:paraId="1DF0F99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（四）支持申诉决定的事实、理由，适用的国家法律、行政法规、资产评估准则和其他相关规定；</w:t>
      </w:r>
    </w:p>
    <w:p w14:paraId="1BF7C3F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（五）申诉结论；</w:t>
      </w:r>
    </w:p>
    <w:p w14:paraId="50F208B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（六）作出申诉决定的机构名称、印章和作出申诉决定的年、月、日。</w:t>
      </w:r>
    </w:p>
    <w:p w14:paraId="64061D0A">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第二十三条</w:t>
      </w:r>
      <w:r>
        <w:rPr>
          <w:rFonts w:hint="eastAsia" w:ascii="宋体" w:hAnsi="宋体" w:eastAsia="宋体" w:cs="宋体"/>
          <w:color w:val="000000"/>
          <w:kern w:val="0"/>
          <w:sz w:val="24"/>
          <w:shd w:val="clear" w:color="auto" w:fill="FFFFFF"/>
        </w:rPr>
        <w:t>　申诉决定作出之前，申诉人要求撤回申诉申请的，经书面说明理由，可以撤回；撤回申诉申请的，申诉终止。</w:t>
      </w:r>
    </w:p>
    <w:p w14:paraId="1A19F2FA">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第五章　申诉纪律</w:t>
      </w:r>
    </w:p>
    <w:p w14:paraId="1348756D">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第二十四条</w:t>
      </w:r>
      <w:r>
        <w:rPr>
          <w:rFonts w:hint="eastAsia" w:ascii="宋体" w:hAnsi="宋体" w:eastAsia="宋体" w:cs="宋体"/>
          <w:color w:val="000000"/>
          <w:kern w:val="0"/>
          <w:sz w:val="24"/>
          <w:shd w:val="clear" w:color="auto" w:fill="FFFFFF"/>
        </w:rPr>
        <w:t>　申诉委员会委员以及该委员会办公室工作人员与申诉案件有利害关系或其它关系可能影响公正听证的，应当回避。</w:t>
      </w:r>
    </w:p>
    <w:p w14:paraId="5052A035">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第二十五条</w:t>
      </w:r>
      <w:r>
        <w:rPr>
          <w:rFonts w:hint="eastAsia" w:ascii="宋体" w:hAnsi="宋体" w:eastAsia="宋体" w:cs="宋体"/>
          <w:color w:val="000000"/>
          <w:kern w:val="0"/>
          <w:sz w:val="24"/>
          <w:shd w:val="clear" w:color="auto" w:fill="FFFFFF"/>
        </w:rPr>
        <w:t>　申诉委员会委员申诉案件办理期间有下列情形者，视情节轻重给予批评教育、取消申诉委员资格、行业内通报批评处罚。中评协有关工作人员，有下列情形者，按中评协纪律及相关规定做出处理。涉及违法的，移交司法机关处理。</w:t>
      </w:r>
    </w:p>
    <w:p w14:paraId="0BC8A68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（一）私自就申诉问题与申诉双方进行接触的；</w:t>
      </w:r>
    </w:p>
    <w:p w14:paraId="6FC8A65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（二）在申诉决定正式公布以前，私自将申诉结果向外界泄露的；</w:t>
      </w:r>
    </w:p>
    <w:p w14:paraId="0F9A666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（三）串联拉票的；</w:t>
      </w:r>
    </w:p>
    <w:p w14:paraId="4927D2A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（四）收受贿赂的。</w:t>
      </w:r>
    </w:p>
    <w:p w14:paraId="0F4CC7D1">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第二十六条</w:t>
      </w:r>
      <w:r>
        <w:rPr>
          <w:rFonts w:hint="eastAsia" w:ascii="宋体" w:hAnsi="宋体" w:eastAsia="宋体" w:cs="宋体"/>
          <w:color w:val="000000"/>
          <w:kern w:val="0"/>
          <w:sz w:val="24"/>
          <w:shd w:val="clear" w:color="auto" w:fill="FFFFFF"/>
        </w:rPr>
        <w:t>　申诉人故意提供虚假证据进行不实申诉的，视情节轻重，根据有关制度给予批评教育及相应的自律惩戒。</w:t>
      </w:r>
    </w:p>
    <w:p w14:paraId="0C4ED783">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第六章　附则</w:t>
      </w:r>
    </w:p>
    <w:p w14:paraId="7A556E2A">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第二十七条</w:t>
      </w:r>
      <w:r>
        <w:rPr>
          <w:rFonts w:hint="eastAsia" w:ascii="宋体" w:hAnsi="宋体" w:eastAsia="宋体" w:cs="宋体"/>
          <w:color w:val="000000"/>
          <w:kern w:val="0"/>
          <w:sz w:val="24"/>
          <w:shd w:val="clear" w:color="auto" w:fill="FFFFFF"/>
        </w:rPr>
        <w:t>　本办法由中评协负责解释。</w:t>
      </w:r>
    </w:p>
    <w:p w14:paraId="0180BA52">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第二十八条</w:t>
      </w:r>
      <w:r>
        <w:rPr>
          <w:rFonts w:hint="eastAsia" w:ascii="宋体" w:hAnsi="宋体" w:eastAsia="宋体" w:cs="宋体"/>
          <w:color w:val="000000"/>
          <w:kern w:val="0"/>
          <w:sz w:val="24"/>
          <w:shd w:val="clear" w:color="auto" w:fill="FFFFFF"/>
        </w:rPr>
        <w:t>　本办法自印发之日施行。中国资产评估协会2008年6月25日发布的《注册资产评估师和资产评估机构申诉管理办法》（中评协〔2008〕133　号）同时废止。</w:t>
      </w:r>
    </w:p>
    <w:p w14:paraId="22D4A81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br w:type="page"/>
      </w:r>
    </w:p>
    <w:p w14:paraId="2A321668">
      <w:pPr>
        <w:pStyle w:val="5"/>
        <w:spacing w:line="440" w:lineRule="atLeast"/>
        <w:jc w:val="center"/>
        <w:rPr>
          <w:rFonts w:ascii="宋体" w:hAnsi="宋体" w:eastAsia="宋体" w:cs="宋体"/>
        </w:rPr>
      </w:pPr>
      <w:bookmarkStart w:id="74" w:name="_Toc20853"/>
      <w:r>
        <w:rPr>
          <w:rFonts w:hint="eastAsia" w:ascii="宋体" w:hAnsi="宋体" w:eastAsia="宋体" w:cs="宋体"/>
        </w:rPr>
        <w:t>中国资产评估协会资产评估业务报备管理办法</w:t>
      </w:r>
      <w:bookmarkEnd w:id="74"/>
    </w:p>
    <w:p w14:paraId="545D3536">
      <w:pPr>
        <w:shd w:val="clear" w:color="auto" w:fill="FFFFFF"/>
        <w:spacing w:line="440" w:lineRule="atLeast"/>
        <w:jc w:val="center"/>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2021年12月23日中国资产评估协会发布　中评协〔2021〕30号</w:t>
      </w:r>
    </w:p>
    <w:p w14:paraId="46BF81AE">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第一章　总则</w:t>
      </w:r>
    </w:p>
    <w:p w14:paraId="3F6B5983">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第一条</w:t>
      </w:r>
      <w:r>
        <w:rPr>
          <w:rFonts w:hint="eastAsia" w:ascii="宋体" w:hAnsi="宋体" w:eastAsia="宋体" w:cs="宋体"/>
          <w:color w:val="000000"/>
          <w:kern w:val="0"/>
          <w:sz w:val="24"/>
          <w:shd w:val="clear" w:color="auto" w:fill="FFFFFF"/>
        </w:rPr>
        <w:t>　为加强资产评估行业自律管理，进一步规范资产评估业务管理，切实维护委托人合法利益，保障资产评估机构和资产评估师合法权益，进一步提升资产评估行业社会公信力，预防和打击涉及资产评估业务的违法违规行为，依据《中华人民共和国资产评估法》《资产评估行业财政监督管理办法》《资产评估基本准则》《中国资产评估协会章程》等有关规定，制定本办法。</w:t>
      </w:r>
    </w:p>
    <w:p w14:paraId="693DECCC">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第二条</w:t>
      </w:r>
      <w:r>
        <w:rPr>
          <w:rFonts w:hint="eastAsia" w:ascii="宋体" w:hAnsi="宋体" w:eastAsia="宋体" w:cs="宋体"/>
          <w:color w:val="000000"/>
          <w:kern w:val="0"/>
          <w:sz w:val="24"/>
          <w:shd w:val="clear" w:color="auto" w:fill="FFFFFF"/>
        </w:rPr>
        <w:t>　完成工商登记、财政部门备案，并加入中国资产评估协会（以下简称中评协）接受行业自律管理的资产评估机构，均适用本办法。</w:t>
      </w:r>
    </w:p>
    <w:p w14:paraId="060AC71C">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第三条</w:t>
      </w:r>
      <w:r>
        <w:rPr>
          <w:rFonts w:hint="eastAsia" w:ascii="宋体" w:hAnsi="宋体" w:eastAsia="宋体" w:cs="宋体"/>
          <w:color w:val="000000"/>
          <w:kern w:val="0"/>
          <w:sz w:val="24"/>
          <w:shd w:val="clear" w:color="auto" w:fill="FFFFFF"/>
        </w:rPr>
        <w:t>　本办法所称的资产评估业务报备（以下简称业务报备），是指资产评估机构依据《中华人民共和国资产评估法》等有关规定，将出具的全部资产评估报告向中评协进行备案，资产评估机构出具的价值类咨询报告自愿进行备案。</w:t>
      </w:r>
    </w:p>
    <w:p w14:paraId="5ADD2B26">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第四条</w:t>
      </w:r>
      <w:r>
        <w:rPr>
          <w:rFonts w:hint="eastAsia" w:ascii="宋体" w:hAnsi="宋体" w:eastAsia="宋体" w:cs="宋体"/>
          <w:color w:val="000000"/>
          <w:kern w:val="0"/>
          <w:sz w:val="24"/>
          <w:shd w:val="clear" w:color="auto" w:fill="FFFFFF"/>
        </w:rPr>
        <w:t>　业务报备管理职责分工：</w:t>
      </w:r>
    </w:p>
    <w:p w14:paraId="28D6E9D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　中评协负责指导各省、自治区、直辖市、计划单列市资产评估协会（以下简称地方协会）开展业务报备管理工作，直接负责珠宝类业务报备管理工作。</w:t>
      </w:r>
    </w:p>
    <w:p w14:paraId="2D19276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　地方协会负责本地区资产评估机构的业务报备管理工作。</w:t>
      </w:r>
    </w:p>
    <w:p w14:paraId="53B5F62F">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第二章　业务报备管理</w:t>
      </w:r>
    </w:p>
    <w:p w14:paraId="615DBB18">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第五条</w:t>
      </w:r>
      <w:r>
        <w:rPr>
          <w:rFonts w:hint="eastAsia" w:ascii="宋体" w:hAnsi="宋体" w:eastAsia="宋体" w:cs="宋体"/>
          <w:color w:val="000000"/>
          <w:kern w:val="0"/>
          <w:sz w:val="24"/>
          <w:shd w:val="clear" w:color="auto" w:fill="FFFFFF"/>
        </w:rPr>
        <w:t>　业务报备采用网上报备方式。资产评估机构应当在向委托人提交正式报告前，通过资产评估业务报备管理系统，录入有关业务基本信息并上传资产评估委托合同扫描件和资产评估报告电子版（不含附件，下同）。</w:t>
      </w:r>
    </w:p>
    <w:p w14:paraId="4923B0E0">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第六条</w:t>
      </w:r>
      <w:r>
        <w:rPr>
          <w:rFonts w:hint="eastAsia" w:ascii="宋体" w:hAnsi="宋体" w:eastAsia="宋体" w:cs="宋体"/>
          <w:color w:val="000000"/>
          <w:kern w:val="0"/>
          <w:sz w:val="24"/>
          <w:shd w:val="clear" w:color="auto" w:fill="FFFFFF"/>
        </w:rPr>
        <w:t>　资产评估机构完成业务报备后，业务报备管理系统会自动生成报告备案回执。资产评估机构应当打印带有二维码的报告备案回执并装订在出具报告的扉页位置。</w:t>
      </w:r>
    </w:p>
    <w:p w14:paraId="7815DF61">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第七条</w:t>
      </w:r>
      <w:r>
        <w:rPr>
          <w:rFonts w:hint="eastAsia" w:ascii="宋体" w:hAnsi="宋体" w:eastAsia="宋体" w:cs="宋体"/>
          <w:color w:val="000000"/>
          <w:kern w:val="0"/>
          <w:sz w:val="24"/>
          <w:shd w:val="clear" w:color="auto" w:fill="FFFFFF"/>
        </w:rPr>
        <w:t>　报告备案回执仅证明此报告已在业务报备管理系统进行了备案，不作为协会对该报告认证、认可的依据，也不作为资产评估机构及其签字资产评估专业人员免除相关法律责任的依据。</w:t>
      </w:r>
    </w:p>
    <w:p w14:paraId="60B73621">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第八条</w:t>
      </w:r>
      <w:r>
        <w:rPr>
          <w:rFonts w:hint="eastAsia" w:ascii="宋体" w:hAnsi="宋体" w:eastAsia="宋体" w:cs="宋体"/>
          <w:color w:val="000000"/>
          <w:kern w:val="0"/>
          <w:sz w:val="24"/>
          <w:shd w:val="clear" w:color="auto" w:fill="FFFFFF"/>
        </w:rPr>
        <w:t>　资产评估机构完成业务报备后，报告内容发生变化的，应于10个工作日内重新上传资产评估报告电子版，涉及所填业务基本信息变化的，应当进行修改操作并注明修改原因。</w:t>
      </w:r>
    </w:p>
    <w:p w14:paraId="61EF3783">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第九条</w:t>
      </w:r>
      <w:r>
        <w:rPr>
          <w:rFonts w:hint="eastAsia" w:ascii="宋体" w:hAnsi="宋体" w:eastAsia="宋体" w:cs="宋体"/>
          <w:color w:val="000000"/>
          <w:kern w:val="0"/>
          <w:sz w:val="24"/>
          <w:shd w:val="clear" w:color="auto" w:fill="FFFFFF"/>
        </w:rPr>
        <w:t>　资产评估机构完成业务报备后，报告作废的，应当进行作废操作并注明作废原因。</w:t>
      </w:r>
    </w:p>
    <w:p w14:paraId="70533A37">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第十条</w:t>
      </w:r>
      <w:r>
        <w:rPr>
          <w:rFonts w:hint="eastAsia" w:ascii="宋体" w:hAnsi="宋体" w:eastAsia="宋体" w:cs="宋体"/>
          <w:color w:val="000000"/>
          <w:kern w:val="0"/>
          <w:sz w:val="24"/>
          <w:shd w:val="clear" w:color="auto" w:fill="FFFFFF"/>
        </w:rPr>
        <w:t>　业务基本信息涉及国家秘密的，资产评估机构注明该业务涉密并录入报告文号后，可直接获取报告备案回执，无需上传资产评估委托合同扫描件和资产评估报告电子版。</w:t>
      </w:r>
    </w:p>
    <w:p w14:paraId="3F93B6F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业务基本信息涉及商业秘密或因其他保密要求暂不能填报所有信息的，资产评估机构注明该业务处于保密期并录入报告文号后，填报与商业秘密无关的信息，上传保密协议后获取报告备案回执。待业务解密后，补充上传资产评估委托合同扫描件和资产评估报告电子版并完整填报业务基本信息。</w:t>
      </w:r>
    </w:p>
    <w:p w14:paraId="12E139CC">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第十一条</w:t>
      </w:r>
      <w:r>
        <w:rPr>
          <w:rFonts w:hint="eastAsia" w:ascii="宋体" w:hAnsi="宋体" w:eastAsia="宋体" w:cs="宋体"/>
          <w:color w:val="000000"/>
          <w:kern w:val="0"/>
          <w:sz w:val="24"/>
          <w:shd w:val="clear" w:color="auto" w:fill="FFFFFF"/>
        </w:rPr>
        <w:t>　业务报备的具体要求：</w:t>
      </w:r>
    </w:p>
    <w:p w14:paraId="2787ACF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　资产评估机构应按照本办法，及时、规范进行业务报备。</w:t>
      </w:r>
    </w:p>
    <w:p w14:paraId="329726C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　资产评估机构应保证业务报备信息准确、完整，与业务档案保持一致。</w:t>
      </w:r>
    </w:p>
    <w:p w14:paraId="3BA94D1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　资产评估机构应建立业务报备内部管理制度，指定专人负责业务报备工作，并将其姓名和联系方式报所在地地方协会备案。珠宝类业务直接向中评协备案。</w:t>
      </w:r>
    </w:p>
    <w:p w14:paraId="7B4115B0">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第十二条</w:t>
      </w:r>
      <w:r>
        <w:rPr>
          <w:rFonts w:hint="eastAsia" w:ascii="宋体" w:hAnsi="宋体" w:eastAsia="宋体" w:cs="宋体"/>
          <w:color w:val="000000"/>
          <w:kern w:val="0"/>
          <w:sz w:val="24"/>
          <w:shd w:val="clear" w:color="auto" w:fill="FFFFFF"/>
        </w:rPr>
        <w:t>　会员资格终止的资产评估机构，中评协取消该资产评估机构业务报备管理系统的使用权限。</w:t>
      </w:r>
    </w:p>
    <w:p w14:paraId="2ABD72F0">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第十三条</w:t>
      </w:r>
      <w:r>
        <w:rPr>
          <w:rFonts w:hint="eastAsia" w:ascii="宋体" w:hAnsi="宋体" w:eastAsia="宋体" w:cs="宋体"/>
          <w:color w:val="000000"/>
          <w:kern w:val="0"/>
          <w:sz w:val="24"/>
          <w:shd w:val="clear" w:color="auto" w:fill="FFFFFF"/>
        </w:rPr>
        <w:t>　资产评估机构受到责令停业行政处罚的，中评协停止该资产评估机构业务报备管理系统的使用权限。</w:t>
      </w:r>
    </w:p>
    <w:p w14:paraId="567661F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资产评估机构责令停业期满后，由资产评估机构向所在地地方协会提出申请，经地方协会初审通过，上报中评协同意后恢复其业务报备管理系统的使用权限。</w:t>
      </w:r>
    </w:p>
    <w:p w14:paraId="592485B5">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第十四条</w:t>
      </w:r>
      <w:r>
        <w:rPr>
          <w:rFonts w:hint="eastAsia" w:ascii="宋体" w:hAnsi="宋体" w:eastAsia="宋体" w:cs="宋体"/>
          <w:color w:val="000000"/>
          <w:kern w:val="0"/>
          <w:sz w:val="24"/>
          <w:shd w:val="clear" w:color="auto" w:fill="FFFFFF"/>
        </w:rPr>
        <w:t>　资产评估机构对业务报备信息拥有所有权。中评协和地方协会工作人员对在业务报备中了解到的资产评估机构业务报备信息及其客户情况负有保密责任。业务报备信息除配合有权机关和部门依法进行调查取证外，不得向第三方提供。擅自对外提供资产评估机构业务报备信息的，按规定追究相关人员的责任。</w:t>
      </w:r>
    </w:p>
    <w:p w14:paraId="6D512BAB">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第十五条</w:t>
      </w:r>
      <w:r>
        <w:rPr>
          <w:rFonts w:hint="eastAsia" w:ascii="宋体" w:hAnsi="宋体" w:eastAsia="宋体" w:cs="宋体"/>
          <w:color w:val="000000"/>
          <w:kern w:val="0"/>
          <w:sz w:val="24"/>
          <w:shd w:val="clear" w:color="auto" w:fill="FFFFFF"/>
        </w:rPr>
        <w:t>　相关当事人可通过资产评估机构提供的备案回执二维码查询备案业务的资产评估报告编码、名称、文号，以及资产评估机构名称、签字资产评估专业人员等信息。</w:t>
      </w:r>
    </w:p>
    <w:p w14:paraId="6498AAB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经资产评估机构书面授权，中评协和地方协会可以向授权书中注明的利害关系人提供资产评估机构指定的业务报备信息。</w:t>
      </w:r>
    </w:p>
    <w:p w14:paraId="1F3972A1">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第三章　监督检查</w:t>
      </w:r>
    </w:p>
    <w:p w14:paraId="4F5F2F39">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第十六条</w:t>
      </w:r>
      <w:r>
        <w:rPr>
          <w:rFonts w:hint="eastAsia" w:ascii="宋体" w:hAnsi="宋体" w:eastAsia="宋体" w:cs="宋体"/>
          <w:color w:val="000000"/>
          <w:kern w:val="0"/>
          <w:sz w:val="24"/>
          <w:shd w:val="clear" w:color="auto" w:fill="FFFFFF"/>
        </w:rPr>
        <w:t>　中评协和地方协会定期、不定期对业务报备情况进行核查，对未按本办法要求进行业务报备的资产评估机构，按照下列情形进行处理并按照有关规定记入信用档案：</w:t>
      </w:r>
    </w:p>
    <w:p w14:paraId="2AC6E31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　存在漏报、误报行为的，进行谈话提醒并责令改正，情节严重的，予以警告。</w:t>
      </w:r>
    </w:p>
    <w:p w14:paraId="49FA017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　存在故意不报、瞒报行为的，予以严重警告，情节严重的，予以通报批评。</w:t>
      </w:r>
    </w:p>
    <w:p w14:paraId="21571ED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　存在弄虚作假行为的，予以通报批评，情节严重的，予以公开谴责。</w:t>
      </w:r>
    </w:p>
    <w:p w14:paraId="48BD5F0E">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第十七条</w:t>
      </w:r>
      <w:r>
        <w:rPr>
          <w:rFonts w:hint="eastAsia" w:ascii="宋体" w:hAnsi="宋体" w:eastAsia="宋体" w:cs="宋体"/>
          <w:color w:val="000000"/>
          <w:kern w:val="0"/>
          <w:sz w:val="24"/>
          <w:shd w:val="clear" w:color="auto" w:fill="FFFFFF"/>
        </w:rPr>
        <w:t>　资产评估行政监管部门和资产评估协会可结合业务报备管理系统，开展资产评估行业执业质量和职业风险防范机制检查等工作。</w:t>
      </w:r>
    </w:p>
    <w:p w14:paraId="5BA9B99D">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第十八条</w:t>
      </w:r>
      <w:r>
        <w:rPr>
          <w:rFonts w:hint="eastAsia" w:ascii="宋体" w:hAnsi="宋体" w:eastAsia="宋体" w:cs="宋体"/>
          <w:color w:val="000000"/>
          <w:kern w:val="0"/>
          <w:sz w:val="24"/>
          <w:shd w:val="clear" w:color="auto" w:fill="FFFFFF"/>
        </w:rPr>
        <w:t>　中评协和地方协会可结合业务报备信息，对资产评估机构业绩情况进行核查验证。</w:t>
      </w:r>
    </w:p>
    <w:p w14:paraId="4DE9A7AB">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第四章　附则</w:t>
      </w:r>
    </w:p>
    <w:p w14:paraId="207810CE">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第十九条</w:t>
      </w:r>
      <w:r>
        <w:rPr>
          <w:rFonts w:hint="eastAsia" w:ascii="宋体" w:hAnsi="宋体" w:eastAsia="宋体" w:cs="宋体"/>
          <w:color w:val="000000"/>
          <w:kern w:val="0"/>
          <w:sz w:val="24"/>
          <w:shd w:val="clear" w:color="auto" w:fill="FFFFFF"/>
        </w:rPr>
        <w:t>　本办法由中评协负责解释。</w:t>
      </w:r>
    </w:p>
    <w:p w14:paraId="021BF1D0">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第二十条</w:t>
      </w:r>
      <w:r>
        <w:rPr>
          <w:rFonts w:hint="eastAsia" w:ascii="宋体" w:hAnsi="宋体" w:eastAsia="宋体" w:cs="宋体"/>
          <w:color w:val="000000"/>
          <w:kern w:val="0"/>
          <w:sz w:val="24"/>
          <w:shd w:val="clear" w:color="auto" w:fill="FFFFFF"/>
        </w:rPr>
        <w:t>　本办法自2022年1月1日起施行。《中国资产评估协会资产评估业务信息报备管理办法》（中评协〔2007〕105号）和《中国资产评估协会资产评估报告统一编码管理暂行办法》（中评协〔2018〕44号）同时废止。</w:t>
      </w:r>
    </w:p>
    <w:p w14:paraId="4BDBA5DC">
      <w:pPr>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br w:type="page"/>
      </w:r>
    </w:p>
    <w:p w14:paraId="53D4AA93">
      <w:pPr>
        <w:pStyle w:val="5"/>
        <w:spacing w:line="440" w:lineRule="atLeast"/>
        <w:jc w:val="center"/>
        <w:rPr>
          <w:rFonts w:ascii="宋体" w:hAnsi="宋体" w:eastAsia="宋体" w:cs="宋体"/>
        </w:rPr>
      </w:pPr>
      <w:bookmarkStart w:id="75" w:name="_Toc24313"/>
      <w:r>
        <w:rPr>
          <w:rFonts w:hint="eastAsia" w:ascii="宋体" w:hAnsi="宋体" w:eastAsia="宋体" w:cs="宋体"/>
        </w:rPr>
        <w:t>中国资产评估协会资产评估报告统一编码管理暂行办法</w:t>
      </w:r>
      <w:bookmarkEnd w:id="75"/>
    </w:p>
    <w:p w14:paraId="1C4EB8B5">
      <w:pPr>
        <w:shd w:val="clear" w:color="auto" w:fill="FFFFFF"/>
        <w:spacing w:line="440" w:lineRule="atLeast"/>
        <w:jc w:val="center"/>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2018年11月30日中国资产评估协会发布　中评协〔2018〕44号</w:t>
      </w:r>
    </w:p>
    <w:p w14:paraId="3E371BDD">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第一章　总则</w:t>
      </w:r>
    </w:p>
    <w:p w14:paraId="4E415598">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第一条</w:t>
      </w:r>
      <w:r>
        <w:rPr>
          <w:rFonts w:hint="eastAsia" w:ascii="宋体" w:hAnsi="宋体" w:eastAsia="宋体" w:cs="宋体"/>
          <w:color w:val="000000"/>
          <w:kern w:val="0"/>
          <w:sz w:val="24"/>
          <w:shd w:val="clear" w:color="auto" w:fill="FFFFFF"/>
        </w:rPr>
        <w:t>　为进一步规范资产评估报告管理，更好地维护委托人和资产评估机构的合法权益，提升资产评估行业社会公信力，依据《中华人民共和国资产评估法》《资产评估行业财政监督管理办法》和《中国资产评估协会章程》等规定制定本办法。</w:t>
      </w:r>
    </w:p>
    <w:p w14:paraId="6DA56181">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第二条</w:t>
      </w:r>
      <w:r>
        <w:rPr>
          <w:rFonts w:hint="eastAsia" w:ascii="宋体" w:hAnsi="宋体" w:eastAsia="宋体" w:cs="宋体"/>
          <w:color w:val="000000"/>
          <w:kern w:val="0"/>
          <w:sz w:val="24"/>
          <w:shd w:val="clear" w:color="auto" w:fill="FFFFFF"/>
        </w:rPr>
        <w:t>　本办法所称资产评估报告是指根据《中华人民共和国资产评估法》和国务院有关规定，按照职责分工由财政部门监管的资产评估机构及其资产评估专业人员出具的资产评估报告。</w:t>
      </w:r>
    </w:p>
    <w:p w14:paraId="75B22527">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第三条</w:t>
      </w:r>
      <w:r>
        <w:rPr>
          <w:rFonts w:hint="eastAsia" w:ascii="宋体" w:hAnsi="宋体" w:eastAsia="宋体" w:cs="宋体"/>
          <w:color w:val="000000"/>
          <w:kern w:val="0"/>
          <w:sz w:val="24"/>
          <w:shd w:val="clear" w:color="auto" w:fill="FFFFFF"/>
        </w:rPr>
        <w:t>　本办法所称资产评估报告统一编码是指由资产评估报告统一编码信息系统（以下简称报告编码系统）自动对资产评估报告进行全国统一编码。经统一编码的资产评估报告具有行业认可的身份证明。</w:t>
      </w:r>
    </w:p>
    <w:p w14:paraId="7E50BF1C">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第四条</w:t>
      </w:r>
      <w:r>
        <w:rPr>
          <w:rFonts w:hint="eastAsia" w:ascii="宋体" w:hAnsi="宋体" w:eastAsia="宋体" w:cs="宋体"/>
          <w:color w:val="000000"/>
          <w:kern w:val="0"/>
          <w:sz w:val="24"/>
          <w:shd w:val="clear" w:color="auto" w:fill="FFFFFF"/>
        </w:rPr>
        <w:t>　资产评估机构出具的资产评估报告全部纳入统一编码范围。</w:t>
      </w:r>
    </w:p>
    <w:p w14:paraId="078496A9">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第五条</w:t>
      </w:r>
      <w:r>
        <w:rPr>
          <w:rFonts w:hint="eastAsia" w:ascii="宋体" w:hAnsi="宋体" w:eastAsia="宋体" w:cs="宋体"/>
          <w:color w:val="000000"/>
          <w:kern w:val="0"/>
          <w:sz w:val="24"/>
          <w:shd w:val="clear" w:color="auto" w:fill="FFFFFF"/>
        </w:rPr>
        <w:t>　中国资产评估协会（以下简称中评协）负责资产评估报告统一编码管理工作，地方资产评估协会和相关注册会计师协会（以下简称地方协会）协助负责本地区统一编码管理相关工作。</w:t>
      </w:r>
    </w:p>
    <w:p w14:paraId="5F02153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地方协会可应用报告编码系统对本地区资产评估机构出具的资产评估报告开展报告防伪等工作。</w:t>
      </w:r>
    </w:p>
    <w:p w14:paraId="0BBBB05A">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第二章　编码管理</w:t>
      </w:r>
    </w:p>
    <w:p w14:paraId="4AD55AF0">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第六条</w:t>
      </w:r>
      <w:r>
        <w:rPr>
          <w:rFonts w:hint="eastAsia" w:ascii="宋体" w:hAnsi="宋体" w:eastAsia="宋体" w:cs="宋体"/>
          <w:color w:val="000000"/>
          <w:kern w:val="0"/>
          <w:sz w:val="24"/>
          <w:shd w:val="clear" w:color="auto" w:fill="FFFFFF"/>
        </w:rPr>
        <w:t>　资产评估机构应当在向委托人提交资产评估报告前在报告编码系统中进行统一编码。</w:t>
      </w:r>
    </w:p>
    <w:p w14:paraId="139C186B">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第七条</w:t>
      </w:r>
      <w:r>
        <w:rPr>
          <w:rFonts w:hint="eastAsia" w:ascii="宋体" w:hAnsi="宋体" w:eastAsia="宋体" w:cs="宋体"/>
          <w:color w:val="000000"/>
          <w:kern w:val="0"/>
          <w:sz w:val="24"/>
          <w:shd w:val="clear" w:color="auto" w:fill="FFFFFF"/>
        </w:rPr>
        <w:t>　资产评估机构进行统一编码，应当登录报告编码系统，根据要求填报资产评估报告基本信息。信息填报完成后，报告编码系统会自动生成资产评估报告编码（以下简称报告编码）及“资产评估报告编码回执”（以下简称编码回执）。</w:t>
      </w:r>
    </w:p>
    <w:p w14:paraId="0566E6A7">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第八条</w:t>
      </w:r>
      <w:r>
        <w:rPr>
          <w:rFonts w:hint="eastAsia" w:ascii="宋体" w:hAnsi="宋体" w:eastAsia="宋体" w:cs="宋体"/>
          <w:color w:val="000000"/>
          <w:kern w:val="0"/>
          <w:sz w:val="24"/>
          <w:shd w:val="clear" w:color="auto" w:fill="FFFFFF"/>
        </w:rPr>
        <w:t>　资产评估机构应当打印编码回执并列装在资产评估报告的扉页位置。编码回执仅证明资产评估报告已在中评协的报告编码系统中进行了编码，不作为资产评估机构及其签字资产评估专业人员免除相关法律责任的依据。</w:t>
      </w:r>
    </w:p>
    <w:p w14:paraId="049EC71A">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第九条</w:t>
      </w:r>
      <w:r>
        <w:rPr>
          <w:rFonts w:hint="eastAsia" w:ascii="宋体" w:hAnsi="宋体" w:eastAsia="宋体" w:cs="宋体"/>
          <w:color w:val="000000"/>
          <w:kern w:val="0"/>
          <w:sz w:val="24"/>
          <w:shd w:val="clear" w:color="auto" w:fill="FFFFFF"/>
        </w:rPr>
        <w:t>　资产评估机构在报告编码系统中应当填报的基本信息包括：资产评估报告号、资产评估报告名称、委托人名称、委托人性质、委托人所在地、评估目的、被评估单位名称、被评估单位所在地、评估对象类别、价值类型、评估基准日、评估方法、账面价值、评估结论、签字资产评估专业人员、是否为证券类资产评估报告、资产评估报告日、资产评估服务费等内容。</w:t>
      </w:r>
    </w:p>
    <w:p w14:paraId="6B204301">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第十条</w:t>
      </w:r>
      <w:r>
        <w:rPr>
          <w:rFonts w:hint="eastAsia" w:ascii="宋体" w:hAnsi="宋体" w:eastAsia="宋体" w:cs="宋体"/>
          <w:color w:val="000000"/>
          <w:kern w:val="0"/>
          <w:sz w:val="24"/>
          <w:shd w:val="clear" w:color="auto" w:fill="FFFFFF"/>
        </w:rPr>
        <w:t>　经编码后的资产评估报告所填基本信息需要修改的，资产评估机构应当在报告编码系统中进行修改操作并注明修改原因。</w:t>
      </w:r>
    </w:p>
    <w:p w14:paraId="5423593F">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第十一条</w:t>
      </w:r>
      <w:r>
        <w:rPr>
          <w:rFonts w:hint="eastAsia" w:ascii="宋体" w:hAnsi="宋体" w:eastAsia="宋体" w:cs="宋体"/>
          <w:color w:val="000000"/>
          <w:kern w:val="0"/>
          <w:sz w:val="24"/>
          <w:shd w:val="clear" w:color="auto" w:fill="FFFFFF"/>
        </w:rPr>
        <w:t>　经编码后的资产评估报告需要作废的，资产评估机构应当在报告编码系统中进行作废操作并注明作废原因。</w:t>
      </w:r>
    </w:p>
    <w:p w14:paraId="6EE002A0">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第十二条</w:t>
      </w:r>
      <w:r>
        <w:rPr>
          <w:rFonts w:hint="eastAsia" w:ascii="宋体" w:hAnsi="宋体" w:eastAsia="宋体" w:cs="宋体"/>
          <w:color w:val="000000"/>
          <w:kern w:val="0"/>
          <w:sz w:val="24"/>
          <w:shd w:val="clear" w:color="auto" w:fill="FFFFFF"/>
        </w:rPr>
        <w:t>　资产评估报告相关信息涉及国家秘密时，可直接获取报告编码，无需填报相关信息。</w:t>
      </w:r>
    </w:p>
    <w:p w14:paraId="0E06FA2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因其他保密要求信息暂不能填报的，可先获取报告编码，待相关信息可以公布后填报。</w:t>
      </w:r>
    </w:p>
    <w:p w14:paraId="474CBF1D">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第十三条</w:t>
      </w:r>
      <w:r>
        <w:rPr>
          <w:rFonts w:hint="eastAsia" w:ascii="宋体" w:hAnsi="宋体" w:eastAsia="宋体" w:cs="宋体"/>
          <w:color w:val="000000"/>
          <w:kern w:val="0"/>
          <w:sz w:val="24"/>
          <w:shd w:val="clear" w:color="auto" w:fill="FFFFFF"/>
        </w:rPr>
        <w:t>　资产评估机构应真实准确完整的填报资产评估报告基本信息，并保证最终填报的基本信息与资产评估档案一致。</w:t>
      </w:r>
    </w:p>
    <w:p w14:paraId="26BA4067">
      <w:pPr>
        <w:shd w:val="clear" w:color="auto" w:fill="FFFFFF"/>
        <w:spacing w:line="440" w:lineRule="atLeast"/>
        <w:ind w:firstLine="482" w:firstLineChars="200"/>
        <w:rPr>
          <w:rFonts w:ascii="宋体" w:hAnsi="宋体" w:eastAsia="宋体" w:cs="宋体"/>
          <w:b/>
          <w:color w:val="000000"/>
          <w:kern w:val="0"/>
          <w:sz w:val="24"/>
          <w:shd w:val="clear" w:color="auto" w:fill="FFFFFF"/>
        </w:rPr>
      </w:pPr>
      <w:r>
        <w:rPr>
          <w:rFonts w:hint="eastAsia" w:ascii="宋体" w:hAnsi="宋体" w:eastAsia="宋体" w:cs="宋体"/>
          <w:b/>
          <w:color w:val="000000"/>
          <w:kern w:val="0"/>
          <w:sz w:val="24"/>
          <w:shd w:val="clear" w:color="auto" w:fill="FFFFFF"/>
        </w:rPr>
        <w:t>第十四条</w:t>
      </w:r>
      <w:r>
        <w:rPr>
          <w:rFonts w:hint="eastAsia" w:ascii="宋体" w:hAnsi="宋体" w:eastAsia="宋体" w:cs="宋体"/>
          <w:color w:val="000000"/>
          <w:kern w:val="0"/>
          <w:sz w:val="24"/>
          <w:shd w:val="clear" w:color="auto" w:fill="FFFFFF"/>
        </w:rPr>
        <w:t>　资产评估机构的法定代表人（或执行合伙事务的合伙人）为本机构报告编码系统的</w:t>
      </w:r>
      <w:r>
        <w:rPr>
          <w:rFonts w:hint="eastAsia" w:ascii="宋体" w:hAnsi="宋体" w:eastAsia="宋体" w:cs="宋体"/>
          <w:bCs/>
          <w:color w:val="000000"/>
          <w:kern w:val="0"/>
          <w:sz w:val="24"/>
          <w:shd w:val="clear" w:color="auto" w:fill="FFFFFF"/>
        </w:rPr>
        <w:t>第一责任人，对资产评估机构填报的相关信息的真实性、准确性、完整性负责。</w:t>
      </w:r>
    </w:p>
    <w:p w14:paraId="5112E3F3">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第十五条</w:t>
      </w:r>
      <w:r>
        <w:rPr>
          <w:rFonts w:hint="eastAsia" w:ascii="宋体" w:hAnsi="宋体" w:eastAsia="宋体" w:cs="宋体"/>
          <w:color w:val="000000"/>
          <w:kern w:val="0"/>
          <w:sz w:val="24"/>
          <w:shd w:val="clear" w:color="auto" w:fill="FFFFFF"/>
        </w:rPr>
        <w:t>　资产评估机构应当建立报告编码系统填报内部管理制度，指派专人负责，做到对报告编码系统使用权限的统一管理。</w:t>
      </w:r>
    </w:p>
    <w:p w14:paraId="1D9BDADD">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第十六条</w:t>
      </w:r>
      <w:r>
        <w:rPr>
          <w:rFonts w:hint="eastAsia" w:ascii="宋体" w:hAnsi="宋体" w:eastAsia="宋体" w:cs="宋体"/>
          <w:color w:val="000000"/>
          <w:kern w:val="0"/>
          <w:sz w:val="24"/>
          <w:shd w:val="clear" w:color="auto" w:fill="FFFFFF"/>
        </w:rPr>
        <w:t>　资产评估机构终止时，中评协将取消该资产评估机构报告编码系统的使用权限。</w:t>
      </w:r>
    </w:p>
    <w:p w14:paraId="7C26C8B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资产评估机构因违反《资产评估法》受到责令停业行政处罚的，停业期间不得使用报告编码系统。资产评估机构停业期满后，向中评协提交恢复使用报告编码系统的书面申请，中评协根据资产评估机构的整改情况，确定是否恢复其使用报告编码系统。</w:t>
      </w:r>
    </w:p>
    <w:p w14:paraId="35E86A7B">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第十七条</w:t>
      </w:r>
      <w:r>
        <w:rPr>
          <w:rFonts w:hint="eastAsia" w:ascii="宋体" w:hAnsi="宋体" w:eastAsia="宋体" w:cs="宋体"/>
          <w:color w:val="000000"/>
          <w:kern w:val="0"/>
          <w:sz w:val="24"/>
          <w:shd w:val="clear" w:color="auto" w:fill="FFFFFF"/>
        </w:rPr>
        <w:t>　中评协和地方协会对资产评估机构填报的信息具有保密义务，对未经批准擅自对外提供评估机构填报信息的行为，将追究相关人员责任。</w:t>
      </w:r>
    </w:p>
    <w:p w14:paraId="1DDD0C94">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第三章　监督检查</w:t>
      </w:r>
    </w:p>
    <w:p w14:paraId="0622BB21">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第十八条</w:t>
      </w:r>
      <w:r>
        <w:rPr>
          <w:rFonts w:hint="eastAsia" w:ascii="宋体" w:hAnsi="宋体" w:eastAsia="宋体" w:cs="宋体"/>
          <w:color w:val="000000"/>
          <w:kern w:val="0"/>
          <w:sz w:val="24"/>
          <w:shd w:val="clear" w:color="auto" w:fill="FFFFFF"/>
        </w:rPr>
        <w:t>　中评协和地方协会定期或不定期对报告编码系统信息填报情况进行抽查，对未按本办法要求填报的资产评估机构，按照相关情况进行处理并按照有关规定记入信用档案：</w:t>
      </w:r>
    </w:p>
    <w:p w14:paraId="316F87F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（一）漏报、误报的予以谈话提醒，情节严重的，予以警告；</w:t>
      </w:r>
    </w:p>
    <w:p w14:paraId="3B5D058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（二）故意不报、瞒报的，予以严重警告，情节严重的，予以通报批评；</w:t>
      </w:r>
    </w:p>
    <w:p w14:paraId="40F6B87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（三）填报中存在弄虚作假行为的，予以通报批评，情节严重的，予以公开谴责。</w:t>
      </w:r>
    </w:p>
    <w:p w14:paraId="2BC0DCC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以上情形涉及自律惩戒的，自律惩戒程序参照《会员执业行为自律惩戒办法》执行。</w:t>
      </w:r>
    </w:p>
    <w:p w14:paraId="6798D102">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第十九条</w:t>
      </w:r>
      <w:r>
        <w:rPr>
          <w:rFonts w:hint="eastAsia" w:ascii="宋体" w:hAnsi="宋体" w:eastAsia="宋体" w:cs="宋体"/>
          <w:color w:val="000000"/>
          <w:kern w:val="0"/>
          <w:sz w:val="24"/>
          <w:shd w:val="clear" w:color="auto" w:fill="FFFFFF"/>
        </w:rPr>
        <w:t>　中评协和地方协会可结合报告编码系统开展资产评估行业执业质量检查和职业风险防范机制检查等日常管理工作。</w:t>
      </w:r>
    </w:p>
    <w:p w14:paraId="03992DE6">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第二十条</w:t>
      </w:r>
      <w:r>
        <w:rPr>
          <w:rFonts w:hint="eastAsia" w:ascii="宋体" w:hAnsi="宋体" w:eastAsia="宋体" w:cs="宋体"/>
          <w:color w:val="000000"/>
          <w:kern w:val="0"/>
          <w:sz w:val="24"/>
          <w:shd w:val="clear" w:color="auto" w:fill="FFFFFF"/>
        </w:rPr>
        <w:t>　中评协在开展资产评估机构综合评价时，可结合报告编码系统中的相关信息对资产评估机构业绩进行核查。</w:t>
      </w:r>
    </w:p>
    <w:p w14:paraId="6CBCA84F">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第四章　附则</w:t>
      </w:r>
    </w:p>
    <w:p w14:paraId="06D066B5">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第二十一条</w:t>
      </w:r>
      <w:r>
        <w:rPr>
          <w:rFonts w:hint="eastAsia" w:ascii="宋体" w:hAnsi="宋体" w:eastAsia="宋体" w:cs="宋体"/>
          <w:color w:val="000000"/>
          <w:kern w:val="0"/>
          <w:sz w:val="24"/>
          <w:shd w:val="clear" w:color="auto" w:fill="FFFFFF"/>
        </w:rPr>
        <w:t>　本办法自发布之日起施行。</w:t>
      </w:r>
    </w:p>
    <w:p w14:paraId="6B31892F">
      <w:pPr>
        <w:shd w:val="clear" w:color="auto" w:fill="FFFFFF"/>
        <w:spacing w:line="440" w:lineRule="atLeast"/>
        <w:ind w:firstLine="480" w:firstLineChars="200"/>
        <w:rPr>
          <w:rFonts w:ascii="宋体" w:hAnsi="宋体" w:eastAsia="宋体" w:cs="宋体"/>
          <w:color w:val="000000"/>
          <w:kern w:val="0"/>
          <w:sz w:val="24"/>
          <w:shd w:val="clear" w:color="auto" w:fill="FFFFFF"/>
        </w:rPr>
      </w:pPr>
    </w:p>
    <w:p w14:paraId="528CEAF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附件：资产评估报告编码回执</w:t>
      </w:r>
    </w:p>
    <w:p w14:paraId="072E5BD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br w:type="page"/>
      </w:r>
    </w:p>
    <w:p w14:paraId="441F1961">
      <w:pPr>
        <w:spacing w:line="440" w:lineRule="atLeast"/>
        <w:rPr>
          <w:rFonts w:ascii="宋体" w:hAnsi="宋体" w:eastAsia="宋体" w:cs="宋体"/>
          <w:sz w:val="24"/>
        </w:rPr>
      </w:pPr>
      <w:r>
        <w:rPr>
          <w:rFonts w:hint="eastAsia" w:ascii="宋体" w:hAnsi="宋体" w:eastAsia="宋体" w:cs="宋体"/>
          <w:sz w:val="24"/>
        </w:rPr>
        <w:t>附件</w:t>
      </w:r>
    </w:p>
    <w:p w14:paraId="3C10DB6E">
      <w:pPr>
        <w:spacing w:line="440" w:lineRule="atLeast"/>
        <w:jc w:val="center"/>
        <w:rPr>
          <w:rFonts w:ascii="华文中宋" w:hAnsi="华文中宋" w:eastAsia="华文中宋"/>
          <w:sz w:val="44"/>
          <w:szCs w:val="32"/>
        </w:rPr>
      </w:pPr>
      <w:r>
        <w:rPr>
          <w:rFonts w:hint="eastAsia" w:ascii="华文中宋" w:hAnsi="华文中宋" w:eastAsia="华文中宋"/>
          <w:sz w:val="44"/>
          <w:szCs w:val="32"/>
        </w:rPr>
        <w:t>资产评估报告编码回执</w:t>
      </w:r>
    </w:p>
    <w:p w14:paraId="4ED18073">
      <w:pPr>
        <w:spacing w:line="440" w:lineRule="atLeast"/>
        <w:jc w:val="center"/>
        <w:rPr>
          <w:rFonts w:ascii="仿宋" w:hAnsi="仿宋"/>
          <w:szCs w:val="32"/>
        </w:rPr>
      </w:pPr>
      <w:r>
        <w:rPr>
          <w:rFonts w:hint="eastAsia" w:ascii="仿宋" w:hAnsi="仿宋"/>
          <w:szCs w:val="32"/>
        </w:rPr>
        <w:t>（参考样式，地方协会可根据工作需要加填地方协会名称和工作内容简称）</w:t>
      </w:r>
    </w:p>
    <w:p w14:paraId="1DE04553">
      <w:pPr>
        <w:spacing w:line="440" w:lineRule="atLeast"/>
        <w:jc w:val="center"/>
        <w:rPr>
          <w:rFonts w:ascii="华文中宋" w:hAnsi="华文中宋" w:eastAsia="华文中宋"/>
          <w:sz w:val="44"/>
          <w:szCs w:val="32"/>
        </w:rPr>
      </w:pPr>
      <w:r>
        <w:rPr>
          <w:rFonts w:ascii="华文中宋" w:hAnsi="华文中宋" w:eastAsia="华文中宋"/>
          <w:sz w:val="44"/>
          <w:szCs w:val="32"/>
        </w:rPr>
        <w:drawing>
          <wp:inline distT="0" distB="0" distL="114300" distR="114300">
            <wp:extent cx="2667000" cy="2667000"/>
            <wp:effectExtent l="0" t="0" r="0" b="0"/>
            <wp:docPr id="2" name="图片 1" descr="说明: C:\Users\CAS\Desktop\1515745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说明: C:\Users\CAS\Desktop\1515745216.png"/>
                    <pic:cNvPicPr>
                      <a:picLocks noChangeAspect="1"/>
                    </pic:cNvPicPr>
                  </pic:nvPicPr>
                  <pic:blipFill>
                    <a:blip r:embed="rId35"/>
                    <a:stretch>
                      <a:fillRect/>
                    </a:stretch>
                  </pic:blipFill>
                  <pic:spPr>
                    <a:xfrm>
                      <a:off x="0" y="0"/>
                      <a:ext cx="2667000" cy="2667000"/>
                    </a:xfrm>
                    <a:prstGeom prst="rect">
                      <a:avLst/>
                    </a:prstGeom>
                    <a:noFill/>
                    <a:ln>
                      <a:noFill/>
                    </a:ln>
                  </pic:spPr>
                </pic:pic>
              </a:graphicData>
            </a:graphic>
          </wp:inline>
        </w:drawing>
      </w:r>
    </w:p>
    <w:p w14:paraId="2F54CD47">
      <w:pPr>
        <w:spacing w:line="440" w:lineRule="atLeast"/>
        <w:jc w:val="center"/>
        <w:rPr>
          <w:rFonts w:ascii="仿宋" w:hAnsi="仿宋"/>
          <w:szCs w:val="32"/>
        </w:rPr>
      </w:pPr>
      <w:r>
        <w:rPr>
          <w:rFonts w:hint="eastAsia" w:ascii="仿宋" w:hAnsi="仿宋"/>
          <w:szCs w:val="32"/>
        </w:rPr>
        <w:t>（中国资产评估协会全国统一编码）</w:t>
      </w:r>
    </w:p>
    <w:p w14:paraId="5755AB51">
      <w:pPr>
        <w:spacing w:before="120" w:beforeLines="50" w:after="120" w:afterLines="50" w:line="440" w:lineRule="atLeast"/>
        <w:jc w:val="left"/>
        <w:rPr>
          <w:rFonts w:ascii="黑体" w:hAnsi="黑体" w:eastAsia="黑体"/>
          <w:szCs w:val="32"/>
        </w:rPr>
      </w:pPr>
      <w:r>
        <w:rPr>
          <w:rFonts w:hint="eastAsia" w:ascii="黑体" w:hAnsi="黑体" w:eastAsia="黑体"/>
          <w:szCs w:val="32"/>
        </w:rPr>
        <w:t>资产评估报告编码：</w:t>
      </w:r>
    </w:p>
    <w:p w14:paraId="3AC20595">
      <w:pPr>
        <w:spacing w:before="120" w:beforeLines="50" w:after="120" w:afterLines="50" w:line="440" w:lineRule="atLeast"/>
        <w:jc w:val="left"/>
        <w:rPr>
          <w:rFonts w:ascii="黑体" w:hAnsi="黑体" w:eastAsia="黑体"/>
          <w:szCs w:val="32"/>
        </w:rPr>
      </w:pPr>
      <w:r>
        <w:rPr>
          <w:rFonts w:hint="eastAsia" w:ascii="黑体" w:hAnsi="黑体" w:eastAsia="黑体"/>
          <w:szCs w:val="32"/>
        </w:rPr>
        <w:t>资产评估报告名称：</w:t>
      </w:r>
    </w:p>
    <w:p w14:paraId="44B4FDBE">
      <w:pPr>
        <w:spacing w:before="120" w:beforeLines="50" w:after="120" w:afterLines="50" w:line="440" w:lineRule="atLeast"/>
        <w:jc w:val="left"/>
        <w:rPr>
          <w:rFonts w:ascii="黑体" w:hAnsi="黑体" w:eastAsia="黑体"/>
          <w:szCs w:val="32"/>
        </w:rPr>
      </w:pPr>
      <w:r>
        <w:rPr>
          <w:rFonts w:hint="eastAsia" w:ascii="黑体" w:hAnsi="黑体" w:eastAsia="黑体"/>
          <w:szCs w:val="32"/>
        </w:rPr>
        <w:t>资产评估报告文号：</w:t>
      </w:r>
    </w:p>
    <w:p w14:paraId="51D157B6">
      <w:pPr>
        <w:spacing w:before="120" w:beforeLines="50" w:after="120" w:afterLines="50" w:line="440" w:lineRule="atLeast"/>
        <w:jc w:val="left"/>
        <w:rPr>
          <w:rFonts w:ascii="黑体" w:hAnsi="黑体" w:eastAsia="黑体"/>
          <w:szCs w:val="32"/>
        </w:rPr>
      </w:pPr>
      <w:r>
        <w:rPr>
          <w:rFonts w:hint="eastAsia" w:ascii="黑体" w:hAnsi="黑体" w:eastAsia="黑体"/>
          <w:szCs w:val="32"/>
        </w:rPr>
        <w:t>资产评估机构名称：</w:t>
      </w:r>
    </w:p>
    <w:p w14:paraId="4C190FCD">
      <w:pPr>
        <w:spacing w:before="120" w:beforeLines="50" w:after="120" w:afterLines="50" w:line="440" w:lineRule="atLeast"/>
        <w:jc w:val="left"/>
        <w:rPr>
          <w:rFonts w:ascii="黑体" w:hAnsi="黑体" w:eastAsia="黑体"/>
          <w:szCs w:val="32"/>
        </w:rPr>
      </w:pPr>
      <w:r>
        <w:rPr>
          <w:rFonts w:hint="eastAsia" w:ascii="黑体" w:hAnsi="黑体" w:eastAsia="黑体"/>
          <w:szCs w:val="32"/>
        </w:rPr>
        <w:t>签字资产评估专业人员：</w:t>
      </w:r>
    </w:p>
    <w:p w14:paraId="24A5F423">
      <w:pPr>
        <w:spacing w:line="440" w:lineRule="atLeast"/>
        <w:rPr>
          <w:rFonts w:ascii="仿宋" w:hAnsi="仿宋"/>
          <w:sz w:val="24"/>
          <w:szCs w:val="32"/>
        </w:rPr>
      </w:pPr>
      <w:r>
        <w:rPr>
          <w:rFonts w:hint="eastAsia" w:ascii="仿宋" w:hAnsi="仿宋"/>
          <w:sz w:val="24"/>
          <w:szCs w:val="32"/>
        </w:rPr>
        <w:t>说明：本回执仅证明该资产评估报告已进行了全国统一编码，不作为资产评估机构及其签字资产评估专业人员免除相关法律责任的依据。</w:t>
      </w:r>
    </w:p>
    <w:p w14:paraId="5C850DBB">
      <w:pPr>
        <w:spacing w:line="440" w:lineRule="atLeast"/>
        <w:rPr>
          <w:rFonts w:asciiTheme="majorEastAsia" w:hAnsiTheme="majorEastAsia" w:eastAsiaTheme="majorEastAsia"/>
          <w:sz w:val="30"/>
          <w:szCs w:val="30"/>
        </w:rPr>
      </w:pPr>
      <w:r>
        <w:rPr>
          <w:rFonts w:hint="eastAsia" w:ascii="仿宋" w:hAnsi="仿宋"/>
          <w:sz w:val="24"/>
          <w:szCs w:val="32"/>
        </w:rPr>
        <w:br w:type="page"/>
      </w:r>
      <w:bookmarkStart w:id="76" w:name="_Hlk22291810"/>
    </w:p>
    <w:p w14:paraId="06C65994">
      <w:pPr>
        <w:pStyle w:val="5"/>
        <w:spacing w:line="440" w:lineRule="atLeast"/>
        <w:jc w:val="center"/>
        <w:rPr>
          <w:rFonts w:ascii="宋体" w:hAnsi="宋体" w:eastAsia="宋体" w:cs="宋体"/>
          <w:lang w:val="zh-TW"/>
        </w:rPr>
      </w:pPr>
      <w:bookmarkStart w:id="77" w:name="_Toc6511"/>
      <w:r>
        <w:rPr>
          <w:rFonts w:hint="eastAsia" w:ascii="宋体" w:hAnsi="宋体" w:eastAsia="宋体" w:cs="宋体"/>
          <w:lang w:val="zh-TW" w:eastAsia="zh-TW"/>
        </w:rPr>
        <w:t>人民法院委托资产评估专业技术评审</w:t>
      </w:r>
      <w:bookmarkEnd w:id="76"/>
      <w:r>
        <w:rPr>
          <w:rFonts w:hint="eastAsia" w:ascii="宋体" w:hAnsi="宋体" w:eastAsia="宋体" w:cs="宋体"/>
          <w:lang w:val="zh-TW" w:eastAsia="zh-TW"/>
        </w:rPr>
        <w:t>收费管理办法（试行）</w:t>
      </w:r>
      <w:bookmarkEnd w:id="77"/>
    </w:p>
    <w:p w14:paraId="57B40F24">
      <w:pPr>
        <w:shd w:val="clear" w:color="auto" w:fill="FFFFFF"/>
        <w:spacing w:line="440" w:lineRule="atLeast"/>
        <w:jc w:val="center"/>
        <w:rPr>
          <w:rFonts w:ascii="宋体" w:hAnsi="宋体" w:eastAsia="宋体" w:cs="宋体"/>
          <w:color w:val="000000"/>
          <w:kern w:val="0"/>
          <w:sz w:val="24"/>
          <w:shd w:val="clear" w:color="auto" w:fill="FFFFFF"/>
          <w:lang w:val="zh-TW"/>
        </w:rPr>
      </w:pPr>
      <w:r>
        <w:rPr>
          <w:rFonts w:hint="eastAsia" w:ascii="宋体" w:hAnsi="宋体" w:eastAsia="宋体" w:cs="宋体"/>
          <w:color w:val="000000"/>
          <w:kern w:val="0"/>
          <w:sz w:val="24"/>
          <w:shd w:val="clear" w:color="auto" w:fill="FFFFFF"/>
        </w:rPr>
        <w:t>2019年12月24日中国资产评估协会发布　中评协办〔2019〕96号</w:t>
      </w:r>
    </w:p>
    <w:p w14:paraId="2B2C369C">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lang w:val="zh-TW"/>
        </w:rPr>
        <w:t>第一条</w:t>
      </w:r>
      <w:r>
        <w:rPr>
          <w:rFonts w:hint="eastAsia" w:ascii="宋体" w:hAnsi="宋体" w:eastAsia="宋体" w:cs="宋体"/>
          <w:color w:val="000000"/>
          <w:kern w:val="0"/>
          <w:sz w:val="24"/>
          <w:shd w:val="clear" w:color="auto" w:fill="FFFFFF"/>
        </w:rPr>
        <w:t>　</w:t>
      </w:r>
      <w:r>
        <w:rPr>
          <w:rFonts w:hint="eastAsia" w:ascii="宋体" w:hAnsi="宋体" w:eastAsia="宋体" w:cs="宋体"/>
          <w:color w:val="000000"/>
          <w:kern w:val="0"/>
          <w:sz w:val="24"/>
          <w:shd w:val="clear" w:color="auto" w:fill="FFFFFF"/>
          <w:lang w:val="zh-TW" w:eastAsia="zh-TW"/>
        </w:rPr>
        <w:t>为规范各省、自治区、直辖市资产评估协会（有关注册会计师协会）（以下简称地方协会）对人民法院委托资产评估专业技术评审的收费事宜，维护当事人、利害关系人的合法权益，根据《最高人民法院关于人民法院确定财产处置参考价若干问题的规定》《人民法院委托评估专业技术评审工作规范》《人民法院委托资产评估专业技术评审工作实施细则》等有关规定，制定本办法。</w:t>
      </w:r>
    </w:p>
    <w:p w14:paraId="34AA2B87">
      <w:pPr>
        <w:shd w:val="clear" w:color="auto" w:fill="FFFFFF"/>
        <w:spacing w:line="440" w:lineRule="atLeast"/>
        <w:ind w:firstLine="482"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b/>
          <w:color w:val="000000"/>
          <w:kern w:val="0"/>
          <w:sz w:val="24"/>
          <w:shd w:val="clear" w:color="auto" w:fill="FFFFFF"/>
          <w:lang w:val="zh-TW"/>
        </w:rPr>
        <w:t>第二条</w:t>
      </w:r>
      <w:r>
        <w:rPr>
          <w:rFonts w:hint="eastAsia" w:ascii="宋体" w:hAnsi="宋体" w:eastAsia="宋体" w:cs="宋体"/>
          <w:color w:val="000000"/>
          <w:kern w:val="0"/>
          <w:sz w:val="24"/>
          <w:shd w:val="clear" w:color="auto" w:fill="FFFFFF"/>
          <w:lang w:val="zh-TW"/>
        </w:rPr>
        <w:t>　</w:t>
      </w:r>
      <w:r>
        <w:rPr>
          <w:rFonts w:hint="eastAsia" w:ascii="宋体" w:hAnsi="宋体" w:eastAsia="宋体" w:cs="宋体"/>
          <w:color w:val="000000"/>
          <w:kern w:val="0"/>
          <w:sz w:val="24"/>
          <w:shd w:val="clear" w:color="auto" w:fill="FFFFFF"/>
          <w:lang w:val="zh-TW" w:eastAsia="zh-TW"/>
        </w:rPr>
        <w:t>地方协会执行人民法院委托资产评估专业技术评审，应当根据本办法的规定收取专业技术评审费用。</w:t>
      </w:r>
    </w:p>
    <w:p w14:paraId="2646A744">
      <w:pPr>
        <w:shd w:val="clear" w:color="auto" w:fill="FFFFFF"/>
        <w:spacing w:line="440" w:lineRule="atLeast"/>
        <w:ind w:firstLine="482"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b/>
          <w:color w:val="000000"/>
          <w:kern w:val="0"/>
          <w:sz w:val="24"/>
          <w:shd w:val="clear" w:color="auto" w:fill="FFFFFF"/>
          <w:lang w:val="zh-TW"/>
        </w:rPr>
        <w:t>第三条</w:t>
      </w:r>
      <w:r>
        <w:rPr>
          <w:rFonts w:hint="eastAsia" w:ascii="宋体" w:hAnsi="宋体" w:eastAsia="宋体" w:cs="宋体"/>
          <w:color w:val="000000"/>
          <w:kern w:val="0"/>
          <w:sz w:val="24"/>
          <w:shd w:val="clear" w:color="auto" w:fill="FFFFFF"/>
          <w:lang w:val="zh-TW"/>
        </w:rPr>
        <w:t>　</w:t>
      </w:r>
      <w:r>
        <w:rPr>
          <w:rFonts w:hint="eastAsia" w:ascii="宋体" w:hAnsi="宋体" w:eastAsia="宋体" w:cs="宋体"/>
          <w:color w:val="000000"/>
          <w:kern w:val="0"/>
          <w:sz w:val="24"/>
          <w:shd w:val="clear" w:color="auto" w:fill="FFFFFF"/>
          <w:lang w:val="zh-TW" w:eastAsia="zh-TW"/>
        </w:rPr>
        <w:t>地方协会可以根据评审项目的复杂程度，按照以下标准确定评审费用：</w:t>
      </w:r>
    </w:p>
    <w:p w14:paraId="26ADE88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lang w:val="zh-TW" w:eastAsia="zh-TW"/>
        </w:rPr>
        <w:t>（一）小型项目收费为</w:t>
      </w:r>
      <w:r>
        <w:rPr>
          <w:rFonts w:hint="eastAsia" w:ascii="宋体" w:hAnsi="宋体" w:eastAsia="宋体" w:cs="宋体"/>
          <w:color w:val="000000"/>
          <w:kern w:val="0"/>
          <w:sz w:val="24"/>
          <w:shd w:val="clear" w:color="auto" w:fill="FFFFFF"/>
        </w:rPr>
        <w:t>1.5</w:t>
      </w:r>
      <w:r>
        <w:rPr>
          <w:rFonts w:hint="eastAsia" w:ascii="宋体" w:hAnsi="宋体" w:eastAsia="宋体" w:cs="宋体"/>
          <w:color w:val="000000"/>
          <w:kern w:val="0"/>
          <w:sz w:val="24"/>
          <w:shd w:val="clear" w:color="auto" w:fill="FFFFFF"/>
          <w:lang w:val="zh-TW" w:eastAsia="zh-TW"/>
        </w:rPr>
        <w:t>万元。专业技术评审工作量较小的评审项目，一般针对单项实物资产的评估，如机器设备、</w:t>
      </w:r>
      <w:r>
        <w:rPr>
          <w:rFonts w:hint="eastAsia" w:ascii="宋体" w:hAnsi="宋体" w:eastAsia="宋体" w:cs="宋体"/>
          <w:color w:val="000000"/>
          <w:kern w:val="0"/>
          <w:sz w:val="24"/>
          <w:shd w:val="clear" w:color="auto" w:fill="FFFFFF"/>
          <w:lang w:val="zh-TW"/>
        </w:rPr>
        <w:t>固定资产</w:t>
      </w:r>
      <w:r>
        <w:rPr>
          <w:rFonts w:hint="eastAsia" w:ascii="宋体" w:hAnsi="宋体" w:eastAsia="宋体" w:cs="宋体"/>
          <w:color w:val="000000"/>
          <w:kern w:val="0"/>
          <w:sz w:val="24"/>
          <w:shd w:val="clear" w:color="auto" w:fill="FFFFFF"/>
          <w:lang w:val="zh-TW" w:eastAsia="zh-TW"/>
        </w:rPr>
        <w:t>等；</w:t>
      </w:r>
    </w:p>
    <w:p w14:paraId="44163D8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lang w:val="zh-TW" w:eastAsia="zh-TW"/>
        </w:rPr>
        <w:t>（二）中型项目收费为</w:t>
      </w:r>
      <w:r>
        <w:rPr>
          <w:rFonts w:hint="eastAsia" w:ascii="宋体" w:hAnsi="宋体" w:eastAsia="宋体" w:cs="宋体"/>
          <w:color w:val="000000"/>
          <w:kern w:val="0"/>
          <w:sz w:val="24"/>
          <w:shd w:val="clear" w:color="auto" w:fill="FFFFFF"/>
        </w:rPr>
        <w:t>3</w:t>
      </w:r>
      <w:r>
        <w:rPr>
          <w:rFonts w:hint="eastAsia" w:ascii="宋体" w:hAnsi="宋体" w:eastAsia="宋体" w:cs="宋体"/>
          <w:color w:val="000000"/>
          <w:kern w:val="0"/>
          <w:sz w:val="24"/>
          <w:shd w:val="clear" w:color="auto" w:fill="FFFFFF"/>
          <w:lang w:val="zh-TW" w:eastAsia="zh-TW"/>
        </w:rPr>
        <w:t>万元。专业技术评审工作量较大的评审项目，一般针对有一定复杂程度的资产评估，如涉及多项资产、多地区等情况；</w:t>
      </w:r>
    </w:p>
    <w:p w14:paraId="00104EF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lang w:val="zh-TW" w:eastAsia="zh-TW"/>
        </w:rPr>
        <w:t>（三）大型项目收费</w:t>
      </w:r>
      <w:r>
        <w:rPr>
          <w:rFonts w:hint="eastAsia" w:ascii="宋体" w:hAnsi="宋体" w:eastAsia="宋体" w:cs="宋体"/>
          <w:color w:val="000000"/>
          <w:kern w:val="0"/>
          <w:sz w:val="24"/>
          <w:shd w:val="clear" w:color="auto" w:fill="FFFFFF"/>
        </w:rPr>
        <w:t>5</w:t>
      </w:r>
      <w:r>
        <w:rPr>
          <w:rFonts w:hint="eastAsia" w:ascii="宋体" w:hAnsi="宋体" w:eastAsia="宋体" w:cs="宋体"/>
          <w:color w:val="000000"/>
          <w:kern w:val="0"/>
          <w:sz w:val="24"/>
          <w:shd w:val="clear" w:color="auto" w:fill="FFFFFF"/>
          <w:lang w:val="zh-TW" w:eastAsia="zh-TW"/>
        </w:rPr>
        <w:t>万元。专业技术评审工作量巨大的评审项目，一般针对复杂程度较高的资产评估，如涉及证券业务、企业价值、无形资产、多项评估报告等情况。</w:t>
      </w:r>
    </w:p>
    <w:p w14:paraId="175A4470">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以上评审费用不包括对评估财产实施</w:t>
      </w:r>
      <w:r>
        <w:rPr>
          <w:rFonts w:hint="eastAsia" w:ascii="宋体" w:hAnsi="宋体" w:eastAsia="宋体" w:cs="宋体"/>
          <w:color w:val="000000"/>
          <w:kern w:val="0"/>
          <w:sz w:val="24"/>
          <w:shd w:val="clear" w:color="auto" w:fill="FFFFFF"/>
          <w:lang w:val="zh-TW"/>
        </w:rPr>
        <w:t>现场</w:t>
      </w:r>
      <w:r>
        <w:rPr>
          <w:rFonts w:hint="eastAsia" w:ascii="宋体" w:hAnsi="宋体" w:eastAsia="宋体" w:cs="宋体"/>
          <w:color w:val="000000"/>
          <w:kern w:val="0"/>
          <w:sz w:val="24"/>
          <w:shd w:val="clear" w:color="auto" w:fill="FFFFFF"/>
          <w:lang w:val="zh-TW" w:eastAsia="zh-TW"/>
        </w:rPr>
        <w:t>调查的费用，如果专家组判断需要进行</w:t>
      </w:r>
      <w:r>
        <w:rPr>
          <w:rFonts w:hint="eastAsia" w:ascii="宋体" w:hAnsi="宋体" w:eastAsia="宋体" w:cs="宋体"/>
          <w:color w:val="000000"/>
          <w:kern w:val="0"/>
          <w:sz w:val="24"/>
          <w:shd w:val="clear" w:color="auto" w:fill="FFFFFF"/>
          <w:lang w:val="zh-TW"/>
        </w:rPr>
        <w:t>现场</w:t>
      </w:r>
      <w:r>
        <w:rPr>
          <w:rFonts w:hint="eastAsia" w:ascii="宋体" w:hAnsi="宋体" w:eastAsia="宋体" w:cs="宋体"/>
          <w:color w:val="000000"/>
          <w:kern w:val="0"/>
          <w:sz w:val="24"/>
          <w:shd w:val="clear" w:color="auto" w:fill="FFFFFF"/>
          <w:lang w:val="zh-TW" w:eastAsia="zh-TW"/>
        </w:rPr>
        <w:t>调查工作，地方协会应当根据实际费用发生情况另行收取</w:t>
      </w:r>
      <w:r>
        <w:rPr>
          <w:rFonts w:hint="eastAsia" w:ascii="宋体" w:hAnsi="宋体" w:eastAsia="宋体" w:cs="宋体"/>
          <w:color w:val="000000"/>
          <w:kern w:val="0"/>
          <w:sz w:val="24"/>
          <w:shd w:val="clear" w:color="auto" w:fill="FFFFFF"/>
          <w:lang w:val="zh-TW"/>
        </w:rPr>
        <w:t>现场</w:t>
      </w:r>
      <w:r>
        <w:rPr>
          <w:rFonts w:hint="eastAsia" w:ascii="宋体" w:hAnsi="宋体" w:eastAsia="宋体" w:cs="宋体"/>
          <w:color w:val="000000"/>
          <w:kern w:val="0"/>
          <w:sz w:val="24"/>
          <w:shd w:val="clear" w:color="auto" w:fill="FFFFFF"/>
          <w:lang w:val="zh-TW" w:eastAsia="zh-TW"/>
        </w:rPr>
        <w:t>调查费用。</w:t>
      </w:r>
    </w:p>
    <w:p w14:paraId="26260E51">
      <w:pPr>
        <w:shd w:val="clear" w:color="auto" w:fill="FFFFFF"/>
        <w:spacing w:line="440" w:lineRule="atLeast"/>
        <w:ind w:firstLine="482"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b/>
          <w:color w:val="000000"/>
          <w:kern w:val="0"/>
          <w:sz w:val="24"/>
          <w:shd w:val="clear" w:color="auto" w:fill="FFFFFF"/>
          <w:lang w:val="zh-TW"/>
        </w:rPr>
        <w:t>第四条</w:t>
      </w:r>
      <w:r>
        <w:rPr>
          <w:rFonts w:hint="eastAsia" w:ascii="宋体" w:hAnsi="宋体" w:eastAsia="宋体" w:cs="宋体"/>
          <w:color w:val="000000"/>
          <w:kern w:val="0"/>
          <w:sz w:val="24"/>
          <w:shd w:val="clear" w:color="auto" w:fill="FFFFFF"/>
          <w:lang w:val="zh-TW"/>
        </w:rPr>
        <w:t>　</w:t>
      </w:r>
      <w:r>
        <w:rPr>
          <w:rFonts w:hint="eastAsia" w:ascii="宋体" w:hAnsi="宋体" w:eastAsia="宋体" w:cs="宋体"/>
          <w:color w:val="000000"/>
          <w:kern w:val="0"/>
          <w:sz w:val="24"/>
          <w:shd w:val="clear" w:color="auto" w:fill="FFFFFF"/>
          <w:lang w:val="zh-TW" w:eastAsia="zh-TW"/>
        </w:rPr>
        <w:t>地方协会</w:t>
      </w:r>
      <w:r>
        <w:rPr>
          <w:rFonts w:hint="eastAsia" w:ascii="宋体" w:hAnsi="宋体" w:eastAsia="宋体" w:cs="宋体"/>
          <w:color w:val="000000"/>
          <w:kern w:val="0"/>
          <w:sz w:val="24"/>
          <w:shd w:val="clear" w:color="auto" w:fill="FFFFFF"/>
          <w:lang w:val="zh-TW"/>
        </w:rPr>
        <w:t>经</w:t>
      </w:r>
      <w:r>
        <w:rPr>
          <w:rFonts w:hint="eastAsia" w:ascii="宋体" w:hAnsi="宋体" w:eastAsia="宋体" w:cs="宋体"/>
          <w:color w:val="000000"/>
          <w:kern w:val="0"/>
          <w:sz w:val="24"/>
          <w:shd w:val="clear" w:color="auto" w:fill="FFFFFF"/>
          <w:lang w:val="zh-TW" w:eastAsia="zh-TW"/>
        </w:rPr>
        <w:t>审核</w:t>
      </w:r>
      <w:r>
        <w:rPr>
          <w:rFonts w:hint="eastAsia" w:ascii="宋体" w:hAnsi="宋体" w:eastAsia="宋体" w:cs="宋体"/>
          <w:color w:val="000000"/>
          <w:kern w:val="0"/>
          <w:sz w:val="24"/>
          <w:shd w:val="clear" w:color="auto" w:fill="FFFFFF"/>
          <w:lang w:val="zh-TW"/>
        </w:rPr>
        <w:t>，</w:t>
      </w:r>
      <w:r>
        <w:rPr>
          <w:rFonts w:hint="eastAsia" w:ascii="宋体" w:hAnsi="宋体" w:eastAsia="宋体" w:cs="宋体"/>
          <w:color w:val="000000"/>
          <w:kern w:val="0"/>
          <w:sz w:val="24"/>
          <w:shd w:val="clear" w:color="auto" w:fill="FFFFFF"/>
          <w:lang w:val="zh-TW" w:eastAsia="zh-TW"/>
        </w:rPr>
        <w:t>确定受理人民法院的委托评审后，应当同时确定评审收费金额，并向人民法院提交收费通知书。</w:t>
      </w:r>
    </w:p>
    <w:p w14:paraId="5924F2B0">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收费通知书应当载明评审收费的金额及收款时间要求，收款时间通常为发出收费通知书的次日起五个工作日内。</w:t>
      </w:r>
    </w:p>
    <w:p w14:paraId="5E98E400">
      <w:pPr>
        <w:shd w:val="clear" w:color="auto" w:fill="FFFFFF"/>
        <w:spacing w:line="440" w:lineRule="atLeast"/>
        <w:ind w:firstLine="482"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b/>
          <w:color w:val="000000"/>
          <w:kern w:val="0"/>
          <w:sz w:val="24"/>
          <w:shd w:val="clear" w:color="auto" w:fill="FFFFFF"/>
          <w:lang w:val="zh-TW"/>
        </w:rPr>
        <w:t>第五条</w:t>
      </w:r>
      <w:r>
        <w:rPr>
          <w:rFonts w:hint="eastAsia" w:ascii="宋体" w:hAnsi="宋体" w:eastAsia="宋体" w:cs="宋体"/>
          <w:color w:val="000000"/>
          <w:kern w:val="0"/>
          <w:sz w:val="24"/>
          <w:shd w:val="clear" w:color="auto" w:fill="FFFFFF"/>
          <w:lang w:val="zh-TW"/>
        </w:rPr>
        <w:t>　</w:t>
      </w:r>
      <w:r>
        <w:rPr>
          <w:rFonts w:hint="eastAsia" w:ascii="宋体" w:hAnsi="宋体" w:eastAsia="宋体" w:cs="宋体"/>
          <w:color w:val="000000"/>
          <w:kern w:val="0"/>
          <w:sz w:val="24"/>
          <w:shd w:val="clear" w:color="auto" w:fill="FFFFFF"/>
          <w:lang w:val="zh-TW" w:eastAsia="zh-TW"/>
        </w:rPr>
        <w:t>地方协会收取评审费用后，应当依法及时开具发票。</w:t>
      </w:r>
    </w:p>
    <w:p w14:paraId="6914D261">
      <w:pPr>
        <w:shd w:val="clear" w:color="auto" w:fill="FFFFFF"/>
        <w:spacing w:line="440" w:lineRule="atLeast"/>
        <w:ind w:firstLine="482"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b/>
          <w:color w:val="000000"/>
          <w:kern w:val="0"/>
          <w:sz w:val="24"/>
          <w:shd w:val="clear" w:color="auto" w:fill="FFFFFF"/>
          <w:lang w:val="zh-TW"/>
        </w:rPr>
        <w:t>第六条</w:t>
      </w:r>
      <w:r>
        <w:rPr>
          <w:rFonts w:hint="eastAsia" w:ascii="宋体" w:hAnsi="宋体" w:eastAsia="宋体" w:cs="宋体"/>
          <w:color w:val="000000"/>
          <w:kern w:val="0"/>
          <w:sz w:val="24"/>
          <w:shd w:val="clear" w:color="auto" w:fill="FFFFFF"/>
          <w:lang w:val="zh-TW"/>
        </w:rPr>
        <w:t>　</w:t>
      </w:r>
      <w:r>
        <w:rPr>
          <w:rFonts w:hint="eastAsia" w:ascii="宋体" w:hAnsi="宋体" w:eastAsia="宋体" w:cs="宋体"/>
          <w:color w:val="000000"/>
          <w:kern w:val="0"/>
          <w:sz w:val="24"/>
          <w:shd w:val="clear" w:color="auto" w:fill="FFFFFF"/>
          <w:lang w:val="zh-TW" w:eastAsia="zh-TW"/>
        </w:rPr>
        <w:t>根据《人民法院委托评估专业技术评审工作规范》</w:t>
      </w:r>
      <w:r>
        <w:rPr>
          <w:rFonts w:hint="eastAsia" w:ascii="宋体" w:hAnsi="宋体" w:eastAsia="宋体" w:cs="宋体"/>
          <w:b/>
          <w:color w:val="000000"/>
          <w:kern w:val="0"/>
          <w:sz w:val="24"/>
          <w:shd w:val="clear" w:color="auto" w:fill="FFFFFF"/>
          <w:lang w:val="zh-TW"/>
        </w:rPr>
        <w:t>第十五条</w:t>
      </w:r>
      <w:r>
        <w:rPr>
          <w:rFonts w:hint="eastAsia" w:ascii="宋体" w:hAnsi="宋体" w:eastAsia="宋体" w:cs="宋体"/>
          <w:color w:val="000000"/>
          <w:kern w:val="0"/>
          <w:sz w:val="24"/>
          <w:shd w:val="clear" w:color="auto" w:fill="FFFFFF"/>
          <w:lang w:val="zh-TW" w:eastAsia="zh-TW"/>
        </w:rPr>
        <w:t>的规定，评审费用由异议人垫付。</w:t>
      </w:r>
    </w:p>
    <w:p w14:paraId="0883B24B">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lang w:val="zh-TW"/>
        </w:rPr>
        <w:t>第七条</w:t>
      </w:r>
      <w:r>
        <w:rPr>
          <w:rFonts w:hint="eastAsia" w:ascii="宋体" w:hAnsi="宋体" w:eastAsia="宋体" w:cs="宋体"/>
          <w:color w:val="000000"/>
          <w:kern w:val="0"/>
          <w:sz w:val="24"/>
          <w:shd w:val="clear" w:color="auto" w:fill="FFFFFF"/>
          <w:lang w:val="zh-TW"/>
        </w:rPr>
        <w:t>　</w:t>
      </w:r>
      <w:r>
        <w:rPr>
          <w:rFonts w:hint="eastAsia" w:ascii="宋体" w:hAnsi="宋体" w:eastAsia="宋体" w:cs="宋体"/>
          <w:color w:val="000000"/>
          <w:kern w:val="0"/>
          <w:sz w:val="24"/>
          <w:shd w:val="clear" w:color="auto" w:fill="FFFFFF"/>
          <w:lang w:val="zh-TW" w:eastAsia="zh-TW"/>
        </w:rPr>
        <w:t>根据《人民法院委托评估专业技术评审工作规范》</w:t>
      </w:r>
      <w:r>
        <w:rPr>
          <w:rFonts w:hint="eastAsia" w:ascii="宋体" w:hAnsi="宋体" w:eastAsia="宋体" w:cs="宋体"/>
          <w:b/>
          <w:color w:val="000000"/>
          <w:kern w:val="0"/>
          <w:sz w:val="24"/>
          <w:shd w:val="clear" w:color="auto" w:fill="FFFFFF"/>
          <w:lang w:val="zh-TW"/>
        </w:rPr>
        <w:t>第十七条</w:t>
      </w:r>
      <w:r>
        <w:rPr>
          <w:rFonts w:hint="eastAsia" w:ascii="宋体" w:hAnsi="宋体" w:eastAsia="宋体" w:cs="宋体"/>
          <w:color w:val="000000"/>
          <w:kern w:val="0"/>
          <w:sz w:val="24"/>
          <w:shd w:val="clear" w:color="auto" w:fill="FFFFFF"/>
          <w:lang w:val="zh-TW" w:eastAsia="zh-TW"/>
        </w:rPr>
        <w:t>的规定，人民法院根据专业技术评审结论认定评估结果，一人提出异议的，评审费用由异议人承担；多人提出异议的，评审费用由异议人分担。人民法院根据专业技术评审结论责令原评估机构予以补正的，评审费用由评估机构承担，从评估费用中扣除。</w:t>
      </w:r>
    </w:p>
    <w:p w14:paraId="1FC3D560">
      <w:pPr>
        <w:shd w:val="clear" w:color="auto" w:fill="FFFFFF"/>
        <w:spacing w:line="440" w:lineRule="atLeast"/>
        <w:ind w:firstLine="482"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b/>
          <w:color w:val="000000"/>
          <w:kern w:val="0"/>
          <w:sz w:val="24"/>
          <w:shd w:val="clear" w:color="auto" w:fill="FFFFFF"/>
          <w:lang w:val="zh-TW"/>
        </w:rPr>
        <w:t>第八条</w:t>
      </w:r>
      <w:r>
        <w:rPr>
          <w:rFonts w:hint="eastAsia" w:ascii="宋体" w:hAnsi="宋体" w:eastAsia="宋体" w:cs="宋体"/>
          <w:color w:val="000000"/>
          <w:kern w:val="0"/>
          <w:sz w:val="24"/>
          <w:shd w:val="clear" w:color="auto" w:fill="FFFFFF"/>
          <w:lang w:val="zh-TW"/>
        </w:rPr>
        <w:t>　</w:t>
      </w:r>
      <w:r>
        <w:rPr>
          <w:rFonts w:hint="eastAsia" w:ascii="宋体" w:hAnsi="宋体" w:eastAsia="宋体" w:cs="宋体"/>
          <w:color w:val="000000"/>
          <w:kern w:val="0"/>
          <w:sz w:val="24"/>
          <w:shd w:val="clear" w:color="auto" w:fill="FFFFFF"/>
          <w:lang w:val="zh-TW" w:eastAsia="zh-TW"/>
        </w:rPr>
        <w:t>本办法的解释权归中国资产评估协会。</w:t>
      </w:r>
    </w:p>
    <w:p w14:paraId="4F54AD9A">
      <w:pPr>
        <w:shd w:val="clear" w:color="auto" w:fill="FFFFFF"/>
        <w:spacing w:line="440" w:lineRule="atLeast"/>
        <w:ind w:firstLine="482"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b/>
          <w:color w:val="000000"/>
          <w:kern w:val="0"/>
          <w:sz w:val="24"/>
          <w:shd w:val="clear" w:color="auto" w:fill="FFFFFF"/>
          <w:lang w:val="zh-TW"/>
        </w:rPr>
        <w:t>第九条</w:t>
      </w:r>
      <w:r>
        <w:rPr>
          <w:rFonts w:hint="eastAsia" w:ascii="宋体" w:hAnsi="宋体" w:eastAsia="宋体" w:cs="宋体"/>
          <w:color w:val="000000"/>
          <w:kern w:val="0"/>
          <w:sz w:val="24"/>
          <w:shd w:val="clear" w:color="auto" w:fill="FFFFFF"/>
          <w:lang w:val="zh-TW"/>
        </w:rPr>
        <w:t>　</w:t>
      </w:r>
      <w:r>
        <w:rPr>
          <w:rFonts w:hint="eastAsia" w:ascii="宋体" w:hAnsi="宋体" w:eastAsia="宋体" w:cs="宋体"/>
          <w:color w:val="000000"/>
          <w:kern w:val="0"/>
          <w:sz w:val="24"/>
          <w:shd w:val="clear" w:color="auto" w:fill="FFFFFF"/>
          <w:lang w:val="zh-TW" w:eastAsia="zh-TW"/>
        </w:rPr>
        <w:t>本办法自</w:t>
      </w:r>
      <w:r>
        <w:rPr>
          <w:rFonts w:hint="eastAsia" w:ascii="宋体" w:hAnsi="宋体" w:eastAsia="宋体" w:cs="宋体"/>
          <w:color w:val="000000"/>
          <w:kern w:val="0"/>
          <w:sz w:val="24"/>
          <w:shd w:val="clear" w:color="auto" w:fill="FFFFFF"/>
        </w:rPr>
        <w:t>2019</w:t>
      </w:r>
      <w:r>
        <w:rPr>
          <w:rFonts w:hint="eastAsia" w:ascii="宋体" w:hAnsi="宋体" w:eastAsia="宋体" w:cs="宋体"/>
          <w:color w:val="000000"/>
          <w:kern w:val="0"/>
          <w:sz w:val="24"/>
          <w:shd w:val="clear" w:color="auto" w:fill="FFFFFF"/>
          <w:lang w:val="zh-TW" w:eastAsia="zh-TW"/>
        </w:rPr>
        <w:t>年</w:t>
      </w:r>
      <w:r>
        <w:rPr>
          <w:rFonts w:hint="eastAsia" w:ascii="宋体" w:hAnsi="宋体" w:eastAsia="宋体" w:cs="宋体"/>
          <w:color w:val="000000"/>
          <w:kern w:val="0"/>
          <w:sz w:val="24"/>
          <w:shd w:val="clear" w:color="auto" w:fill="FFFFFF"/>
        </w:rPr>
        <w:t>12</w:t>
      </w:r>
      <w:r>
        <w:rPr>
          <w:rFonts w:hint="eastAsia" w:ascii="宋体" w:hAnsi="宋体" w:eastAsia="宋体" w:cs="宋体"/>
          <w:color w:val="000000"/>
          <w:kern w:val="0"/>
          <w:sz w:val="24"/>
          <w:shd w:val="clear" w:color="auto" w:fill="FFFFFF"/>
          <w:lang w:val="zh-TW" w:eastAsia="zh-TW"/>
        </w:rPr>
        <w:t>月</w:t>
      </w:r>
      <w:r>
        <w:rPr>
          <w:rFonts w:hint="eastAsia" w:ascii="宋体" w:hAnsi="宋体" w:eastAsia="宋体" w:cs="宋体"/>
          <w:color w:val="000000"/>
          <w:kern w:val="0"/>
          <w:sz w:val="24"/>
          <w:shd w:val="clear" w:color="auto" w:fill="FFFFFF"/>
        </w:rPr>
        <w:t>24</w:t>
      </w:r>
      <w:r>
        <w:rPr>
          <w:rFonts w:hint="eastAsia" w:ascii="宋体" w:hAnsi="宋体" w:eastAsia="宋体" w:cs="宋体"/>
          <w:color w:val="000000"/>
          <w:kern w:val="0"/>
          <w:sz w:val="24"/>
          <w:shd w:val="clear" w:color="auto" w:fill="FFFFFF"/>
          <w:lang w:val="zh-TW" w:eastAsia="zh-TW"/>
        </w:rPr>
        <w:t>日起施行。</w:t>
      </w:r>
    </w:p>
    <w:p w14:paraId="5C31C7BE">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br w:type="page"/>
      </w:r>
    </w:p>
    <w:p w14:paraId="4527EF72">
      <w:pPr>
        <w:pStyle w:val="5"/>
        <w:spacing w:line="440" w:lineRule="atLeast"/>
        <w:jc w:val="center"/>
        <w:rPr>
          <w:rFonts w:ascii="宋体" w:hAnsi="宋体" w:eastAsia="宋体" w:cs="宋体"/>
          <w:lang w:val="zh-TW" w:eastAsia="zh-TW"/>
        </w:rPr>
      </w:pPr>
      <w:bookmarkStart w:id="78" w:name="_Hlk22131673"/>
      <w:bookmarkStart w:id="79" w:name="_Toc26043"/>
      <w:r>
        <w:rPr>
          <w:rFonts w:hint="eastAsia" w:ascii="宋体" w:hAnsi="宋体" w:eastAsia="宋体" w:cs="宋体"/>
          <w:lang w:val="zh-TW" w:eastAsia="zh-TW"/>
        </w:rPr>
        <w:t>人</w:t>
      </w:r>
      <w:bookmarkEnd w:id="78"/>
      <w:bookmarkStart w:id="80" w:name="_Hlk22127677"/>
      <w:r>
        <w:rPr>
          <w:rFonts w:hint="eastAsia" w:ascii="宋体" w:hAnsi="宋体" w:eastAsia="宋体" w:cs="宋体"/>
          <w:lang w:val="zh-TW" w:eastAsia="zh-TW"/>
        </w:rPr>
        <w:t>民法院委托资产评估专业技术评审工</w:t>
      </w:r>
      <w:bookmarkEnd w:id="80"/>
      <w:r>
        <w:rPr>
          <w:rFonts w:hint="eastAsia" w:ascii="宋体" w:hAnsi="宋体" w:eastAsia="宋体" w:cs="宋体"/>
          <w:lang w:val="zh-TW" w:eastAsia="zh-TW"/>
        </w:rPr>
        <w:t>作实施细则（试行）</w:t>
      </w:r>
      <w:bookmarkEnd w:id="79"/>
    </w:p>
    <w:p w14:paraId="61F060FA">
      <w:pPr>
        <w:shd w:val="clear" w:color="auto" w:fill="FFFFFF"/>
        <w:spacing w:line="440" w:lineRule="atLeast"/>
        <w:ind w:firstLine="480" w:firstLineChars="200"/>
        <w:rPr>
          <w:rFonts w:ascii="宋体" w:hAnsi="宋体" w:eastAsia="宋体" w:cs="宋体"/>
          <w:color w:val="000000"/>
          <w:kern w:val="0"/>
          <w:sz w:val="24"/>
          <w:shd w:val="clear" w:color="auto" w:fill="FFFFFF"/>
          <w:lang w:val="zh-TW"/>
        </w:rPr>
      </w:pPr>
      <w:r>
        <w:rPr>
          <w:rFonts w:hint="eastAsia" w:ascii="宋体" w:hAnsi="宋体" w:eastAsia="宋体" w:cs="宋体"/>
          <w:color w:val="000000"/>
          <w:kern w:val="0"/>
          <w:sz w:val="24"/>
          <w:shd w:val="clear" w:color="auto" w:fill="FFFFFF"/>
        </w:rPr>
        <w:t>2019年12月24日中国资产评估协会发布　中评协办〔2019〕97号</w:t>
      </w:r>
    </w:p>
    <w:p w14:paraId="355DC021">
      <w:pPr>
        <w:shd w:val="clear" w:color="auto" w:fill="FFFFFF"/>
        <w:spacing w:line="440" w:lineRule="atLeast"/>
        <w:jc w:val="center"/>
        <w:rPr>
          <w:rFonts w:ascii="黑体" w:hAnsi="黑体" w:eastAsia="黑体" w:cs="黑体"/>
          <w:bCs/>
          <w:color w:val="000000"/>
          <w:kern w:val="0"/>
          <w:sz w:val="28"/>
          <w:szCs w:val="28"/>
          <w:shd w:val="clear" w:color="auto" w:fill="FFFFFF"/>
          <w:lang w:val="zh-TW"/>
        </w:rPr>
      </w:pPr>
      <w:r>
        <w:rPr>
          <w:rFonts w:hint="eastAsia" w:ascii="黑体" w:hAnsi="黑体" w:eastAsia="黑体" w:cs="黑体"/>
          <w:bCs/>
          <w:color w:val="000000"/>
          <w:kern w:val="0"/>
          <w:sz w:val="28"/>
          <w:szCs w:val="28"/>
          <w:shd w:val="clear" w:color="auto" w:fill="FFFFFF"/>
          <w:lang w:val="zh-TW"/>
        </w:rPr>
        <w:t>第一章</w:t>
      </w:r>
      <w:r>
        <w:rPr>
          <w:rFonts w:hint="eastAsia" w:ascii="宋体" w:hAnsi="宋体" w:eastAsia="宋体" w:cs="宋体"/>
          <w:color w:val="000000"/>
          <w:kern w:val="0"/>
          <w:sz w:val="24"/>
          <w:shd w:val="clear" w:color="auto" w:fill="FFFFFF"/>
          <w:lang w:val="zh-TW"/>
        </w:rPr>
        <w:t>　</w:t>
      </w:r>
      <w:r>
        <w:rPr>
          <w:rFonts w:hint="eastAsia" w:ascii="黑体" w:hAnsi="黑体" w:eastAsia="黑体" w:cs="黑体"/>
          <w:bCs/>
          <w:color w:val="000000"/>
          <w:kern w:val="0"/>
          <w:sz w:val="28"/>
          <w:szCs w:val="28"/>
          <w:shd w:val="clear" w:color="auto" w:fill="FFFFFF"/>
          <w:lang w:val="zh-TW"/>
        </w:rPr>
        <w:t>总则</w:t>
      </w:r>
    </w:p>
    <w:p w14:paraId="181D3E5D">
      <w:pPr>
        <w:shd w:val="clear" w:color="auto" w:fill="FFFFFF"/>
        <w:spacing w:line="440" w:lineRule="atLeast"/>
        <w:ind w:firstLine="482"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b/>
          <w:color w:val="000000"/>
          <w:kern w:val="0"/>
          <w:sz w:val="24"/>
          <w:shd w:val="clear" w:color="auto" w:fill="FFFFFF"/>
          <w:lang w:val="zh-TW"/>
        </w:rPr>
        <w:t>第一条</w:t>
      </w:r>
      <w:r>
        <w:rPr>
          <w:rFonts w:hint="eastAsia" w:ascii="宋体" w:hAnsi="宋体" w:eastAsia="宋体" w:cs="宋体"/>
          <w:color w:val="000000"/>
          <w:kern w:val="0"/>
          <w:sz w:val="24"/>
          <w:shd w:val="clear" w:color="auto" w:fill="FFFFFF"/>
          <w:lang w:val="zh-TW"/>
        </w:rPr>
        <w:t>　</w:t>
      </w:r>
      <w:r>
        <w:rPr>
          <w:rFonts w:hint="eastAsia" w:ascii="宋体" w:hAnsi="宋体" w:eastAsia="宋体" w:cs="宋体"/>
          <w:color w:val="000000"/>
          <w:kern w:val="0"/>
          <w:sz w:val="24"/>
          <w:shd w:val="clear" w:color="auto" w:fill="FFFFFF"/>
          <w:lang w:val="zh-TW" w:eastAsia="zh-TW"/>
        </w:rPr>
        <w:t>为规范各省、自治区、直辖市资产评估协会（有关注册会计师协会）（以下简称地方协会）及专业技术评审人员执行人民法院委托资产评估专业技术评审工作，确保专业技术评审公开、公平、公正、高效，维护当事人、利害关系人的合法权益，根据《最高人民法院关于人民法院确定财产处置参考价若干问题的规定》</w:t>
      </w:r>
      <w:r>
        <w:rPr>
          <w:rFonts w:hint="eastAsia" w:ascii="宋体" w:hAnsi="宋体" w:eastAsia="宋体" w:cs="宋体"/>
          <w:color w:val="000000"/>
          <w:kern w:val="0"/>
          <w:sz w:val="24"/>
          <w:shd w:val="clear" w:color="auto" w:fill="FFFFFF"/>
          <w:lang w:val="zh-CN" w:eastAsia="zh-TW"/>
        </w:rPr>
        <w:t>（以下简称《参考价规定》）</w:t>
      </w:r>
      <w:r>
        <w:rPr>
          <w:rFonts w:hint="eastAsia" w:ascii="宋体" w:hAnsi="宋体" w:eastAsia="宋体" w:cs="宋体"/>
          <w:color w:val="000000"/>
          <w:kern w:val="0"/>
          <w:sz w:val="24"/>
          <w:shd w:val="clear" w:color="auto" w:fill="FFFFFF"/>
          <w:lang w:val="zh-TW" w:eastAsia="zh-TW"/>
        </w:rPr>
        <w:t>《资产评估基本准则》《人民法院委托评估专业技术评审工作规范》</w:t>
      </w:r>
      <w:r>
        <w:rPr>
          <w:rFonts w:hint="eastAsia" w:ascii="宋体" w:hAnsi="宋体" w:eastAsia="宋体" w:cs="宋体"/>
          <w:color w:val="000000"/>
          <w:kern w:val="0"/>
          <w:sz w:val="24"/>
          <w:shd w:val="clear" w:color="auto" w:fill="FFFFFF"/>
          <w:lang w:val="zh-CN" w:eastAsia="zh-TW"/>
        </w:rPr>
        <w:t>（以下简称《委托评估规范》）</w:t>
      </w:r>
      <w:r>
        <w:rPr>
          <w:rFonts w:hint="eastAsia" w:ascii="宋体" w:hAnsi="宋体" w:eastAsia="宋体" w:cs="宋体"/>
          <w:color w:val="000000"/>
          <w:kern w:val="0"/>
          <w:sz w:val="24"/>
          <w:shd w:val="clear" w:color="auto" w:fill="FFFFFF"/>
          <w:lang w:val="zh-TW" w:eastAsia="zh-TW"/>
        </w:rPr>
        <w:t>《人民法院委托司法执行财产处置资产评估指导意见》等有关规定制定本实施细则。</w:t>
      </w:r>
    </w:p>
    <w:p w14:paraId="60E15450">
      <w:pPr>
        <w:shd w:val="clear" w:color="auto" w:fill="FFFFFF"/>
        <w:spacing w:line="440" w:lineRule="atLeast"/>
        <w:ind w:firstLine="482"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b/>
          <w:color w:val="000000"/>
          <w:kern w:val="0"/>
          <w:sz w:val="24"/>
          <w:shd w:val="clear" w:color="auto" w:fill="FFFFFF"/>
          <w:lang w:val="zh-TW"/>
        </w:rPr>
        <w:t>第二条</w:t>
      </w:r>
      <w:r>
        <w:rPr>
          <w:rFonts w:hint="eastAsia" w:ascii="宋体" w:hAnsi="宋体" w:eastAsia="宋体" w:cs="宋体"/>
          <w:color w:val="000000"/>
          <w:kern w:val="0"/>
          <w:sz w:val="24"/>
          <w:shd w:val="clear" w:color="auto" w:fill="FFFFFF"/>
          <w:lang w:val="zh-TW"/>
        </w:rPr>
        <w:t>　</w:t>
      </w:r>
      <w:r>
        <w:rPr>
          <w:rFonts w:hint="eastAsia" w:ascii="宋体" w:hAnsi="宋体" w:eastAsia="宋体" w:cs="宋体"/>
          <w:color w:val="000000"/>
          <w:kern w:val="0"/>
          <w:sz w:val="24"/>
          <w:shd w:val="clear" w:color="auto" w:fill="FFFFFF"/>
          <w:lang w:val="zh-TW" w:eastAsia="zh-TW"/>
        </w:rPr>
        <w:t>本实施细则所指专业技术评审，由专业技术评审人员组成专家组进行。</w:t>
      </w:r>
    </w:p>
    <w:p w14:paraId="6F83C435">
      <w:pPr>
        <w:shd w:val="clear" w:color="auto" w:fill="FFFFFF"/>
        <w:spacing w:line="440" w:lineRule="atLeast"/>
        <w:ind w:firstLine="482"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b/>
          <w:color w:val="000000"/>
          <w:kern w:val="0"/>
          <w:sz w:val="24"/>
          <w:shd w:val="clear" w:color="auto" w:fill="FFFFFF"/>
          <w:lang w:val="zh-TW"/>
        </w:rPr>
        <w:t>第三条</w:t>
      </w:r>
      <w:r>
        <w:rPr>
          <w:rFonts w:hint="eastAsia" w:ascii="宋体" w:hAnsi="宋体" w:eastAsia="宋体" w:cs="宋体"/>
          <w:color w:val="000000"/>
          <w:kern w:val="0"/>
          <w:sz w:val="24"/>
          <w:shd w:val="clear" w:color="auto" w:fill="FFFFFF"/>
          <w:lang w:val="zh-TW"/>
        </w:rPr>
        <w:t>　</w:t>
      </w:r>
      <w:r>
        <w:rPr>
          <w:rFonts w:hint="eastAsia" w:ascii="宋体" w:hAnsi="宋体" w:eastAsia="宋体" w:cs="宋体"/>
          <w:color w:val="000000"/>
          <w:kern w:val="0"/>
          <w:sz w:val="24"/>
          <w:shd w:val="clear" w:color="auto" w:fill="FFFFFF"/>
          <w:lang w:val="zh-TW" w:eastAsia="zh-TW"/>
        </w:rPr>
        <w:t>专业技术评审应通过集中评审的方式进行，实行少数服从多数的原则。</w:t>
      </w:r>
    </w:p>
    <w:p w14:paraId="09860A96">
      <w:pPr>
        <w:shd w:val="clear" w:color="auto" w:fill="FFFFFF"/>
        <w:spacing w:line="440" w:lineRule="atLeast"/>
        <w:ind w:firstLine="482"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b/>
          <w:color w:val="000000"/>
          <w:kern w:val="0"/>
          <w:sz w:val="24"/>
          <w:shd w:val="clear" w:color="auto" w:fill="FFFFFF"/>
          <w:lang w:val="zh-TW"/>
        </w:rPr>
        <w:t>第四条</w:t>
      </w:r>
      <w:r>
        <w:rPr>
          <w:rFonts w:hint="eastAsia" w:ascii="宋体" w:hAnsi="宋体" w:eastAsia="宋体" w:cs="宋体"/>
          <w:color w:val="000000"/>
          <w:kern w:val="0"/>
          <w:sz w:val="24"/>
          <w:shd w:val="clear" w:color="auto" w:fill="FFFFFF"/>
          <w:lang w:val="zh-TW"/>
        </w:rPr>
        <w:t>　</w:t>
      </w:r>
      <w:r>
        <w:rPr>
          <w:rFonts w:hint="eastAsia" w:ascii="宋体" w:hAnsi="宋体" w:eastAsia="宋体" w:cs="宋体"/>
          <w:color w:val="000000"/>
          <w:kern w:val="0"/>
          <w:sz w:val="24"/>
          <w:shd w:val="clear" w:color="auto" w:fill="FFFFFF"/>
          <w:lang w:val="zh-TW" w:eastAsia="zh-TW"/>
        </w:rPr>
        <w:t>地方协会负责对其所在地区资产评估机构出具的资产评估报告进行专业技术评审，以及受中国资产评估协会（以下简称中评协）指定，负责对其他地区资产评估机构出具的资产评估报告进行专业技术评审。</w:t>
      </w:r>
    </w:p>
    <w:p w14:paraId="6F1DDDBE">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lang w:val="zh-TW"/>
        </w:rPr>
        <w:t>第五条</w:t>
      </w:r>
      <w:r>
        <w:rPr>
          <w:rFonts w:hint="eastAsia" w:ascii="宋体" w:hAnsi="宋体" w:eastAsia="宋体" w:cs="宋体"/>
          <w:color w:val="000000"/>
          <w:kern w:val="0"/>
          <w:sz w:val="24"/>
          <w:shd w:val="clear" w:color="auto" w:fill="FFFFFF"/>
          <w:lang w:val="zh-TW"/>
        </w:rPr>
        <w:t>　</w:t>
      </w:r>
      <w:r>
        <w:rPr>
          <w:rFonts w:hint="eastAsia" w:ascii="宋体" w:hAnsi="宋体" w:eastAsia="宋体" w:cs="宋体"/>
          <w:color w:val="000000"/>
          <w:kern w:val="0"/>
          <w:sz w:val="24"/>
          <w:shd w:val="clear" w:color="auto" w:fill="FFFFFF"/>
          <w:lang w:val="zh-TW" w:eastAsia="zh-TW"/>
        </w:rPr>
        <w:t>地方协会及专业技术评审人员执行人民法院委托资产评估专业技术评审工作，应当遵守本实施细则。</w:t>
      </w:r>
    </w:p>
    <w:p w14:paraId="2193D312">
      <w:pPr>
        <w:shd w:val="clear" w:color="auto" w:fill="FFFFFF"/>
        <w:spacing w:line="440" w:lineRule="atLeast"/>
        <w:jc w:val="center"/>
        <w:rPr>
          <w:rFonts w:ascii="黑体" w:hAnsi="黑体" w:eastAsia="黑体" w:cs="黑体"/>
          <w:bCs/>
          <w:color w:val="000000"/>
          <w:kern w:val="0"/>
          <w:sz w:val="28"/>
          <w:szCs w:val="28"/>
          <w:shd w:val="clear" w:color="auto" w:fill="FFFFFF"/>
          <w:lang w:val="zh-TW"/>
        </w:rPr>
      </w:pPr>
      <w:r>
        <w:rPr>
          <w:rFonts w:hint="eastAsia" w:ascii="黑体" w:hAnsi="黑体" w:eastAsia="黑体" w:cs="黑体"/>
          <w:bCs/>
          <w:color w:val="000000"/>
          <w:kern w:val="0"/>
          <w:sz w:val="28"/>
          <w:szCs w:val="28"/>
          <w:shd w:val="clear" w:color="auto" w:fill="FFFFFF"/>
          <w:lang w:val="zh-TW"/>
        </w:rPr>
        <w:t>第二章　专业技术评审的受理</w:t>
      </w:r>
    </w:p>
    <w:p w14:paraId="21BB1323">
      <w:pPr>
        <w:shd w:val="clear" w:color="auto" w:fill="FFFFFF"/>
        <w:spacing w:line="440" w:lineRule="atLeast"/>
        <w:ind w:firstLine="482"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b/>
          <w:color w:val="000000"/>
          <w:kern w:val="0"/>
          <w:sz w:val="24"/>
          <w:shd w:val="clear" w:color="auto" w:fill="FFFFFF"/>
          <w:lang w:val="zh-TW"/>
        </w:rPr>
        <w:t>第六条</w:t>
      </w:r>
      <w:r>
        <w:rPr>
          <w:rFonts w:hint="eastAsia" w:ascii="宋体" w:hAnsi="宋体" w:eastAsia="宋体" w:cs="宋体"/>
          <w:color w:val="000000"/>
          <w:kern w:val="0"/>
          <w:sz w:val="24"/>
          <w:shd w:val="clear" w:color="auto" w:fill="FFFFFF"/>
          <w:lang w:val="zh-TW"/>
        </w:rPr>
        <w:t>　</w:t>
      </w:r>
      <w:r>
        <w:rPr>
          <w:rFonts w:hint="eastAsia" w:ascii="宋体" w:hAnsi="宋体" w:eastAsia="宋体" w:cs="宋体"/>
          <w:color w:val="000000"/>
          <w:kern w:val="0"/>
          <w:sz w:val="24"/>
          <w:shd w:val="clear" w:color="auto" w:fill="FFFFFF"/>
          <w:lang w:val="zh-TW" w:eastAsia="zh-TW"/>
        </w:rPr>
        <w:t>地方协会通过与全国法院询价评估系统对接获取人民法院委托资产评估专业技术评审的材料，系统未对接完毕或材料无法通过线上传输的，由人民法院通过邮寄或直接送达的方式将书面材料交地方协会。</w:t>
      </w:r>
    </w:p>
    <w:p w14:paraId="0FB651AF">
      <w:pPr>
        <w:shd w:val="clear" w:color="auto" w:fill="FFFFFF"/>
        <w:spacing w:line="440" w:lineRule="atLeast"/>
        <w:ind w:firstLine="482"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b/>
          <w:color w:val="000000"/>
          <w:kern w:val="0"/>
          <w:sz w:val="24"/>
          <w:shd w:val="clear" w:color="auto" w:fill="FFFFFF"/>
          <w:lang w:val="zh-TW"/>
        </w:rPr>
        <w:t>第七条</w:t>
      </w:r>
      <w:r>
        <w:rPr>
          <w:rFonts w:hint="eastAsia" w:ascii="宋体" w:hAnsi="宋体" w:eastAsia="宋体" w:cs="宋体"/>
          <w:color w:val="000000"/>
          <w:kern w:val="0"/>
          <w:sz w:val="24"/>
          <w:shd w:val="clear" w:color="auto" w:fill="FFFFFF"/>
          <w:lang w:val="zh-TW"/>
        </w:rPr>
        <w:t>　</w:t>
      </w:r>
      <w:r>
        <w:rPr>
          <w:rFonts w:hint="eastAsia" w:ascii="宋体" w:hAnsi="宋体" w:eastAsia="宋体" w:cs="宋体"/>
          <w:color w:val="000000"/>
          <w:kern w:val="0"/>
          <w:sz w:val="24"/>
          <w:shd w:val="clear" w:color="auto" w:fill="FFFFFF"/>
          <w:lang w:val="zh-TW" w:eastAsia="zh-TW"/>
        </w:rPr>
        <w:t>专业技术评审委托的材料包括专业技术评审委托书、评估报告、当事人或利害关系人的书面异议和提交的证明材料，以及委托评估时提交的相关材料、评估机构的书面说明及工作底稿。</w:t>
      </w:r>
    </w:p>
    <w:p w14:paraId="6C061814">
      <w:pPr>
        <w:shd w:val="clear" w:color="auto" w:fill="FFFFFF"/>
        <w:spacing w:line="440" w:lineRule="atLeast"/>
        <w:ind w:firstLine="482"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b/>
          <w:color w:val="000000"/>
          <w:kern w:val="0"/>
          <w:sz w:val="24"/>
          <w:shd w:val="clear" w:color="auto" w:fill="FFFFFF"/>
          <w:lang w:val="zh-TW"/>
        </w:rPr>
        <w:t>第八条</w:t>
      </w:r>
      <w:r>
        <w:rPr>
          <w:rFonts w:hint="eastAsia" w:ascii="宋体" w:hAnsi="宋体" w:eastAsia="宋体" w:cs="宋体"/>
          <w:color w:val="000000"/>
          <w:kern w:val="0"/>
          <w:sz w:val="24"/>
          <w:shd w:val="clear" w:color="auto" w:fill="FFFFFF"/>
          <w:lang w:val="zh-TW"/>
        </w:rPr>
        <w:t>　</w:t>
      </w:r>
      <w:r>
        <w:rPr>
          <w:rFonts w:hint="eastAsia" w:ascii="宋体" w:hAnsi="宋体" w:eastAsia="宋体" w:cs="宋体"/>
          <w:color w:val="000000"/>
          <w:kern w:val="0"/>
          <w:sz w:val="24"/>
          <w:shd w:val="clear" w:color="auto" w:fill="FFFFFF"/>
          <w:lang w:val="zh-TW" w:eastAsia="zh-TW"/>
        </w:rPr>
        <w:t>地方协会应当将收到人民法院委托专业技术评审的材料登记造册，并载明委托法院名称、材料名称和材料收取日期等信息。</w:t>
      </w:r>
    </w:p>
    <w:p w14:paraId="32E2310E">
      <w:pPr>
        <w:shd w:val="clear" w:color="auto" w:fill="FFFFFF"/>
        <w:spacing w:line="440" w:lineRule="atLeast"/>
        <w:ind w:firstLine="482"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b/>
          <w:color w:val="000000"/>
          <w:kern w:val="0"/>
          <w:sz w:val="24"/>
          <w:shd w:val="clear" w:color="auto" w:fill="FFFFFF"/>
          <w:lang w:val="zh-TW"/>
        </w:rPr>
        <w:t>第九条</w:t>
      </w:r>
      <w:r>
        <w:rPr>
          <w:rFonts w:hint="eastAsia" w:ascii="宋体" w:hAnsi="宋体" w:eastAsia="宋体" w:cs="宋体"/>
          <w:color w:val="000000"/>
          <w:kern w:val="0"/>
          <w:sz w:val="24"/>
          <w:shd w:val="clear" w:color="auto" w:fill="FFFFFF"/>
          <w:lang w:val="zh-TW"/>
        </w:rPr>
        <w:t>　</w:t>
      </w:r>
      <w:r>
        <w:rPr>
          <w:rFonts w:hint="eastAsia" w:ascii="宋体" w:hAnsi="宋体" w:eastAsia="宋体" w:cs="宋体"/>
          <w:color w:val="000000"/>
          <w:kern w:val="0"/>
          <w:sz w:val="24"/>
          <w:shd w:val="clear" w:color="auto" w:fill="FFFFFF"/>
          <w:lang w:val="zh-TW" w:eastAsia="zh-TW"/>
        </w:rPr>
        <w:t>地方协会应当根据收到的材料进行审核，以确定该委托是否属于其受理范围，以及该委托是否符合《参考价规定》和《委托评估规范》的规定。</w:t>
      </w:r>
    </w:p>
    <w:p w14:paraId="38B06251">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对于超出受理范围或者不符合要求的委托评审，地方协会可以退回委托，系统线上收取材料的直接退回电子材料，邮寄或直接送达收取的采取邮寄或送达方式退回纸质材料；对于在受理范围内且符合要求的委托评审，地方协会应当同时确定评审收费金额，并向人民法院提交收费通知书。</w:t>
      </w:r>
    </w:p>
    <w:p w14:paraId="263AC81F">
      <w:pPr>
        <w:shd w:val="clear" w:color="auto" w:fill="FFFFFF"/>
        <w:spacing w:line="440" w:lineRule="atLeast"/>
        <w:ind w:firstLine="482" w:firstLineChars="200"/>
        <w:rPr>
          <w:rFonts w:ascii="宋体" w:hAnsi="宋体" w:eastAsia="宋体" w:cs="宋体"/>
          <w:color w:val="000000"/>
          <w:kern w:val="0"/>
          <w:sz w:val="24"/>
          <w:shd w:val="clear" w:color="auto" w:fill="FFFFFF"/>
          <w:lang w:val="zh-TW"/>
        </w:rPr>
      </w:pPr>
      <w:r>
        <w:rPr>
          <w:rFonts w:hint="eastAsia" w:ascii="宋体" w:hAnsi="宋体" w:eastAsia="宋体" w:cs="宋体"/>
          <w:b/>
          <w:color w:val="000000"/>
          <w:kern w:val="0"/>
          <w:sz w:val="24"/>
          <w:shd w:val="clear" w:color="auto" w:fill="FFFFFF"/>
          <w:lang w:val="zh-TW"/>
        </w:rPr>
        <w:t>第十条</w:t>
      </w:r>
      <w:r>
        <w:rPr>
          <w:rFonts w:hint="eastAsia" w:ascii="宋体" w:hAnsi="宋体" w:eastAsia="宋体" w:cs="宋体"/>
          <w:color w:val="000000"/>
          <w:kern w:val="0"/>
          <w:sz w:val="24"/>
          <w:shd w:val="clear" w:color="auto" w:fill="FFFFFF"/>
          <w:lang w:val="zh-TW"/>
        </w:rPr>
        <w:t>　</w:t>
      </w:r>
      <w:r>
        <w:rPr>
          <w:rFonts w:hint="eastAsia" w:ascii="宋体" w:hAnsi="宋体" w:eastAsia="宋体" w:cs="宋体"/>
          <w:color w:val="000000"/>
          <w:kern w:val="0"/>
          <w:sz w:val="24"/>
          <w:shd w:val="clear" w:color="auto" w:fill="FFFFFF"/>
          <w:lang w:val="zh-TW" w:eastAsia="zh-TW"/>
        </w:rPr>
        <w:t>评估机构未在期限内向人民法院提交评估报告或</w:t>
      </w:r>
      <w:r>
        <w:rPr>
          <w:rFonts w:hint="eastAsia" w:ascii="宋体" w:hAnsi="宋体" w:eastAsia="宋体" w:cs="宋体"/>
          <w:color w:val="000000"/>
          <w:kern w:val="0"/>
          <w:sz w:val="24"/>
          <w:shd w:val="clear" w:color="auto" w:fill="FFFFFF"/>
          <w:lang w:val="zh-CN" w:eastAsia="zh-TW"/>
        </w:rPr>
        <w:t>评估</w:t>
      </w:r>
      <w:r>
        <w:rPr>
          <w:rFonts w:hint="eastAsia" w:ascii="宋体" w:hAnsi="宋体" w:eastAsia="宋体" w:cs="宋体"/>
          <w:color w:val="000000"/>
          <w:kern w:val="0"/>
          <w:sz w:val="24"/>
          <w:shd w:val="clear" w:color="auto" w:fill="FFFFFF"/>
          <w:lang w:val="zh-TW" w:eastAsia="zh-TW"/>
        </w:rPr>
        <w:t>工作底稿的，地方协会接收人民法院委托后，应当责评估机构在五个工作日内提交；评估机构在期限内仍未提交的，地方协会应当将情况函复人民法院，由人民法院参照《参考价规定》</w:t>
      </w:r>
      <w:r>
        <w:rPr>
          <w:rFonts w:hint="eastAsia" w:ascii="宋体" w:hAnsi="宋体" w:eastAsia="宋体" w:cs="宋体"/>
          <w:color w:val="000000"/>
          <w:kern w:val="0"/>
          <w:sz w:val="24"/>
          <w:shd w:val="clear" w:color="auto" w:fill="FFFFFF"/>
          <w:lang w:val="zh-TW"/>
        </w:rPr>
        <w:t>第十九条第三款规定，另行委托下一顺序的评估机构重新进行评估。</w:t>
      </w:r>
    </w:p>
    <w:p w14:paraId="410AA00F">
      <w:pPr>
        <w:shd w:val="clear" w:color="auto" w:fill="FFFFFF"/>
        <w:spacing w:line="440" w:lineRule="atLeast"/>
        <w:ind w:firstLine="480" w:firstLineChars="200"/>
        <w:rPr>
          <w:rFonts w:ascii="宋体" w:hAnsi="宋体" w:eastAsia="宋体" w:cs="宋体"/>
          <w:color w:val="000000"/>
          <w:kern w:val="0"/>
          <w:sz w:val="24"/>
          <w:shd w:val="clear" w:color="auto" w:fill="FFFFFF"/>
          <w:lang w:val="zh-TW"/>
        </w:rPr>
      </w:pPr>
      <w:r>
        <w:rPr>
          <w:rFonts w:hint="eastAsia" w:ascii="宋体" w:hAnsi="宋体" w:eastAsia="宋体" w:cs="宋体"/>
          <w:color w:val="000000"/>
          <w:kern w:val="0"/>
          <w:sz w:val="24"/>
          <w:shd w:val="clear" w:color="auto" w:fill="FFFFFF"/>
          <w:lang w:val="zh-TW"/>
        </w:rPr>
        <w:t>地方协会应当对未在期限内提交评估报告或评估工作底稿的评估机构按照有关规定进行行业自律惩戒，同时上报中评协，由中评协函告最高人民法院将该评估机构从人民法院涉执财产处置司法评估机构名单库中除名。</w:t>
      </w:r>
    </w:p>
    <w:p w14:paraId="69E6D8F7">
      <w:pPr>
        <w:shd w:val="clear" w:color="auto" w:fill="FFFFFF"/>
        <w:spacing w:line="440" w:lineRule="atLeast"/>
        <w:jc w:val="center"/>
        <w:rPr>
          <w:rFonts w:ascii="黑体" w:hAnsi="黑体" w:eastAsia="黑体" w:cs="黑体"/>
          <w:bCs/>
          <w:color w:val="000000"/>
          <w:kern w:val="0"/>
          <w:sz w:val="28"/>
          <w:szCs w:val="28"/>
          <w:shd w:val="clear" w:color="auto" w:fill="FFFFFF"/>
          <w:lang w:val="zh-TW"/>
        </w:rPr>
      </w:pPr>
      <w:r>
        <w:rPr>
          <w:rFonts w:hint="eastAsia" w:ascii="黑体" w:hAnsi="黑体" w:eastAsia="黑体" w:cs="黑体"/>
          <w:bCs/>
          <w:color w:val="000000"/>
          <w:kern w:val="0"/>
          <w:sz w:val="28"/>
          <w:szCs w:val="28"/>
          <w:shd w:val="clear" w:color="auto" w:fill="FFFFFF"/>
          <w:lang w:val="zh-TW"/>
        </w:rPr>
        <w:t>第三章　专业技术评审的实施</w:t>
      </w:r>
    </w:p>
    <w:p w14:paraId="0BDD5DF3">
      <w:pPr>
        <w:shd w:val="clear" w:color="auto" w:fill="FFFFFF"/>
        <w:spacing w:line="440" w:lineRule="atLeast"/>
        <w:ind w:firstLine="482"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b/>
          <w:color w:val="000000"/>
          <w:kern w:val="0"/>
          <w:sz w:val="24"/>
          <w:shd w:val="clear" w:color="auto" w:fill="FFFFFF"/>
          <w:lang w:val="zh-TW"/>
        </w:rPr>
        <w:t>第十一条</w:t>
      </w:r>
      <w:r>
        <w:rPr>
          <w:rFonts w:hint="eastAsia" w:ascii="宋体" w:hAnsi="宋体" w:eastAsia="宋体" w:cs="宋体"/>
          <w:color w:val="000000"/>
          <w:kern w:val="0"/>
          <w:sz w:val="24"/>
          <w:shd w:val="clear" w:color="auto" w:fill="FFFFFF"/>
          <w:lang w:val="zh-TW"/>
        </w:rPr>
        <w:t>　</w:t>
      </w:r>
      <w:r>
        <w:rPr>
          <w:rFonts w:hint="eastAsia" w:ascii="宋体" w:hAnsi="宋体" w:eastAsia="宋体" w:cs="宋体"/>
          <w:color w:val="000000"/>
          <w:kern w:val="0"/>
          <w:sz w:val="24"/>
          <w:shd w:val="clear" w:color="auto" w:fill="FFFFFF"/>
          <w:lang w:val="zh-TW" w:eastAsia="zh-TW"/>
        </w:rPr>
        <w:t>地方协会应当自收到评审费用后五个工作日内在本级专业技术评审人员名单库中随机确定不少于三人组成专家组进行专业技术评审；专家组成员人数应为单数。</w:t>
      </w:r>
    </w:p>
    <w:p w14:paraId="5D953418">
      <w:pPr>
        <w:shd w:val="clear" w:color="auto" w:fill="FFFFFF"/>
        <w:spacing w:line="440" w:lineRule="atLeast"/>
        <w:ind w:firstLine="482"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b/>
          <w:color w:val="000000"/>
          <w:kern w:val="0"/>
          <w:sz w:val="24"/>
          <w:shd w:val="clear" w:color="auto" w:fill="FFFFFF"/>
          <w:lang w:val="zh-TW"/>
        </w:rPr>
        <w:t>第十二条</w:t>
      </w:r>
      <w:r>
        <w:rPr>
          <w:rFonts w:hint="eastAsia" w:ascii="宋体" w:hAnsi="宋体" w:eastAsia="宋体" w:cs="宋体"/>
          <w:color w:val="000000"/>
          <w:kern w:val="0"/>
          <w:sz w:val="24"/>
          <w:shd w:val="clear" w:color="auto" w:fill="FFFFFF"/>
          <w:lang w:val="zh-TW"/>
        </w:rPr>
        <w:t>　</w:t>
      </w:r>
      <w:r>
        <w:rPr>
          <w:rFonts w:hint="eastAsia" w:ascii="宋体" w:hAnsi="宋体" w:eastAsia="宋体" w:cs="宋体"/>
          <w:color w:val="000000"/>
          <w:kern w:val="0"/>
          <w:sz w:val="24"/>
          <w:shd w:val="clear" w:color="auto" w:fill="FFFFFF"/>
          <w:lang w:val="zh-TW" w:eastAsia="zh-TW"/>
        </w:rPr>
        <w:t>专家组成员有下列情形之一的，应当回避：</w:t>
      </w:r>
    </w:p>
    <w:p w14:paraId="029610C2">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（一）是本案当事人、利害关系人、诉讼代理人或当事人、利害关系人、诉讼代理人近亲属的；</w:t>
      </w:r>
    </w:p>
    <w:p w14:paraId="458C903F">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（二）与当事人、利害关系人、诉讼代理人有其他关系，可能影响专业技术评审的；</w:t>
      </w:r>
    </w:p>
    <w:p w14:paraId="247388CC">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（三）与本案有利害关系的；</w:t>
      </w:r>
    </w:p>
    <w:p w14:paraId="2D6B98A0">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（四）与评估对象有利害关系的；</w:t>
      </w:r>
    </w:p>
    <w:p w14:paraId="113CAE20">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（五）除受行政部门委托外，近五年曾参与过对评估对象的评估工作的；</w:t>
      </w:r>
    </w:p>
    <w:p w14:paraId="3A383A97">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（六）本人或所在评估机构在过去五年曾为当事人、利害关系人提供过评估服务的；</w:t>
      </w:r>
    </w:p>
    <w:p w14:paraId="0772D6C1">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（七）近五年曾经或现登记、注册在出具评估报告的评估机构的；</w:t>
      </w:r>
    </w:p>
    <w:p w14:paraId="56ADCB6A">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（八）与评估报告署名的评估人员有近亲属关系，或有其他关系可能影响专业技术评审的；</w:t>
      </w:r>
    </w:p>
    <w:p w14:paraId="275F49B8">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（九）可能影响专业技术评审的其他情形。</w:t>
      </w:r>
    </w:p>
    <w:p w14:paraId="2F825929">
      <w:pPr>
        <w:shd w:val="clear" w:color="auto" w:fill="FFFFFF"/>
        <w:spacing w:line="440" w:lineRule="atLeast"/>
        <w:ind w:firstLine="482"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b/>
          <w:color w:val="000000"/>
          <w:kern w:val="0"/>
          <w:sz w:val="24"/>
          <w:shd w:val="clear" w:color="auto" w:fill="FFFFFF"/>
          <w:lang w:val="zh-TW"/>
        </w:rPr>
        <w:t>第十三条</w:t>
      </w:r>
      <w:r>
        <w:rPr>
          <w:rFonts w:hint="eastAsia" w:ascii="宋体" w:hAnsi="宋体" w:eastAsia="宋体" w:cs="宋体"/>
          <w:color w:val="000000"/>
          <w:kern w:val="0"/>
          <w:sz w:val="24"/>
          <w:shd w:val="clear" w:color="auto" w:fill="FFFFFF"/>
          <w:lang w:val="zh-TW"/>
        </w:rPr>
        <w:t>　</w:t>
      </w:r>
      <w:r>
        <w:rPr>
          <w:rFonts w:hint="eastAsia" w:ascii="宋体" w:hAnsi="宋体" w:eastAsia="宋体" w:cs="宋体"/>
          <w:color w:val="000000"/>
          <w:kern w:val="0"/>
          <w:sz w:val="24"/>
          <w:shd w:val="clear" w:color="auto" w:fill="FFFFFF"/>
          <w:lang w:val="zh-TW" w:eastAsia="zh-TW"/>
        </w:rPr>
        <w:t>专家组应当自组建的次日起十个工作日内完成专业技术评审，并出具专业技术评审报告。</w:t>
      </w:r>
    </w:p>
    <w:p w14:paraId="7DF750B3">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专业技术评审报告应当由全部专家组成员署名。</w:t>
      </w:r>
    </w:p>
    <w:p w14:paraId="7ADDA968">
      <w:pPr>
        <w:shd w:val="clear" w:color="auto" w:fill="FFFFFF"/>
        <w:spacing w:line="440" w:lineRule="atLeast"/>
        <w:ind w:firstLine="482"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b/>
          <w:color w:val="000000"/>
          <w:kern w:val="0"/>
          <w:sz w:val="24"/>
          <w:shd w:val="clear" w:color="auto" w:fill="FFFFFF"/>
          <w:lang w:val="zh-TW"/>
        </w:rPr>
        <w:t>第十四条</w:t>
      </w:r>
      <w:r>
        <w:rPr>
          <w:rFonts w:hint="eastAsia" w:ascii="宋体" w:hAnsi="宋体" w:eastAsia="宋体" w:cs="宋体"/>
          <w:color w:val="000000"/>
          <w:kern w:val="0"/>
          <w:sz w:val="24"/>
          <w:shd w:val="clear" w:color="auto" w:fill="FFFFFF"/>
          <w:lang w:val="zh-TW"/>
        </w:rPr>
        <w:t>　</w:t>
      </w:r>
      <w:r>
        <w:rPr>
          <w:rFonts w:hint="eastAsia" w:ascii="宋体" w:hAnsi="宋体" w:eastAsia="宋体" w:cs="宋体"/>
          <w:color w:val="000000"/>
          <w:kern w:val="0"/>
          <w:sz w:val="24"/>
          <w:shd w:val="clear" w:color="auto" w:fill="FFFFFF"/>
          <w:lang w:val="zh-TW" w:eastAsia="zh-TW"/>
        </w:rPr>
        <w:t>专家组认为不能在指定的期限内完成评审工作的，应在期限届满前五个工作日通过地方协会向人民法院提出书面延期申请，说明延期理由和延长期限，延长期限不得超过十个工作日。</w:t>
      </w:r>
    </w:p>
    <w:p w14:paraId="0C98ACD8">
      <w:pPr>
        <w:shd w:val="clear" w:color="auto" w:fill="FFFFFF"/>
        <w:spacing w:line="440" w:lineRule="atLeast"/>
        <w:ind w:firstLine="482"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b/>
          <w:color w:val="000000"/>
          <w:kern w:val="0"/>
          <w:sz w:val="24"/>
          <w:shd w:val="clear" w:color="auto" w:fill="FFFFFF"/>
          <w:lang w:val="zh-TW"/>
        </w:rPr>
        <w:t>第十五条</w:t>
      </w:r>
      <w:r>
        <w:rPr>
          <w:rFonts w:hint="eastAsia" w:ascii="宋体" w:hAnsi="宋体" w:eastAsia="宋体" w:cs="宋体"/>
          <w:color w:val="000000"/>
          <w:kern w:val="0"/>
          <w:sz w:val="24"/>
          <w:shd w:val="clear" w:color="auto" w:fill="FFFFFF"/>
          <w:lang w:val="zh-TW"/>
        </w:rPr>
        <w:t>　</w:t>
      </w:r>
      <w:r>
        <w:rPr>
          <w:rFonts w:hint="eastAsia" w:ascii="宋体" w:hAnsi="宋体" w:eastAsia="宋体" w:cs="宋体"/>
          <w:color w:val="000000"/>
          <w:kern w:val="0"/>
          <w:sz w:val="24"/>
          <w:shd w:val="clear" w:color="auto" w:fill="FFFFFF"/>
          <w:lang w:val="zh-TW" w:eastAsia="zh-TW"/>
        </w:rPr>
        <w:t>专业技术评审报告应当载明专业技术评审工作开展情况、对有关资产评估报告的概括性描述、对当事人和利害关系人提出的书面异议中涉及参照标准、计算方法或评估结果等问题依据相关资产评估准则逐一进行评审,形成专业技术评审结论，在评审结论中应当列示相关法律法规或者相关资产评估准则依据。</w:t>
      </w:r>
    </w:p>
    <w:p w14:paraId="74954F15">
      <w:pPr>
        <w:shd w:val="clear" w:color="auto" w:fill="FFFFFF"/>
        <w:spacing w:line="440" w:lineRule="atLeast"/>
        <w:ind w:firstLine="482"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b/>
          <w:color w:val="000000"/>
          <w:kern w:val="0"/>
          <w:sz w:val="24"/>
          <w:shd w:val="clear" w:color="auto" w:fill="FFFFFF"/>
          <w:lang w:val="zh-TW"/>
        </w:rPr>
        <w:t>第十六条</w:t>
      </w:r>
      <w:r>
        <w:rPr>
          <w:rFonts w:hint="eastAsia" w:ascii="宋体" w:hAnsi="宋体" w:eastAsia="宋体" w:cs="宋体"/>
          <w:color w:val="000000"/>
          <w:kern w:val="0"/>
          <w:sz w:val="24"/>
          <w:shd w:val="clear" w:color="auto" w:fill="FFFFFF"/>
          <w:lang w:val="zh-TW"/>
        </w:rPr>
        <w:t>　</w:t>
      </w:r>
      <w:r>
        <w:rPr>
          <w:rFonts w:hint="eastAsia" w:ascii="宋体" w:hAnsi="宋体" w:eastAsia="宋体" w:cs="宋体"/>
          <w:color w:val="000000"/>
          <w:kern w:val="0"/>
          <w:sz w:val="24"/>
          <w:shd w:val="clear" w:color="auto" w:fill="FFFFFF"/>
          <w:lang w:val="zh-TW" w:eastAsia="zh-TW"/>
        </w:rPr>
        <w:t>专家组在评审工作中应当形成专业技术评审工作底稿，并由专家组成员签字。</w:t>
      </w:r>
    </w:p>
    <w:p w14:paraId="160ECCFB">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专业技术评审工作底稿应如实记载专业技术评审情况和专家组成员的个人评审意见及承诺函，并附相关材料。</w:t>
      </w:r>
    </w:p>
    <w:p w14:paraId="52630C9E">
      <w:pPr>
        <w:shd w:val="clear" w:color="auto" w:fill="FFFFFF"/>
        <w:spacing w:line="440" w:lineRule="atLeast"/>
        <w:ind w:firstLine="482"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b/>
          <w:color w:val="000000"/>
          <w:kern w:val="0"/>
          <w:sz w:val="24"/>
          <w:shd w:val="clear" w:color="auto" w:fill="FFFFFF"/>
          <w:lang w:val="zh-TW"/>
        </w:rPr>
        <w:t>第十七条</w:t>
      </w:r>
      <w:r>
        <w:rPr>
          <w:rFonts w:hint="eastAsia" w:ascii="宋体" w:hAnsi="宋体" w:eastAsia="宋体" w:cs="宋体"/>
          <w:color w:val="000000"/>
          <w:kern w:val="0"/>
          <w:sz w:val="24"/>
          <w:shd w:val="clear" w:color="auto" w:fill="FFFFFF"/>
          <w:lang w:val="zh-TW"/>
        </w:rPr>
        <w:t>　</w:t>
      </w:r>
      <w:r>
        <w:rPr>
          <w:rFonts w:hint="eastAsia" w:ascii="宋体" w:hAnsi="宋体" w:eastAsia="宋体" w:cs="宋体"/>
          <w:color w:val="000000"/>
          <w:kern w:val="0"/>
          <w:sz w:val="24"/>
          <w:shd w:val="clear" w:color="auto" w:fill="FFFFFF"/>
          <w:lang w:val="zh-TW" w:eastAsia="zh-TW"/>
        </w:rPr>
        <w:t>专业技术评审工作结束后，地方协会应当将专业技术评审报告和专业技术评审工作底稿一并提交给人民法院。</w:t>
      </w:r>
    </w:p>
    <w:p w14:paraId="489A27D5">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lang w:val="zh-TW"/>
        </w:rPr>
        <w:t>第十八条</w:t>
      </w:r>
      <w:r>
        <w:rPr>
          <w:rFonts w:hint="eastAsia" w:ascii="宋体" w:hAnsi="宋体" w:eastAsia="宋体" w:cs="宋体"/>
          <w:color w:val="000000"/>
          <w:kern w:val="0"/>
          <w:sz w:val="24"/>
          <w:shd w:val="clear" w:color="auto" w:fill="FFFFFF"/>
          <w:lang w:val="zh-TW"/>
        </w:rPr>
        <w:t>　</w:t>
      </w:r>
      <w:r>
        <w:rPr>
          <w:rFonts w:hint="eastAsia" w:ascii="宋体" w:hAnsi="宋体" w:eastAsia="宋体" w:cs="宋体"/>
          <w:color w:val="000000"/>
          <w:kern w:val="0"/>
          <w:sz w:val="24"/>
          <w:shd w:val="clear" w:color="auto" w:fill="FFFFFF"/>
          <w:lang w:val="zh-TW" w:eastAsia="zh-TW"/>
        </w:rPr>
        <w:t>中评协根据地方协会的需要，为人民法院委托资产评估的专业技术评审工作提供技术支持。</w:t>
      </w:r>
    </w:p>
    <w:p w14:paraId="1FE10302">
      <w:pPr>
        <w:shd w:val="clear" w:color="auto" w:fill="FFFFFF"/>
        <w:spacing w:line="440" w:lineRule="atLeast"/>
        <w:jc w:val="center"/>
        <w:rPr>
          <w:rFonts w:ascii="黑体" w:hAnsi="黑体" w:eastAsia="黑体" w:cs="黑体"/>
          <w:bCs/>
          <w:color w:val="000000"/>
          <w:kern w:val="0"/>
          <w:sz w:val="28"/>
          <w:szCs w:val="28"/>
          <w:shd w:val="clear" w:color="auto" w:fill="FFFFFF"/>
          <w:lang w:val="zh-TW"/>
        </w:rPr>
      </w:pPr>
      <w:r>
        <w:rPr>
          <w:rFonts w:hint="eastAsia" w:ascii="黑体" w:hAnsi="黑体" w:eastAsia="黑体" w:cs="黑体"/>
          <w:bCs/>
          <w:color w:val="000000"/>
          <w:kern w:val="0"/>
          <w:sz w:val="28"/>
          <w:szCs w:val="28"/>
          <w:shd w:val="clear" w:color="auto" w:fill="FFFFFF"/>
          <w:lang w:val="zh-TW"/>
        </w:rPr>
        <w:t>第四章　附则</w:t>
      </w:r>
    </w:p>
    <w:p w14:paraId="4AA1FAC1">
      <w:pPr>
        <w:shd w:val="clear" w:color="auto" w:fill="FFFFFF"/>
        <w:spacing w:line="440" w:lineRule="atLeast"/>
        <w:ind w:firstLine="482"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b/>
          <w:color w:val="000000"/>
          <w:kern w:val="0"/>
          <w:sz w:val="24"/>
          <w:shd w:val="clear" w:color="auto" w:fill="FFFFFF"/>
          <w:lang w:val="zh-TW"/>
        </w:rPr>
        <w:t>第十九条</w:t>
      </w:r>
      <w:r>
        <w:rPr>
          <w:rFonts w:hint="eastAsia" w:ascii="宋体" w:hAnsi="宋体" w:eastAsia="宋体" w:cs="宋体"/>
          <w:color w:val="000000"/>
          <w:kern w:val="0"/>
          <w:sz w:val="24"/>
          <w:shd w:val="clear" w:color="auto" w:fill="FFFFFF"/>
          <w:lang w:val="zh-TW"/>
        </w:rPr>
        <w:t>　</w:t>
      </w:r>
      <w:r>
        <w:rPr>
          <w:rFonts w:hint="eastAsia" w:ascii="宋体" w:hAnsi="宋体" w:eastAsia="宋体" w:cs="宋体"/>
          <w:color w:val="000000"/>
          <w:kern w:val="0"/>
          <w:sz w:val="24"/>
          <w:shd w:val="clear" w:color="auto" w:fill="FFFFFF"/>
          <w:lang w:val="zh-TW" w:eastAsia="zh-TW"/>
        </w:rPr>
        <w:t>本实施细则的解释权归中评协。</w:t>
      </w:r>
    </w:p>
    <w:p w14:paraId="605F8BA4">
      <w:pPr>
        <w:shd w:val="clear" w:color="auto" w:fill="FFFFFF"/>
        <w:spacing w:line="440" w:lineRule="atLeast"/>
        <w:ind w:firstLine="482"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b/>
          <w:color w:val="000000"/>
          <w:kern w:val="0"/>
          <w:sz w:val="24"/>
          <w:shd w:val="clear" w:color="auto" w:fill="FFFFFF"/>
          <w:lang w:val="zh-TW"/>
        </w:rPr>
        <w:t>第二十条</w:t>
      </w:r>
      <w:r>
        <w:rPr>
          <w:rFonts w:hint="eastAsia" w:ascii="宋体" w:hAnsi="宋体" w:eastAsia="宋体" w:cs="宋体"/>
          <w:color w:val="000000"/>
          <w:kern w:val="0"/>
          <w:sz w:val="24"/>
          <w:shd w:val="clear" w:color="auto" w:fill="FFFFFF"/>
          <w:lang w:val="zh-TW"/>
        </w:rPr>
        <w:t>　</w:t>
      </w:r>
      <w:r>
        <w:rPr>
          <w:rFonts w:hint="eastAsia" w:ascii="宋体" w:hAnsi="宋体" w:eastAsia="宋体" w:cs="宋体"/>
          <w:color w:val="000000"/>
          <w:kern w:val="0"/>
          <w:sz w:val="24"/>
          <w:shd w:val="clear" w:color="auto" w:fill="FFFFFF"/>
          <w:lang w:val="zh-TW" w:eastAsia="zh-TW"/>
        </w:rPr>
        <w:t>本实施细则自2019年12月24日起施行。</w:t>
      </w:r>
    </w:p>
    <w:p w14:paraId="633357F2">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p>
    <w:p w14:paraId="568E8D04">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附：</w:t>
      </w:r>
      <w:bookmarkStart w:id="81" w:name="_Hlk24536378"/>
      <w:r>
        <w:rPr>
          <w:rFonts w:hint="eastAsia" w:ascii="宋体" w:hAnsi="宋体" w:eastAsia="宋体" w:cs="宋体"/>
          <w:color w:val="000000"/>
          <w:kern w:val="0"/>
          <w:sz w:val="24"/>
          <w:shd w:val="clear" w:color="auto" w:fill="FFFFFF"/>
          <w:lang w:val="zh-TW" w:eastAsia="zh-TW"/>
        </w:rPr>
        <w:t>1.地方协会关于组织专业技术评审工作情况的回函（供参考）</w:t>
      </w:r>
    </w:p>
    <w:p w14:paraId="1461A5CE">
      <w:pPr>
        <w:shd w:val="clear" w:color="auto" w:fill="FFFFFF"/>
        <w:spacing w:line="440" w:lineRule="atLeast"/>
        <w:ind w:firstLine="960" w:firstLineChars="4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2.专业技术评审报告主要内容（供参考）</w:t>
      </w:r>
    </w:p>
    <w:p w14:paraId="2BA721A7">
      <w:pPr>
        <w:shd w:val="clear" w:color="auto" w:fill="FFFFFF"/>
        <w:spacing w:line="440" w:lineRule="atLeast"/>
        <w:ind w:firstLine="960" w:firstLineChars="400"/>
        <w:rPr>
          <w:rFonts w:ascii="宋体" w:hAnsi="宋体" w:eastAsia="宋体" w:cs="宋体"/>
          <w:color w:val="000000"/>
          <w:kern w:val="0"/>
          <w:sz w:val="24"/>
          <w:shd w:val="clear" w:color="auto" w:fill="FFFFFF"/>
          <w:lang w:val="zh-TW"/>
        </w:rPr>
      </w:pPr>
      <w:r>
        <w:rPr>
          <w:rFonts w:hint="eastAsia" w:ascii="宋体" w:hAnsi="宋体" w:eastAsia="宋体" w:cs="宋体"/>
          <w:color w:val="000000"/>
          <w:kern w:val="0"/>
          <w:sz w:val="24"/>
          <w:shd w:val="clear" w:color="auto" w:fill="FFFFFF"/>
          <w:lang w:val="zh-TW" w:eastAsia="zh-TW"/>
        </w:rPr>
        <w:t>3.专业技术评审工作底稿（供参考）</w:t>
      </w:r>
      <w:bookmarkEnd w:id="81"/>
      <w:r>
        <w:rPr>
          <w:rFonts w:hint="eastAsia" w:ascii="宋体" w:hAnsi="宋体" w:eastAsia="宋体" w:cs="宋体"/>
          <w:color w:val="000000"/>
          <w:kern w:val="0"/>
          <w:sz w:val="24"/>
          <w:shd w:val="clear" w:color="auto" w:fill="FFFFFF"/>
          <w:lang w:val="zh-TW"/>
        </w:rPr>
        <w:t>　</w:t>
      </w:r>
    </w:p>
    <w:p w14:paraId="06302FE9">
      <w:pPr>
        <w:spacing w:line="440" w:lineRule="atLeast"/>
        <w:rPr>
          <w:rFonts w:ascii="仿宋" w:hAnsi="仿宋" w:eastAsia="仿宋"/>
          <w:sz w:val="30"/>
          <w:szCs w:val="30"/>
          <w:lang w:val="zh-TW"/>
        </w:rPr>
        <w:sectPr>
          <w:footerReference r:id="rId10" w:type="default"/>
          <w:pgSz w:w="11900" w:h="16840"/>
          <w:pgMar w:top="1440" w:right="1800" w:bottom="1440" w:left="1800" w:header="851" w:footer="992" w:gutter="0"/>
          <w:cols w:space="720" w:num="1"/>
        </w:sectPr>
      </w:pPr>
      <w:r>
        <w:rPr>
          <w:rFonts w:hint="eastAsia" w:ascii="仿宋" w:hAnsi="仿宋" w:eastAsia="仿宋"/>
          <w:sz w:val="30"/>
          <w:szCs w:val="30"/>
          <w:lang w:val="zh-TW"/>
        </w:rPr>
        <w:t>　</w:t>
      </w:r>
    </w:p>
    <w:p w14:paraId="6BB4DD01">
      <w:pPr>
        <w:spacing w:line="440" w:lineRule="atLeast"/>
        <w:rPr>
          <w:rFonts w:ascii="宋体" w:hAnsi="宋体" w:eastAsia="宋体" w:cs="宋体"/>
          <w:sz w:val="24"/>
        </w:rPr>
      </w:pPr>
      <w:r>
        <w:rPr>
          <w:rFonts w:hint="eastAsia" w:ascii="宋体" w:hAnsi="宋体" w:eastAsia="宋体" w:cs="宋体"/>
          <w:sz w:val="24"/>
          <w:lang w:val="zh-TW" w:eastAsia="zh-TW"/>
        </w:rPr>
        <w:t>附</w:t>
      </w:r>
      <w:r>
        <w:rPr>
          <w:rFonts w:hint="eastAsia" w:ascii="宋体" w:hAnsi="宋体" w:eastAsia="宋体" w:cs="宋体"/>
          <w:sz w:val="24"/>
        </w:rPr>
        <w:t>1</w:t>
      </w:r>
      <w:r>
        <w:rPr>
          <w:rFonts w:hint="eastAsia" w:ascii="宋体" w:hAnsi="宋体" w:eastAsia="宋体" w:cs="宋体"/>
          <w:sz w:val="24"/>
          <w:lang w:val="zh-TW" w:eastAsia="zh-TW"/>
        </w:rPr>
        <w:t>：</w:t>
      </w:r>
    </w:p>
    <w:p w14:paraId="67A1A0B5">
      <w:pPr>
        <w:spacing w:line="440" w:lineRule="atLeast"/>
        <w:jc w:val="center"/>
        <w:rPr>
          <w:rFonts w:asciiTheme="minorEastAsia" w:hAnsiTheme="minorEastAsia" w:cstheme="minorEastAsia"/>
          <w:b/>
          <w:bCs/>
          <w:sz w:val="32"/>
          <w:szCs w:val="32"/>
          <w:lang w:val="zh-TW" w:eastAsia="zh-TW"/>
        </w:rPr>
      </w:pPr>
      <w:r>
        <w:rPr>
          <w:rFonts w:hint="eastAsia" w:asciiTheme="minorEastAsia" w:hAnsiTheme="minorEastAsia" w:cstheme="minorEastAsia"/>
          <w:b/>
          <w:sz w:val="32"/>
          <w:szCs w:val="32"/>
          <w:lang w:val="zh-TW" w:eastAsia="zh-TW"/>
        </w:rPr>
        <w:t>关于组织专业技术评审工作情况的回函（供参考）</w:t>
      </w:r>
    </w:p>
    <w:p w14:paraId="0047076F">
      <w:pPr>
        <w:spacing w:line="440" w:lineRule="atLeast"/>
        <w:jc w:val="center"/>
        <w:rPr>
          <w:rFonts w:ascii="仿宋" w:hAnsi="仿宋" w:eastAsia="仿宋" w:cs="Helvetica"/>
          <w:b/>
          <w:bCs/>
          <w:sz w:val="30"/>
          <w:szCs w:val="30"/>
        </w:rPr>
      </w:pPr>
    </w:p>
    <w:p w14:paraId="11BB4F50">
      <w:pPr>
        <w:shd w:val="clear" w:color="auto" w:fill="FFFFFF"/>
        <w:spacing w:line="440" w:lineRule="atLeast"/>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XX人民法院：</w:t>
      </w:r>
    </w:p>
    <w:p w14:paraId="0DAC7653">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受贵法院委托，XX资产评估协会于20XX年XX月XX日组织XXX（逐一填写专家组成员姓名）等X人组成专家组，于20XX年XX月XX日（至XX月XX日）</w:t>
      </w:r>
      <w:bookmarkStart w:id="82" w:name="_Hlk25311363"/>
      <w:r>
        <w:rPr>
          <w:rFonts w:hint="eastAsia" w:ascii="宋体" w:hAnsi="宋体" w:eastAsia="宋体" w:cs="宋体"/>
          <w:color w:val="000000"/>
          <w:kern w:val="0"/>
          <w:sz w:val="24"/>
          <w:shd w:val="clear" w:color="auto" w:fill="FFFFFF"/>
          <w:lang w:val="zh-TW" w:eastAsia="zh-TW"/>
        </w:rPr>
        <w:t>对XX资产评估报告涉及的异议内容进行了专业技术评审，</w:t>
      </w:r>
      <w:bookmarkEnd w:id="82"/>
      <w:r>
        <w:rPr>
          <w:rFonts w:hint="eastAsia" w:ascii="宋体" w:hAnsi="宋体" w:eastAsia="宋体" w:cs="宋体"/>
          <w:color w:val="000000"/>
          <w:kern w:val="0"/>
          <w:sz w:val="24"/>
          <w:shd w:val="clear" w:color="auto" w:fill="FFFFFF"/>
          <w:lang w:val="zh-TW" w:eastAsia="zh-TW"/>
        </w:rPr>
        <w:t>并形成评审结论。</w:t>
      </w:r>
    </w:p>
    <w:p w14:paraId="2603A442">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评审结论如下：</w:t>
      </w:r>
    </w:p>
    <w:p w14:paraId="2EC587B6">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……（填写评审报告的结论）</w:t>
      </w:r>
    </w:p>
    <w:p w14:paraId="1FE86EAD">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专家组对专业技术评审结论的表决情况为……（填写表决情况，如一致同意或者2票赞成，1票反对等）。</w:t>
      </w:r>
    </w:p>
    <w:p w14:paraId="297586F9">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附：专业技术评审报告及工作底稿</w:t>
      </w:r>
    </w:p>
    <w:p w14:paraId="6D772B12">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p>
    <w:p w14:paraId="7DF2DE48">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p>
    <w:p w14:paraId="650F93D3">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p>
    <w:p w14:paraId="7B7D1FA3">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p>
    <w:p w14:paraId="5C990575">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p>
    <w:p w14:paraId="392327D7">
      <w:pPr>
        <w:shd w:val="clear" w:color="auto" w:fill="FFFFFF"/>
        <w:spacing w:line="440" w:lineRule="atLeast"/>
        <w:ind w:firstLine="480" w:firstLineChars="200"/>
        <w:jc w:val="right"/>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xxxx资产评估协会（盖章）</w:t>
      </w:r>
    </w:p>
    <w:p w14:paraId="0C8E1C5C">
      <w:pPr>
        <w:shd w:val="clear" w:color="auto" w:fill="FFFFFF"/>
        <w:spacing w:line="440" w:lineRule="atLeast"/>
        <w:ind w:firstLine="480" w:firstLineChars="200"/>
        <w:jc w:val="right"/>
        <w:rPr>
          <w:rFonts w:ascii="宋体" w:hAnsi="宋体" w:eastAsia="宋体" w:cs="宋体"/>
          <w:color w:val="000000"/>
          <w:kern w:val="0"/>
          <w:sz w:val="24"/>
          <w:shd w:val="clear" w:color="auto" w:fill="FFFFFF"/>
          <w:lang w:val="zh-TW" w:eastAsia="zh-TW"/>
        </w:rPr>
        <w:sectPr>
          <w:headerReference r:id="rId11" w:type="default"/>
          <w:pgSz w:w="11900" w:h="16840"/>
          <w:pgMar w:top="1440" w:right="1800" w:bottom="1440" w:left="1800" w:header="851" w:footer="992" w:gutter="0"/>
          <w:cols w:space="720" w:num="1"/>
        </w:sectPr>
      </w:pPr>
      <w:r>
        <w:rPr>
          <w:rFonts w:hint="eastAsia" w:ascii="宋体" w:hAnsi="宋体" w:eastAsia="宋体" w:cs="宋体"/>
          <w:color w:val="000000"/>
          <w:kern w:val="0"/>
          <w:sz w:val="24"/>
          <w:shd w:val="clear" w:color="auto" w:fill="FFFFFF"/>
          <w:lang w:val="zh-TW" w:eastAsia="zh-TW"/>
        </w:rPr>
        <w:t>20xx年x月x日</w:t>
      </w:r>
    </w:p>
    <w:p w14:paraId="1BB4F087">
      <w:pPr>
        <w:spacing w:line="440" w:lineRule="atLeast"/>
        <w:rPr>
          <w:rFonts w:ascii="宋体" w:hAnsi="宋体" w:eastAsia="宋体" w:cs="宋体"/>
          <w:sz w:val="24"/>
        </w:rPr>
      </w:pPr>
      <w:r>
        <w:rPr>
          <w:rFonts w:hint="eastAsia" w:ascii="宋体" w:hAnsi="宋体" w:eastAsia="宋体" w:cs="宋体"/>
          <w:sz w:val="24"/>
          <w:lang w:val="zh-TW" w:eastAsia="zh-TW"/>
        </w:rPr>
        <w:t>附</w:t>
      </w:r>
      <w:r>
        <w:rPr>
          <w:rFonts w:hint="eastAsia" w:ascii="宋体" w:hAnsi="宋体" w:eastAsia="宋体" w:cs="宋体"/>
          <w:sz w:val="24"/>
        </w:rPr>
        <w:t>2</w:t>
      </w:r>
      <w:r>
        <w:rPr>
          <w:rFonts w:hint="eastAsia" w:ascii="宋体" w:hAnsi="宋体" w:eastAsia="宋体" w:cs="宋体"/>
          <w:sz w:val="24"/>
          <w:lang w:val="zh-TW" w:eastAsia="zh-TW"/>
        </w:rPr>
        <w:t>：</w:t>
      </w:r>
    </w:p>
    <w:p w14:paraId="69C227A7">
      <w:pPr>
        <w:spacing w:line="440" w:lineRule="atLeast"/>
        <w:jc w:val="center"/>
        <w:rPr>
          <w:rFonts w:asciiTheme="minorEastAsia" w:hAnsiTheme="minorEastAsia" w:cstheme="minorEastAsia"/>
          <w:b/>
          <w:sz w:val="32"/>
          <w:szCs w:val="32"/>
          <w:lang w:val="zh-TW" w:eastAsia="zh-TW"/>
        </w:rPr>
      </w:pPr>
      <w:r>
        <w:rPr>
          <w:rFonts w:hint="eastAsia" w:asciiTheme="minorEastAsia" w:hAnsiTheme="minorEastAsia" w:cstheme="minorEastAsia"/>
          <w:b/>
          <w:sz w:val="32"/>
          <w:szCs w:val="32"/>
          <w:lang w:val="zh-TW" w:eastAsia="zh-TW"/>
        </w:rPr>
        <w:t>专业技术评审报告主要内容（供参考）</w:t>
      </w:r>
    </w:p>
    <w:p w14:paraId="62AC94AF">
      <w:pPr>
        <w:pStyle w:val="2"/>
        <w:spacing w:line="440" w:lineRule="atLeast"/>
        <w:rPr>
          <w:rFonts w:cs="Arial Unicode MS"/>
          <w:sz w:val="30"/>
          <w:szCs w:val="30"/>
        </w:rPr>
      </w:pPr>
    </w:p>
    <w:p w14:paraId="0FB6AADF">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一、专业技术评审工作的基本情况</w:t>
      </w:r>
    </w:p>
    <w:p w14:paraId="07DFAA25">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介绍本次专业技术评审工作的开展情况。</w:t>
      </w:r>
    </w:p>
    <w:p w14:paraId="2C590223">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二、评估报告概述</w:t>
      </w:r>
    </w:p>
    <w:p w14:paraId="218BA16E">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对有关资产评估报告进行概括性描述，包括评估对象、评估基准日、评估方法、评估结论等。</w:t>
      </w:r>
    </w:p>
    <w:p w14:paraId="7B5A28DA">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三、专业技术评审依据</w:t>
      </w:r>
    </w:p>
    <w:p w14:paraId="05A17157">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本次专业技术评审回复异议内容所依据的相关资产评估准则。</w:t>
      </w:r>
    </w:p>
    <w:p w14:paraId="0286AC0F">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四、异议内容及回复</w:t>
      </w:r>
    </w:p>
    <w:p w14:paraId="4B4042BB">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依据相关资产评估准则，重点对当事人和利害关系人提出的涉及参照标准、计算方法或评估结果等问题的书面异议进行逐一回复,形成专业技术评审结论。</w:t>
      </w:r>
    </w:p>
    <w:p w14:paraId="71A38971">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五、专业技术评审专家签名</w:t>
      </w:r>
    </w:p>
    <w:p w14:paraId="553B3092">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评审专家组成员逐一签名。</w:t>
      </w:r>
    </w:p>
    <w:p w14:paraId="100B1D42">
      <w:pPr>
        <w:spacing w:line="440" w:lineRule="atLeast"/>
        <w:rPr>
          <w:rFonts w:ascii="仿宋" w:hAnsi="仿宋" w:eastAsia="仿宋"/>
          <w:sz w:val="30"/>
          <w:szCs w:val="30"/>
        </w:rPr>
        <w:sectPr>
          <w:headerReference r:id="rId12" w:type="default"/>
          <w:pgSz w:w="11900" w:h="16840"/>
          <w:pgMar w:top="1440" w:right="1800" w:bottom="1440" w:left="1800" w:header="851" w:footer="992" w:gutter="0"/>
          <w:cols w:space="720" w:num="1"/>
        </w:sectPr>
      </w:pPr>
    </w:p>
    <w:p w14:paraId="2857F9A4">
      <w:pPr>
        <w:spacing w:line="440" w:lineRule="atLeast"/>
        <w:rPr>
          <w:rFonts w:asciiTheme="minorEastAsia" w:hAnsiTheme="minorEastAsia" w:cstheme="minorEastAsia"/>
          <w:bCs/>
          <w:sz w:val="24"/>
        </w:rPr>
      </w:pPr>
      <w:r>
        <w:rPr>
          <w:rFonts w:hint="eastAsia" w:asciiTheme="minorEastAsia" w:hAnsiTheme="minorEastAsia" w:cstheme="minorEastAsia"/>
          <w:bCs/>
          <w:sz w:val="24"/>
          <w:lang w:val="zh-TW" w:eastAsia="zh-TW"/>
        </w:rPr>
        <w:t>附</w:t>
      </w:r>
      <w:r>
        <w:rPr>
          <w:rFonts w:hint="eastAsia" w:asciiTheme="minorEastAsia" w:hAnsiTheme="minorEastAsia" w:cstheme="minorEastAsia"/>
          <w:bCs/>
          <w:sz w:val="24"/>
        </w:rPr>
        <w:t>3</w:t>
      </w:r>
      <w:r>
        <w:rPr>
          <w:rFonts w:hint="eastAsia" w:asciiTheme="minorEastAsia" w:hAnsiTheme="minorEastAsia" w:cstheme="minorEastAsia"/>
          <w:bCs/>
          <w:sz w:val="24"/>
          <w:lang w:val="zh-TW" w:eastAsia="zh-TW"/>
        </w:rPr>
        <w:t>：专业技术评审工作底稿</w:t>
      </w:r>
      <w:r>
        <w:rPr>
          <w:rFonts w:hint="eastAsia" w:asciiTheme="minorEastAsia" w:hAnsiTheme="minorEastAsia" w:cstheme="minorEastAsia"/>
          <w:bCs/>
          <w:sz w:val="24"/>
        </w:rPr>
        <w:t>　（</w:t>
      </w:r>
      <w:r>
        <w:rPr>
          <w:rFonts w:hint="eastAsia" w:asciiTheme="minorEastAsia" w:hAnsiTheme="minorEastAsia" w:cstheme="minorEastAsia"/>
          <w:bCs/>
          <w:sz w:val="24"/>
          <w:lang w:val="zh-TW" w:eastAsia="zh-TW"/>
        </w:rPr>
        <w:t>供参考</w:t>
      </w:r>
      <w:r>
        <w:rPr>
          <w:rFonts w:hint="eastAsia" w:asciiTheme="minorEastAsia" w:hAnsiTheme="minorEastAsia" w:cstheme="minorEastAsia"/>
          <w:bCs/>
          <w:sz w:val="24"/>
        </w:rPr>
        <w:t>）</w:t>
      </w:r>
    </w:p>
    <w:p w14:paraId="043311BD">
      <w:pPr>
        <w:spacing w:line="440" w:lineRule="atLeast"/>
        <w:rPr>
          <w:rFonts w:ascii="仿宋" w:hAnsi="仿宋" w:eastAsia="仿宋"/>
          <w:sz w:val="30"/>
          <w:szCs w:val="30"/>
        </w:rPr>
      </w:pPr>
    </w:p>
    <w:p w14:paraId="5E646981">
      <w:pPr>
        <w:spacing w:line="440" w:lineRule="atLeast"/>
        <w:jc w:val="center"/>
        <w:rPr>
          <w:rFonts w:ascii="仿宋" w:hAnsi="仿宋" w:eastAsia="仿宋" w:cs="Helvetica"/>
          <w:b/>
          <w:bCs/>
          <w:sz w:val="30"/>
          <w:szCs w:val="30"/>
          <w:lang w:val="zh-TW" w:eastAsia="zh-TW"/>
        </w:rPr>
      </w:pPr>
      <w:r>
        <w:rPr>
          <w:rFonts w:hint="eastAsia" w:ascii="仿宋" w:hAnsi="仿宋" w:eastAsia="仿宋"/>
          <w:sz w:val="30"/>
          <w:szCs w:val="30"/>
          <w:lang w:val="zh-TW" w:eastAsia="zh-TW"/>
        </w:rPr>
        <w:t>专业技术评审人员评审意见（供参考）</w:t>
      </w:r>
    </w:p>
    <w:tbl>
      <w:tblPr>
        <w:tblStyle w:val="24"/>
        <w:tblW w:w="8296" w:type="dxa"/>
        <w:jc w:val="center"/>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108" w:type="dxa"/>
          <w:bottom w:w="0" w:type="dxa"/>
          <w:right w:w="108" w:type="dxa"/>
        </w:tblCellMar>
      </w:tblPr>
      <w:tblGrid>
        <w:gridCol w:w="2689"/>
        <w:gridCol w:w="5607"/>
      </w:tblGrid>
      <w:tr w14:paraId="1AB98626">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PrEx>
        <w:trPr>
          <w:trHeight w:val="410" w:hRule="atLeast"/>
          <w:jc w:val="center"/>
        </w:trPr>
        <w:tc>
          <w:tcPr>
            <w:tcW w:w="268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14:paraId="38BCC9F3">
            <w:pPr>
              <w:spacing w:line="440" w:lineRule="atLeast"/>
              <w:jc w:val="left"/>
              <w:rPr>
                <w:rFonts w:ascii="仿宋" w:hAnsi="仿宋" w:eastAsia="仿宋"/>
                <w:sz w:val="30"/>
                <w:szCs w:val="30"/>
              </w:rPr>
            </w:pPr>
            <w:r>
              <w:rPr>
                <w:rFonts w:hint="eastAsia" w:ascii="仿宋" w:hAnsi="仿宋" w:eastAsia="仿宋"/>
                <w:sz w:val="30"/>
                <w:szCs w:val="30"/>
                <w:lang w:val="zh-TW" w:eastAsia="zh-TW"/>
              </w:rPr>
              <w:t>资产评估报告名称</w:t>
            </w:r>
          </w:p>
        </w:tc>
        <w:tc>
          <w:tcPr>
            <w:tcW w:w="560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14:paraId="06CC5E28">
            <w:pPr>
              <w:spacing w:line="440" w:lineRule="atLeast"/>
              <w:rPr>
                <w:rFonts w:ascii="仿宋" w:hAnsi="仿宋" w:eastAsia="仿宋"/>
                <w:sz w:val="30"/>
                <w:szCs w:val="30"/>
              </w:rPr>
            </w:pPr>
          </w:p>
        </w:tc>
      </w:tr>
      <w:tr w14:paraId="7CDE263B">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108" w:type="dxa"/>
            <w:bottom w:w="0" w:type="dxa"/>
            <w:right w:w="108" w:type="dxa"/>
          </w:tblCellMar>
        </w:tblPrEx>
        <w:trPr>
          <w:trHeight w:val="410" w:hRule="atLeast"/>
          <w:jc w:val="center"/>
        </w:trPr>
        <w:tc>
          <w:tcPr>
            <w:tcW w:w="268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14:paraId="36D40072">
            <w:pPr>
              <w:spacing w:line="440" w:lineRule="atLeast"/>
              <w:jc w:val="left"/>
              <w:rPr>
                <w:rFonts w:ascii="仿宋" w:hAnsi="仿宋" w:eastAsia="仿宋"/>
                <w:sz w:val="30"/>
                <w:szCs w:val="30"/>
              </w:rPr>
            </w:pPr>
            <w:r>
              <w:rPr>
                <w:rFonts w:hint="eastAsia" w:ascii="仿宋" w:hAnsi="仿宋" w:eastAsia="仿宋"/>
                <w:sz w:val="30"/>
                <w:szCs w:val="30"/>
                <w:lang w:val="zh-TW" w:eastAsia="zh-TW"/>
              </w:rPr>
              <w:t>评估对象</w:t>
            </w:r>
          </w:p>
        </w:tc>
        <w:tc>
          <w:tcPr>
            <w:tcW w:w="560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14:paraId="24E6F8CA">
            <w:pPr>
              <w:spacing w:line="440" w:lineRule="atLeast"/>
              <w:rPr>
                <w:rFonts w:ascii="仿宋" w:hAnsi="仿宋" w:eastAsia="仿宋"/>
                <w:sz w:val="30"/>
                <w:szCs w:val="30"/>
              </w:rPr>
            </w:pPr>
          </w:p>
        </w:tc>
      </w:tr>
      <w:tr w14:paraId="3D1B9BF1">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108" w:type="dxa"/>
            <w:bottom w:w="0" w:type="dxa"/>
            <w:right w:w="108" w:type="dxa"/>
          </w:tblCellMar>
        </w:tblPrEx>
        <w:trPr>
          <w:trHeight w:val="410" w:hRule="atLeast"/>
          <w:jc w:val="center"/>
        </w:trPr>
        <w:tc>
          <w:tcPr>
            <w:tcW w:w="268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14:paraId="654CEC97">
            <w:pPr>
              <w:spacing w:line="440" w:lineRule="atLeast"/>
              <w:jc w:val="left"/>
              <w:rPr>
                <w:rFonts w:ascii="仿宋" w:hAnsi="仿宋" w:eastAsia="仿宋"/>
                <w:sz w:val="30"/>
                <w:szCs w:val="30"/>
              </w:rPr>
            </w:pPr>
            <w:r>
              <w:rPr>
                <w:rFonts w:hint="eastAsia" w:ascii="仿宋" w:hAnsi="仿宋" w:eastAsia="仿宋"/>
                <w:sz w:val="30"/>
                <w:szCs w:val="30"/>
                <w:lang w:val="zh-TW" w:eastAsia="zh-TW"/>
              </w:rPr>
              <w:t>评估范围</w:t>
            </w:r>
          </w:p>
        </w:tc>
        <w:tc>
          <w:tcPr>
            <w:tcW w:w="560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14:paraId="250F5E02">
            <w:pPr>
              <w:spacing w:line="440" w:lineRule="atLeast"/>
              <w:rPr>
                <w:rFonts w:ascii="仿宋" w:hAnsi="仿宋" w:eastAsia="仿宋"/>
                <w:sz w:val="30"/>
                <w:szCs w:val="30"/>
              </w:rPr>
            </w:pPr>
          </w:p>
        </w:tc>
      </w:tr>
      <w:tr w14:paraId="2133FBA9">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108" w:type="dxa"/>
            <w:bottom w:w="0" w:type="dxa"/>
            <w:right w:w="108" w:type="dxa"/>
          </w:tblCellMar>
        </w:tblPrEx>
        <w:trPr>
          <w:trHeight w:val="410" w:hRule="atLeast"/>
          <w:jc w:val="center"/>
        </w:trPr>
        <w:tc>
          <w:tcPr>
            <w:tcW w:w="268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14:paraId="2E02F3EA">
            <w:pPr>
              <w:spacing w:line="440" w:lineRule="atLeast"/>
              <w:jc w:val="left"/>
              <w:rPr>
                <w:rFonts w:ascii="仿宋" w:hAnsi="仿宋" w:eastAsia="仿宋"/>
                <w:sz w:val="30"/>
                <w:szCs w:val="30"/>
              </w:rPr>
            </w:pPr>
            <w:r>
              <w:rPr>
                <w:rFonts w:hint="eastAsia" w:ascii="仿宋" w:hAnsi="仿宋" w:eastAsia="仿宋"/>
                <w:sz w:val="30"/>
                <w:szCs w:val="30"/>
                <w:lang w:val="zh-TW" w:eastAsia="zh-TW"/>
              </w:rPr>
              <w:t>评估基准日</w:t>
            </w:r>
          </w:p>
        </w:tc>
        <w:tc>
          <w:tcPr>
            <w:tcW w:w="560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14:paraId="694C4B96">
            <w:pPr>
              <w:spacing w:line="440" w:lineRule="atLeast"/>
              <w:rPr>
                <w:rFonts w:ascii="仿宋" w:hAnsi="仿宋" w:eastAsia="仿宋"/>
                <w:sz w:val="30"/>
                <w:szCs w:val="30"/>
              </w:rPr>
            </w:pPr>
          </w:p>
        </w:tc>
      </w:tr>
      <w:tr w14:paraId="33B611D6">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108" w:type="dxa"/>
            <w:bottom w:w="0" w:type="dxa"/>
            <w:right w:w="108" w:type="dxa"/>
          </w:tblCellMar>
        </w:tblPrEx>
        <w:trPr>
          <w:trHeight w:val="410" w:hRule="atLeast"/>
          <w:jc w:val="center"/>
        </w:trPr>
        <w:tc>
          <w:tcPr>
            <w:tcW w:w="268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14:paraId="2838FF54">
            <w:pPr>
              <w:spacing w:line="440" w:lineRule="atLeast"/>
              <w:jc w:val="left"/>
              <w:rPr>
                <w:rFonts w:ascii="仿宋" w:hAnsi="仿宋" w:eastAsia="仿宋"/>
                <w:sz w:val="30"/>
                <w:szCs w:val="30"/>
              </w:rPr>
            </w:pPr>
            <w:r>
              <w:rPr>
                <w:rFonts w:hint="eastAsia" w:ascii="仿宋" w:hAnsi="仿宋" w:eastAsia="仿宋"/>
                <w:sz w:val="30"/>
                <w:szCs w:val="30"/>
                <w:lang w:val="zh-TW" w:eastAsia="zh-TW"/>
              </w:rPr>
              <w:t>评估结论</w:t>
            </w:r>
          </w:p>
        </w:tc>
        <w:tc>
          <w:tcPr>
            <w:tcW w:w="560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14:paraId="79D9C1DF">
            <w:pPr>
              <w:spacing w:line="440" w:lineRule="atLeast"/>
              <w:rPr>
                <w:rFonts w:ascii="仿宋" w:hAnsi="仿宋" w:eastAsia="仿宋"/>
                <w:sz w:val="30"/>
                <w:szCs w:val="30"/>
              </w:rPr>
            </w:pPr>
          </w:p>
        </w:tc>
      </w:tr>
      <w:tr w14:paraId="3910F1AA">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108" w:type="dxa"/>
            <w:bottom w:w="0" w:type="dxa"/>
            <w:right w:w="108" w:type="dxa"/>
          </w:tblCellMar>
        </w:tblPrEx>
        <w:trPr>
          <w:trHeight w:val="1090" w:hRule="atLeast"/>
          <w:jc w:val="center"/>
        </w:trPr>
        <w:tc>
          <w:tcPr>
            <w:tcW w:w="8296" w:type="dxa"/>
            <w:gridSpan w:val="2"/>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14:paraId="0C43FEF7">
            <w:pPr>
              <w:spacing w:line="440" w:lineRule="atLeast"/>
              <w:jc w:val="left"/>
              <w:rPr>
                <w:rFonts w:ascii="仿宋" w:hAnsi="仿宋" w:eastAsia="仿宋"/>
                <w:sz w:val="30"/>
                <w:szCs w:val="30"/>
              </w:rPr>
            </w:pPr>
            <w:r>
              <w:rPr>
                <w:rFonts w:hint="eastAsia" w:ascii="仿宋" w:hAnsi="仿宋" w:eastAsia="仿宋"/>
                <w:sz w:val="30"/>
                <w:szCs w:val="30"/>
                <w:lang w:val="zh-TW" w:eastAsia="zh-TW"/>
              </w:rPr>
              <w:t>异议内容：</w:t>
            </w:r>
          </w:p>
        </w:tc>
      </w:tr>
      <w:tr w14:paraId="614A6763">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108" w:type="dxa"/>
            <w:bottom w:w="0" w:type="dxa"/>
            <w:right w:w="108" w:type="dxa"/>
          </w:tblCellMar>
        </w:tblPrEx>
        <w:trPr>
          <w:trHeight w:val="6298" w:hRule="atLeast"/>
          <w:jc w:val="center"/>
        </w:trPr>
        <w:tc>
          <w:tcPr>
            <w:tcW w:w="8296" w:type="dxa"/>
            <w:gridSpan w:val="2"/>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14:paraId="520311E2">
            <w:pPr>
              <w:spacing w:line="440" w:lineRule="atLeast"/>
              <w:jc w:val="left"/>
              <w:rPr>
                <w:rFonts w:ascii="仿宋" w:hAnsi="仿宋" w:eastAsia="仿宋"/>
                <w:sz w:val="30"/>
                <w:szCs w:val="30"/>
              </w:rPr>
            </w:pPr>
            <w:r>
              <w:rPr>
                <w:rFonts w:hint="eastAsia" w:ascii="仿宋" w:hAnsi="仿宋" w:eastAsia="仿宋"/>
                <w:sz w:val="30"/>
                <w:szCs w:val="30"/>
                <w:lang w:val="zh-TW" w:eastAsia="zh-TW"/>
              </w:rPr>
              <w:t>专家组成员的个人评审意见：</w:t>
            </w:r>
          </w:p>
          <w:p w14:paraId="31D1736C">
            <w:pPr>
              <w:spacing w:line="440" w:lineRule="atLeast"/>
              <w:jc w:val="left"/>
              <w:rPr>
                <w:rFonts w:ascii="仿宋" w:hAnsi="仿宋" w:eastAsia="仿宋"/>
                <w:sz w:val="30"/>
                <w:szCs w:val="30"/>
              </w:rPr>
            </w:pPr>
            <w:r>
              <w:rPr>
                <w:rFonts w:hint="eastAsia" w:ascii="仿宋" w:hAnsi="仿宋" w:eastAsia="仿宋"/>
                <w:sz w:val="30"/>
                <w:szCs w:val="30"/>
                <w:lang w:val="zh-TW" w:eastAsia="zh-TW"/>
              </w:rPr>
              <w:t>（专业技术评审人员个人依据相关资产评估准则，重点对当事人和利害关系人提出的涉及参照标准、计算方法或评估结果等问题的书面异议逐一发表意见）</w:t>
            </w:r>
          </w:p>
          <w:p w14:paraId="65ED1641">
            <w:pPr>
              <w:spacing w:line="440" w:lineRule="atLeast"/>
              <w:jc w:val="left"/>
              <w:rPr>
                <w:rFonts w:ascii="仿宋" w:hAnsi="仿宋" w:eastAsia="仿宋"/>
                <w:sz w:val="30"/>
                <w:szCs w:val="30"/>
              </w:rPr>
            </w:pPr>
          </w:p>
          <w:p w14:paraId="54C75D78">
            <w:pPr>
              <w:spacing w:line="440" w:lineRule="atLeast"/>
              <w:ind w:right="560"/>
              <w:jc w:val="right"/>
              <w:rPr>
                <w:rFonts w:ascii="仿宋" w:hAnsi="仿宋" w:eastAsia="仿宋"/>
                <w:sz w:val="30"/>
                <w:szCs w:val="30"/>
              </w:rPr>
            </w:pPr>
            <w:r>
              <w:rPr>
                <w:rFonts w:hint="eastAsia" w:ascii="仿宋" w:hAnsi="仿宋" w:eastAsia="仿宋"/>
                <w:sz w:val="30"/>
                <w:szCs w:val="30"/>
                <w:lang w:val="zh-TW" w:eastAsia="zh-TW"/>
              </w:rPr>
              <w:t>签名：</w:t>
            </w:r>
            <w:r>
              <w:rPr>
                <w:rFonts w:hint="eastAsia" w:ascii="仿宋" w:hAnsi="仿宋" w:eastAsia="仿宋"/>
                <w:sz w:val="30"/>
                <w:szCs w:val="30"/>
                <w:lang w:val="zh-TW"/>
              </w:rPr>
              <w:t>　</w:t>
            </w:r>
            <w:r>
              <w:rPr>
                <w:rFonts w:hint="eastAsia" w:ascii="仿宋" w:hAnsi="仿宋" w:eastAsia="仿宋"/>
                <w:sz w:val="30"/>
                <w:szCs w:val="30"/>
              </w:rPr>
              <w:t>　　　　　　　</w:t>
            </w:r>
          </w:p>
          <w:p w14:paraId="7CAA85BB">
            <w:pPr>
              <w:spacing w:line="440" w:lineRule="atLeast"/>
              <w:ind w:right="560"/>
              <w:jc w:val="right"/>
              <w:rPr>
                <w:rFonts w:ascii="仿宋" w:hAnsi="仿宋" w:eastAsia="仿宋"/>
                <w:sz w:val="30"/>
                <w:szCs w:val="30"/>
              </w:rPr>
            </w:pPr>
            <w:r>
              <w:rPr>
                <w:rFonts w:hint="eastAsia" w:ascii="仿宋" w:hAnsi="仿宋" w:eastAsia="仿宋"/>
                <w:sz w:val="30"/>
                <w:szCs w:val="30"/>
                <w:lang w:val="zh-TW" w:eastAsia="zh-TW"/>
              </w:rPr>
              <w:t>日期：</w:t>
            </w:r>
            <w:r>
              <w:rPr>
                <w:rFonts w:hint="eastAsia" w:ascii="仿宋" w:hAnsi="仿宋" w:eastAsia="仿宋"/>
                <w:sz w:val="30"/>
                <w:szCs w:val="30"/>
                <w:lang w:val="zh-TW"/>
              </w:rPr>
              <w:t>　</w:t>
            </w:r>
            <w:r>
              <w:rPr>
                <w:rFonts w:hint="eastAsia" w:ascii="仿宋" w:hAnsi="仿宋" w:eastAsia="仿宋"/>
                <w:sz w:val="30"/>
                <w:szCs w:val="30"/>
              </w:rPr>
              <w:t>　　　　　　　</w:t>
            </w:r>
          </w:p>
        </w:tc>
      </w:tr>
    </w:tbl>
    <w:p w14:paraId="0A60BEFC">
      <w:pPr>
        <w:spacing w:line="440" w:lineRule="atLeast"/>
        <w:jc w:val="center"/>
        <w:rPr>
          <w:rFonts w:ascii="仿宋" w:hAnsi="仿宋" w:eastAsia="仿宋" w:cs="Helvetica"/>
          <w:b/>
          <w:bCs/>
          <w:sz w:val="30"/>
          <w:szCs w:val="30"/>
          <w:lang w:val="zh-TW" w:eastAsia="zh-TW"/>
        </w:rPr>
      </w:pPr>
    </w:p>
    <w:p w14:paraId="6C0106F6">
      <w:pPr>
        <w:spacing w:line="440" w:lineRule="atLeast"/>
        <w:rPr>
          <w:rFonts w:ascii="仿宋" w:hAnsi="仿宋" w:eastAsia="仿宋"/>
          <w:sz w:val="30"/>
          <w:szCs w:val="30"/>
        </w:rPr>
        <w:sectPr>
          <w:headerReference r:id="rId13" w:type="default"/>
          <w:pgSz w:w="11900" w:h="16840"/>
          <w:pgMar w:top="1440" w:right="1800" w:bottom="1440" w:left="1800" w:header="851" w:footer="992" w:gutter="0"/>
          <w:cols w:space="720" w:num="1"/>
        </w:sectPr>
      </w:pPr>
    </w:p>
    <w:p w14:paraId="382CE287">
      <w:pPr>
        <w:spacing w:line="440" w:lineRule="atLeast"/>
        <w:rPr>
          <w:rFonts w:ascii="仿宋" w:hAnsi="仿宋" w:eastAsia="仿宋"/>
          <w:sz w:val="30"/>
          <w:szCs w:val="30"/>
        </w:rPr>
      </w:pPr>
    </w:p>
    <w:p w14:paraId="309DCA99">
      <w:pPr>
        <w:spacing w:line="440" w:lineRule="atLeast"/>
        <w:jc w:val="center"/>
        <w:rPr>
          <w:rFonts w:asciiTheme="minorEastAsia" w:hAnsiTheme="minorEastAsia" w:cstheme="minorEastAsia"/>
          <w:b/>
          <w:sz w:val="32"/>
          <w:szCs w:val="32"/>
          <w:lang w:val="zh-TW" w:eastAsia="zh-TW"/>
        </w:rPr>
      </w:pPr>
      <w:r>
        <w:rPr>
          <w:rFonts w:hint="eastAsia" w:asciiTheme="minorEastAsia" w:hAnsiTheme="minorEastAsia" w:cstheme="minorEastAsia"/>
          <w:b/>
          <w:sz w:val="32"/>
          <w:szCs w:val="32"/>
          <w:lang w:val="zh-TW" w:eastAsia="zh-TW"/>
        </w:rPr>
        <w:t>专业技术评审人员承诺函（供参考）</w:t>
      </w:r>
    </w:p>
    <w:p w14:paraId="54B021A7">
      <w:pPr>
        <w:spacing w:line="440" w:lineRule="atLeast"/>
        <w:rPr>
          <w:rFonts w:ascii="仿宋" w:hAnsi="仿宋" w:eastAsia="仿宋"/>
          <w:sz w:val="30"/>
          <w:szCs w:val="30"/>
        </w:rPr>
      </w:pPr>
    </w:p>
    <w:p w14:paraId="46695EEC">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在XX资产评估协会组织下，本人对XX资产评估报告涉及的异议内容进行了专业技术评审，根据“人民法院委托评估工作专业技术评审工作规范”的规定，本人承诺如下：</w:t>
      </w:r>
    </w:p>
    <w:p w14:paraId="47690A86">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（一）不存在按照规定应当回避的情形；</w:t>
      </w:r>
    </w:p>
    <w:p w14:paraId="5043E43D">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（二）不存在按照规定应当从专业技术评审人员名单库中除名的情形；</w:t>
      </w:r>
    </w:p>
    <w:p w14:paraId="5B79CCBB">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（三）在执行专业技术评审期间，未就评审事项与当事人、利害关系人、出具评估报告的评估机构或参加评估的人员有不正当接触；</w:t>
      </w:r>
    </w:p>
    <w:p w14:paraId="089A8A66">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（四）专业技术评审工作未受到非法干预并独立进行。</w:t>
      </w:r>
    </w:p>
    <w:p w14:paraId="418AEB71">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p>
    <w:p w14:paraId="3B82FB35">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p>
    <w:p w14:paraId="1F398B72">
      <w:pPr>
        <w:shd w:val="clear" w:color="auto" w:fill="FFFFFF"/>
        <w:wordWrap w:val="0"/>
        <w:spacing w:line="440" w:lineRule="atLeast"/>
        <w:ind w:firstLine="480" w:firstLineChars="200"/>
        <w:jc w:val="right"/>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lang w:val="zh-TW" w:eastAsia="zh-TW"/>
        </w:rPr>
        <w:t>专业技术评审人员签名</w:t>
      </w:r>
      <w:r>
        <w:rPr>
          <w:rFonts w:hint="eastAsia" w:ascii="宋体" w:hAnsi="宋体" w:eastAsia="宋体" w:cs="宋体"/>
          <w:color w:val="000000"/>
          <w:kern w:val="0"/>
          <w:sz w:val="24"/>
          <w:shd w:val="clear" w:color="auto" w:fill="FFFFFF"/>
        </w:rPr>
        <w:t xml:space="preserve">                    </w:t>
      </w:r>
    </w:p>
    <w:p w14:paraId="49894DC4">
      <w:pPr>
        <w:shd w:val="clear" w:color="auto" w:fill="FFFFFF"/>
        <w:spacing w:line="440" w:lineRule="atLeast"/>
        <w:ind w:firstLine="480" w:firstLineChars="200"/>
        <w:jc w:val="right"/>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年</w:t>
      </w:r>
      <w:r>
        <w:rPr>
          <w:rFonts w:hint="eastAsia" w:ascii="宋体" w:hAnsi="宋体" w:eastAsia="宋体" w:cs="宋体"/>
          <w:color w:val="000000"/>
          <w:kern w:val="0"/>
          <w:sz w:val="24"/>
          <w:shd w:val="clear" w:color="auto" w:fill="FFFFFF"/>
          <w:lang w:val="zh-TW"/>
        </w:rPr>
        <w:t>　　　</w:t>
      </w:r>
      <w:r>
        <w:rPr>
          <w:rFonts w:hint="eastAsia" w:ascii="宋体" w:hAnsi="宋体" w:eastAsia="宋体" w:cs="宋体"/>
          <w:color w:val="000000"/>
          <w:kern w:val="0"/>
          <w:sz w:val="24"/>
          <w:shd w:val="clear" w:color="auto" w:fill="FFFFFF"/>
          <w:lang w:val="zh-TW" w:eastAsia="zh-TW"/>
        </w:rPr>
        <w:t>月</w:t>
      </w:r>
      <w:r>
        <w:rPr>
          <w:rFonts w:hint="eastAsia" w:ascii="宋体" w:hAnsi="宋体" w:eastAsia="宋体" w:cs="宋体"/>
          <w:color w:val="000000"/>
          <w:kern w:val="0"/>
          <w:sz w:val="24"/>
          <w:shd w:val="clear" w:color="auto" w:fill="FFFFFF"/>
          <w:lang w:val="zh-TW"/>
        </w:rPr>
        <w:t>　　　</w:t>
      </w:r>
      <w:r>
        <w:rPr>
          <w:rFonts w:hint="eastAsia" w:ascii="宋体" w:hAnsi="宋体" w:eastAsia="宋体" w:cs="宋体"/>
          <w:color w:val="000000"/>
          <w:kern w:val="0"/>
          <w:sz w:val="24"/>
          <w:shd w:val="clear" w:color="auto" w:fill="FFFFFF"/>
          <w:lang w:val="zh-TW" w:eastAsia="zh-TW"/>
        </w:rPr>
        <w:t>日</w:t>
      </w:r>
      <w:r>
        <w:rPr>
          <w:rFonts w:hint="eastAsia" w:ascii="宋体" w:hAnsi="宋体" w:eastAsia="宋体" w:cs="宋体"/>
          <w:color w:val="000000"/>
          <w:kern w:val="0"/>
          <w:sz w:val="24"/>
          <w:shd w:val="clear" w:color="auto" w:fill="FFFFFF"/>
          <w:lang w:val="zh-TW" w:eastAsia="zh-TW"/>
        </w:rPr>
        <w:tab/>
      </w:r>
    </w:p>
    <w:p w14:paraId="65033966">
      <w:pPr>
        <w:spacing w:line="440" w:lineRule="atLeast"/>
        <w:rPr>
          <w:rFonts w:cs="华文中宋" w:asciiTheme="majorEastAsia" w:hAnsiTheme="majorEastAsia" w:eastAsiaTheme="majorEastAsia"/>
          <w:bCs/>
          <w:sz w:val="30"/>
          <w:szCs w:val="30"/>
          <w:lang w:val="zh-TW"/>
        </w:rPr>
      </w:pPr>
      <w:r>
        <w:rPr>
          <w:rFonts w:hint="eastAsia" w:ascii="宋体" w:hAnsi="宋体" w:eastAsia="宋体" w:cs="宋体"/>
          <w:color w:val="000000"/>
          <w:kern w:val="0"/>
          <w:sz w:val="24"/>
        </w:rPr>
        <w:br w:type="page"/>
      </w:r>
      <w:bookmarkStart w:id="83" w:name="_Hlk22556483"/>
    </w:p>
    <w:p w14:paraId="599F1BC4">
      <w:pPr>
        <w:pStyle w:val="5"/>
        <w:spacing w:line="440" w:lineRule="atLeast"/>
        <w:jc w:val="center"/>
        <w:rPr>
          <w:rFonts w:ascii="宋体" w:hAnsi="宋体" w:eastAsia="宋体" w:cs="宋体"/>
          <w:lang w:val="zh-TW" w:eastAsia="zh-TW"/>
        </w:rPr>
      </w:pPr>
      <w:bookmarkStart w:id="84" w:name="_Toc24515"/>
      <w:r>
        <w:rPr>
          <w:rFonts w:hint="eastAsia" w:ascii="宋体" w:hAnsi="宋体" w:eastAsia="宋体" w:cs="宋体"/>
          <w:lang w:val="zh-TW" w:eastAsia="zh-TW"/>
        </w:rPr>
        <w:t>人民法院委托资产评估</w:t>
      </w:r>
      <w:bookmarkEnd w:id="83"/>
      <w:bookmarkStart w:id="85" w:name="_Hlk22629888"/>
      <w:r>
        <w:rPr>
          <w:rFonts w:hint="eastAsia" w:ascii="宋体" w:hAnsi="宋体" w:eastAsia="宋体" w:cs="宋体"/>
          <w:lang w:val="zh-TW" w:eastAsia="zh-TW"/>
        </w:rPr>
        <w:t>专业技术评审人员库</w:t>
      </w:r>
      <w:bookmarkEnd w:id="85"/>
      <w:r>
        <w:rPr>
          <w:rFonts w:hint="eastAsia" w:ascii="宋体" w:hAnsi="宋体" w:eastAsia="宋体" w:cs="宋体"/>
          <w:lang w:val="zh-TW" w:eastAsia="zh-TW"/>
        </w:rPr>
        <w:t>管理办法（试行）</w:t>
      </w:r>
      <w:bookmarkEnd w:id="84"/>
    </w:p>
    <w:p w14:paraId="0CE7C1EB">
      <w:pPr>
        <w:shd w:val="clear" w:color="auto" w:fill="FFFFFF"/>
        <w:spacing w:line="440" w:lineRule="atLeast"/>
        <w:jc w:val="center"/>
        <w:rPr>
          <w:rFonts w:ascii="宋体" w:hAnsi="宋体" w:eastAsia="宋体" w:cs="宋体"/>
          <w:color w:val="000000"/>
          <w:kern w:val="0"/>
          <w:sz w:val="24"/>
          <w:shd w:val="clear" w:color="auto" w:fill="FFFFFF"/>
          <w:lang w:val="zh-TW"/>
        </w:rPr>
      </w:pPr>
      <w:r>
        <w:rPr>
          <w:rFonts w:hint="eastAsia" w:ascii="宋体" w:hAnsi="宋体" w:eastAsia="宋体" w:cs="宋体"/>
          <w:color w:val="000000"/>
          <w:kern w:val="0"/>
          <w:sz w:val="24"/>
          <w:shd w:val="clear" w:color="auto" w:fill="FFFFFF"/>
        </w:rPr>
        <w:t>2019年12月24日中国资产评估协会发布　中评协办〔2019〕98号</w:t>
      </w:r>
    </w:p>
    <w:p w14:paraId="56BE1A4E">
      <w:pPr>
        <w:shd w:val="clear" w:color="auto" w:fill="FFFFFF"/>
        <w:spacing w:line="440" w:lineRule="atLeast"/>
        <w:ind w:firstLine="482"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b/>
          <w:color w:val="000000"/>
          <w:kern w:val="0"/>
          <w:sz w:val="24"/>
          <w:shd w:val="clear" w:color="auto" w:fill="FFFFFF"/>
          <w:lang w:val="zh-TW"/>
        </w:rPr>
        <w:t>第一条</w:t>
      </w:r>
      <w:r>
        <w:rPr>
          <w:rFonts w:hint="eastAsia" w:ascii="宋体" w:hAnsi="宋体" w:eastAsia="宋体" w:cs="宋体"/>
          <w:color w:val="000000"/>
          <w:kern w:val="0"/>
          <w:sz w:val="24"/>
          <w:shd w:val="clear" w:color="auto" w:fill="FFFFFF"/>
          <w:lang w:val="zh-TW"/>
        </w:rPr>
        <w:t>　</w:t>
      </w:r>
      <w:r>
        <w:rPr>
          <w:rFonts w:hint="eastAsia" w:ascii="宋体" w:hAnsi="宋体" w:eastAsia="宋体" w:cs="宋体"/>
          <w:color w:val="000000"/>
          <w:kern w:val="0"/>
          <w:sz w:val="24"/>
          <w:shd w:val="clear" w:color="auto" w:fill="FFFFFF"/>
          <w:lang w:val="zh-TW" w:eastAsia="zh-TW"/>
        </w:rPr>
        <w:t>为规范各省、自治区、直辖市资产评估协会（有关注册会计师协会）（以下简称地方协会）对人民法院委托资产评估中专业技术评审人员库及专业技术评审人员的管理，维护当事人、利害关系人的合法权益，根据《最高人民法院关于人民法院确定财产处置参考价若干问题的规定》《人民法院委托评估专业技术评审工作规范》《人民法院委托资产评估专业技术评审工作实施细则》等有关规定，制定本办法。</w:t>
      </w:r>
    </w:p>
    <w:p w14:paraId="4E0ABC82">
      <w:pPr>
        <w:shd w:val="clear" w:color="auto" w:fill="FFFFFF"/>
        <w:spacing w:line="440" w:lineRule="atLeast"/>
        <w:ind w:firstLine="482"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b/>
          <w:color w:val="000000"/>
          <w:kern w:val="0"/>
          <w:sz w:val="24"/>
          <w:shd w:val="clear" w:color="auto" w:fill="FFFFFF"/>
          <w:lang w:val="zh-TW"/>
        </w:rPr>
        <w:t>第二条</w:t>
      </w:r>
      <w:r>
        <w:rPr>
          <w:rFonts w:hint="eastAsia" w:ascii="宋体" w:hAnsi="宋体" w:eastAsia="宋体" w:cs="宋体"/>
          <w:color w:val="000000"/>
          <w:kern w:val="0"/>
          <w:sz w:val="24"/>
          <w:shd w:val="clear" w:color="auto" w:fill="FFFFFF"/>
          <w:lang w:val="zh-TW"/>
        </w:rPr>
        <w:t>　</w:t>
      </w:r>
      <w:r>
        <w:rPr>
          <w:rFonts w:hint="eastAsia" w:ascii="宋体" w:hAnsi="宋体" w:eastAsia="宋体" w:cs="宋体"/>
          <w:color w:val="000000"/>
          <w:kern w:val="0"/>
          <w:sz w:val="24"/>
          <w:shd w:val="clear" w:color="auto" w:fill="FFFFFF"/>
          <w:lang w:val="zh-TW" w:eastAsia="zh-TW"/>
        </w:rPr>
        <w:t>本办法所称专业技术评审人员库，是指地方协会为接受人民法院委托，对确定财产处置参考价资产评估中的专业技术进行评审而建立的人员库。</w:t>
      </w:r>
    </w:p>
    <w:p w14:paraId="55E27933">
      <w:pPr>
        <w:shd w:val="clear" w:color="auto" w:fill="FFFFFF"/>
        <w:spacing w:line="440" w:lineRule="atLeast"/>
        <w:ind w:firstLine="482"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b/>
          <w:color w:val="000000"/>
          <w:kern w:val="0"/>
          <w:sz w:val="24"/>
          <w:shd w:val="clear" w:color="auto" w:fill="FFFFFF"/>
          <w:lang w:val="zh-TW"/>
        </w:rPr>
        <w:t>第三条</w:t>
      </w:r>
      <w:r>
        <w:rPr>
          <w:rFonts w:hint="eastAsia" w:ascii="宋体" w:hAnsi="宋体" w:eastAsia="宋体" w:cs="宋体"/>
          <w:color w:val="000000"/>
          <w:kern w:val="0"/>
          <w:sz w:val="24"/>
          <w:shd w:val="clear" w:color="auto" w:fill="FFFFFF"/>
          <w:lang w:val="zh-TW"/>
        </w:rPr>
        <w:t>　</w:t>
      </w:r>
      <w:r>
        <w:rPr>
          <w:rFonts w:hint="eastAsia" w:ascii="宋体" w:hAnsi="宋体" w:eastAsia="宋体" w:cs="宋体"/>
          <w:color w:val="000000"/>
          <w:kern w:val="0"/>
          <w:sz w:val="24"/>
          <w:shd w:val="clear" w:color="auto" w:fill="FFFFFF"/>
          <w:lang w:val="zh-TW" w:eastAsia="zh-TW"/>
        </w:rPr>
        <w:t>地方协会应当建立本级专业技术评审人员名单库，并向社会公开。</w:t>
      </w:r>
    </w:p>
    <w:p w14:paraId="44857A45">
      <w:pPr>
        <w:shd w:val="clear" w:color="auto" w:fill="FFFFFF"/>
        <w:spacing w:line="440" w:lineRule="atLeast"/>
        <w:ind w:firstLine="482"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b/>
          <w:color w:val="000000"/>
          <w:kern w:val="0"/>
          <w:sz w:val="24"/>
          <w:shd w:val="clear" w:color="auto" w:fill="FFFFFF"/>
          <w:lang w:val="zh-TW"/>
        </w:rPr>
        <w:t>第四条</w:t>
      </w:r>
      <w:r>
        <w:rPr>
          <w:rFonts w:hint="eastAsia" w:ascii="宋体" w:hAnsi="宋体" w:eastAsia="宋体" w:cs="宋体"/>
          <w:color w:val="000000"/>
          <w:kern w:val="0"/>
          <w:sz w:val="24"/>
          <w:shd w:val="clear" w:color="auto" w:fill="FFFFFF"/>
          <w:lang w:val="zh-TW"/>
        </w:rPr>
        <w:t>　</w:t>
      </w:r>
      <w:r>
        <w:rPr>
          <w:rFonts w:hint="eastAsia" w:ascii="宋体" w:hAnsi="宋体" w:eastAsia="宋体" w:cs="宋体"/>
          <w:color w:val="000000"/>
          <w:kern w:val="0"/>
          <w:sz w:val="24"/>
          <w:shd w:val="clear" w:color="auto" w:fill="FFFFFF"/>
          <w:lang w:val="zh-TW" w:eastAsia="zh-TW"/>
        </w:rPr>
        <w:t>地方协会应当根据本办法的规定开展专业技术评审人员的入库和除名工作。</w:t>
      </w:r>
    </w:p>
    <w:p w14:paraId="7377E485">
      <w:pPr>
        <w:shd w:val="clear" w:color="auto" w:fill="FFFFFF"/>
        <w:spacing w:line="440" w:lineRule="atLeast"/>
        <w:ind w:firstLine="482" w:firstLineChars="200"/>
        <w:rPr>
          <w:rFonts w:ascii="宋体" w:hAnsi="宋体" w:eastAsia="宋体" w:cs="宋体"/>
          <w:color w:val="000000"/>
          <w:kern w:val="0"/>
          <w:sz w:val="24"/>
          <w:shd w:val="clear" w:color="auto" w:fill="FFFFFF"/>
          <w:lang w:val="zh-TW"/>
        </w:rPr>
      </w:pPr>
      <w:r>
        <w:rPr>
          <w:rFonts w:hint="eastAsia" w:ascii="宋体" w:hAnsi="宋体" w:eastAsia="宋体" w:cs="宋体"/>
          <w:b/>
          <w:color w:val="000000"/>
          <w:kern w:val="0"/>
          <w:sz w:val="24"/>
          <w:shd w:val="clear" w:color="auto" w:fill="FFFFFF"/>
          <w:lang w:val="zh-TW"/>
        </w:rPr>
        <w:t>第五条</w:t>
      </w:r>
      <w:r>
        <w:rPr>
          <w:rFonts w:hint="eastAsia" w:ascii="宋体" w:hAnsi="宋体" w:eastAsia="宋体" w:cs="宋体"/>
          <w:color w:val="000000"/>
          <w:kern w:val="0"/>
          <w:sz w:val="24"/>
          <w:shd w:val="clear" w:color="auto" w:fill="FFFFFF"/>
          <w:lang w:val="zh-TW"/>
        </w:rPr>
        <w:t>　</w:t>
      </w:r>
      <w:r>
        <w:rPr>
          <w:rFonts w:hint="eastAsia" w:ascii="宋体" w:hAnsi="宋体" w:eastAsia="宋体" w:cs="宋体"/>
          <w:color w:val="000000"/>
          <w:kern w:val="0"/>
          <w:sz w:val="24"/>
          <w:shd w:val="clear" w:color="auto" w:fill="FFFFFF"/>
          <w:lang w:val="zh-TW" w:eastAsia="zh-TW"/>
        </w:rPr>
        <w:t>本地区具备以下条件的资产评估专业人员或行业专家可以向地方协会提出入库申请，由地方协会择优选入专业技术评审人员库：</w:t>
      </w:r>
      <w:r>
        <w:rPr>
          <w:rFonts w:hint="eastAsia" w:ascii="宋体" w:hAnsi="宋体" w:eastAsia="宋体" w:cs="宋体"/>
          <w:color w:val="000000"/>
          <w:kern w:val="0"/>
          <w:sz w:val="24"/>
          <w:shd w:val="clear" w:color="auto" w:fill="FFFFFF"/>
          <w:lang w:val="zh-TW"/>
        </w:rPr>
        <w:t>　</w:t>
      </w:r>
    </w:p>
    <w:p w14:paraId="2123AE74">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（一）资产评估专业人员应当具备资产评估师执业资格，具有较高的执业水平和创新能力，所负责的评估业务均未被相关监管部门和资产管理机构发现重大问题；</w:t>
      </w:r>
    </w:p>
    <w:p w14:paraId="1E93D13B">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（二）行业专家应当在经济社会领域有较高声望，具备较大的行业影响力，在本行业的管理、研究领域有较高造诣；</w:t>
      </w:r>
    </w:p>
    <w:p w14:paraId="60532295">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（三）具有良好的社会声誉和职业道德；</w:t>
      </w:r>
    </w:p>
    <w:p w14:paraId="2170E429">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（四）遵纪守法、诚实守信，无不良记录；</w:t>
      </w:r>
    </w:p>
    <w:p w14:paraId="1D1C2061">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（五）专业委员会的委员、行业自律检查人员、首席评估师、质控负责人优先。</w:t>
      </w:r>
    </w:p>
    <w:p w14:paraId="6C29A89C">
      <w:pPr>
        <w:shd w:val="clear" w:color="auto" w:fill="FFFFFF"/>
        <w:spacing w:line="440" w:lineRule="atLeast"/>
        <w:ind w:firstLine="482"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b/>
          <w:color w:val="000000"/>
          <w:kern w:val="0"/>
          <w:sz w:val="24"/>
          <w:shd w:val="clear" w:color="auto" w:fill="FFFFFF"/>
          <w:lang w:val="zh-TW"/>
        </w:rPr>
        <w:t>第六条</w:t>
      </w:r>
      <w:r>
        <w:rPr>
          <w:rFonts w:hint="eastAsia" w:ascii="宋体" w:hAnsi="宋体" w:eastAsia="宋体" w:cs="宋体"/>
          <w:color w:val="000000"/>
          <w:kern w:val="0"/>
          <w:sz w:val="24"/>
          <w:shd w:val="clear" w:color="auto" w:fill="FFFFFF"/>
          <w:lang w:val="zh-TW"/>
        </w:rPr>
        <w:t>　</w:t>
      </w:r>
      <w:r>
        <w:rPr>
          <w:rFonts w:hint="eastAsia" w:ascii="宋体" w:hAnsi="宋体" w:eastAsia="宋体" w:cs="宋体"/>
          <w:color w:val="000000"/>
          <w:kern w:val="0"/>
          <w:sz w:val="24"/>
          <w:shd w:val="clear" w:color="auto" w:fill="FFFFFF"/>
          <w:lang w:val="zh-TW" w:eastAsia="zh-TW"/>
        </w:rPr>
        <w:t>具有下列情形之一的，不得入选专业技术评审人员库：</w:t>
      </w:r>
    </w:p>
    <w:p w14:paraId="6059B8C5">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（一）评估专业人员连续执业不满五年的；</w:t>
      </w:r>
    </w:p>
    <w:p w14:paraId="3C3AA2BE">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（二）行业专家不具备高级职称或从事本行业管理、研究工作不满十年的；</w:t>
      </w:r>
    </w:p>
    <w:p w14:paraId="591DD34C">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（三）曾因违反《中华人民共和国资产评估法》等法律法规被相关行政管理部门予以警告、责令停止从业、没收违法所得，或构成犯罪，被依法追究刑事责任的；</w:t>
      </w:r>
    </w:p>
    <w:p w14:paraId="748E87F2">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（四）曾被判处过刑罚的；</w:t>
      </w:r>
    </w:p>
    <w:p w14:paraId="3E38DF5A">
      <w:pPr>
        <w:shd w:val="clear" w:color="auto" w:fill="FFFFFF"/>
        <w:spacing w:line="440" w:lineRule="atLeast"/>
        <w:jc w:val="center"/>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（五）近五年曾因违反所属行业协会自律管理规定，受到过自律惩戒的；</w:t>
      </w:r>
    </w:p>
    <w:p w14:paraId="24950B71">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（六）曾被人民法院依法纳入失信被执行人名单的。</w:t>
      </w:r>
    </w:p>
    <w:p w14:paraId="658957B9">
      <w:pPr>
        <w:shd w:val="clear" w:color="auto" w:fill="FFFFFF"/>
        <w:spacing w:line="440" w:lineRule="atLeast"/>
        <w:ind w:firstLine="482"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b/>
          <w:color w:val="000000"/>
          <w:kern w:val="0"/>
          <w:sz w:val="24"/>
          <w:shd w:val="clear" w:color="auto" w:fill="FFFFFF"/>
          <w:lang w:val="zh-TW"/>
        </w:rPr>
        <w:t>第七条</w:t>
      </w:r>
      <w:r>
        <w:rPr>
          <w:rFonts w:hint="eastAsia" w:ascii="宋体" w:hAnsi="宋体" w:eastAsia="宋体" w:cs="宋体"/>
          <w:color w:val="000000"/>
          <w:kern w:val="0"/>
          <w:sz w:val="24"/>
          <w:shd w:val="clear" w:color="auto" w:fill="FFFFFF"/>
          <w:lang w:val="zh-TW"/>
        </w:rPr>
        <w:t>　</w:t>
      </w:r>
      <w:r>
        <w:rPr>
          <w:rFonts w:hint="eastAsia" w:ascii="宋体" w:hAnsi="宋体" w:eastAsia="宋体" w:cs="宋体"/>
          <w:color w:val="000000"/>
          <w:kern w:val="0"/>
          <w:sz w:val="24"/>
          <w:shd w:val="clear" w:color="auto" w:fill="FFFFFF"/>
          <w:lang w:val="zh-TW" w:eastAsia="zh-TW"/>
        </w:rPr>
        <w:t>专业技术评审人员有下列情形之一的，应当从专业技术评审人员名单库中除名，且五年内不得再次入库：</w:t>
      </w:r>
    </w:p>
    <w:p w14:paraId="1D506B5D">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（一）专业技术评审期间就评审事项与当事人、利害关系人、出具评估报告的评估机构或参加评估的人员不正当接触的；</w:t>
      </w:r>
    </w:p>
    <w:p w14:paraId="038E22A3">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（二）泄露专业技术评审意见及专业技术评审工作情况的；</w:t>
      </w:r>
    </w:p>
    <w:p w14:paraId="0FB4F4C8">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（三）利用评审事项谋取私利或为他人谋取利益的；</w:t>
      </w:r>
    </w:p>
    <w:p w14:paraId="38B252D8">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（四）串通表决或诱导表决的；</w:t>
      </w:r>
    </w:p>
    <w:p w14:paraId="6F3FACF1">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（五）应当回避而未主动申请回避的；</w:t>
      </w:r>
    </w:p>
    <w:p w14:paraId="6793F8D9">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（六）违反资产评估行业自律管理规定，受到自律惩戒的。</w:t>
      </w:r>
    </w:p>
    <w:p w14:paraId="71C68F91">
      <w:pPr>
        <w:shd w:val="clear" w:color="auto" w:fill="FFFFFF"/>
        <w:spacing w:line="440" w:lineRule="atLeast"/>
        <w:ind w:firstLine="482"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b/>
          <w:color w:val="000000"/>
          <w:kern w:val="0"/>
          <w:sz w:val="24"/>
          <w:shd w:val="clear" w:color="auto" w:fill="FFFFFF"/>
          <w:lang w:val="zh-TW"/>
        </w:rPr>
        <w:t>第八条</w:t>
      </w:r>
      <w:r>
        <w:rPr>
          <w:rFonts w:hint="eastAsia" w:ascii="宋体" w:hAnsi="宋体" w:eastAsia="宋体" w:cs="宋体"/>
          <w:color w:val="000000"/>
          <w:kern w:val="0"/>
          <w:sz w:val="24"/>
          <w:shd w:val="clear" w:color="auto" w:fill="FFFFFF"/>
          <w:lang w:val="zh-TW"/>
        </w:rPr>
        <w:t>　</w:t>
      </w:r>
      <w:r>
        <w:rPr>
          <w:rFonts w:hint="eastAsia" w:ascii="宋体" w:hAnsi="宋体" w:eastAsia="宋体" w:cs="宋体"/>
          <w:color w:val="000000"/>
          <w:kern w:val="0"/>
          <w:sz w:val="24"/>
          <w:shd w:val="clear" w:color="auto" w:fill="FFFFFF"/>
          <w:lang w:val="zh-TW" w:eastAsia="zh-TW"/>
        </w:rPr>
        <w:t>专业技术评审人员有下列情形之一的，应当从专业技术评审人员名单库中除名，且不得再次入库：</w:t>
      </w:r>
    </w:p>
    <w:p w14:paraId="3276DC7D">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（一）因违反《中华人民共和国资产评估法》等法律法规被相关行政管理部门予以警告、责令停止从业、没收违法所得，或构成犯罪，被依法追究刑事责任的；</w:t>
      </w:r>
    </w:p>
    <w:p w14:paraId="2A06C537">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（二）被判处刑罚的；</w:t>
      </w:r>
    </w:p>
    <w:p w14:paraId="238D8087">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（三）被人民法院依法纳入失信被执行人名单的。</w:t>
      </w:r>
    </w:p>
    <w:p w14:paraId="59261621">
      <w:pPr>
        <w:shd w:val="clear" w:color="auto" w:fill="FFFFFF"/>
        <w:spacing w:line="440" w:lineRule="atLeast"/>
        <w:ind w:firstLine="482"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b/>
          <w:color w:val="000000"/>
          <w:kern w:val="0"/>
          <w:sz w:val="24"/>
          <w:shd w:val="clear" w:color="auto" w:fill="FFFFFF"/>
          <w:lang w:val="zh-TW"/>
        </w:rPr>
        <w:t>第九条</w:t>
      </w:r>
      <w:r>
        <w:rPr>
          <w:rFonts w:hint="eastAsia" w:ascii="宋体" w:hAnsi="宋体" w:eastAsia="宋体" w:cs="宋体"/>
          <w:color w:val="000000"/>
          <w:kern w:val="0"/>
          <w:sz w:val="24"/>
          <w:shd w:val="clear" w:color="auto" w:fill="FFFFFF"/>
          <w:lang w:val="zh-TW"/>
        </w:rPr>
        <w:t>　</w:t>
      </w:r>
      <w:r>
        <w:rPr>
          <w:rFonts w:hint="eastAsia" w:ascii="宋体" w:hAnsi="宋体" w:eastAsia="宋体" w:cs="宋体"/>
          <w:color w:val="000000"/>
          <w:kern w:val="0"/>
          <w:sz w:val="24"/>
          <w:shd w:val="clear" w:color="auto" w:fill="FFFFFF"/>
          <w:lang w:val="zh-TW" w:eastAsia="zh-TW"/>
        </w:rPr>
        <w:t>地方协会应当公开专业技术评审人员除名情况。</w:t>
      </w:r>
    </w:p>
    <w:p w14:paraId="23C2B84F">
      <w:pPr>
        <w:shd w:val="clear" w:color="auto" w:fill="FFFFFF"/>
        <w:spacing w:line="440" w:lineRule="atLeast"/>
        <w:ind w:firstLine="482"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b/>
          <w:color w:val="000000"/>
          <w:kern w:val="0"/>
          <w:sz w:val="24"/>
          <w:shd w:val="clear" w:color="auto" w:fill="FFFFFF"/>
          <w:lang w:val="zh-TW"/>
        </w:rPr>
        <w:t>第十条</w:t>
      </w:r>
      <w:r>
        <w:rPr>
          <w:rFonts w:hint="eastAsia" w:ascii="宋体" w:hAnsi="宋体" w:eastAsia="宋体" w:cs="宋体"/>
          <w:color w:val="000000"/>
          <w:kern w:val="0"/>
          <w:sz w:val="24"/>
          <w:shd w:val="clear" w:color="auto" w:fill="FFFFFF"/>
          <w:lang w:val="zh-TW"/>
        </w:rPr>
        <w:t>　</w:t>
      </w:r>
      <w:r>
        <w:rPr>
          <w:rFonts w:hint="eastAsia" w:ascii="宋体" w:hAnsi="宋体" w:eastAsia="宋体" w:cs="宋体"/>
          <w:color w:val="000000"/>
          <w:kern w:val="0"/>
          <w:sz w:val="24"/>
          <w:shd w:val="clear" w:color="auto" w:fill="FFFFFF"/>
          <w:lang w:val="zh-TW" w:eastAsia="zh-TW"/>
        </w:rPr>
        <w:t>入选专业技术评审人员名单库的评审人员应当诚实守信、勤勉尽责、谨慎从业，坚持独立、客观、公正的原则，根据地方协会的安排，执行人民法院委托资产评估中的专业技术评审工作。</w:t>
      </w:r>
    </w:p>
    <w:p w14:paraId="3EC5CB27">
      <w:pPr>
        <w:shd w:val="clear" w:color="auto" w:fill="FFFFFF"/>
        <w:spacing w:line="440" w:lineRule="atLeast"/>
        <w:ind w:firstLine="482"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b/>
          <w:color w:val="000000"/>
          <w:kern w:val="0"/>
          <w:sz w:val="24"/>
          <w:shd w:val="clear" w:color="auto" w:fill="FFFFFF"/>
          <w:lang w:val="zh-TW"/>
        </w:rPr>
        <w:t>第十一条</w:t>
      </w:r>
      <w:r>
        <w:rPr>
          <w:rFonts w:hint="eastAsia" w:ascii="宋体" w:hAnsi="宋体" w:eastAsia="宋体" w:cs="宋体"/>
          <w:color w:val="000000"/>
          <w:kern w:val="0"/>
          <w:sz w:val="24"/>
          <w:shd w:val="clear" w:color="auto" w:fill="FFFFFF"/>
          <w:lang w:val="zh-TW"/>
        </w:rPr>
        <w:t>　</w:t>
      </w:r>
      <w:r>
        <w:rPr>
          <w:rFonts w:hint="eastAsia" w:ascii="宋体" w:hAnsi="宋体" w:eastAsia="宋体" w:cs="宋体"/>
          <w:color w:val="000000"/>
          <w:kern w:val="0"/>
          <w:sz w:val="24"/>
          <w:shd w:val="clear" w:color="auto" w:fill="FFFFFF"/>
          <w:lang w:val="zh-TW" w:eastAsia="zh-TW"/>
        </w:rPr>
        <w:t>入选专业技术评审人员名单库的评审人员作为专家组成员，在执行人民法院委托资产评估专业技术评审期间，不得就评审事项与当事人、利害关系人、出具评估报告的评估机构或参加评估的人员有不正当接触。</w:t>
      </w:r>
    </w:p>
    <w:p w14:paraId="44F929D8">
      <w:pPr>
        <w:shd w:val="clear" w:color="auto" w:fill="FFFFFF"/>
        <w:spacing w:line="440" w:lineRule="atLeast"/>
        <w:ind w:firstLine="482"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b/>
          <w:color w:val="000000"/>
          <w:kern w:val="0"/>
          <w:sz w:val="24"/>
          <w:shd w:val="clear" w:color="auto" w:fill="FFFFFF"/>
          <w:lang w:val="zh-TW"/>
        </w:rPr>
        <w:t>第十二条</w:t>
      </w:r>
      <w:r>
        <w:rPr>
          <w:rFonts w:hint="eastAsia" w:ascii="宋体" w:hAnsi="宋体" w:eastAsia="宋体" w:cs="宋体"/>
          <w:color w:val="000000"/>
          <w:kern w:val="0"/>
          <w:sz w:val="24"/>
          <w:shd w:val="clear" w:color="auto" w:fill="FFFFFF"/>
          <w:lang w:val="zh-TW"/>
        </w:rPr>
        <w:t>　</w:t>
      </w:r>
      <w:r>
        <w:rPr>
          <w:rFonts w:hint="eastAsia" w:ascii="宋体" w:hAnsi="宋体" w:eastAsia="宋体" w:cs="宋体"/>
          <w:color w:val="000000"/>
          <w:kern w:val="0"/>
          <w:sz w:val="24"/>
          <w:shd w:val="clear" w:color="auto" w:fill="FFFFFF"/>
          <w:lang w:val="zh-TW" w:eastAsia="zh-TW"/>
        </w:rPr>
        <w:t>当事人、利害关系人提供证据证明专家组成员在专业技术评审期间就评审事项与当事人、利害关系人、出具评估报告的评估机构或参加评估的人员有不正当接触，地方协会应当按照人民法院的要求更换专家组成员重新进行专业技术评审，并将该人从专业技术评审人员名单库中除名。</w:t>
      </w:r>
    </w:p>
    <w:p w14:paraId="31A8B2D3">
      <w:pPr>
        <w:shd w:val="clear" w:color="auto" w:fill="FFFFFF"/>
        <w:spacing w:line="440" w:lineRule="atLeast"/>
        <w:ind w:firstLine="482"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b/>
          <w:color w:val="000000"/>
          <w:kern w:val="0"/>
          <w:sz w:val="24"/>
          <w:shd w:val="clear" w:color="auto" w:fill="FFFFFF"/>
          <w:lang w:val="zh-TW"/>
        </w:rPr>
        <w:t>第十三条</w:t>
      </w:r>
      <w:r>
        <w:rPr>
          <w:rFonts w:hint="eastAsia" w:ascii="宋体" w:hAnsi="宋体" w:eastAsia="宋体" w:cs="宋体"/>
          <w:color w:val="000000"/>
          <w:kern w:val="0"/>
          <w:sz w:val="24"/>
          <w:shd w:val="clear" w:color="auto" w:fill="FFFFFF"/>
          <w:lang w:val="zh-TW"/>
        </w:rPr>
        <w:t>　</w:t>
      </w:r>
      <w:r>
        <w:rPr>
          <w:rFonts w:hint="eastAsia" w:ascii="宋体" w:hAnsi="宋体" w:eastAsia="宋体" w:cs="宋体"/>
          <w:color w:val="000000"/>
          <w:kern w:val="0"/>
          <w:sz w:val="24"/>
          <w:shd w:val="clear" w:color="auto" w:fill="FFFFFF"/>
          <w:lang w:val="zh-TW" w:eastAsia="zh-TW"/>
        </w:rPr>
        <w:t>地方协会可以根据专业技术评审业务的需求，按照规定的程序增加新的资产评估专业人员或行业专家入选专业技术评审人员名单库，并报中评协备案。</w:t>
      </w:r>
    </w:p>
    <w:p w14:paraId="67D3E3F1">
      <w:pPr>
        <w:shd w:val="clear" w:color="auto" w:fill="FFFFFF"/>
        <w:spacing w:line="440" w:lineRule="atLeast"/>
        <w:ind w:firstLine="482"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b/>
          <w:color w:val="000000"/>
          <w:kern w:val="0"/>
          <w:sz w:val="24"/>
          <w:shd w:val="clear" w:color="auto" w:fill="FFFFFF"/>
          <w:lang w:val="zh-TW"/>
        </w:rPr>
        <w:t>第十四条</w:t>
      </w:r>
      <w:r>
        <w:rPr>
          <w:rFonts w:hint="eastAsia" w:ascii="宋体" w:hAnsi="宋体" w:eastAsia="宋体" w:cs="宋体"/>
          <w:color w:val="000000"/>
          <w:kern w:val="0"/>
          <w:sz w:val="24"/>
          <w:shd w:val="clear" w:color="auto" w:fill="FFFFFF"/>
          <w:lang w:val="zh-TW"/>
        </w:rPr>
        <w:t>　</w:t>
      </w:r>
      <w:r>
        <w:rPr>
          <w:rFonts w:hint="eastAsia" w:ascii="宋体" w:hAnsi="宋体" w:eastAsia="宋体" w:cs="宋体"/>
          <w:color w:val="000000"/>
          <w:kern w:val="0"/>
          <w:sz w:val="24"/>
          <w:shd w:val="clear" w:color="auto" w:fill="FFFFFF"/>
          <w:lang w:val="zh-TW" w:eastAsia="zh-TW"/>
        </w:rPr>
        <w:t>本办法的解释权归中国资产评估协会。</w:t>
      </w:r>
    </w:p>
    <w:p w14:paraId="6510AFCC">
      <w:pPr>
        <w:shd w:val="clear" w:color="auto" w:fill="FFFFFF"/>
        <w:spacing w:line="440" w:lineRule="atLeast"/>
        <w:ind w:firstLine="482"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b/>
          <w:color w:val="000000"/>
          <w:kern w:val="0"/>
          <w:sz w:val="24"/>
          <w:shd w:val="clear" w:color="auto" w:fill="FFFFFF"/>
          <w:lang w:val="zh-TW"/>
        </w:rPr>
        <w:t>第十五条</w:t>
      </w:r>
      <w:r>
        <w:rPr>
          <w:rFonts w:hint="eastAsia" w:ascii="宋体" w:hAnsi="宋体" w:eastAsia="宋体" w:cs="宋体"/>
          <w:color w:val="000000"/>
          <w:kern w:val="0"/>
          <w:sz w:val="24"/>
          <w:shd w:val="clear" w:color="auto" w:fill="FFFFFF"/>
          <w:lang w:val="zh-TW"/>
        </w:rPr>
        <w:t>　</w:t>
      </w:r>
      <w:r>
        <w:rPr>
          <w:rFonts w:hint="eastAsia" w:ascii="宋体" w:hAnsi="宋体" w:eastAsia="宋体" w:cs="宋体"/>
          <w:color w:val="000000"/>
          <w:kern w:val="0"/>
          <w:sz w:val="24"/>
          <w:shd w:val="clear" w:color="auto" w:fill="FFFFFF"/>
          <w:lang w:val="zh-TW" w:eastAsia="zh-TW"/>
        </w:rPr>
        <w:t>本办法自2019年12月24起施行。</w:t>
      </w:r>
    </w:p>
    <w:p w14:paraId="22E4A31F">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br w:type="page"/>
      </w:r>
    </w:p>
    <w:p w14:paraId="742A3A69">
      <w:pPr>
        <w:pStyle w:val="5"/>
        <w:spacing w:line="440" w:lineRule="atLeast"/>
        <w:jc w:val="center"/>
        <w:rPr>
          <w:rFonts w:ascii="宋体" w:hAnsi="宋体" w:eastAsia="宋体" w:cs="宋体"/>
        </w:rPr>
      </w:pPr>
      <w:bookmarkStart w:id="86" w:name="_Toc7957"/>
      <w:r>
        <w:rPr>
          <w:rFonts w:hint="eastAsia" w:ascii="宋体" w:hAnsi="宋体" w:eastAsia="宋体" w:cs="宋体"/>
        </w:rPr>
        <w:t>中国资产评估协会章程</w:t>
      </w:r>
      <w:bookmarkEnd w:id="86"/>
    </w:p>
    <w:p w14:paraId="0CD34E72">
      <w:pPr>
        <w:shd w:val="clear" w:color="auto" w:fill="FFFFFF"/>
        <w:spacing w:line="440" w:lineRule="atLeast"/>
        <w:jc w:val="center"/>
        <w:rPr>
          <w:rFonts w:ascii="宋体" w:hAnsi="宋体" w:eastAsia="宋体" w:cs="宋体"/>
          <w:color w:val="000000"/>
          <w:kern w:val="0"/>
          <w:sz w:val="24"/>
          <w:shd w:val="clear" w:color="auto" w:fill="FFFFFF"/>
        </w:rPr>
      </w:pPr>
      <w:bookmarkStart w:id="87" w:name="_Toc20112"/>
      <w:r>
        <w:rPr>
          <w:rFonts w:hint="eastAsia" w:ascii="宋体" w:hAnsi="宋体" w:eastAsia="宋体" w:cs="宋体"/>
          <w:color w:val="000000"/>
          <w:kern w:val="0"/>
          <w:sz w:val="24"/>
          <w:shd w:val="clear" w:color="auto" w:fill="FFFFFF"/>
        </w:rPr>
        <w:t>2016年12月31日中国资产评估协会发布　中评协〔2016〕51号</w:t>
      </w:r>
    </w:p>
    <w:bookmarkEnd w:id="87"/>
    <w:p w14:paraId="30039C8D">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第一章　总则</w:t>
      </w:r>
    </w:p>
    <w:p w14:paraId="4D942249">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第一条</w:t>
      </w:r>
      <w:r>
        <w:rPr>
          <w:rFonts w:hint="eastAsia" w:ascii="宋体" w:hAnsi="宋体" w:eastAsia="宋体" w:cs="宋体"/>
          <w:color w:val="000000"/>
          <w:kern w:val="0"/>
          <w:sz w:val="24"/>
          <w:shd w:val="clear" w:color="auto" w:fill="FFFFFF"/>
        </w:rPr>
        <w:t>　本团体的名称是：中国资产评估协会，英文名称：China Appraisal Society，缩写：CAS。</w:t>
      </w:r>
    </w:p>
    <w:p w14:paraId="3ED02B3F">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第二条</w:t>
      </w:r>
      <w:r>
        <w:rPr>
          <w:rFonts w:hint="eastAsia" w:ascii="宋体" w:hAnsi="宋体" w:eastAsia="宋体" w:cs="宋体"/>
          <w:color w:val="000000"/>
          <w:kern w:val="0"/>
          <w:sz w:val="24"/>
          <w:shd w:val="clear" w:color="auto" w:fill="FFFFFF"/>
        </w:rPr>
        <w:t>　本团体是资产评估机构和评估专业人员自愿结成的行业性的全国性的非营利性的社会组织。</w:t>
      </w:r>
    </w:p>
    <w:p w14:paraId="6E76588C">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第三条</w:t>
      </w:r>
      <w:r>
        <w:rPr>
          <w:rFonts w:hint="eastAsia" w:ascii="宋体" w:hAnsi="宋体" w:eastAsia="宋体" w:cs="宋体"/>
          <w:color w:val="000000"/>
          <w:kern w:val="0"/>
          <w:sz w:val="24"/>
          <w:shd w:val="clear" w:color="auto" w:fill="FFFFFF"/>
        </w:rPr>
        <w:t>　本团体的宗旨：遵守国家宪法、法律、法规和国家政策，遵守社会道德风尚，依法进行行业自律管理；服务会员、服务行业、服务国家经济社会发展，维护社会公共利益和会员合法权益；监督会员规范执业，提升行业服务能力和社会公信力，促进行业持续健康发展。</w:t>
      </w:r>
    </w:p>
    <w:p w14:paraId="01C24EEE">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第四条</w:t>
      </w:r>
      <w:r>
        <w:rPr>
          <w:rFonts w:hint="eastAsia" w:ascii="宋体" w:hAnsi="宋体" w:eastAsia="宋体" w:cs="宋体"/>
          <w:color w:val="000000"/>
          <w:kern w:val="0"/>
          <w:sz w:val="24"/>
          <w:shd w:val="clear" w:color="auto" w:fill="FFFFFF"/>
        </w:rPr>
        <w:t>　本团体接受登记管理机关中华人民共和国民政部和业务主管单位财政部的业务指导和监督管理。</w:t>
      </w:r>
    </w:p>
    <w:p w14:paraId="4E5D10D9">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第五条</w:t>
      </w:r>
      <w:r>
        <w:rPr>
          <w:rFonts w:hint="eastAsia" w:ascii="宋体" w:hAnsi="宋体" w:eastAsia="宋体" w:cs="宋体"/>
          <w:color w:val="000000"/>
          <w:kern w:val="0"/>
          <w:sz w:val="24"/>
          <w:shd w:val="clear" w:color="auto" w:fill="FFFFFF"/>
        </w:rPr>
        <w:t>　本团体的住所：北京市。</w:t>
      </w:r>
    </w:p>
    <w:p w14:paraId="10F350EA">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第二章　业务范围</w:t>
      </w:r>
    </w:p>
    <w:p w14:paraId="71A53674">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第六条</w:t>
      </w:r>
      <w:r>
        <w:rPr>
          <w:rFonts w:hint="eastAsia" w:ascii="宋体" w:hAnsi="宋体" w:eastAsia="宋体" w:cs="宋体"/>
          <w:color w:val="000000"/>
          <w:kern w:val="0"/>
          <w:sz w:val="24"/>
          <w:shd w:val="clear" w:color="auto" w:fill="FFFFFF"/>
        </w:rPr>
        <w:t>本团体的业务范围：</w:t>
      </w:r>
    </w:p>
    <w:p w14:paraId="78D0062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（一）经政府有关部门批准，制定行业发展目标和规划，并负责组织实施；</w:t>
      </w:r>
    </w:p>
    <w:p w14:paraId="4BC7BE0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（二）为会员从事资产评估等业务提供服务；</w:t>
      </w:r>
    </w:p>
    <w:p w14:paraId="6350E29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（三）组织开展相关政策理论研究、行业宣传，开展国际交流与合作等活动；</w:t>
      </w:r>
    </w:p>
    <w:p w14:paraId="68C3FB9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（四）开展行业党建工作；</w:t>
      </w:r>
    </w:p>
    <w:p w14:paraId="6B33DA9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（五）根据《中华人民共和国资产评估法》的规定，履行下列职责：</w:t>
      </w:r>
    </w:p>
    <w:p w14:paraId="37ADE97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1.制定会员自律管理办法，对会员实行自律管理；</w:t>
      </w:r>
    </w:p>
    <w:p w14:paraId="2899624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2.依据评估基本准则制定评估执业准则和职业道德准则；</w:t>
      </w:r>
    </w:p>
    <w:p w14:paraId="1FE5C37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3.组织开展会员继续教育；</w:t>
      </w:r>
    </w:p>
    <w:p w14:paraId="511C27A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4.建立会员信用档案，将会员遵守法律、行政法规和评估准则的情况记入信用档案，并向社会公开；</w:t>
      </w:r>
    </w:p>
    <w:p w14:paraId="4AF960D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5.检查会员建立风险防范机制的情况；</w:t>
      </w:r>
    </w:p>
    <w:p w14:paraId="40DAF97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6.受理对会员的投诉、举报，受理会员的申诉，调解会员执业纠纷；</w:t>
      </w:r>
    </w:p>
    <w:p w14:paraId="246B122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7.规范会员从业行为，定期对会员出具的评估报告进行检查，按照相关规定对会员给予奖惩，并将奖惩情况及时报告有关评估行政管理部门；</w:t>
      </w:r>
    </w:p>
    <w:p w14:paraId="33E3A37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8.保障会员依法开展业务，维护会员合法权益；</w:t>
      </w:r>
    </w:p>
    <w:p w14:paraId="57CA4D4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9.组织实施资产评估师职业资格全国统一考试。</w:t>
      </w:r>
    </w:p>
    <w:p w14:paraId="42FC7C5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（六）办理法律、法规规定和政府有关部门授权或委托的其他工作。</w:t>
      </w:r>
    </w:p>
    <w:p w14:paraId="106C313F">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第三章　会员</w:t>
      </w:r>
    </w:p>
    <w:p w14:paraId="6BE9E430">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第七条</w:t>
      </w:r>
      <w:r>
        <w:rPr>
          <w:rFonts w:hint="eastAsia" w:ascii="宋体" w:hAnsi="宋体" w:eastAsia="宋体" w:cs="宋体"/>
          <w:color w:val="000000"/>
          <w:kern w:val="0"/>
          <w:sz w:val="24"/>
          <w:shd w:val="clear" w:color="auto" w:fill="FFFFFF"/>
        </w:rPr>
        <w:t>本团体的会员种类：个人会员和单位会员。</w:t>
      </w:r>
    </w:p>
    <w:p w14:paraId="6F49609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个人会员分为执业会员（含评估师执业会员和非评估师执业会员）和非执业会员；单位会员分为评估机构会员（含特别机构会员）和非评估机构会员。</w:t>
      </w:r>
    </w:p>
    <w:p w14:paraId="085D8D1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会员分类及管理办法另行制定。</w:t>
      </w:r>
    </w:p>
    <w:p w14:paraId="38479D25">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第八条</w:t>
      </w:r>
      <w:r>
        <w:rPr>
          <w:rFonts w:hint="eastAsia" w:ascii="宋体" w:hAnsi="宋体" w:eastAsia="宋体" w:cs="宋体"/>
          <w:color w:val="000000"/>
          <w:kern w:val="0"/>
          <w:sz w:val="24"/>
          <w:shd w:val="clear" w:color="auto" w:fill="FFFFFF"/>
        </w:rPr>
        <w:t>申请加入本团体的会员，必须具备下列条件：</w:t>
      </w:r>
    </w:p>
    <w:p w14:paraId="025E1C4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（一）拥护本团体的章程；</w:t>
      </w:r>
    </w:p>
    <w:p w14:paraId="7004817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（二）有加入本团体的意愿；</w:t>
      </w:r>
    </w:p>
    <w:p w14:paraId="7876852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（三）在本团体的业务（行业、学科）领域内具有一定的影响。</w:t>
      </w:r>
    </w:p>
    <w:p w14:paraId="028DF8F6">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第九条</w:t>
      </w:r>
      <w:r>
        <w:rPr>
          <w:rFonts w:hint="eastAsia" w:ascii="宋体" w:hAnsi="宋体" w:eastAsia="宋体" w:cs="宋体"/>
          <w:color w:val="000000"/>
          <w:kern w:val="0"/>
          <w:sz w:val="24"/>
          <w:shd w:val="clear" w:color="auto" w:fill="FFFFFF"/>
        </w:rPr>
        <w:t>会员入会的程序是：</w:t>
      </w:r>
    </w:p>
    <w:p w14:paraId="6DB3DF7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（一）提交入会申请书及相关信息资料；</w:t>
      </w:r>
    </w:p>
    <w:p w14:paraId="5E1CC6C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（二）经理事会讨论通过；</w:t>
      </w:r>
    </w:p>
    <w:p w14:paraId="76FA3C0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（三）理事会闭会期间，由常务理事会讨论通过；</w:t>
      </w:r>
    </w:p>
    <w:p w14:paraId="009BA31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（四）由理事会或理事会授权的机构发给会员证。</w:t>
      </w:r>
    </w:p>
    <w:p w14:paraId="17916C62">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第十条</w:t>
      </w:r>
      <w:r>
        <w:rPr>
          <w:rFonts w:hint="eastAsia" w:ascii="宋体" w:hAnsi="宋体" w:eastAsia="宋体" w:cs="宋体"/>
          <w:color w:val="000000"/>
          <w:kern w:val="0"/>
          <w:sz w:val="24"/>
          <w:shd w:val="clear" w:color="auto" w:fill="FFFFFF"/>
        </w:rPr>
        <w:t>会员享有下列权利：</w:t>
      </w:r>
    </w:p>
    <w:p w14:paraId="5F3E2DF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（一）本团体的选举权、被选举权和表决权；</w:t>
      </w:r>
    </w:p>
    <w:p w14:paraId="0C01458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（二）参加本团体的活动；</w:t>
      </w:r>
    </w:p>
    <w:p w14:paraId="38F230D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（三）获得本团体服务的优先权；</w:t>
      </w:r>
    </w:p>
    <w:p w14:paraId="4CAE92F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（四）对本团体工作的批评建议权和监督权；</w:t>
      </w:r>
    </w:p>
    <w:p w14:paraId="3ABCF69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（五）入会自愿，退会自由。</w:t>
      </w:r>
    </w:p>
    <w:p w14:paraId="66717026">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第十一条</w:t>
      </w:r>
      <w:r>
        <w:rPr>
          <w:rFonts w:hint="eastAsia" w:ascii="宋体" w:hAnsi="宋体" w:eastAsia="宋体" w:cs="宋体"/>
          <w:color w:val="000000"/>
          <w:kern w:val="0"/>
          <w:sz w:val="24"/>
          <w:shd w:val="clear" w:color="auto" w:fill="FFFFFF"/>
        </w:rPr>
        <w:t>会员履行下列义务：</w:t>
      </w:r>
    </w:p>
    <w:p w14:paraId="17AD9A2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（一）执行本团体的决议；</w:t>
      </w:r>
    </w:p>
    <w:p w14:paraId="3538953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（二）维护本团体合法权益；</w:t>
      </w:r>
    </w:p>
    <w:p w14:paraId="1BDC105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（三）完成本团体交办的工作；</w:t>
      </w:r>
    </w:p>
    <w:p w14:paraId="0BB2AF8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（四）按规定交纳会费；</w:t>
      </w:r>
    </w:p>
    <w:p w14:paraId="3DD2E74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（五）向本团体反映情况，提供有关资料；</w:t>
      </w:r>
    </w:p>
    <w:p w14:paraId="66A1ED0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（六）遵守评估准则和相关行业规范；</w:t>
      </w:r>
    </w:p>
    <w:p w14:paraId="34A36C6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（七）根据《中华人民共和国资产评估法》的规定，评估专业人员应当完成规定的继续教育，保持和提高专业能力。</w:t>
      </w:r>
    </w:p>
    <w:p w14:paraId="6985C3A5">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第十二条</w:t>
      </w:r>
      <w:r>
        <w:rPr>
          <w:rFonts w:hint="eastAsia" w:ascii="宋体" w:hAnsi="宋体" w:eastAsia="宋体" w:cs="宋体"/>
          <w:color w:val="000000"/>
          <w:kern w:val="0"/>
          <w:sz w:val="24"/>
          <w:shd w:val="clear" w:color="auto" w:fill="FFFFFF"/>
        </w:rPr>
        <w:t>会员退会应书面通知本团体，并交回会员证。会员如果1年不交纳会费或不参加本团体活动的，视为自动退会。</w:t>
      </w:r>
    </w:p>
    <w:p w14:paraId="62593175">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第十三条</w:t>
      </w:r>
      <w:r>
        <w:rPr>
          <w:rFonts w:hint="eastAsia" w:ascii="宋体" w:hAnsi="宋体" w:eastAsia="宋体" w:cs="宋体"/>
          <w:color w:val="000000"/>
          <w:kern w:val="0"/>
          <w:sz w:val="24"/>
          <w:shd w:val="clear" w:color="auto" w:fill="FFFFFF"/>
        </w:rPr>
        <w:t>会员如有严重违反本章程的行为，经理事会或常务理事会表决通过，予以除名。</w:t>
      </w:r>
    </w:p>
    <w:p w14:paraId="67C9F030">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第四章　组织机构和负责人产生、罢免</w:t>
      </w:r>
    </w:p>
    <w:p w14:paraId="5FC5623F">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第十四条</w:t>
      </w:r>
      <w:r>
        <w:rPr>
          <w:rFonts w:hint="eastAsia" w:ascii="宋体" w:hAnsi="宋体" w:eastAsia="宋体" w:cs="宋体"/>
          <w:color w:val="000000"/>
          <w:kern w:val="0"/>
          <w:sz w:val="24"/>
          <w:shd w:val="clear" w:color="auto" w:fill="FFFFFF"/>
        </w:rPr>
        <w:t>本团体的最高权力机构是会员代表大会，会员代表大会的职权是：</w:t>
      </w:r>
    </w:p>
    <w:p w14:paraId="51DDA09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（一）制定和修改章程；</w:t>
      </w:r>
    </w:p>
    <w:p w14:paraId="19F18ED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（二）选举和罢免理事；</w:t>
      </w:r>
    </w:p>
    <w:p w14:paraId="37EDADA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（三）审议理事会的工作报告和财务报告；</w:t>
      </w:r>
    </w:p>
    <w:p w14:paraId="64320DE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（四）制定并修改会费标准；</w:t>
      </w:r>
    </w:p>
    <w:p w14:paraId="0218FDF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（五）决定终止事宜；</w:t>
      </w:r>
    </w:p>
    <w:p w14:paraId="35F3442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（六）决定其他重大事宜。</w:t>
      </w:r>
    </w:p>
    <w:p w14:paraId="2C46C70F">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第十五条</w:t>
      </w:r>
      <w:r>
        <w:rPr>
          <w:rFonts w:hint="eastAsia" w:ascii="宋体" w:hAnsi="宋体" w:eastAsia="宋体" w:cs="宋体"/>
          <w:color w:val="000000"/>
          <w:kern w:val="0"/>
          <w:sz w:val="24"/>
          <w:shd w:val="clear" w:color="auto" w:fill="FFFFFF"/>
        </w:rPr>
        <w:t>会员代表大会须有2/3以上会员代表出席方能召开，其决议须经到会会员代表半数以上表决通过方能生效。</w:t>
      </w:r>
    </w:p>
    <w:p w14:paraId="469E4A5A">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第十六条</w:t>
      </w:r>
      <w:r>
        <w:rPr>
          <w:rFonts w:hint="eastAsia" w:ascii="宋体" w:hAnsi="宋体" w:eastAsia="宋体" w:cs="宋体"/>
          <w:color w:val="000000"/>
          <w:kern w:val="0"/>
          <w:sz w:val="24"/>
          <w:shd w:val="clear" w:color="auto" w:fill="FFFFFF"/>
        </w:rPr>
        <w:t>会员代表大会每届5年。因特殊情况需提前或延期换届的，须由理事会表决通过，报业务主管单位审查并经社团登记管理机关批准同意。但延期换届最长不超过1年。</w:t>
      </w:r>
    </w:p>
    <w:p w14:paraId="2814F49C">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第十七条</w:t>
      </w:r>
      <w:r>
        <w:rPr>
          <w:rFonts w:hint="eastAsia" w:ascii="宋体" w:hAnsi="宋体" w:eastAsia="宋体" w:cs="宋体"/>
          <w:color w:val="000000"/>
          <w:kern w:val="0"/>
          <w:sz w:val="24"/>
          <w:shd w:val="clear" w:color="auto" w:fill="FFFFFF"/>
        </w:rPr>
        <w:t>理事会是会员代表大会的执行机构，在闭会期间领导本团体开展日常工作，对会员代表大会负责。</w:t>
      </w:r>
    </w:p>
    <w:p w14:paraId="70794C28">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第十八条</w:t>
      </w:r>
      <w:r>
        <w:rPr>
          <w:rFonts w:hint="eastAsia" w:ascii="宋体" w:hAnsi="宋体" w:eastAsia="宋体" w:cs="宋体"/>
          <w:color w:val="000000"/>
          <w:kern w:val="0"/>
          <w:sz w:val="24"/>
          <w:shd w:val="clear" w:color="auto" w:fill="FFFFFF"/>
        </w:rPr>
        <w:t>理事会的职权是：</w:t>
      </w:r>
    </w:p>
    <w:p w14:paraId="2EC51F2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（一）执行会员代表大会的决议；</w:t>
      </w:r>
    </w:p>
    <w:p w14:paraId="0141F6B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（二）选举和罢免会长、副会长、秘书长；选举和罢免常务理事；</w:t>
      </w:r>
    </w:p>
    <w:p w14:paraId="4DB14B9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（三）筹备召开会员代表大会；</w:t>
      </w:r>
    </w:p>
    <w:p w14:paraId="5C17C53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（四）向会员代表大会报告工作和财务状况；</w:t>
      </w:r>
    </w:p>
    <w:p w14:paraId="4A3BE0E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（五）决定会员的吸收或除名；</w:t>
      </w:r>
    </w:p>
    <w:p w14:paraId="4D1AFE3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（六）决定设立办事机构、分支机构、代表机构和实体机构；</w:t>
      </w:r>
    </w:p>
    <w:p w14:paraId="5A6EAE4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（七）决定副秘书长、各机构主要负责人的聘任；</w:t>
      </w:r>
    </w:p>
    <w:p w14:paraId="3305AAA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（八）领导本团体各机构开展工作；</w:t>
      </w:r>
    </w:p>
    <w:p w14:paraId="58262D4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（九）制定内部管理制度；</w:t>
      </w:r>
    </w:p>
    <w:p w14:paraId="1977AD3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（十）会员代表大会闭会期间，增补、罢免部分理事，人数不超过原理事的1/5；</w:t>
      </w:r>
    </w:p>
    <w:p w14:paraId="429AFF3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（十一）决定其他重大事项。</w:t>
      </w:r>
    </w:p>
    <w:p w14:paraId="37B07449">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第十九条</w:t>
      </w:r>
      <w:r>
        <w:rPr>
          <w:rFonts w:hint="eastAsia" w:ascii="宋体" w:hAnsi="宋体" w:eastAsia="宋体" w:cs="宋体"/>
          <w:color w:val="000000"/>
          <w:kern w:val="0"/>
          <w:sz w:val="24"/>
          <w:shd w:val="clear" w:color="auto" w:fill="FFFFFF"/>
        </w:rPr>
        <w:t>理事会须有2/3以上理事出席方能召开，其决议须经到会理事2/3以上表决通过方能生效。</w:t>
      </w:r>
    </w:p>
    <w:p w14:paraId="7012D585">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第二十条</w:t>
      </w:r>
      <w:r>
        <w:rPr>
          <w:rFonts w:hint="eastAsia" w:ascii="宋体" w:hAnsi="宋体" w:eastAsia="宋体" w:cs="宋体"/>
          <w:color w:val="000000"/>
          <w:kern w:val="0"/>
          <w:sz w:val="24"/>
          <w:shd w:val="clear" w:color="auto" w:fill="FFFFFF"/>
        </w:rPr>
        <w:t>理事会每年至少召开一次会议。情况特殊的，也可采用通讯形式召开。</w:t>
      </w:r>
    </w:p>
    <w:p w14:paraId="5A2F59A2">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第二十一条</w:t>
      </w:r>
      <w:r>
        <w:rPr>
          <w:rFonts w:hint="eastAsia" w:ascii="宋体" w:hAnsi="宋体" w:eastAsia="宋体" w:cs="宋体"/>
          <w:color w:val="000000"/>
          <w:kern w:val="0"/>
          <w:sz w:val="24"/>
          <w:shd w:val="clear" w:color="auto" w:fill="FFFFFF"/>
        </w:rPr>
        <w:t>本团体设立常务理事会。常务理事会由理事会选举产生，在理事会闭会期间行使第十八条第一、三、五、六、七、八、九项的职权，对理事会负责（常务理事人数不超过理事人数的1/3）。</w:t>
      </w:r>
    </w:p>
    <w:p w14:paraId="62AADD48">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第二十二条</w:t>
      </w:r>
      <w:r>
        <w:rPr>
          <w:rFonts w:hint="eastAsia" w:ascii="宋体" w:hAnsi="宋体" w:eastAsia="宋体" w:cs="宋体"/>
          <w:color w:val="000000"/>
          <w:kern w:val="0"/>
          <w:sz w:val="24"/>
          <w:shd w:val="clear" w:color="auto" w:fill="FFFFFF"/>
        </w:rPr>
        <w:t>常务理事会须有2/3以上常务理事出席方能召开，其决议须经到会常务理事2/3以上表决通过方能生效。</w:t>
      </w:r>
    </w:p>
    <w:p w14:paraId="70BF5521">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第二十三条</w:t>
      </w:r>
      <w:r>
        <w:rPr>
          <w:rFonts w:hint="eastAsia" w:ascii="宋体" w:hAnsi="宋体" w:eastAsia="宋体" w:cs="宋体"/>
          <w:color w:val="000000"/>
          <w:kern w:val="0"/>
          <w:sz w:val="24"/>
          <w:shd w:val="clear" w:color="auto" w:fill="FFFFFF"/>
        </w:rPr>
        <w:t>常务理事会至少半年召开一次会议。情况特殊的，也可采用通讯形式召开。</w:t>
      </w:r>
    </w:p>
    <w:p w14:paraId="66BCB828">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第二十四条</w:t>
      </w:r>
      <w:r>
        <w:rPr>
          <w:rFonts w:hint="eastAsia" w:ascii="宋体" w:hAnsi="宋体" w:eastAsia="宋体" w:cs="宋体"/>
          <w:color w:val="000000"/>
          <w:kern w:val="0"/>
          <w:sz w:val="24"/>
          <w:shd w:val="clear" w:color="auto" w:fill="FFFFFF"/>
        </w:rPr>
        <w:t>本团体的会长、副会长、秘书长必须具备下列条件：</w:t>
      </w:r>
    </w:p>
    <w:p w14:paraId="215475E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（一）坚持党的路线、方针、政策、政治素质好；</w:t>
      </w:r>
    </w:p>
    <w:p w14:paraId="38234C2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（二）在本团体业务领域内有较大影响；</w:t>
      </w:r>
    </w:p>
    <w:p w14:paraId="3E78A9A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（三）会长、副会长最高任职年龄不超过70周岁；</w:t>
      </w:r>
    </w:p>
    <w:p w14:paraId="4D184E2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（四）秘书长最高任职年龄不超过70周岁，秘书长为专职；</w:t>
      </w:r>
    </w:p>
    <w:p w14:paraId="2B32D18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（五）身体健康，能坚持正常工作；</w:t>
      </w:r>
    </w:p>
    <w:p w14:paraId="3CFF7B0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（六）未受过剥夺政治权利的刑事处罚；</w:t>
      </w:r>
    </w:p>
    <w:p w14:paraId="5A228C5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（七）具有完全民事行为能力。</w:t>
      </w:r>
    </w:p>
    <w:p w14:paraId="50A144F4">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第二十五条</w:t>
      </w:r>
      <w:r>
        <w:rPr>
          <w:rFonts w:hint="eastAsia" w:ascii="宋体" w:hAnsi="宋体" w:eastAsia="宋体" w:cs="宋体"/>
          <w:color w:val="000000"/>
          <w:kern w:val="0"/>
          <w:sz w:val="24"/>
          <w:shd w:val="clear" w:color="auto" w:fill="FFFFFF"/>
        </w:rPr>
        <w:t>本团体会长、副会长、秘书长如超过最高任职年龄的，须经理事会表决通过，报业务主管单位审查并经社团登记管理机关批准同意后，方可任职。</w:t>
      </w:r>
    </w:p>
    <w:p w14:paraId="0248BED7">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第二十六条</w:t>
      </w:r>
      <w:r>
        <w:rPr>
          <w:rFonts w:hint="eastAsia" w:ascii="宋体" w:hAnsi="宋体" w:eastAsia="宋体" w:cs="宋体"/>
          <w:color w:val="000000"/>
          <w:kern w:val="0"/>
          <w:sz w:val="24"/>
          <w:shd w:val="clear" w:color="auto" w:fill="FFFFFF"/>
        </w:rPr>
        <w:t>本团体会长、副会长、秘书长任期5年，最长不得超过两届。因特殊情况需延长任期的，须经会员代表大会2/3以上会员代表表决通过，报业务主管单位审查并经社团登记管理机关批准同意后方可任职。</w:t>
      </w:r>
    </w:p>
    <w:p w14:paraId="64E4F260">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第二十七条</w:t>
      </w:r>
      <w:r>
        <w:rPr>
          <w:rFonts w:hint="eastAsia" w:ascii="宋体" w:hAnsi="宋体" w:eastAsia="宋体" w:cs="宋体"/>
          <w:color w:val="000000"/>
          <w:kern w:val="0"/>
          <w:sz w:val="24"/>
          <w:shd w:val="clear" w:color="auto" w:fill="FFFFFF"/>
        </w:rPr>
        <w:t>本团体秘书长为本团体法定代表人，法定代表人代表本团体签署有关重要文件。本团体法定代表人不兼任其他团体的法定代表人。</w:t>
      </w:r>
    </w:p>
    <w:p w14:paraId="615FF178">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第二十八条</w:t>
      </w:r>
      <w:r>
        <w:rPr>
          <w:rFonts w:hint="eastAsia" w:ascii="宋体" w:hAnsi="宋体" w:eastAsia="宋体" w:cs="宋体"/>
          <w:color w:val="000000"/>
          <w:kern w:val="0"/>
          <w:sz w:val="24"/>
          <w:shd w:val="clear" w:color="auto" w:fill="FFFFFF"/>
        </w:rPr>
        <w:t>本团体会长行使下列职权：</w:t>
      </w:r>
    </w:p>
    <w:p w14:paraId="4B7E6D1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（一）召集和主持理事会、常务理事会；</w:t>
      </w:r>
    </w:p>
    <w:p w14:paraId="218A541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（二）检查会员代表大会、理事会、常务理事会决议的落实情况。</w:t>
      </w:r>
    </w:p>
    <w:p w14:paraId="2F909E34">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第二十九条</w:t>
      </w:r>
      <w:r>
        <w:rPr>
          <w:rFonts w:hint="eastAsia" w:ascii="宋体" w:hAnsi="宋体" w:eastAsia="宋体" w:cs="宋体"/>
          <w:color w:val="000000"/>
          <w:kern w:val="0"/>
          <w:sz w:val="24"/>
          <w:shd w:val="clear" w:color="auto" w:fill="FFFFFF"/>
        </w:rPr>
        <w:t>本团体秘书长行使下列职权：</w:t>
      </w:r>
    </w:p>
    <w:p w14:paraId="3934DB9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（一）主持办事机构开展日常工作，组织实施年度工作计划；</w:t>
      </w:r>
    </w:p>
    <w:p w14:paraId="07BFE08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（二）协调各分支机构、代表机构、实体机构开展工作；</w:t>
      </w:r>
    </w:p>
    <w:p w14:paraId="36C64EF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（三）提名副秘书长以及各办事机构、分支机构、代表机构和实体机构主要负责人，交理事会或常务理事会决定；</w:t>
      </w:r>
    </w:p>
    <w:p w14:paraId="198B6D6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（四）决定办事机构、代表机构、实体机构专职工作人员的聘用；</w:t>
      </w:r>
    </w:p>
    <w:p w14:paraId="33CEED2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（五）负责本团体资产、财务管理；</w:t>
      </w:r>
    </w:p>
    <w:p w14:paraId="26639D2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（六）处理其他日常事务。</w:t>
      </w:r>
    </w:p>
    <w:p w14:paraId="2248967F">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第五章　资产管理、使用原则</w:t>
      </w:r>
    </w:p>
    <w:p w14:paraId="3522E4E5">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第三十条</w:t>
      </w:r>
      <w:r>
        <w:rPr>
          <w:rFonts w:hint="eastAsia" w:ascii="宋体" w:hAnsi="宋体" w:eastAsia="宋体" w:cs="宋体"/>
          <w:color w:val="000000"/>
          <w:kern w:val="0"/>
          <w:sz w:val="24"/>
          <w:shd w:val="clear" w:color="auto" w:fill="FFFFFF"/>
        </w:rPr>
        <w:t>本团体经费来源：</w:t>
      </w:r>
    </w:p>
    <w:p w14:paraId="4B5F37A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（一）会费；</w:t>
      </w:r>
    </w:p>
    <w:p w14:paraId="43BB542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（二）捐赠；</w:t>
      </w:r>
    </w:p>
    <w:p w14:paraId="697C4CE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（三）政府资助；</w:t>
      </w:r>
    </w:p>
    <w:p w14:paraId="2A4C458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（四）在核准的业务范围内开展活动或服务的收入；</w:t>
      </w:r>
    </w:p>
    <w:p w14:paraId="6214E8D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（五）利息；</w:t>
      </w:r>
    </w:p>
    <w:p w14:paraId="2D475C8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（六）其他合法收入。</w:t>
      </w:r>
    </w:p>
    <w:p w14:paraId="70F07EB6">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第三十一条</w:t>
      </w:r>
      <w:r>
        <w:rPr>
          <w:rFonts w:hint="eastAsia" w:ascii="宋体" w:hAnsi="宋体" w:eastAsia="宋体" w:cs="宋体"/>
          <w:color w:val="000000"/>
          <w:kern w:val="0"/>
          <w:sz w:val="24"/>
          <w:shd w:val="clear" w:color="auto" w:fill="FFFFFF"/>
        </w:rPr>
        <w:t>本团体按照国家有关规定收取会员会费。本团体开展评比、评选、表彰等活动，不收取任何费用。</w:t>
      </w:r>
    </w:p>
    <w:p w14:paraId="5A557A91">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第三十二条</w:t>
      </w:r>
      <w:r>
        <w:rPr>
          <w:rFonts w:hint="eastAsia" w:ascii="宋体" w:hAnsi="宋体" w:eastAsia="宋体" w:cs="宋体"/>
          <w:color w:val="000000"/>
          <w:kern w:val="0"/>
          <w:sz w:val="24"/>
          <w:shd w:val="clear" w:color="auto" w:fill="FFFFFF"/>
        </w:rPr>
        <w:t>本团体经费必须用于本章程规定的业务范围和事业的发展，不得在会员中分配。</w:t>
      </w:r>
    </w:p>
    <w:p w14:paraId="499BB6AE">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第三十三条</w:t>
      </w:r>
      <w:r>
        <w:rPr>
          <w:rFonts w:hint="eastAsia" w:ascii="宋体" w:hAnsi="宋体" w:eastAsia="宋体" w:cs="宋体"/>
          <w:color w:val="000000"/>
          <w:kern w:val="0"/>
          <w:sz w:val="24"/>
          <w:shd w:val="clear" w:color="auto" w:fill="FFFFFF"/>
        </w:rPr>
        <w:t>本团体建立严格的财务管理制度，保证会计资料合法、真实、准确、完整。</w:t>
      </w:r>
    </w:p>
    <w:p w14:paraId="59133027">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第三十四条</w:t>
      </w:r>
      <w:r>
        <w:rPr>
          <w:rFonts w:hint="eastAsia" w:ascii="宋体" w:hAnsi="宋体" w:eastAsia="宋体" w:cs="宋体"/>
          <w:color w:val="000000"/>
          <w:kern w:val="0"/>
          <w:sz w:val="24"/>
          <w:shd w:val="clear" w:color="auto" w:fill="FFFFFF"/>
        </w:rPr>
        <w:t>本团体配备具有专业资格的会计人员。会计不得兼任出纳。会计人员必须进行会计核算，实行会计监督。会计人员调动工作或离职时，必须与接管人员办清交接手续。</w:t>
      </w:r>
    </w:p>
    <w:p w14:paraId="19DE9A15">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第三十五条</w:t>
      </w:r>
      <w:r>
        <w:rPr>
          <w:rFonts w:hint="eastAsia" w:ascii="宋体" w:hAnsi="宋体" w:eastAsia="宋体" w:cs="宋体"/>
          <w:color w:val="000000"/>
          <w:kern w:val="0"/>
          <w:sz w:val="24"/>
          <w:shd w:val="clear" w:color="auto" w:fill="FFFFFF"/>
        </w:rPr>
        <w:t>本团体的资产管理必须执行国家规定的财务管理制度，接受会员代表大会和财政部门的监督。资产来源属于国家拨款或者社会捐赠、资助的，必须接受审计机关的监督，并将有关情况以适当方式向社会公布。</w:t>
      </w:r>
    </w:p>
    <w:p w14:paraId="24E67D7D">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第三十六条</w:t>
      </w:r>
      <w:r>
        <w:rPr>
          <w:rFonts w:hint="eastAsia" w:ascii="宋体" w:hAnsi="宋体" w:eastAsia="宋体" w:cs="宋体"/>
          <w:color w:val="000000"/>
          <w:kern w:val="0"/>
          <w:sz w:val="24"/>
          <w:shd w:val="clear" w:color="auto" w:fill="FFFFFF"/>
        </w:rPr>
        <w:t>本团体换届或更换法定代表人之前必须接受社团登记管理机关和业务主管单位组织的财务审计。</w:t>
      </w:r>
    </w:p>
    <w:p w14:paraId="430C6897">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第三十七条</w:t>
      </w:r>
      <w:r>
        <w:rPr>
          <w:rFonts w:hint="eastAsia" w:ascii="宋体" w:hAnsi="宋体" w:eastAsia="宋体" w:cs="宋体"/>
          <w:color w:val="000000"/>
          <w:kern w:val="0"/>
          <w:sz w:val="24"/>
          <w:shd w:val="clear" w:color="auto" w:fill="FFFFFF"/>
        </w:rPr>
        <w:t>本团体的资产，任何单位、个人不得侵占、私分和挪用。</w:t>
      </w:r>
    </w:p>
    <w:p w14:paraId="2B97F7B2">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第三十八条</w:t>
      </w:r>
      <w:r>
        <w:rPr>
          <w:rFonts w:hint="eastAsia" w:ascii="宋体" w:hAnsi="宋体" w:eastAsia="宋体" w:cs="宋体"/>
          <w:color w:val="000000"/>
          <w:kern w:val="0"/>
          <w:sz w:val="24"/>
          <w:shd w:val="clear" w:color="auto" w:fill="FFFFFF"/>
        </w:rPr>
        <w:t>本团体专职工作人员的工资和保险、福利待遇，参照国家对事业单位的有关规定执行。</w:t>
      </w:r>
    </w:p>
    <w:p w14:paraId="4DD0BFB3">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第六章　章程的修改程序</w:t>
      </w:r>
    </w:p>
    <w:p w14:paraId="79540B0D">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第三十九条</w:t>
      </w:r>
      <w:r>
        <w:rPr>
          <w:rFonts w:hint="eastAsia" w:ascii="宋体" w:hAnsi="宋体" w:eastAsia="宋体" w:cs="宋体"/>
          <w:color w:val="000000"/>
          <w:kern w:val="0"/>
          <w:sz w:val="24"/>
          <w:shd w:val="clear" w:color="auto" w:fill="FFFFFF"/>
        </w:rPr>
        <w:t>对本团体章程的修改，须经理事会表决通过后报会员代表大会审议。</w:t>
      </w:r>
    </w:p>
    <w:p w14:paraId="464D34F8">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第四十条</w:t>
      </w:r>
      <w:r>
        <w:rPr>
          <w:rFonts w:hint="eastAsia" w:ascii="宋体" w:hAnsi="宋体" w:eastAsia="宋体" w:cs="宋体"/>
          <w:color w:val="000000"/>
          <w:kern w:val="0"/>
          <w:sz w:val="24"/>
          <w:shd w:val="clear" w:color="auto" w:fill="FFFFFF"/>
        </w:rPr>
        <w:t>本团体修改的章程，须在会员代表大会通过后15日内，经业务主管单位审查同意，并报社团登记管理机关核准后生效。</w:t>
      </w:r>
    </w:p>
    <w:p w14:paraId="0377382C">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第七章　终止程序及终止后的财产处理</w:t>
      </w:r>
    </w:p>
    <w:p w14:paraId="4F8225E8">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第四十一条</w:t>
      </w:r>
      <w:r>
        <w:rPr>
          <w:rFonts w:hint="eastAsia" w:ascii="宋体" w:hAnsi="宋体" w:eastAsia="宋体" w:cs="宋体"/>
          <w:color w:val="000000"/>
          <w:kern w:val="0"/>
          <w:sz w:val="24"/>
          <w:shd w:val="clear" w:color="auto" w:fill="FFFFFF"/>
        </w:rPr>
        <w:t>本团体完成宗旨或自行解散或由于分立、合并等原因需要注销的，由理事会或常务理事会提出终止动议。</w:t>
      </w:r>
    </w:p>
    <w:p w14:paraId="0DC51629">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第四十二条</w:t>
      </w:r>
      <w:r>
        <w:rPr>
          <w:rFonts w:hint="eastAsia" w:ascii="宋体" w:hAnsi="宋体" w:eastAsia="宋体" w:cs="宋体"/>
          <w:color w:val="000000"/>
          <w:kern w:val="0"/>
          <w:sz w:val="24"/>
          <w:shd w:val="clear" w:color="auto" w:fill="FFFFFF"/>
        </w:rPr>
        <w:t>本团体终止动议须经会员代表大会表决通过，并报业务主管单位审查同意。</w:t>
      </w:r>
    </w:p>
    <w:p w14:paraId="62C2E4D1">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第四十三条</w:t>
      </w:r>
      <w:r>
        <w:rPr>
          <w:rFonts w:hint="eastAsia" w:ascii="宋体" w:hAnsi="宋体" w:eastAsia="宋体" w:cs="宋体"/>
          <w:color w:val="000000"/>
          <w:kern w:val="0"/>
          <w:sz w:val="24"/>
          <w:shd w:val="clear" w:color="auto" w:fill="FFFFFF"/>
        </w:rPr>
        <w:t>本团体终止前，须在业务主管单位及有关机关指导下成立清算组织，清理债权债务，处理善后事宜。清算期间，不开展清算以外的活动。</w:t>
      </w:r>
    </w:p>
    <w:p w14:paraId="09617DE8">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第四十四条</w:t>
      </w:r>
      <w:r>
        <w:rPr>
          <w:rFonts w:hint="eastAsia" w:ascii="宋体" w:hAnsi="宋体" w:eastAsia="宋体" w:cs="宋体"/>
          <w:color w:val="000000"/>
          <w:kern w:val="0"/>
          <w:sz w:val="24"/>
          <w:shd w:val="clear" w:color="auto" w:fill="FFFFFF"/>
        </w:rPr>
        <w:t>本团体经社团登记管理机关办理注销登记手续后即为终止。</w:t>
      </w:r>
    </w:p>
    <w:p w14:paraId="5183BDEF">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第四十五条</w:t>
      </w:r>
      <w:r>
        <w:rPr>
          <w:rFonts w:hint="eastAsia" w:ascii="宋体" w:hAnsi="宋体" w:eastAsia="宋体" w:cs="宋体"/>
          <w:color w:val="000000"/>
          <w:kern w:val="0"/>
          <w:sz w:val="24"/>
          <w:shd w:val="clear" w:color="auto" w:fill="FFFFFF"/>
        </w:rPr>
        <w:t>本团体终止后的剩余财产，在业务主管单位和社团登记管理机关的监督下，按照国家有关规定，用于发展与本团体宗旨相关的事业。</w:t>
      </w:r>
    </w:p>
    <w:p w14:paraId="45C9CC75">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第八章　附则</w:t>
      </w:r>
    </w:p>
    <w:p w14:paraId="371288F3">
      <w:pPr>
        <w:shd w:val="clear" w:color="auto" w:fill="FFFFFF"/>
        <w:spacing w:line="440" w:lineRule="atLeast"/>
        <w:ind w:firstLine="482" w:firstLineChars="200"/>
        <w:rPr>
          <w:rFonts w:ascii="宋体" w:hAnsi="宋体" w:eastAsia="宋体" w:cs="宋体"/>
          <w:b/>
          <w:color w:val="000000"/>
          <w:kern w:val="0"/>
          <w:sz w:val="24"/>
          <w:shd w:val="clear" w:color="auto" w:fill="FFFFFF"/>
        </w:rPr>
      </w:pPr>
      <w:r>
        <w:rPr>
          <w:rFonts w:hint="eastAsia" w:ascii="宋体" w:hAnsi="宋体" w:eastAsia="宋体" w:cs="宋体"/>
          <w:b/>
          <w:color w:val="000000"/>
          <w:kern w:val="0"/>
          <w:sz w:val="24"/>
          <w:shd w:val="clear" w:color="auto" w:fill="FFFFFF"/>
        </w:rPr>
        <w:t>第四十六条</w:t>
      </w:r>
      <w:r>
        <w:rPr>
          <w:rFonts w:hint="eastAsia" w:ascii="宋体" w:hAnsi="宋体" w:eastAsia="宋体" w:cs="宋体"/>
          <w:color w:val="000000"/>
          <w:kern w:val="0"/>
          <w:sz w:val="24"/>
          <w:shd w:val="clear" w:color="auto" w:fill="FFFFFF"/>
        </w:rPr>
        <w:t>本章程经2016年11月18日</w:t>
      </w:r>
      <w:r>
        <w:rPr>
          <w:rFonts w:hint="eastAsia" w:ascii="宋体" w:hAnsi="宋体" w:eastAsia="宋体" w:cs="宋体"/>
          <w:bCs/>
          <w:color w:val="000000"/>
          <w:kern w:val="0"/>
          <w:sz w:val="24"/>
          <w:shd w:val="clear" w:color="auto" w:fill="FFFFFF"/>
        </w:rPr>
        <w:t>第五次会员代表大会表决通过。</w:t>
      </w:r>
    </w:p>
    <w:p w14:paraId="2A612DDF">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第四十七条</w:t>
      </w:r>
      <w:r>
        <w:rPr>
          <w:rFonts w:hint="eastAsia" w:ascii="宋体" w:hAnsi="宋体" w:eastAsia="宋体" w:cs="宋体"/>
          <w:color w:val="000000"/>
          <w:kern w:val="0"/>
          <w:sz w:val="24"/>
          <w:shd w:val="clear" w:color="auto" w:fill="FFFFFF"/>
        </w:rPr>
        <w:t>本章程的解释权属本团体的理事会。</w:t>
      </w:r>
    </w:p>
    <w:p w14:paraId="5F799DCD">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第四十八条</w:t>
      </w:r>
      <w:r>
        <w:rPr>
          <w:rFonts w:hint="eastAsia" w:ascii="宋体" w:hAnsi="宋体" w:eastAsia="宋体" w:cs="宋体"/>
          <w:color w:val="000000"/>
          <w:kern w:val="0"/>
          <w:sz w:val="24"/>
          <w:shd w:val="clear" w:color="auto" w:fill="FFFFFF"/>
        </w:rPr>
        <w:t>本章程自社团登记管理机关核准之日起生效。</w:t>
      </w:r>
    </w:p>
    <w:p w14:paraId="64821AD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br w:type="page"/>
      </w:r>
    </w:p>
    <w:p w14:paraId="3DC35D29">
      <w:pPr>
        <w:pStyle w:val="5"/>
        <w:spacing w:line="440" w:lineRule="atLeast"/>
        <w:jc w:val="center"/>
        <w:rPr>
          <w:rFonts w:ascii="宋体" w:hAnsi="宋体" w:eastAsia="宋体" w:cs="宋体"/>
        </w:rPr>
      </w:pPr>
      <w:bookmarkStart w:id="88" w:name="_Toc14929"/>
      <w:r>
        <w:rPr>
          <w:rFonts w:hint="eastAsia" w:ascii="宋体" w:hAnsi="宋体" w:eastAsia="宋体" w:cs="宋体"/>
          <w:lang w:val="zh-TW" w:eastAsia="zh-TW"/>
        </w:rPr>
        <w:t>中国资产评估协会非执业会员管理办法</w:t>
      </w:r>
      <w:bookmarkEnd w:id="88"/>
    </w:p>
    <w:p w14:paraId="2FBA25D0">
      <w:pPr>
        <w:shd w:val="clear" w:color="auto" w:fill="FFFFFF"/>
        <w:spacing w:line="440" w:lineRule="atLeast"/>
        <w:jc w:val="center"/>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2014年3月28日中国资产评估协会发布　中评协〔2014〕43号</w:t>
      </w:r>
    </w:p>
    <w:p w14:paraId="73EE427B">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第一章　总　则</w:t>
      </w:r>
    </w:p>
    <w:p w14:paraId="01D3F11C">
      <w:pPr>
        <w:shd w:val="clear" w:color="auto" w:fill="FFFFFF"/>
        <w:spacing w:line="440" w:lineRule="atLeast"/>
        <w:ind w:firstLine="482" w:firstLineChars="200"/>
        <w:rPr>
          <w:rFonts w:ascii="宋体" w:hAnsi="宋体" w:eastAsia="宋体" w:cs="宋体"/>
          <w:color w:val="000000"/>
          <w:kern w:val="0"/>
          <w:sz w:val="24"/>
          <w:shd w:val="clear" w:color="auto" w:fill="FFFFFF"/>
          <w:lang w:val="zh-TW"/>
        </w:rPr>
      </w:pPr>
      <w:r>
        <w:rPr>
          <w:rFonts w:hint="eastAsia" w:ascii="宋体" w:hAnsi="宋体" w:eastAsia="宋体" w:cs="宋体"/>
          <w:b/>
          <w:color w:val="000000"/>
          <w:kern w:val="0"/>
          <w:sz w:val="24"/>
          <w:shd w:val="clear" w:color="auto" w:fill="FFFFFF"/>
        </w:rPr>
        <w:t>第一条</w:t>
      </w:r>
      <w:r>
        <w:rPr>
          <w:rFonts w:hint="eastAsia" w:ascii="宋体" w:hAnsi="宋体" w:eastAsia="宋体" w:cs="宋体"/>
          <w:color w:val="000000"/>
          <w:kern w:val="0"/>
          <w:sz w:val="24"/>
          <w:shd w:val="clear" w:color="auto" w:fill="FFFFFF"/>
        </w:rPr>
        <w:t>　</w:t>
      </w:r>
      <w:r>
        <w:rPr>
          <w:rFonts w:hint="eastAsia" w:ascii="宋体" w:hAnsi="宋体" w:eastAsia="宋体" w:cs="宋体"/>
          <w:color w:val="000000"/>
          <w:kern w:val="0"/>
          <w:sz w:val="24"/>
          <w:shd w:val="clear" w:color="auto" w:fill="FFFFFF"/>
          <w:lang w:val="zh-TW" w:eastAsia="zh-TW"/>
        </w:rPr>
        <w:t>为加强中国资产评估协会（以下简称“本会”）非执业会员的管理，根据《中国资产评估协会章程》</w:t>
      </w:r>
      <w:bookmarkStart w:id="89" w:name="OLE_LINK5"/>
      <w:bookmarkStart w:id="90" w:name="OLE_LINK6"/>
      <w:r>
        <w:rPr>
          <w:rFonts w:hint="eastAsia" w:ascii="宋体" w:hAnsi="宋体" w:eastAsia="宋体" w:cs="宋体"/>
          <w:color w:val="000000"/>
          <w:kern w:val="0"/>
          <w:sz w:val="24"/>
          <w:shd w:val="clear" w:color="auto" w:fill="FFFFFF"/>
          <w:lang w:val="zh-TW" w:eastAsia="zh-TW"/>
        </w:rPr>
        <w:t>和《中国资产评估协会会员管理办法》的有关规定</w:t>
      </w:r>
      <w:bookmarkEnd w:id="89"/>
      <w:bookmarkEnd w:id="90"/>
      <w:r>
        <w:rPr>
          <w:rFonts w:hint="eastAsia" w:ascii="宋体" w:hAnsi="宋体" w:eastAsia="宋体" w:cs="宋体"/>
          <w:color w:val="000000"/>
          <w:kern w:val="0"/>
          <w:sz w:val="24"/>
          <w:shd w:val="clear" w:color="auto" w:fill="FFFFFF"/>
          <w:lang w:val="zh-TW" w:eastAsia="zh-TW"/>
        </w:rPr>
        <w:t>，制定本办法。</w:t>
      </w:r>
    </w:p>
    <w:p w14:paraId="2DEA0DC9">
      <w:pPr>
        <w:shd w:val="clear" w:color="auto" w:fill="FFFFFF"/>
        <w:spacing w:line="440" w:lineRule="atLeast"/>
        <w:ind w:firstLine="482"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b/>
          <w:color w:val="000000"/>
          <w:kern w:val="0"/>
          <w:sz w:val="24"/>
          <w:shd w:val="clear" w:color="auto" w:fill="FFFFFF"/>
          <w:lang w:val="zh-TW"/>
        </w:rPr>
        <w:t>第二条</w:t>
      </w:r>
      <w:r>
        <w:rPr>
          <w:rFonts w:hint="eastAsia" w:ascii="宋体" w:hAnsi="宋体" w:eastAsia="宋体" w:cs="宋体"/>
          <w:color w:val="000000"/>
          <w:kern w:val="0"/>
          <w:sz w:val="24"/>
          <w:shd w:val="clear" w:color="auto" w:fill="FFFFFF"/>
        </w:rPr>
        <w:t>　</w:t>
      </w:r>
      <w:r>
        <w:rPr>
          <w:rFonts w:hint="eastAsia" w:ascii="宋体" w:hAnsi="宋体" w:eastAsia="宋体" w:cs="宋体"/>
          <w:color w:val="000000"/>
          <w:kern w:val="0"/>
          <w:sz w:val="24"/>
          <w:shd w:val="clear" w:color="auto" w:fill="FFFFFF"/>
          <w:lang w:val="zh-TW" w:eastAsia="zh-TW"/>
        </w:rPr>
        <w:t>本办法所称非执业会员，是指通过考试或依法认定取得注册资产评估师执业资格，且不在资产评估机构执业的会员。</w:t>
      </w:r>
    </w:p>
    <w:p w14:paraId="0D86B9FF">
      <w:pPr>
        <w:shd w:val="clear" w:color="auto" w:fill="FFFFFF"/>
        <w:spacing w:line="440" w:lineRule="atLeast"/>
        <w:ind w:firstLine="482"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b/>
          <w:color w:val="000000"/>
          <w:kern w:val="0"/>
          <w:sz w:val="24"/>
          <w:shd w:val="clear" w:color="auto" w:fill="FFFFFF"/>
          <w:lang w:val="zh-TW"/>
        </w:rPr>
        <w:t>第三条</w:t>
      </w:r>
      <w:r>
        <w:rPr>
          <w:rFonts w:hint="eastAsia" w:ascii="宋体" w:hAnsi="宋体" w:eastAsia="宋体" w:cs="宋体"/>
          <w:color w:val="000000"/>
          <w:kern w:val="0"/>
          <w:sz w:val="24"/>
          <w:shd w:val="clear" w:color="auto" w:fill="FFFFFF"/>
        </w:rPr>
        <w:t>　</w:t>
      </w:r>
      <w:r>
        <w:rPr>
          <w:rFonts w:hint="eastAsia" w:ascii="宋体" w:hAnsi="宋体" w:eastAsia="宋体" w:cs="宋体"/>
          <w:color w:val="000000"/>
          <w:kern w:val="0"/>
          <w:sz w:val="24"/>
          <w:shd w:val="clear" w:color="auto" w:fill="FFFFFF"/>
          <w:lang w:val="zh-TW" w:eastAsia="zh-TW"/>
        </w:rPr>
        <w:t>本会管理全国的非执业会员，并具体负责在中央国家机关及政府相关部门、中央企事业单位、全国性社会团体工作以及港澳台地区的非执业会员的会籍管理。</w:t>
      </w:r>
    </w:p>
    <w:p w14:paraId="3BB4FB05">
      <w:pPr>
        <w:shd w:val="clear" w:color="auto" w:fill="FFFFFF"/>
        <w:spacing w:line="440" w:lineRule="atLeast"/>
        <w:ind w:firstLine="482"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b/>
          <w:color w:val="000000"/>
          <w:kern w:val="0"/>
          <w:sz w:val="24"/>
          <w:shd w:val="clear" w:color="auto" w:fill="FFFFFF"/>
          <w:lang w:val="zh-TW"/>
        </w:rPr>
        <w:t>第四条</w:t>
      </w:r>
      <w:r>
        <w:rPr>
          <w:rFonts w:hint="eastAsia" w:ascii="宋体" w:hAnsi="宋体" w:eastAsia="宋体" w:cs="宋体"/>
          <w:color w:val="000000"/>
          <w:kern w:val="0"/>
          <w:sz w:val="24"/>
          <w:shd w:val="clear" w:color="auto" w:fill="FFFFFF"/>
        </w:rPr>
        <w:t>　</w:t>
      </w:r>
      <w:r>
        <w:rPr>
          <w:rFonts w:hint="eastAsia" w:ascii="宋体" w:hAnsi="宋体" w:eastAsia="宋体" w:cs="宋体"/>
          <w:color w:val="000000"/>
          <w:kern w:val="0"/>
          <w:sz w:val="24"/>
          <w:shd w:val="clear" w:color="auto" w:fill="FFFFFF"/>
          <w:lang w:val="zh-TW" w:eastAsia="zh-TW"/>
        </w:rPr>
        <w:t>本会授权各省、自治区、直辖市及计划单列市资产评估协会（以下简称“地方协会”）负责本地区除本办法</w:t>
      </w:r>
      <w:r>
        <w:rPr>
          <w:rFonts w:hint="eastAsia" w:ascii="宋体" w:hAnsi="宋体" w:eastAsia="宋体" w:cs="宋体"/>
          <w:bCs/>
          <w:color w:val="000000"/>
          <w:kern w:val="0"/>
          <w:sz w:val="24"/>
          <w:shd w:val="clear" w:color="auto" w:fill="FFFFFF"/>
          <w:lang w:val="zh-TW"/>
        </w:rPr>
        <w:t>第三条</w:t>
      </w:r>
      <w:r>
        <w:rPr>
          <w:rFonts w:hint="eastAsia" w:ascii="宋体" w:hAnsi="宋体" w:eastAsia="宋体" w:cs="宋体"/>
          <w:color w:val="000000"/>
          <w:kern w:val="0"/>
          <w:sz w:val="24"/>
          <w:shd w:val="clear" w:color="auto" w:fill="FFFFFF"/>
          <w:lang w:val="zh-TW" w:eastAsia="zh-TW"/>
        </w:rPr>
        <w:t>规定以外的其他非执业会员的会籍管理。</w:t>
      </w:r>
    </w:p>
    <w:p w14:paraId="34D156D5">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第二章　非执业会员入会</w:t>
      </w:r>
    </w:p>
    <w:p w14:paraId="49E58F14">
      <w:pPr>
        <w:shd w:val="clear" w:color="auto" w:fill="FFFFFF"/>
        <w:spacing w:line="440" w:lineRule="atLeast"/>
        <w:ind w:firstLine="482"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b/>
          <w:color w:val="000000"/>
          <w:kern w:val="0"/>
          <w:sz w:val="24"/>
          <w:shd w:val="clear" w:color="auto" w:fill="FFFFFF"/>
        </w:rPr>
        <w:t>第五条</w:t>
      </w:r>
      <w:r>
        <w:rPr>
          <w:rFonts w:hint="eastAsia" w:ascii="宋体" w:hAnsi="宋体" w:eastAsia="宋体" w:cs="宋体"/>
          <w:color w:val="000000"/>
          <w:kern w:val="0"/>
          <w:sz w:val="24"/>
          <w:shd w:val="clear" w:color="auto" w:fill="FFFFFF"/>
        </w:rPr>
        <w:t>　</w:t>
      </w:r>
      <w:r>
        <w:rPr>
          <w:rFonts w:hint="eastAsia" w:ascii="宋体" w:hAnsi="宋体" w:eastAsia="宋体" w:cs="宋体"/>
          <w:color w:val="000000"/>
          <w:kern w:val="0"/>
          <w:sz w:val="24"/>
          <w:shd w:val="clear" w:color="auto" w:fill="FFFFFF"/>
          <w:lang w:val="zh-TW" w:eastAsia="zh-TW"/>
        </w:rPr>
        <w:t>通过考试或依法认定取得注册资产评估师执业资格，不在资产评估机构执业的人员，承认本会章程，有加入本会意愿，可以申请成为非执业会员。</w:t>
      </w:r>
    </w:p>
    <w:p w14:paraId="7202ED94">
      <w:pPr>
        <w:shd w:val="clear" w:color="auto" w:fill="FFFFFF"/>
        <w:spacing w:line="440" w:lineRule="atLeast"/>
        <w:ind w:firstLine="482"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b/>
          <w:color w:val="000000"/>
          <w:kern w:val="0"/>
          <w:sz w:val="24"/>
          <w:shd w:val="clear" w:color="auto" w:fill="FFFFFF"/>
          <w:lang w:val="zh-TW"/>
        </w:rPr>
        <w:t>第六条</w:t>
      </w:r>
      <w:r>
        <w:rPr>
          <w:rFonts w:hint="eastAsia" w:ascii="宋体" w:hAnsi="宋体" w:eastAsia="宋体" w:cs="宋体"/>
          <w:color w:val="000000"/>
          <w:kern w:val="0"/>
          <w:sz w:val="24"/>
          <w:shd w:val="clear" w:color="auto" w:fill="FFFFFF"/>
        </w:rPr>
        <w:t>　</w:t>
      </w:r>
      <w:r>
        <w:rPr>
          <w:rFonts w:hint="eastAsia" w:ascii="宋体" w:hAnsi="宋体" w:eastAsia="宋体" w:cs="宋体"/>
          <w:color w:val="000000"/>
          <w:kern w:val="0"/>
          <w:sz w:val="24"/>
          <w:shd w:val="clear" w:color="auto" w:fill="FFFFFF"/>
          <w:lang w:val="zh-TW" w:eastAsia="zh-TW"/>
        </w:rPr>
        <w:t>申请人有下列情形之一的，不予批准其入会：</w:t>
      </w:r>
    </w:p>
    <w:p w14:paraId="5FB1116E">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rPr>
        <w:t>（一）</w:t>
      </w:r>
      <w:r>
        <w:rPr>
          <w:rFonts w:hint="eastAsia" w:ascii="宋体" w:hAnsi="宋体" w:eastAsia="宋体" w:cs="宋体"/>
          <w:color w:val="000000"/>
          <w:kern w:val="0"/>
          <w:sz w:val="24"/>
          <w:shd w:val="clear" w:color="auto" w:fill="FFFFFF"/>
          <w:lang w:val="zh-TW" w:eastAsia="zh-TW"/>
        </w:rPr>
        <w:t>不具有完全民事行为能力的；</w:t>
      </w:r>
    </w:p>
    <w:p w14:paraId="72054FC8">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rPr>
        <w:t>（二）</w:t>
      </w:r>
      <w:r>
        <w:rPr>
          <w:rFonts w:hint="eastAsia" w:ascii="宋体" w:hAnsi="宋体" w:eastAsia="宋体" w:cs="宋体"/>
          <w:color w:val="000000"/>
          <w:kern w:val="0"/>
          <w:sz w:val="24"/>
          <w:shd w:val="clear" w:color="auto" w:fill="FFFFFF"/>
          <w:lang w:val="zh-TW" w:eastAsia="zh-TW"/>
        </w:rPr>
        <w:t>因受刑事处罚，刑罚执行期满未逾5年的；</w:t>
      </w:r>
    </w:p>
    <w:p w14:paraId="7C4D40FF">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rPr>
        <w:t>（三）</w:t>
      </w:r>
      <w:r>
        <w:rPr>
          <w:rFonts w:hint="eastAsia" w:ascii="宋体" w:hAnsi="宋体" w:eastAsia="宋体" w:cs="宋体"/>
          <w:color w:val="000000"/>
          <w:kern w:val="0"/>
          <w:sz w:val="24"/>
          <w:shd w:val="clear" w:color="auto" w:fill="FFFFFF"/>
          <w:lang w:val="zh-TW" w:eastAsia="zh-TW"/>
        </w:rPr>
        <w:t>被认定为终身禁入资产评估行业的；</w:t>
      </w:r>
    </w:p>
    <w:p w14:paraId="0710B0CB">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rPr>
        <w:t>（四）</w:t>
      </w:r>
      <w:r>
        <w:rPr>
          <w:rFonts w:hint="eastAsia" w:ascii="宋体" w:hAnsi="宋体" w:eastAsia="宋体" w:cs="宋体"/>
          <w:color w:val="000000"/>
          <w:kern w:val="0"/>
          <w:sz w:val="24"/>
          <w:shd w:val="clear" w:color="auto" w:fill="FFFFFF"/>
          <w:lang w:val="zh-TW" w:eastAsia="zh-TW"/>
        </w:rPr>
        <w:t>因受行政处罚、处分，自被</w:t>
      </w:r>
      <w:bookmarkStart w:id="91" w:name="OLE_LINK4"/>
      <w:bookmarkStart w:id="92" w:name="OLE_LINK3"/>
      <w:r>
        <w:rPr>
          <w:rFonts w:hint="eastAsia" w:ascii="宋体" w:hAnsi="宋体" w:eastAsia="宋体" w:cs="宋体"/>
          <w:color w:val="000000"/>
          <w:kern w:val="0"/>
          <w:sz w:val="24"/>
          <w:shd w:val="clear" w:color="auto" w:fill="FFFFFF"/>
          <w:lang w:val="zh-TW" w:eastAsia="zh-TW"/>
        </w:rPr>
        <w:t>行政处罚、处分</w:t>
      </w:r>
      <w:bookmarkEnd w:id="91"/>
      <w:bookmarkEnd w:id="92"/>
      <w:r>
        <w:rPr>
          <w:rFonts w:hint="eastAsia" w:ascii="宋体" w:hAnsi="宋体" w:eastAsia="宋体" w:cs="宋体"/>
          <w:color w:val="000000"/>
          <w:kern w:val="0"/>
          <w:sz w:val="24"/>
          <w:shd w:val="clear" w:color="auto" w:fill="FFFFFF"/>
          <w:lang w:val="zh-TW" w:eastAsia="zh-TW"/>
        </w:rPr>
        <w:t>之日起不满2年的；</w:t>
      </w:r>
    </w:p>
    <w:p w14:paraId="30C53DF1">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rPr>
        <w:t>（五）</w:t>
      </w:r>
      <w:r>
        <w:rPr>
          <w:rFonts w:hint="eastAsia" w:ascii="宋体" w:hAnsi="宋体" w:eastAsia="宋体" w:cs="宋体"/>
          <w:color w:val="000000"/>
          <w:kern w:val="0"/>
          <w:sz w:val="24"/>
          <w:shd w:val="clear" w:color="auto" w:fill="FFFFFF"/>
          <w:lang w:val="zh-TW" w:eastAsia="zh-TW"/>
        </w:rPr>
        <w:t>被吊销注册资产评估师证书，自吊销注册资产评估师证书之日起不满3年的；</w:t>
      </w:r>
    </w:p>
    <w:p w14:paraId="5579BA6C">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rPr>
        <w:t>（六）</w:t>
      </w:r>
      <w:r>
        <w:rPr>
          <w:rFonts w:hint="eastAsia" w:ascii="宋体" w:hAnsi="宋体" w:eastAsia="宋体" w:cs="宋体"/>
          <w:color w:val="000000"/>
          <w:kern w:val="0"/>
          <w:sz w:val="24"/>
          <w:shd w:val="clear" w:color="auto" w:fill="FFFFFF"/>
          <w:lang w:val="zh-TW" w:eastAsia="zh-TW"/>
        </w:rPr>
        <w:t>在注册资产评估师申请注册过程中有弄虚作假行为未被批准注册或被撤销注册，自不予批准注册或撤销注册之日起不满3年的；</w:t>
      </w:r>
    </w:p>
    <w:p w14:paraId="1ABDA6A2">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rPr>
        <w:t>（七）</w:t>
      </w:r>
      <w:r>
        <w:rPr>
          <w:rFonts w:hint="eastAsia" w:ascii="宋体" w:hAnsi="宋体" w:eastAsia="宋体" w:cs="宋体"/>
          <w:color w:val="000000"/>
          <w:kern w:val="0"/>
          <w:sz w:val="24"/>
          <w:shd w:val="clear" w:color="auto" w:fill="FFFFFF"/>
          <w:lang w:val="zh-TW" w:eastAsia="zh-TW"/>
        </w:rPr>
        <w:t>其他不予入会的情形。</w:t>
      </w:r>
    </w:p>
    <w:p w14:paraId="206B47F3">
      <w:pPr>
        <w:shd w:val="clear" w:color="auto" w:fill="FFFFFF"/>
        <w:spacing w:line="440" w:lineRule="atLeast"/>
        <w:ind w:firstLine="482"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b/>
          <w:color w:val="000000"/>
          <w:kern w:val="0"/>
          <w:sz w:val="24"/>
          <w:shd w:val="clear" w:color="auto" w:fill="FFFFFF"/>
          <w:lang w:val="zh-TW"/>
        </w:rPr>
        <w:t>第七条</w:t>
      </w:r>
      <w:r>
        <w:rPr>
          <w:rFonts w:hint="eastAsia" w:ascii="宋体" w:hAnsi="宋体" w:eastAsia="宋体" w:cs="宋体"/>
          <w:color w:val="000000"/>
          <w:kern w:val="0"/>
          <w:sz w:val="24"/>
          <w:shd w:val="clear" w:color="auto" w:fill="FFFFFF"/>
        </w:rPr>
        <w:t>　</w:t>
      </w:r>
      <w:r>
        <w:rPr>
          <w:rFonts w:hint="eastAsia" w:ascii="宋体" w:hAnsi="宋体" w:eastAsia="宋体" w:cs="宋体"/>
          <w:color w:val="000000"/>
          <w:kern w:val="0"/>
          <w:sz w:val="24"/>
          <w:shd w:val="clear" w:color="auto" w:fill="FFFFFF"/>
          <w:lang w:val="zh-TW" w:eastAsia="zh-TW"/>
        </w:rPr>
        <w:t>申请人申请入会应当按照本办法</w:t>
      </w:r>
      <w:r>
        <w:rPr>
          <w:rFonts w:hint="eastAsia" w:ascii="宋体" w:hAnsi="宋体" w:eastAsia="宋体" w:cs="宋体"/>
          <w:bCs/>
          <w:color w:val="000000"/>
          <w:kern w:val="0"/>
          <w:sz w:val="24"/>
          <w:shd w:val="clear" w:color="auto" w:fill="FFFFFF"/>
          <w:lang w:val="zh-TW"/>
        </w:rPr>
        <w:t>第三条</w:t>
      </w:r>
      <w:r>
        <w:rPr>
          <w:rFonts w:hint="eastAsia" w:ascii="宋体" w:hAnsi="宋体" w:eastAsia="宋体" w:cs="宋体"/>
          <w:bCs/>
          <w:color w:val="000000"/>
          <w:kern w:val="0"/>
          <w:sz w:val="24"/>
          <w:shd w:val="clear" w:color="auto" w:fill="FFFFFF"/>
          <w:lang w:val="zh-TW" w:eastAsia="zh-TW"/>
        </w:rPr>
        <w:t>、</w:t>
      </w:r>
      <w:r>
        <w:rPr>
          <w:rFonts w:hint="eastAsia" w:ascii="宋体" w:hAnsi="宋体" w:eastAsia="宋体" w:cs="宋体"/>
          <w:bCs/>
          <w:color w:val="000000"/>
          <w:kern w:val="0"/>
          <w:sz w:val="24"/>
          <w:shd w:val="clear" w:color="auto" w:fill="FFFFFF"/>
          <w:lang w:val="zh-TW"/>
        </w:rPr>
        <w:t>第四条</w:t>
      </w:r>
      <w:r>
        <w:rPr>
          <w:rFonts w:hint="eastAsia" w:ascii="宋体" w:hAnsi="宋体" w:eastAsia="宋体" w:cs="宋体"/>
          <w:color w:val="000000"/>
          <w:kern w:val="0"/>
          <w:sz w:val="24"/>
          <w:shd w:val="clear" w:color="auto" w:fill="FFFFFF"/>
          <w:lang w:val="zh-TW" w:eastAsia="zh-TW"/>
        </w:rPr>
        <w:t>规定的会员会籍管理权限，向本会或所在地地方协会提交下列材料，要求提交复印件的材料，应同时提交原件备查：</w:t>
      </w:r>
    </w:p>
    <w:p w14:paraId="720D2803">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rPr>
        <w:t>（一）</w:t>
      </w:r>
      <w:r>
        <w:rPr>
          <w:rFonts w:hint="eastAsia" w:ascii="宋体" w:hAnsi="宋体" w:eastAsia="宋体" w:cs="宋体"/>
          <w:color w:val="000000"/>
          <w:kern w:val="0"/>
          <w:sz w:val="24"/>
          <w:shd w:val="clear" w:color="auto" w:fill="FFFFFF"/>
          <w:lang w:val="zh-TW" w:eastAsia="zh-TW"/>
        </w:rPr>
        <w:t>《中国资产评估协会非执业会员入会申请表》（附表1）；</w:t>
      </w:r>
    </w:p>
    <w:p w14:paraId="15028099">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rPr>
        <w:t>（二）</w:t>
      </w:r>
      <w:r>
        <w:rPr>
          <w:rFonts w:hint="eastAsia" w:ascii="宋体" w:hAnsi="宋体" w:eastAsia="宋体" w:cs="宋体"/>
          <w:color w:val="000000"/>
          <w:kern w:val="0"/>
          <w:sz w:val="24"/>
          <w:shd w:val="clear" w:color="auto" w:fill="FFFFFF"/>
          <w:lang w:val="zh-TW" w:eastAsia="zh-TW"/>
        </w:rPr>
        <w:t>《注册资产评估师执业资格证书》或依法认定批准文件复印件；</w:t>
      </w:r>
    </w:p>
    <w:p w14:paraId="06A3B72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lang w:val="zh-TW"/>
        </w:rPr>
        <w:t>（三）</w:t>
      </w:r>
      <w:r>
        <w:rPr>
          <w:rFonts w:hint="eastAsia" w:ascii="宋体" w:hAnsi="宋体" w:eastAsia="宋体" w:cs="宋体"/>
          <w:color w:val="000000"/>
          <w:kern w:val="0"/>
          <w:sz w:val="24"/>
          <w:shd w:val="clear" w:color="auto" w:fill="FFFFFF"/>
          <w:lang w:val="zh-TW" w:eastAsia="zh-TW"/>
        </w:rPr>
        <w:t>入会申请人身份证复印件。</w:t>
      </w:r>
    </w:p>
    <w:p w14:paraId="22C27E36">
      <w:pPr>
        <w:shd w:val="clear" w:color="auto" w:fill="FFFFFF"/>
        <w:spacing w:line="440" w:lineRule="atLeast"/>
        <w:ind w:firstLine="482"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b/>
          <w:color w:val="000000"/>
          <w:kern w:val="0"/>
          <w:sz w:val="24"/>
          <w:shd w:val="clear" w:color="auto" w:fill="FFFFFF"/>
          <w:lang w:val="zh-TW"/>
        </w:rPr>
        <w:t>第八条</w:t>
      </w:r>
      <w:r>
        <w:rPr>
          <w:rFonts w:hint="eastAsia" w:ascii="宋体" w:hAnsi="宋体" w:eastAsia="宋体" w:cs="宋体"/>
          <w:color w:val="000000"/>
          <w:kern w:val="0"/>
          <w:sz w:val="24"/>
          <w:shd w:val="clear" w:color="auto" w:fill="FFFFFF"/>
        </w:rPr>
        <w:t>　</w:t>
      </w:r>
      <w:r>
        <w:rPr>
          <w:rFonts w:hint="eastAsia" w:ascii="宋体" w:hAnsi="宋体" w:eastAsia="宋体" w:cs="宋体"/>
          <w:color w:val="000000"/>
          <w:kern w:val="0"/>
          <w:sz w:val="24"/>
          <w:shd w:val="clear" w:color="auto" w:fill="FFFFFF"/>
          <w:lang w:val="zh-TW" w:eastAsia="zh-TW"/>
        </w:rPr>
        <w:t>本会或地方协会受理入会申请后，应当对申请人提交的材料进行审查，自受理之日起20个工作日内做出是否批准的决定。对符合条件的，批准入会，将有关信息录入资产评估会员管理系统；对不符合条件的，应当告知其原因。</w:t>
      </w:r>
    </w:p>
    <w:p w14:paraId="1DA91CB8">
      <w:pPr>
        <w:shd w:val="clear" w:color="auto" w:fill="FFFFFF"/>
        <w:spacing w:line="440" w:lineRule="atLeast"/>
        <w:ind w:firstLine="482"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b/>
          <w:color w:val="000000"/>
          <w:kern w:val="0"/>
          <w:sz w:val="24"/>
          <w:shd w:val="clear" w:color="auto" w:fill="FFFFFF"/>
          <w:lang w:val="zh-TW"/>
        </w:rPr>
        <w:t>第九条</w:t>
      </w:r>
      <w:r>
        <w:rPr>
          <w:rFonts w:hint="eastAsia" w:ascii="宋体" w:hAnsi="宋体" w:eastAsia="宋体" w:cs="宋体"/>
          <w:color w:val="000000"/>
          <w:kern w:val="0"/>
          <w:sz w:val="24"/>
          <w:shd w:val="clear" w:color="auto" w:fill="FFFFFF"/>
        </w:rPr>
        <w:t>　</w:t>
      </w:r>
      <w:r>
        <w:rPr>
          <w:rFonts w:hint="eastAsia" w:ascii="宋体" w:hAnsi="宋体" w:eastAsia="宋体" w:cs="宋体"/>
          <w:color w:val="000000"/>
          <w:kern w:val="0"/>
          <w:sz w:val="24"/>
          <w:shd w:val="clear" w:color="auto" w:fill="FFFFFF"/>
          <w:lang w:val="zh-TW" w:eastAsia="zh-TW"/>
        </w:rPr>
        <w:t>经地方协会批准入会的，须报本会备案，并向本会提交以下材料：</w:t>
      </w:r>
    </w:p>
    <w:p w14:paraId="38F3E6D0">
      <w:pPr>
        <w:shd w:val="clear" w:color="auto" w:fill="FFFFFF"/>
        <w:spacing w:line="440" w:lineRule="atLeast"/>
        <w:ind w:firstLine="480" w:firstLineChars="200"/>
        <w:rPr>
          <w:rFonts w:ascii="宋体" w:hAnsi="宋体" w:eastAsia="宋体" w:cs="宋体"/>
          <w:color w:val="000000"/>
          <w:kern w:val="0"/>
          <w:sz w:val="24"/>
          <w:shd w:val="clear" w:color="auto" w:fill="FFFFFF"/>
          <w:lang w:val="zh-TW"/>
        </w:rPr>
      </w:pPr>
      <w:r>
        <w:rPr>
          <w:rFonts w:hint="eastAsia" w:ascii="宋体" w:hAnsi="宋体" w:eastAsia="宋体" w:cs="宋体"/>
          <w:color w:val="000000"/>
          <w:kern w:val="0"/>
          <w:sz w:val="24"/>
          <w:shd w:val="clear" w:color="auto" w:fill="FFFFFF"/>
          <w:lang w:val="zh-TW" w:eastAsia="zh-TW"/>
        </w:rPr>
        <w:t>（一）中国资产评估协会非执业会员情况报告（附件1）</w:t>
      </w:r>
      <w:r>
        <w:rPr>
          <w:rFonts w:hint="eastAsia" w:ascii="宋体" w:hAnsi="宋体" w:eastAsia="宋体" w:cs="宋体"/>
          <w:color w:val="000000"/>
          <w:kern w:val="0"/>
          <w:sz w:val="24"/>
          <w:shd w:val="clear" w:color="auto" w:fill="FFFFFF"/>
          <w:lang w:val="zh-TW"/>
        </w:rPr>
        <w:t>；</w:t>
      </w:r>
    </w:p>
    <w:p w14:paraId="38D906F1">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（二）《中国资产评估协会非执业会员汇总表》</w:t>
      </w:r>
      <w:r>
        <w:rPr>
          <w:rFonts w:hint="eastAsia" w:ascii="宋体" w:hAnsi="宋体" w:eastAsia="宋体" w:cs="宋体"/>
          <w:color w:val="000000"/>
          <w:kern w:val="0"/>
          <w:sz w:val="24"/>
          <w:shd w:val="clear" w:color="auto" w:fill="FFFFFF"/>
          <w:lang w:val="zh-TW"/>
        </w:rPr>
        <w:t>（</w:t>
      </w:r>
      <w:r>
        <w:rPr>
          <w:rFonts w:hint="eastAsia" w:ascii="宋体" w:hAnsi="宋体" w:eastAsia="宋体" w:cs="宋体"/>
          <w:color w:val="000000"/>
          <w:kern w:val="0"/>
          <w:sz w:val="24"/>
          <w:shd w:val="clear" w:color="auto" w:fill="FFFFFF"/>
          <w:lang w:val="zh-TW" w:eastAsia="zh-TW"/>
        </w:rPr>
        <w:t>附表2</w:t>
      </w:r>
      <w:r>
        <w:rPr>
          <w:rFonts w:hint="eastAsia" w:ascii="宋体" w:hAnsi="宋体" w:eastAsia="宋体" w:cs="宋体"/>
          <w:color w:val="000000"/>
          <w:kern w:val="0"/>
          <w:sz w:val="24"/>
          <w:shd w:val="clear" w:color="auto" w:fill="FFFFFF"/>
          <w:lang w:val="zh-TW"/>
        </w:rPr>
        <w:t>）</w:t>
      </w:r>
      <w:r>
        <w:rPr>
          <w:rFonts w:hint="eastAsia" w:ascii="宋体" w:hAnsi="宋体" w:eastAsia="宋体" w:cs="宋体"/>
          <w:color w:val="000000"/>
          <w:kern w:val="0"/>
          <w:sz w:val="24"/>
          <w:shd w:val="clear" w:color="auto" w:fill="FFFFFF"/>
          <w:lang w:val="zh-TW" w:eastAsia="zh-TW"/>
        </w:rPr>
        <w:t>。</w:t>
      </w:r>
    </w:p>
    <w:p w14:paraId="147953BE">
      <w:pPr>
        <w:shd w:val="clear" w:color="auto" w:fill="FFFFFF"/>
        <w:spacing w:line="440" w:lineRule="atLeast"/>
        <w:ind w:firstLine="482"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b/>
          <w:color w:val="000000"/>
          <w:kern w:val="0"/>
          <w:sz w:val="24"/>
          <w:shd w:val="clear" w:color="auto" w:fill="FFFFFF"/>
          <w:lang w:val="zh-TW"/>
        </w:rPr>
        <w:t>第十条</w:t>
      </w:r>
      <w:r>
        <w:rPr>
          <w:rFonts w:hint="eastAsia" w:ascii="宋体" w:hAnsi="宋体" w:eastAsia="宋体" w:cs="宋体"/>
          <w:color w:val="000000"/>
          <w:kern w:val="0"/>
          <w:sz w:val="24"/>
          <w:shd w:val="clear" w:color="auto" w:fill="FFFFFF"/>
        </w:rPr>
        <w:t>　</w:t>
      </w:r>
      <w:r>
        <w:rPr>
          <w:rFonts w:hint="eastAsia" w:ascii="宋体" w:hAnsi="宋体" w:eastAsia="宋体" w:cs="宋体"/>
          <w:color w:val="000000"/>
          <w:kern w:val="0"/>
          <w:sz w:val="24"/>
          <w:shd w:val="clear" w:color="auto" w:fill="FFFFFF"/>
          <w:lang w:val="zh-TW" w:eastAsia="zh-TW"/>
        </w:rPr>
        <w:t>执业会员拟转为非执业会员的，应当在申请撤销执业注册时一并提出非执业会员入会申请，经批准办理执业会员撤销注册手续的同时，办理非执业会员入会手续。</w:t>
      </w:r>
    </w:p>
    <w:p w14:paraId="1A394C47">
      <w:pPr>
        <w:shd w:val="clear" w:color="auto" w:fill="FFFFFF"/>
        <w:spacing w:line="440" w:lineRule="atLeast"/>
        <w:ind w:firstLine="482"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b/>
          <w:color w:val="000000"/>
          <w:kern w:val="0"/>
          <w:sz w:val="24"/>
          <w:shd w:val="clear" w:color="auto" w:fill="FFFFFF"/>
          <w:lang w:val="zh-TW"/>
        </w:rPr>
        <w:t>第十一条</w:t>
      </w:r>
      <w:r>
        <w:rPr>
          <w:rFonts w:hint="eastAsia" w:ascii="宋体" w:hAnsi="宋体" w:eastAsia="宋体" w:cs="宋体"/>
          <w:color w:val="000000"/>
          <w:kern w:val="0"/>
          <w:sz w:val="24"/>
          <w:shd w:val="clear" w:color="auto" w:fill="FFFFFF"/>
        </w:rPr>
        <w:t>　</w:t>
      </w:r>
      <w:r>
        <w:rPr>
          <w:rFonts w:hint="eastAsia" w:ascii="宋体" w:hAnsi="宋体" w:eastAsia="宋体" w:cs="宋体"/>
          <w:color w:val="000000"/>
          <w:kern w:val="0"/>
          <w:sz w:val="24"/>
          <w:shd w:val="clear" w:color="auto" w:fill="FFFFFF"/>
          <w:lang w:val="zh-TW" w:eastAsia="zh-TW"/>
        </w:rPr>
        <w:t>非执业会员经批准入会后，按照会员会籍管理权限，由本会或地方协会颁发会员证书（卡）。非执业会员证书（卡）由本会统一编号、统一制作。地方协会颁发的证书，加盖地方协会印章。</w:t>
      </w:r>
    </w:p>
    <w:p w14:paraId="7B3E0B22">
      <w:pPr>
        <w:shd w:val="clear" w:color="auto" w:fill="FFFFFF"/>
        <w:spacing w:line="440" w:lineRule="atLeast"/>
        <w:ind w:firstLine="482"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b/>
          <w:color w:val="000000"/>
          <w:kern w:val="0"/>
          <w:sz w:val="24"/>
          <w:shd w:val="clear" w:color="auto" w:fill="FFFFFF"/>
          <w:lang w:val="zh-TW"/>
        </w:rPr>
        <w:t>第十二条</w:t>
      </w:r>
      <w:r>
        <w:rPr>
          <w:rFonts w:hint="eastAsia" w:ascii="宋体" w:hAnsi="宋体" w:eastAsia="宋体" w:cs="宋体"/>
          <w:color w:val="000000"/>
          <w:kern w:val="0"/>
          <w:sz w:val="24"/>
          <w:shd w:val="clear" w:color="auto" w:fill="FFFFFF"/>
        </w:rPr>
        <w:t>　</w:t>
      </w:r>
      <w:r>
        <w:rPr>
          <w:rFonts w:hint="eastAsia" w:ascii="宋体" w:hAnsi="宋体" w:eastAsia="宋体" w:cs="宋体"/>
          <w:color w:val="000000"/>
          <w:kern w:val="0"/>
          <w:sz w:val="24"/>
          <w:shd w:val="clear" w:color="auto" w:fill="FFFFFF"/>
          <w:lang w:val="zh-TW" w:eastAsia="zh-TW"/>
        </w:rPr>
        <w:t>本会随时受理入会申请。地方协会受理入会申请的时间和次数自行确定，但受理次数每年应当不少于四次。</w:t>
      </w:r>
    </w:p>
    <w:p w14:paraId="2198F434">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第三章　非执业会员的权利和义务</w:t>
      </w:r>
    </w:p>
    <w:p w14:paraId="29B77943">
      <w:pPr>
        <w:shd w:val="clear" w:color="auto" w:fill="FFFFFF"/>
        <w:spacing w:line="440" w:lineRule="atLeast"/>
        <w:ind w:firstLine="482"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b/>
          <w:color w:val="000000"/>
          <w:kern w:val="0"/>
          <w:sz w:val="24"/>
          <w:shd w:val="clear" w:color="auto" w:fill="FFFFFF"/>
        </w:rPr>
        <w:t>第十三条</w:t>
      </w:r>
      <w:r>
        <w:rPr>
          <w:rFonts w:hint="eastAsia" w:ascii="宋体" w:hAnsi="宋体" w:eastAsia="宋体" w:cs="宋体"/>
          <w:color w:val="000000"/>
          <w:kern w:val="0"/>
          <w:sz w:val="24"/>
          <w:shd w:val="clear" w:color="auto" w:fill="FFFFFF"/>
        </w:rPr>
        <w:t>　</w:t>
      </w:r>
      <w:r>
        <w:rPr>
          <w:rFonts w:hint="eastAsia" w:ascii="宋体" w:hAnsi="宋体" w:eastAsia="宋体" w:cs="宋体"/>
          <w:color w:val="000000"/>
          <w:kern w:val="0"/>
          <w:sz w:val="24"/>
          <w:shd w:val="clear" w:color="auto" w:fill="FFFFFF"/>
          <w:lang w:val="zh-TW" w:eastAsia="zh-TW"/>
        </w:rPr>
        <w:t>非执业会员享有以下权利：</w:t>
      </w:r>
    </w:p>
    <w:p w14:paraId="44803896">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rPr>
        <w:t>（</w:t>
      </w:r>
      <w:r>
        <w:rPr>
          <w:rFonts w:hint="eastAsia" w:ascii="宋体" w:hAnsi="宋体" w:eastAsia="宋体" w:cs="宋体"/>
          <w:color w:val="000000"/>
          <w:kern w:val="0"/>
          <w:sz w:val="24"/>
          <w:shd w:val="clear" w:color="auto" w:fill="FFFFFF"/>
          <w:lang w:val="zh-TW" w:eastAsia="zh-TW"/>
        </w:rPr>
        <w:t>一</w:t>
      </w:r>
      <w:r>
        <w:rPr>
          <w:rFonts w:hint="eastAsia" w:ascii="宋体" w:hAnsi="宋体" w:eastAsia="宋体" w:cs="宋体"/>
          <w:color w:val="000000"/>
          <w:kern w:val="0"/>
          <w:sz w:val="24"/>
          <w:shd w:val="clear" w:color="auto" w:fill="FFFFFF"/>
          <w:lang w:val="zh-TW"/>
        </w:rPr>
        <w:t>）</w:t>
      </w:r>
      <w:r>
        <w:rPr>
          <w:rFonts w:hint="eastAsia" w:ascii="宋体" w:hAnsi="宋体" w:eastAsia="宋体" w:cs="宋体"/>
          <w:color w:val="000000"/>
          <w:kern w:val="0"/>
          <w:sz w:val="24"/>
          <w:shd w:val="clear" w:color="auto" w:fill="FFFFFF"/>
          <w:lang w:val="zh-TW" w:eastAsia="zh-TW"/>
        </w:rPr>
        <w:t>选举权、被选举权；</w:t>
      </w:r>
    </w:p>
    <w:p w14:paraId="2C29E8CA">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rPr>
        <w:t>（</w:t>
      </w:r>
      <w:r>
        <w:rPr>
          <w:rFonts w:hint="eastAsia" w:ascii="宋体" w:hAnsi="宋体" w:eastAsia="宋体" w:cs="宋体"/>
          <w:color w:val="000000"/>
          <w:kern w:val="0"/>
          <w:sz w:val="24"/>
          <w:shd w:val="clear" w:color="auto" w:fill="FFFFFF"/>
          <w:lang w:val="zh-TW" w:eastAsia="zh-TW"/>
        </w:rPr>
        <w:t>二</w:t>
      </w:r>
      <w:r>
        <w:rPr>
          <w:rFonts w:hint="eastAsia" w:ascii="宋体" w:hAnsi="宋体" w:eastAsia="宋体" w:cs="宋体"/>
          <w:color w:val="000000"/>
          <w:kern w:val="0"/>
          <w:sz w:val="24"/>
          <w:shd w:val="clear" w:color="auto" w:fill="FFFFFF"/>
          <w:lang w:val="zh-TW"/>
        </w:rPr>
        <w:t>）</w:t>
      </w:r>
      <w:r>
        <w:rPr>
          <w:rFonts w:hint="eastAsia" w:ascii="宋体" w:hAnsi="宋体" w:eastAsia="宋体" w:cs="宋体"/>
          <w:color w:val="000000"/>
          <w:kern w:val="0"/>
          <w:sz w:val="24"/>
          <w:shd w:val="clear" w:color="auto" w:fill="FFFFFF"/>
          <w:lang w:val="zh-TW" w:eastAsia="zh-TW"/>
        </w:rPr>
        <w:t>通过本会向政府有关部门反映行业的意见和建议；</w:t>
      </w:r>
    </w:p>
    <w:p w14:paraId="626974BB">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rPr>
        <w:t>（</w:t>
      </w:r>
      <w:r>
        <w:rPr>
          <w:rFonts w:hint="eastAsia" w:ascii="宋体" w:hAnsi="宋体" w:eastAsia="宋体" w:cs="宋体"/>
          <w:color w:val="000000"/>
          <w:kern w:val="0"/>
          <w:sz w:val="24"/>
          <w:shd w:val="clear" w:color="auto" w:fill="FFFFFF"/>
          <w:lang w:val="zh-TW" w:eastAsia="zh-TW"/>
        </w:rPr>
        <w:t>三</w:t>
      </w:r>
      <w:r>
        <w:rPr>
          <w:rFonts w:hint="eastAsia" w:ascii="宋体" w:hAnsi="宋体" w:eastAsia="宋体" w:cs="宋体"/>
          <w:color w:val="000000"/>
          <w:kern w:val="0"/>
          <w:sz w:val="24"/>
          <w:shd w:val="clear" w:color="auto" w:fill="FFFFFF"/>
          <w:lang w:val="zh-TW"/>
        </w:rPr>
        <w:t>）</w:t>
      </w:r>
      <w:r>
        <w:rPr>
          <w:rFonts w:hint="eastAsia" w:ascii="宋体" w:hAnsi="宋体" w:eastAsia="宋体" w:cs="宋体"/>
          <w:color w:val="000000"/>
          <w:kern w:val="0"/>
          <w:sz w:val="24"/>
          <w:shd w:val="clear" w:color="auto" w:fill="FFFFFF"/>
          <w:lang w:val="zh-TW" w:eastAsia="zh-TW"/>
        </w:rPr>
        <w:t>参加本会举办的学习和专业培训；</w:t>
      </w:r>
    </w:p>
    <w:p w14:paraId="23D000E0">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rPr>
        <w:t>（</w:t>
      </w:r>
      <w:r>
        <w:rPr>
          <w:rFonts w:hint="eastAsia" w:ascii="宋体" w:hAnsi="宋体" w:eastAsia="宋体" w:cs="宋体"/>
          <w:color w:val="000000"/>
          <w:kern w:val="0"/>
          <w:sz w:val="24"/>
          <w:shd w:val="clear" w:color="auto" w:fill="FFFFFF"/>
          <w:lang w:val="zh-TW" w:eastAsia="zh-TW"/>
        </w:rPr>
        <w:t>四</w:t>
      </w:r>
      <w:r>
        <w:rPr>
          <w:rFonts w:hint="eastAsia" w:ascii="宋体" w:hAnsi="宋体" w:eastAsia="宋体" w:cs="宋体"/>
          <w:color w:val="000000"/>
          <w:kern w:val="0"/>
          <w:sz w:val="24"/>
          <w:shd w:val="clear" w:color="auto" w:fill="FFFFFF"/>
          <w:lang w:val="zh-TW"/>
        </w:rPr>
        <w:t>）</w:t>
      </w:r>
      <w:r>
        <w:rPr>
          <w:rFonts w:hint="eastAsia" w:ascii="宋体" w:hAnsi="宋体" w:eastAsia="宋体" w:cs="宋体"/>
          <w:color w:val="000000"/>
          <w:kern w:val="0"/>
          <w:sz w:val="24"/>
          <w:shd w:val="clear" w:color="auto" w:fill="FFFFFF"/>
          <w:lang w:val="zh-TW" w:eastAsia="zh-TW"/>
        </w:rPr>
        <w:t>参加本会组织的有关专业研究和经验交流活动；</w:t>
      </w:r>
    </w:p>
    <w:p w14:paraId="193D8BDC">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rPr>
        <w:t>（</w:t>
      </w:r>
      <w:r>
        <w:rPr>
          <w:rFonts w:hint="eastAsia" w:ascii="宋体" w:hAnsi="宋体" w:eastAsia="宋体" w:cs="宋体"/>
          <w:color w:val="000000"/>
          <w:kern w:val="0"/>
          <w:sz w:val="24"/>
          <w:shd w:val="clear" w:color="auto" w:fill="FFFFFF"/>
          <w:lang w:val="zh-TW" w:eastAsia="zh-TW"/>
        </w:rPr>
        <w:t>五</w:t>
      </w:r>
      <w:r>
        <w:rPr>
          <w:rFonts w:hint="eastAsia" w:ascii="宋体" w:hAnsi="宋体" w:eastAsia="宋体" w:cs="宋体"/>
          <w:color w:val="000000"/>
          <w:kern w:val="0"/>
          <w:sz w:val="24"/>
          <w:shd w:val="clear" w:color="auto" w:fill="FFFFFF"/>
          <w:lang w:val="zh-TW"/>
        </w:rPr>
        <w:t>）</w:t>
      </w:r>
      <w:r>
        <w:rPr>
          <w:rFonts w:hint="eastAsia" w:ascii="宋体" w:hAnsi="宋体" w:eastAsia="宋体" w:cs="宋体"/>
          <w:color w:val="000000"/>
          <w:kern w:val="0"/>
          <w:sz w:val="24"/>
          <w:shd w:val="clear" w:color="auto" w:fill="FFFFFF"/>
          <w:lang w:val="zh-TW" w:eastAsia="zh-TW"/>
        </w:rPr>
        <w:t>优先获得本会的会刊、书刊及行业网络信息等资源；</w:t>
      </w:r>
    </w:p>
    <w:p w14:paraId="0096F93D">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rPr>
        <w:t>（</w:t>
      </w:r>
      <w:r>
        <w:rPr>
          <w:rFonts w:hint="eastAsia" w:ascii="宋体" w:hAnsi="宋体" w:eastAsia="宋体" w:cs="宋体"/>
          <w:color w:val="000000"/>
          <w:kern w:val="0"/>
          <w:sz w:val="24"/>
          <w:shd w:val="clear" w:color="auto" w:fill="FFFFFF"/>
          <w:lang w:val="zh-TW" w:eastAsia="zh-TW"/>
        </w:rPr>
        <w:t>六</w:t>
      </w:r>
      <w:r>
        <w:rPr>
          <w:rFonts w:hint="eastAsia" w:ascii="宋体" w:hAnsi="宋体" w:eastAsia="宋体" w:cs="宋体"/>
          <w:color w:val="000000"/>
          <w:kern w:val="0"/>
          <w:sz w:val="24"/>
          <w:shd w:val="clear" w:color="auto" w:fill="FFFFFF"/>
          <w:lang w:val="zh-TW"/>
        </w:rPr>
        <w:t>）</w:t>
      </w:r>
      <w:r>
        <w:rPr>
          <w:rFonts w:hint="eastAsia" w:ascii="宋体" w:hAnsi="宋体" w:eastAsia="宋体" w:cs="宋体"/>
          <w:color w:val="000000"/>
          <w:kern w:val="0"/>
          <w:sz w:val="24"/>
          <w:shd w:val="clear" w:color="auto" w:fill="FFFFFF"/>
          <w:lang w:val="zh-TW" w:eastAsia="zh-TW"/>
        </w:rPr>
        <w:t>被提名为专门委员会、专业委员会委员候选人；</w:t>
      </w:r>
    </w:p>
    <w:p w14:paraId="3E92B3B4">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rPr>
        <w:t>（</w:t>
      </w:r>
      <w:r>
        <w:rPr>
          <w:rFonts w:hint="eastAsia" w:ascii="宋体" w:hAnsi="宋体" w:eastAsia="宋体" w:cs="宋体"/>
          <w:color w:val="000000"/>
          <w:kern w:val="0"/>
          <w:sz w:val="24"/>
          <w:shd w:val="clear" w:color="auto" w:fill="FFFFFF"/>
          <w:lang w:val="zh-TW" w:eastAsia="zh-TW"/>
        </w:rPr>
        <w:t>七</w:t>
      </w:r>
      <w:r>
        <w:rPr>
          <w:rFonts w:hint="eastAsia" w:ascii="宋体" w:hAnsi="宋体" w:eastAsia="宋体" w:cs="宋体"/>
          <w:color w:val="000000"/>
          <w:kern w:val="0"/>
          <w:sz w:val="24"/>
          <w:shd w:val="clear" w:color="auto" w:fill="FFFFFF"/>
          <w:lang w:val="zh-TW"/>
        </w:rPr>
        <w:t>）</w:t>
      </w:r>
      <w:r>
        <w:rPr>
          <w:rFonts w:hint="eastAsia" w:ascii="宋体" w:hAnsi="宋体" w:eastAsia="宋体" w:cs="宋体"/>
          <w:color w:val="000000"/>
          <w:kern w:val="0"/>
          <w:sz w:val="24"/>
          <w:shd w:val="clear" w:color="auto" w:fill="FFFFFF"/>
          <w:lang w:val="zh-TW" w:eastAsia="zh-TW"/>
        </w:rPr>
        <w:t>对本会工作有监督、建议权；</w:t>
      </w:r>
    </w:p>
    <w:p w14:paraId="204AFF1C">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rPr>
        <w:t>（</w:t>
      </w:r>
      <w:r>
        <w:rPr>
          <w:rFonts w:hint="eastAsia" w:ascii="宋体" w:hAnsi="宋体" w:eastAsia="宋体" w:cs="宋体"/>
          <w:color w:val="000000"/>
          <w:kern w:val="0"/>
          <w:sz w:val="24"/>
          <w:shd w:val="clear" w:color="auto" w:fill="FFFFFF"/>
          <w:lang w:val="zh-TW" w:eastAsia="zh-TW"/>
        </w:rPr>
        <w:t>八</w:t>
      </w:r>
      <w:r>
        <w:rPr>
          <w:rFonts w:hint="eastAsia" w:ascii="宋体" w:hAnsi="宋体" w:eastAsia="宋体" w:cs="宋体"/>
          <w:color w:val="000000"/>
          <w:kern w:val="0"/>
          <w:sz w:val="24"/>
          <w:shd w:val="clear" w:color="auto" w:fill="FFFFFF"/>
          <w:lang w:val="zh-TW"/>
        </w:rPr>
        <w:t>）</w:t>
      </w:r>
      <w:r>
        <w:rPr>
          <w:rFonts w:hint="eastAsia" w:ascii="宋体" w:hAnsi="宋体" w:eastAsia="宋体" w:cs="宋体"/>
          <w:color w:val="000000"/>
          <w:kern w:val="0"/>
          <w:sz w:val="24"/>
          <w:shd w:val="clear" w:color="auto" w:fill="FFFFFF"/>
          <w:lang w:val="zh-TW" w:eastAsia="zh-TW"/>
        </w:rPr>
        <w:t>按规定退会。</w:t>
      </w:r>
    </w:p>
    <w:p w14:paraId="448155E1">
      <w:pPr>
        <w:shd w:val="clear" w:color="auto" w:fill="FFFFFF"/>
        <w:spacing w:line="440" w:lineRule="atLeast"/>
        <w:ind w:firstLine="482"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b/>
          <w:color w:val="000000"/>
          <w:kern w:val="0"/>
          <w:sz w:val="24"/>
          <w:shd w:val="clear" w:color="auto" w:fill="FFFFFF"/>
          <w:lang w:val="zh-TW"/>
        </w:rPr>
        <w:t>第十四条</w:t>
      </w:r>
      <w:r>
        <w:rPr>
          <w:rFonts w:hint="eastAsia" w:ascii="黑体" w:hAnsi="黑体" w:eastAsia="黑体" w:cs="黑体"/>
          <w:bCs/>
          <w:color w:val="000000"/>
          <w:kern w:val="0"/>
          <w:sz w:val="28"/>
          <w:szCs w:val="28"/>
          <w:shd w:val="clear" w:color="auto" w:fill="FFFFFF"/>
        </w:rPr>
        <w:t>　</w:t>
      </w:r>
      <w:r>
        <w:rPr>
          <w:rFonts w:hint="eastAsia" w:ascii="宋体" w:hAnsi="宋体" w:eastAsia="宋体" w:cs="宋体"/>
          <w:color w:val="000000"/>
          <w:kern w:val="0"/>
          <w:sz w:val="24"/>
          <w:shd w:val="clear" w:color="auto" w:fill="FFFFFF"/>
          <w:lang w:val="zh-TW" w:eastAsia="zh-TW"/>
        </w:rPr>
        <w:t>非执业会员应当履行下列义务：</w:t>
      </w:r>
    </w:p>
    <w:p w14:paraId="09AF2567">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rPr>
        <w:t>（</w:t>
      </w:r>
      <w:r>
        <w:rPr>
          <w:rFonts w:hint="eastAsia" w:ascii="宋体" w:hAnsi="宋体" w:eastAsia="宋体" w:cs="宋体"/>
          <w:color w:val="000000"/>
          <w:kern w:val="0"/>
          <w:sz w:val="24"/>
          <w:shd w:val="clear" w:color="auto" w:fill="FFFFFF"/>
          <w:lang w:val="zh-TW" w:eastAsia="zh-TW"/>
        </w:rPr>
        <w:t>一</w:t>
      </w:r>
      <w:r>
        <w:rPr>
          <w:rFonts w:hint="eastAsia" w:ascii="宋体" w:hAnsi="宋体" w:eastAsia="宋体" w:cs="宋体"/>
          <w:color w:val="000000"/>
          <w:kern w:val="0"/>
          <w:sz w:val="24"/>
          <w:shd w:val="clear" w:color="auto" w:fill="FFFFFF"/>
          <w:lang w:val="zh-TW"/>
        </w:rPr>
        <w:t>）</w:t>
      </w:r>
      <w:r>
        <w:rPr>
          <w:rFonts w:hint="eastAsia" w:ascii="宋体" w:hAnsi="宋体" w:eastAsia="宋体" w:cs="宋体"/>
          <w:color w:val="000000"/>
          <w:kern w:val="0"/>
          <w:sz w:val="24"/>
          <w:shd w:val="clear" w:color="auto" w:fill="FFFFFF"/>
          <w:lang w:val="zh-TW" w:eastAsia="zh-TW"/>
        </w:rPr>
        <w:t>遵守本会章程；</w:t>
      </w:r>
    </w:p>
    <w:p w14:paraId="6DBA5EDE">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rPr>
        <w:t>（</w:t>
      </w:r>
      <w:r>
        <w:rPr>
          <w:rFonts w:hint="eastAsia" w:ascii="宋体" w:hAnsi="宋体" w:eastAsia="宋体" w:cs="宋体"/>
          <w:color w:val="000000"/>
          <w:kern w:val="0"/>
          <w:sz w:val="24"/>
          <w:shd w:val="clear" w:color="auto" w:fill="FFFFFF"/>
          <w:lang w:val="zh-TW" w:eastAsia="zh-TW"/>
        </w:rPr>
        <w:t>二</w:t>
      </w:r>
      <w:r>
        <w:rPr>
          <w:rFonts w:hint="eastAsia" w:ascii="宋体" w:hAnsi="宋体" w:eastAsia="宋体" w:cs="宋体"/>
          <w:color w:val="000000"/>
          <w:kern w:val="0"/>
          <w:sz w:val="24"/>
          <w:shd w:val="clear" w:color="auto" w:fill="FFFFFF"/>
          <w:lang w:val="zh-TW"/>
        </w:rPr>
        <w:t>）</w:t>
      </w:r>
      <w:r>
        <w:rPr>
          <w:rFonts w:hint="eastAsia" w:ascii="宋体" w:hAnsi="宋体" w:eastAsia="宋体" w:cs="宋体"/>
          <w:color w:val="000000"/>
          <w:kern w:val="0"/>
          <w:sz w:val="24"/>
          <w:shd w:val="clear" w:color="auto" w:fill="FFFFFF"/>
          <w:lang w:val="zh-TW" w:eastAsia="zh-TW"/>
        </w:rPr>
        <w:t>执行本会决议和制度；</w:t>
      </w:r>
    </w:p>
    <w:p w14:paraId="577005E0">
      <w:pPr>
        <w:shd w:val="clear" w:color="auto" w:fill="FFFFFF"/>
        <w:spacing w:line="440" w:lineRule="atLeast"/>
        <w:ind w:firstLine="480" w:firstLineChars="200"/>
        <w:rPr>
          <w:rFonts w:ascii="宋体" w:hAnsi="宋体" w:eastAsia="宋体" w:cs="宋体"/>
          <w:color w:val="000000"/>
          <w:kern w:val="0"/>
          <w:sz w:val="24"/>
          <w:shd w:val="clear" w:color="auto" w:fill="FFFFFF"/>
          <w:lang w:val="zh-TW"/>
        </w:rPr>
      </w:pPr>
      <w:r>
        <w:rPr>
          <w:rFonts w:hint="eastAsia" w:ascii="宋体" w:hAnsi="宋体" w:eastAsia="宋体" w:cs="宋体"/>
          <w:color w:val="000000"/>
          <w:kern w:val="0"/>
          <w:sz w:val="24"/>
          <w:shd w:val="clear" w:color="auto" w:fill="FFFFFF"/>
          <w:lang w:val="zh-TW"/>
        </w:rPr>
        <w:t>（</w:t>
      </w:r>
      <w:r>
        <w:rPr>
          <w:rFonts w:hint="eastAsia" w:ascii="宋体" w:hAnsi="宋体" w:eastAsia="宋体" w:cs="宋体"/>
          <w:color w:val="000000"/>
          <w:kern w:val="0"/>
          <w:sz w:val="24"/>
          <w:shd w:val="clear" w:color="auto" w:fill="FFFFFF"/>
          <w:lang w:val="zh-TW" w:eastAsia="zh-TW"/>
        </w:rPr>
        <w:t>三</w:t>
      </w:r>
      <w:r>
        <w:rPr>
          <w:rFonts w:hint="eastAsia" w:ascii="宋体" w:hAnsi="宋体" w:eastAsia="宋体" w:cs="宋体"/>
          <w:color w:val="000000"/>
          <w:kern w:val="0"/>
          <w:sz w:val="24"/>
          <w:shd w:val="clear" w:color="auto" w:fill="FFFFFF"/>
          <w:lang w:val="zh-TW"/>
        </w:rPr>
        <w:t>）</w:t>
      </w:r>
      <w:r>
        <w:rPr>
          <w:rFonts w:hint="eastAsia" w:ascii="宋体" w:hAnsi="宋体" w:eastAsia="宋体" w:cs="宋体"/>
          <w:color w:val="000000"/>
          <w:kern w:val="0"/>
          <w:sz w:val="24"/>
          <w:shd w:val="clear" w:color="auto" w:fill="FFFFFF"/>
          <w:lang w:val="zh-TW" w:eastAsia="zh-TW"/>
        </w:rPr>
        <w:t>接受本会或地方协会的监督和管理；</w:t>
      </w:r>
      <w:r>
        <w:rPr>
          <w:rFonts w:hint="eastAsia" w:ascii="宋体" w:hAnsi="宋体" w:eastAsia="宋体" w:cs="宋体"/>
          <w:color w:val="000000"/>
          <w:kern w:val="0"/>
          <w:sz w:val="24"/>
          <w:shd w:val="clear" w:color="auto" w:fill="FFFFFF"/>
          <w:lang w:val="zh-TW"/>
        </w:rPr>
        <w:t>　</w:t>
      </w:r>
    </w:p>
    <w:p w14:paraId="36091118">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rPr>
        <w:t>（</w:t>
      </w:r>
      <w:r>
        <w:rPr>
          <w:rFonts w:hint="eastAsia" w:ascii="宋体" w:hAnsi="宋体" w:eastAsia="宋体" w:cs="宋体"/>
          <w:color w:val="000000"/>
          <w:kern w:val="0"/>
          <w:sz w:val="24"/>
          <w:shd w:val="clear" w:color="auto" w:fill="FFFFFF"/>
          <w:lang w:val="zh-TW" w:eastAsia="zh-TW"/>
        </w:rPr>
        <w:t>四</w:t>
      </w:r>
      <w:r>
        <w:rPr>
          <w:rFonts w:hint="eastAsia" w:ascii="宋体" w:hAnsi="宋体" w:eastAsia="宋体" w:cs="宋体"/>
          <w:color w:val="000000"/>
          <w:kern w:val="0"/>
          <w:sz w:val="24"/>
          <w:shd w:val="clear" w:color="auto" w:fill="FFFFFF"/>
          <w:lang w:val="zh-TW"/>
        </w:rPr>
        <w:t>）</w:t>
      </w:r>
      <w:r>
        <w:rPr>
          <w:rFonts w:hint="eastAsia" w:ascii="宋体" w:hAnsi="宋体" w:eastAsia="宋体" w:cs="宋体"/>
          <w:color w:val="000000"/>
          <w:kern w:val="0"/>
          <w:sz w:val="24"/>
          <w:shd w:val="clear" w:color="auto" w:fill="FFFFFF"/>
          <w:lang w:val="zh-TW" w:eastAsia="zh-TW"/>
        </w:rPr>
        <w:t>维护会员团结、行业职业信誉和本会声誉；</w:t>
      </w:r>
    </w:p>
    <w:p w14:paraId="198AFF43">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rPr>
        <w:t>（</w:t>
      </w:r>
      <w:r>
        <w:rPr>
          <w:rFonts w:hint="eastAsia" w:ascii="宋体" w:hAnsi="宋体" w:eastAsia="宋体" w:cs="宋体"/>
          <w:color w:val="000000"/>
          <w:kern w:val="0"/>
          <w:sz w:val="24"/>
          <w:shd w:val="clear" w:color="auto" w:fill="FFFFFF"/>
          <w:lang w:val="zh-TW" w:eastAsia="zh-TW"/>
        </w:rPr>
        <w:t>五</w:t>
      </w:r>
      <w:r>
        <w:rPr>
          <w:rFonts w:hint="eastAsia" w:ascii="宋体" w:hAnsi="宋体" w:eastAsia="宋体" w:cs="宋体"/>
          <w:color w:val="000000"/>
          <w:kern w:val="0"/>
          <w:sz w:val="24"/>
          <w:shd w:val="clear" w:color="auto" w:fill="FFFFFF"/>
          <w:lang w:val="zh-TW"/>
        </w:rPr>
        <w:t>）</w:t>
      </w:r>
      <w:r>
        <w:rPr>
          <w:rFonts w:hint="eastAsia" w:ascii="宋体" w:hAnsi="宋体" w:eastAsia="宋体" w:cs="宋体"/>
          <w:color w:val="000000"/>
          <w:kern w:val="0"/>
          <w:sz w:val="24"/>
          <w:shd w:val="clear" w:color="auto" w:fill="FFFFFF"/>
          <w:lang w:val="zh-TW" w:eastAsia="zh-TW"/>
        </w:rPr>
        <w:t>按规定交纳会费；</w:t>
      </w:r>
    </w:p>
    <w:p w14:paraId="49E533A3">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rPr>
        <w:t>（</w:t>
      </w:r>
      <w:r>
        <w:rPr>
          <w:rFonts w:hint="eastAsia" w:ascii="宋体" w:hAnsi="宋体" w:eastAsia="宋体" w:cs="宋体"/>
          <w:color w:val="000000"/>
          <w:kern w:val="0"/>
          <w:sz w:val="24"/>
          <w:shd w:val="clear" w:color="auto" w:fill="FFFFFF"/>
          <w:lang w:val="zh-TW" w:eastAsia="zh-TW"/>
        </w:rPr>
        <w:t>六</w:t>
      </w:r>
      <w:r>
        <w:rPr>
          <w:rFonts w:hint="eastAsia" w:ascii="宋体" w:hAnsi="宋体" w:eastAsia="宋体" w:cs="宋体"/>
          <w:color w:val="000000"/>
          <w:kern w:val="0"/>
          <w:sz w:val="24"/>
          <w:shd w:val="clear" w:color="auto" w:fill="FFFFFF"/>
          <w:lang w:val="zh-TW"/>
        </w:rPr>
        <w:t>）</w:t>
      </w:r>
      <w:r>
        <w:rPr>
          <w:rFonts w:hint="eastAsia" w:ascii="宋体" w:hAnsi="宋体" w:eastAsia="宋体" w:cs="宋体"/>
          <w:color w:val="000000"/>
          <w:kern w:val="0"/>
          <w:sz w:val="24"/>
          <w:shd w:val="clear" w:color="auto" w:fill="FFFFFF"/>
          <w:lang w:val="zh-TW" w:eastAsia="zh-TW"/>
        </w:rPr>
        <w:t>按规定接受继续教育；</w:t>
      </w:r>
    </w:p>
    <w:p w14:paraId="19E2EDFC">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rPr>
        <w:t>（</w:t>
      </w:r>
      <w:r>
        <w:rPr>
          <w:rFonts w:hint="eastAsia" w:ascii="宋体" w:hAnsi="宋体" w:eastAsia="宋体" w:cs="宋体"/>
          <w:color w:val="000000"/>
          <w:kern w:val="0"/>
          <w:sz w:val="24"/>
          <w:shd w:val="clear" w:color="auto" w:fill="FFFFFF"/>
          <w:lang w:val="zh-TW" w:eastAsia="zh-TW"/>
        </w:rPr>
        <w:t>七</w:t>
      </w:r>
      <w:r>
        <w:rPr>
          <w:rFonts w:hint="eastAsia" w:ascii="宋体" w:hAnsi="宋体" w:eastAsia="宋体" w:cs="宋体"/>
          <w:color w:val="000000"/>
          <w:kern w:val="0"/>
          <w:sz w:val="24"/>
          <w:shd w:val="clear" w:color="auto" w:fill="FFFFFF"/>
          <w:lang w:val="zh-TW"/>
        </w:rPr>
        <w:t>）</w:t>
      </w:r>
      <w:r>
        <w:rPr>
          <w:rFonts w:hint="eastAsia" w:ascii="宋体" w:hAnsi="宋体" w:eastAsia="宋体" w:cs="宋体"/>
          <w:color w:val="000000"/>
          <w:kern w:val="0"/>
          <w:sz w:val="24"/>
          <w:shd w:val="clear" w:color="auto" w:fill="FFFFFF"/>
          <w:lang w:val="zh-TW" w:eastAsia="zh-TW"/>
        </w:rPr>
        <w:t>承担或协助完成本会委托的任务。</w:t>
      </w:r>
    </w:p>
    <w:p w14:paraId="2CF6D3DF">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第四章　非执业会员的日常管理</w:t>
      </w:r>
    </w:p>
    <w:p w14:paraId="2549CF57">
      <w:pPr>
        <w:shd w:val="clear" w:color="auto" w:fill="FFFFFF"/>
        <w:spacing w:line="440" w:lineRule="atLeast"/>
        <w:ind w:firstLine="482"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b/>
          <w:color w:val="000000"/>
          <w:kern w:val="0"/>
          <w:sz w:val="24"/>
          <w:shd w:val="clear" w:color="auto" w:fill="FFFFFF"/>
        </w:rPr>
        <w:t>第十五条</w:t>
      </w:r>
      <w:r>
        <w:rPr>
          <w:rFonts w:hint="eastAsia" w:ascii="宋体" w:hAnsi="宋体" w:eastAsia="宋体" w:cs="宋体"/>
          <w:color w:val="000000"/>
          <w:kern w:val="0"/>
          <w:sz w:val="24"/>
          <w:shd w:val="clear" w:color="auto" w:fill="FFFFFF"/>
        </w:rPr>
        <w:t>　</w:t>
      </w:r>
      <w:r>
        <w:rPr>
          <w:rFonts w:hint="eastAsia" w:ascii="宋体" w:hAnsi="宋体" w:eastAsia="宋体" w:cs="宋体"/>
          <w:color w:val="000000"/>
          <w:kern w:val="0"/>
          <w:sz w:val="24"/>
          <w:shd w:val="clear" w:color="auto" w:fill="FFFFFF"/>
          <w:lang w:val="zh-TW" w:eastAsia="zh-TW"/>
        </w:rPr>
        <w:t>非执业会员申请注册资产评估师注册获得批准后，其非执业会员身份自动取消，交回非执业会员证书（卡）。</w:t>
      </w:r>
    </w:p>
    <w:p w14:paraId="536F0518">
      <w:pPr>
        <w:shd w:val="clear" w:color="auto" w:fill="FFFFFF"/>
        <w:spacing w:line="440" w:lineRule="atLeast"/>
        <w:ind w:firstLine="482"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b/>
          <w:color w:val="000000"/>
          <w:kern w:val="0"/>
          <w:sz w:val="24"/>
          <w:shd w:val="clear" w:color="auto" w:fill="FFFFFF"/>
          <w:lang w:val="zh-TW"/>
        </w:rPr>
        <w:t>第十六条</w:t>
      </w:r>
      <w:r>
        <w:rPr>
          <w:rFonts w:hint="eastAsia" w:ascii="宋体" w:hAnsi="宋体" w:eastAsia="宋体" w:cs="宋体"/>
          <w:color w:val="000000"/>
          <w:kern w:val="0"/>
          <w:sz w:val="24"/>
          <w:shd w:val="clear" w:color="auto" w:fill="FFFFFF"/>
        </w:rPr>
        <w:t>　</w:t>
      </w:r>
      <w:r>
        <w:rPr>
          <w:rFonts w:hint="eastAsia" w:ascii="宋体" w:hAnsi="宋体" w:eastAsia="宋体" w:cs="宋体"/>
          <w:color w:val="000000"/>
          <w:kern w:val="0"/>
          <w:sz w:val="24"/>
          <w:shd w:val="clear" w:color="auto" w:fill="FFFFFF"/>
          <w:lang w:val="zh-TW" w:eastAsia="zh-TW"/>
        </w:rPr>
        <w:t>非执业会员的姓名、身份证号码、政治面貌、职称、学历、工作单位、通讯方式等登记项目发生变更的，应当自变更之日起30日内，由本人通过资产评估会员管理系统更改相关信息，并按会员会籍管理权限将变更的信息报本会或所在地地方协会备案（附表3）。</w:t>
      </w:r>
    </w:p>
    <w:p w14:paraId="66C16E81">
      <w:pPr>
        <w:shd w:val="clear" w:color="auto" w:fill="FFFFFF"/>
        <w:spacing w:line="440" w:lineRule="atLeast"/>
        <w:ind w:firstLine="482"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b/>
          <w:color w:val="000000"/>
          <w:kern w:val="0"/>
          <w:sz w:val="24"/>
          <w:shd w:val="clear" w:color="auto" w:fill="FFFFFF"/>
          <w:lang w:val="zh-TW"/>
        </w:rPr>
        <w:t>第十七条</w:t>
      </w:r>
      <w:r>
        <w:rPr>
          <w:rFonts w:hint="eastAsia" w:ascii="宋体" w:hAnsi="宋体" w:eastAsia="宋体" w:cs="宋体"/>
          <w:color w:val="000000"/>
          <w:kern w:val="0"/>
          <w:sz w:val="24"/>
          <w:shd w:val="clear" w:color="auto" w:fill="FFFFFF"/>
        </w:rPr>
        <w:t>　</w:t>
      </w:r>
      <w:r>
        <w:rPr>
          <w:rFonts w:hint="eastAsia" w:ascii="宋体" w:hAnsi="宋体" w:eastAsia="宋体" w:cs="宋体"/>
          <w:color w:val="000000"/>
          <w:kern w:val="0"/>
          <w:sz w:val="24"/>
          <w:shd w:val="clear" w:color="auto" w:fill="FFFFFF"/>
          <w:lang w:val="zh-TW" w:eastAsia="zh-TW"/>
        </w:rPr>
        <w:t>非执业会员跨省工作变动的，应先到原所在地地方协会办理会员资格转出手续，然后到转入地地方协会办理会员资格转入手续。具体程序为：</w:t>
      </w:r>
    </w:p>
    <w:p w14:paraId="645CFCF7">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rPr>
        <w:t>（</w:t>
      </w:r>
      <w:r>
        <w:rPr>
          <w:rFonts w:hint="eastAsia" w:ascii="宋体" w:hAnsi="宋体" w:eastAsia="宋体" w:cs="宋体"/>
          <w:color w:val="000000"/>
          <w:kern w:val="0"/>
          <w:sz w:val="24"/>
          <w:shd w:val="clear" w:color="auto" w:fill="FFFFFF"/>
          <w:lang w:val="zh-TW" w:eastAsia="zh-TW"/>
        </w:rPr>
        <w:t>一</w:t>
      </w:r>
      <w:r>
        <w:rPr>
          <w:rFonts w:hint="eastAsia" w:ascii="宋体" w:hAnsi="宋体" w:eastAsia="宋体" w:cs="宋体"/>
          <w:color w:val="000000"/>
          <w:kern w:val="0"/>
          <w:sz w:val="24"/>
          <w:shd w:val="clear" w:color="auto" w:fill="FFFFFF"/>
          <w:lang w:val="zh-TW"/>
        </w:rPr>
        <w:t>）</w:t>
      </w:r>
      <w:r>
        <w:rPr>
          <w:rFonts w:hint="eastAsia" w:ascii="宋体" w:hAnsi="宋体" w:eastAsia="宋体" w:cs="宋体"/>
          <w:color w:val="000000"/>
          <w:kern w:val="0"/>
          <w:sz w:val="24"/>
          <w:shd w:val="clear" w:color="auto" w:fill="FFFFFF"/>
          <w:lang w:val="zh-TW" w:eastAsia="zh-TW"/>
        </w:rPr>
        <w:t>本人向转出地地方协会提出转会申请并填写《中国资产评估协会非执业会员转会申请表》（附表4）；</w:t>
      </w:r>
    </w:p>
    <w:p w14:paraId="7F270351">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rPr>
        <w:t>（</w:t>
      </w:r>
      <w:r>
        <w:rPr>
          <w:rFonts w:hint="eastAsia" w:ascii="宋体" w:hAnsi="宋体" w:eastAsia="宋体" w:cs="宋体"/>
          <w:color w:val="000000"/>
          <w:kern w:val="0"/>
          <w:sz w:val="24"/>
          <w:shd w:val="clear" w:color="auto" w:fill="FFFFFF"/>
          <w:lang w:val="zh-TW" w:eastAsia="zh-TW"/>
        </w:rPr>
        <w:t>二</w:t>
      </w:r>
      <w:r>
        <w:rPr>
          <w:rFonts w:hint="eastAsia" w:ascii="宋体" w:hAnsi="宋体" w:eastAsia="宋体" w:cs="宋体"/>
          <w:color w:val="000000"/>
          <w:kern w:val="0"/>
          <w:sz w:val="24"/>
          <w:shd w:val="clear" w:color="auto" w:fill="FFFFFF"/>
          <w:lang w:val="zh-TW"/>
        </w:rPr>
        <w:t>）</w:t>
      </w:r>
      <w:r>
        <w:rPr>
          <w:rFonts w:hint="eastAsia" w:ascii="宋体" w:hAnsi="宋体" w:eastAsia="宋体" w:cs="宋体"/>
          <w:color w:val="000000"/>
          <w:kern w:val="0"/>
          <w:sz w:val="24"/>
          <w:shd w:val="clear" w:color="auto" w:fill="FFFFFF"/>
          <w:lang w:val="zh-TW" w:eastAsia="zh-TW"/>
        </w:rPr>
        <w:t>转出地地方协会接到申请后10个工作日内，应当在《中国资产评估协会非执业会员转会申请表》上签署意见，包括该会员的会费缴纳情况、参加继续教育情况、定期检查情况等事项；</w:t>
      </w:r>
    </w:p>
    <w:p w14:paraId="120FB27F">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rPr>
        <w:t>（</w:t>
      </w:r>
      <w:r>
        <w:rPr>
          <w:rFonts w:hint="eastAsia" w:ascii="宋体" w:hAnsi="宋体" w:eastAsia="宋体" w:cs="宋体"/>
          <w:color w:val="000000"/>
          <w:kern w:val="0"/>
          <w:sz w:val="24"/>
          <w:shd w:val="clear" w:color="auto" w:fill="FFFFFF"/>
          <w:lang w:val="zh-TW" w:eastAsia="zh-TW"/>
        </w:rPr>
        <w:t>三</w:t>
      </w:r>
      <w:r>
        <w:rPr>
          <w:rFonts w:hint="eastAsia" w:ascii="宋体" w:hAnsi="宋体" w:eastAsia="宋体" w:cs="宋体"/>
          <w:color w:val="000000"/>
          <w:kern w:val="0"/>
          <w:sz w:val="24"/>
          <w:shd w:val="clear" w:color="auto" w:fill="FFFFFF"/>
          <w:lang w:val="zh-TW"/>
        </w:rPr>
        <w:t>）</w:t>
      </w:r>
      <w:r>
        <w:rPr>
          <w:rFonts w:hint="eastAsia" w:ascii="宋体" w:hAnsi="宋体" w:eastAsia="宋体" w:cs="宋体"/>
          <w:color w:val="000000"/>
          <w:kern w:val="0"/>
          <w:sz w:val="24"/>
          <w:shd w:val="clear" w:color="auto" w:fill="FFFFFF"/>
          <w:lang w:val="zh-TW" w:eastAsia="zh-TW"/>
        </w:rPr>
        <w:t>转入地地方协会接到经转出地地方协会签署意见的《中国资产评估协会非执业会员转会申请表》后，应当在10个工作日内与该会员取得联系，办理相关手续。</w:t>
      </w:r>
    </w:p>
    <w:p w14:paraId="3D3EF8D9">
      <w:pPr>
        <w:shd w:val="clear" w:color="auto" w:fill="FFFFFF"/>
        <w:spacing w:line="440" w:lineRule="atLeast"/>
        <w:ind w:firstLine="482"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b/>
          <w:color w:val="000000"/>
          <w:kern w:val="0"/>
          <w:sz w:val="24"/>
          <w:shd w:val="clear" w:color="auto" w:fill="FFFFFF"/>
          <w:lang w:val="zh-TW"/>
        </w:rPr>
        <w:t>第十八条</w:t>
      </w:r>
      <w:r>
        <w:rPr>
          <w:rFonts w:hint="eastAsia" w:ascii="宋体" w:hAnsi="宋体" w:eastAsia="宋体" w:cs="宋体"/>
          <w:color w:val="000000"/>
          <w:kern w:val="0"/>
          <w:sz w:val="24"/>
          <w:shd w:val="clear" w:color="auto" w:fill="FFFFFF"/>
        </w:rPr>
        <w:t>　</w:t>
      </w:r>
      <w:r>
        <w:rPr>
          <w:rFonts w:hint="eastAsia" w:ascii="宋体" w:hAnsi="宋体" w:eastAsia="宋体" w:cs="宋体"/>
          <w:color w:val="000000"/>
          <w:kern w:val="0"/>
          <w:sz w:val="24"/>
          <w:shd w:val="clear" w:color="auto" w:fill="FFFFFF"/>
          <w:lang w:val="zh-TW" w:eastAsia="zh-TW"/>
        </w:rPr>
        <w:t>会员申请退出本会,应当按会员会籍管理权限,向本会或所在地地方协会提交书面退会申请,经批准予以退会的，交回非执业会员证书（卡）。地方协会应将批准会员退会情况报本会备案。</w:t>
      </w:r>
    </w:p>
    <w:p w14:paraId="4EB3F6FC">
      <w:pPr>
        <w:shd w:val="clear" w:color="auto" w:fill="FFFFFF"/>
        <w:spacing w:line="440" w:lineRule="atLeast"/>
        <w:ind w:firstLine="482"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b/>
          <w:color w:val="000000"/>
          <w:kern w:val="0"/>
          <w:sz w:val="24"/>
          <w:shd w:val="clear" w:color="auto" w:fill="FFFFFF"/>
          <w:lang w:val="zh-TW"/>
        </w:rPr>
        <w:t>第十九条</w:t>
      </w:r>
      <w:r>
        <w:rPr>
          <w:rFonts w:hint="eastAsia" w:ascii="宋体" w:hAnsi="宋体" w:eastAsia="宋体" w:cs="宋体"/>
          <w:color w:val="000000"/>
          <w:kern w:val="0"/>
          <w:sz w:val="24"/>
          <w:shd w:val="clear" w:color="auto" w:fill="FFFFFF"/>
        </w:rPr>
        <w:t>　</w:t>
      </w:r>
      <w:r>
        <w:rPr>
          <w:rFonts w:hint="eastAsia" w:ascii="宋体" w:hAnsi="宋体" w:eastAsia="宋体" w:cs="宋体"/>
          <w:color w:val="000000"/>
          <w:kern w:val="0"/>
          <w:sz w:val="24"/>
          <w:shd w:val="clear" w:color="auto" w:fill="FFFFFF"/>
          <w:lang w:val="zh-TW" w:eastAsia="zh-TW"/>
        </w:rPr>
        <w:t>对拒不履行本办法规定义务的非执业会员，本会或所在地地方协会可劝其退会或予以除名。地方协会办理的，须报本会备案。</w:t>
      </w:r>
    </w:p>
    <w:p w14:paraId="470012AC">
      <w:pPr>
        <w:shd w:val="clear" w:color="auto" w:fill="FFFFFF"/>
        <w:spacing w:line="440" w:lineRule="atLeast"/>
        <w:ind w:firstLine="482"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b/>
          <w:color w:val="000000"/>
          <w:kern w:val="0"/>
          <w:sz w:val="24"/>
          <w:shd w:val="clear" w:color="auto" w:fill="FFFFFF"/>
          <w:lang w:val="zh-TW"/>
        </w:rPr>
        <w:t>第二十条</w:t>
      </w:r>
      <w:r>
        <w:rPr>
          <w:rFonts w:hint="eastAsia" w:ascii="宋体" w:hAnsi="宋体" w:eastAsia="宋体" w:cs="宋体"/>
          <w:color w:val="000000"/>
          <w:kern w:val="0"/>
          <w:sz w:val="24"/>
          <w:shd w:val="clear" w:color="auto" w:fill="FFFFFF"/>
        </w:rPr>
        <w:t>　</w:t>
      </w:r>
      <w:r>
        <w:rPr>
          <w:rFonts w:hint="eastAsia" w:ascii="宋体" w:hAnsi="宋体" w:eastAsia="宋体" w:cs="宋体"/>
          <w:color w:val="000000"/>
          <w:kern w:val="0"/>
          <w:sz w:val="24"/>
          <w:shd w:val="clear" w:color="auto" w:fill="FFFFFF"/>
          <w:lang w:val="zh-TW" w:eastAsia="zh-TW"/>
        </w:rPr>
        <w:t>有下列情形之一者,</w:t>
      </w:r>
      <w:r>
        <w:rPr>
          <w:rFonts w:hint="eastAsia" w:ascii="宋体" w:hAnsi="宋体" w:eastAsia="宋体" w:cs="宋体"/>
          <w:color w:val="000000"/>
          <w:kern w:val="0"/>
          <w:sz w:val="24"/>
          <w:shd w:val="clear" w:color="auto" w:fill="FFFFFF"/>
          <w:lang w:val="zh-TW"/>
        </w:rPr>
        <w:t>　</w:t>
      </w:r>
      <w:r>
        <w:rPr>
          <w:rFonts w:hint="eastAsia" w:ascii="宋体" w:hAnsi="宋体" w:eastAsia="宋体" w:cs="宋体"/>
          <w:color w:val="000000"/>
          <w:kern w:val="0"/>
          <w:sz w:val="24"/>
          <w:shd w:val="clear" w:color="auto" w:fill="FFFFFF"/>
          <w:lang w:val="zh-TW" w:eastAsia="zh-TW"/>
        </w:rPr>
        <w:t>按照本会规定的会员会籍管理权限，由本会或地方协会取消其非执业会员资格，并在协会网站上公布，其非执业会员证书（卡）作废。地方协会作出取消决定的，须报本会备案。</w:t>
      </w:r>
    </w:p>
    <w:p w14:paraId="5DB17E8A">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（一）自行退会的；</w:t>
      </w:r>
    </w:p>
    <w:p w14:paraId="261FE300">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bookmarkStart w:id="93" w:name="OLE_LINK2"/>
      <w:bookmarkStart w:id="94" w:name="OLE_LINK1"/>
      <w:r>
        <w:rPr>
          <w:rFonts w:hint="eastAsia" w:ascii="宋体" w:hAnsi="宋体" w:eastAsia="宋体" w:cs="宋体"/>
          <w:color w:val="000000"/>
          <w:kern w:val="0"/>
          <w:sz w:val="24"/>
          <w:shd w:val="clear" w:color="auto" w:fill="FFFFFF"/>
          <w:lang w:val="zh-TW" w:eastAsia="zh-TW"/>
        </w:rPr>
        <w:t>（</w:t>
      </w:r>
      <w:bookmarkEnd w:id="93"/>
      <w:bookmarkEnd w:id="94"/>
      <w:r>
        <w:rPr>
          <w:rFonts w:hint="eastAsia" w:ascii="宋体" w:hAnsi="宋体" w:eastAsia="宋体" w:cs="宋体"/>
          <w:color w:val="000000"/>
          <w:kern w:val="0"/>
          <w:sz w:val="24"/>
          <w:shd w:val="clear" w:color="auto" w:fill="FFFFFF"/>
          <w:lang w:val="zh-TW" w:eastAsia="zh-TW"/>
        </w:rPr>
        <w:t>二）丧失完全民事行为能力的；</w:t>
      </w:r>
    </w:p>
    <w:p w14:paraId="7CBA62C6">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（三）受到刑事处罚的；</w:t>
      </w:r>
    </w:p>
    <w:p w14:paraId="17343F97">
      <w:pPr>
        <w:shd w:val="clear" w:color="auto" w:fill="FFFFFF"/>
        <w:spacing w:line="440" w:lineRule="atLeast"/>
        <w:ind w:firstLine="480" w:firstLineChars="200"/>
        <w:rPr>
          <w:rFonts w:ascii="宋体" w:hAnsi="宋体" w:eastAsia="宋体" w:cs="宋体"/>
          <w:color w:val="000000"/>
          <w:kern w:val="0"/>
          <w:sz w:val="24"/>
          <w:shd w:val="clear" w:color="auto" w:fill="FFFFFF"/>
          <w:lang w:val="zh-TW"/>
        </w:rPr>
      </w:pPr>
      <w:r>
        <w:rPr>
          <w:rFonts w:hint="eastAsia" w:ascii="宋体" w:hAnsi="宋体" w:eastAsia="宋体" w:cs="宋体"/>
          <w:color w:val="000000"/>
          <w:kern w:val="0"/>
          <w:sz w:val="24"/>
          <w:shd w:val="clear" w:color="auto" w:fill="FFFFFF"/>
          <w:lang w:val="zh-TW" w:eastAsia="zh-TW"/>
        </w:rPr>
        <w:t>（四）因受行政处罚、处分，情节严重的。</w:t>
      </w:r>
      <w:r>
        <w:rPr>
          <w:rFonts w:hint="eastAsia" w:ascii="宋体" w:hAnsi="宋体" w:eastAsia="宋体" w:cs="宋体"/>
          <w:color w:val="000000"/>
          <w:kern w:val="0"/>
          <w:sz w:val="24"/>
          <w:shd w:val="clear" w:color="auto" w:fill="FFFFFF"/>
          <w:lang w:val="zh-TW"/>
        </w:rPr>
        <w:t>　</w:t>
      </w:r>
    </w:p>
    <w:p w14:paraId="5C3E90A6">
      <w:pPr>
        <w:shd w:val="clear" w:color="auto" w:fill="FFFFFF"/>
        <w:spacing w:line="440" w:lineRule="atLeast"/>
        <w:ind w:firstLine="482"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b/>
          <w:color w:val="000000"/>
          <w:kern w:val="0"/>
          <w:sz w:val="24"/>
          <w:shd w:val="clear" w:color="auto" w:fill="FFFFFF"/>
          <w:lang w:val="zh-TW"/>
        </w:rPr>
        <w:t>第二十一条</w:t>
      </w:r>
      <w:r>
        <w:rPr>
          <w:rFonts w:hint="eastAsia" w:ascii="宋体" w:hAnsi="宋体" w:eastAsia="宋体" w:cs="宋体"/>
          <w:color w:val="000000"/>
          <w:kern w:val="0"/>
          <w:sz w:val="24"/>
          <w:shd w:val="clear" w:color="auto" w:fill="FFFFFF"/>
        </w:rPr>
        <w:t>　</w:t>
      </w:r>
      <w:r>
        <w:rPr>
          <w:rFonts w:hint="eastAsia" w:ascii="宋体" w:hAnsi="宋体" w:eastAsia="宋体" w:cs="宋体"/>
          <w:color w:val="000000"/>
          <w:kern w:val="0"/>
          <w:sz w:val="24"/>
          <w:shd w:val="clear" w:color="auto" w:fill="FFFFFF"/>
          <w:lang w:val="zh-TW" w:eastAsia="zh-TW"/>
        </w:rPr>
        <w:t>被取消非执业会员资格的当事人有异议的，可以自接到取消资格的书面通知之日起20个工作日内向本会申诉。本会在收到申诉后30个工作日内，进行复查并予以答复。</w:t>
      </w:r>
    </w:p>
    <w:p w14:paraId="1CDFBD0D">
      <w:pPr>
        <w:shd w:val="clear" w:color="auto" w:fill="FFFFFF"/>
        <w:spacing w:line="440" w:lineRule="atLeast"/>
        <w:ind w:firstLine="482"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b/>
          <w:color w:val="000000"/>
          <w:kern w:val="0"/>
          <w:sz w:val="24"/>
          <w:shd w:val="clear" w:color="auto" w:fill="FFFFFF"/>
          <w:lang w:val="zh-TW"/>
        </w:rPr>
        <w:t>第二十二条</w:t>
      </w:r>
      <w:r>
        <w:rPr>
          <w:rFonts w:hint="eastAsia" w:ascii="宋体" w:hAnsi="宋体" w:eastAsia="宋体" w:cs="宋体"/>
          <w:color w:val="000000"/>
          <w:kern w:val="0"/>
          <w:sz w:val="24"/>
          <w:shd w:val="clear" w:color="auto" w:fill="FFFFFF"/>
        </w:rPr>
        <w:t>　</w:t>
      </w:r>
      <w:r>
        <w:rPr>
          <w:rFonts w:hint="eastAsia" w:ascii="宋体" w:hAnsi="宋体" w:eastAsia="宋体" w:cs="宋体"/>
          <w:color w:val="000000"/>
          <w:kern w:val="0"/>
          <w:sz w:val="24"/>
          <w:shd w:val="clear" w:color="auto" w:fill="FFFFFF"/>
          <w:lang w:val="zh-TW" w:eastAsia="zh-TW"/>
        </w:rPr>
        <w:t>非执业会员须接受本会或地方协会组织的定期检查，检查工作每两年举行一次，具体时间由本会或地方协会发文通知。检查内容为：</w:t>
      </w:r>
    </w:p>
    <w:p w14:paraId="6AA27DAF">
      <w:pPr>
        <w:shd w:val="clear" w:color="auto" w:fill="FFFFFF"/>
        <w:spacing w:line="440" w:lineRule="atLeast"/>
        <w:ind w:firstLine="480" w:firstLineChars="200"/>
        <w:rPr>
          <w:rFonts w:ascii="宋体" w:hAnsi="宋体" w:eastAsia="宋体" w:cs="宋体"/>
          <w:color w:val="000000"/>
          <w:kern w:val="0"/>
          <w:sz w:val="24"/>
          <w:shd w:val="clear" w:color="auto" w:fill="FFFFFF"/>
          <w:lang w:val="zh-TW"/>
        </w:rPr>
      </w:pPr>
      <w:r>
        <w:rPr>
          <w:rFonts w:hint="eastAsia" w:ascii="宋体" w:hAnsi="宋体" w:eastAsia="宋体" w:cs="宋体"/>
          <w:color w:val="000000"/>
          <w:kern w:val="0"/>
          <w:sz w:val="24"/>
          <w:shd w:val="clear" w:color="auto" w:fill="FFFFFF"/>
          <w:lang w:val="zh-TW"/>
        </w:rPr>
        <w:t>（</w:t>
      </w:r>
      <w:r>
        <w:rPr>
          <w:rFonts w:hint="eastAsia" w:ascii="宋体" w:hAnsi="宋体" w:eastAsia="宋体" w:cs="宋体"/>
          <w:color w:val="000000"/>
          <w:kern w:val="0"/>
          <w:sz w:val="24"/>
          <w:shd w:val="clear" w:color="auto" w:fill="FFFFFF"/>
          <w:lang w:val="zh-TW" w:eastAsia="zh-TW"/>
        </w:rPr>
        <w:t>一</w:t>
      </w:r>
      <w:r>
        <w:rPr>
          <w:rFonts w:hint="eastAsia" w:ascii="宋体" w:hAnsi="宋体" w:eastAsia="宋体" w:cs="宋体"/>
          <w:color w:val="000000"/>
          <w:kern w:val="0"/>
          <w:sz w:val="24"/>
          <w:shd w:val="clear" w:color="auto" w:fill="FFFFFF"/>
          <w:lang w:val="zh-TW"/>
        </w:rPr>
        <w:t>）</w:t>
      </w:r>
      <w:r>
        <w:rPr>
          <w:rFonts w:hint="eastAsia" w:ascii="宋体" w:hAnsi="宋体" w:eastAsia="宋体" w:cs="宋体"/>
          <w:color w:val="000000"/>
          <w:kern w:val="0"/>
          <w:sz w:val="24"/>
          <w:shd w:val="clear" w:color="auto" w:fill="FFFFFF"/>
          <w:lang w:val="zh-TW" w:eastAsia="zh-TW"/>
        </w:rPr>
        <w:t>会费缴纳情况；</w:t>
      </w:r>
    </w:p>
    <w:p w14:paraId="04FF3927">
      <w:pPr>
        <w:shd w:val="clear" w:color="auto" w:fill="FFFFFF"/>
        <w:spacing w:line="440" w:lineRule="atLeast"/>
        <w:ind w:firstLine="480" w:firstLineChars="200"/>
        <w:rPr>
          <w:rFonts w:ascii="宋体" w:hAnsi="宋体" w:eastAsia="宋体" w:cs="宋体"/>
          <w:color w:val="000000"/>
          <w:kern w:val="0"/>
          <w:sz w:val="24"/>
          <w:shd w:val="clear" w:color="auto" w:fill="FFFFFF"/>
          <w:lang w:val="zh-TW"/>
        </w:rPr>
      </w:pPr>
      <w:r>
        <w:rPr>
          <w:rFonts w:hint="eastAsia" w:ascii="宋体" w:hAnsi="宋体" w:eastAsia="宋体" w:cs="宋体"/>
          <w:color w:val="000000"/>
          <w:kern w:val="0"/>
          <w:sz w:val="24"/>
          <w:shd w:val="clear" w:color="auto" w:fill="FFFFFF"/>
          <w:lang w:val="zh-TW"/>
        </w:rPr>
        <w:t>（</w:t>
      </w:r>
      <w:r>
        <w:rPr>
          <w:rFonts w:hint="eastAsia" w:ascii="宋体" w:hAnsi="宋体" w:eastAsia="宋体" w:cs="宋体"/>
          <w:color w:val="000000"/>
          <w:kern w:val="0"/>
          <w:sz w:val="24"/>
          <w:shd w:val="clear" w:color="auto" w:fill="FFFFFF"/>
          <w:lang w:val="zh-TW" w:eastAsia="zh-TW"/>
        </w:rPr>
        <w:t>二</w:t>
      </w:r>
      <w:r>
        <w:rPr>
          <w:rFonts w:hint="eastAsia" w:ascii="宋体" w:hAnsi="宋体" w:eastAsia="宋体" w:cs="宋体"/>
          <w:color w:val="000000"/>
          <w:kern w:val="0"/>
          <w:sz w:val="24"/>
          <w:shd w:val="clear" w:color="auto" w:fill="FFFFFF"/>
          <w:lang w:val="zh-TW"/>
        </w:rPr>
        <w:t>）</w:t>
      </w:r>
      <w:r>
        <w:rPr>
          <w:rFonts w:hint="eastAsia" w:ascii="宋体" w:hAnsi="宋体" w:eastAsia="宋体" w:cs="宋体"/>
          <w:color w:val="000000"/>
          <w:kern w:val="0"/>
          <w:sz w:val="24"/>
          <w:shd w:val="clear" w:color="auto" w:fill="FFFFFF"/>
          <w:lang w:val="zh-TW" w:eastAsia="zh-TW"/>
        </w:rPr>
        <w:t>接受继续教育情况；</w:t>
      </w:r>
    </w:p>
    <w:p w14:paraId="5BBEDF28">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rPr>
        <w:t>（</w:t>
      </w:r>
      <w:r>
        <w:rPr>
          <w:rFonts w:hint="eastAsia" w:ascii="宋体" w:hAnsi="宋体" w:eastAsia="宋体" w:cs="宋体"/>
          <w:color w:val="000000"/>
          <w:kern w:val="0"/>
          <w:sz w:val="24"/>
          <w:shd w:val="clear" w:color="auto" w:fill="FFFFFF"/>
          <w:lang w:val="zh-TW" w:eastAsia="zh-TW"/>
        </w:rPr>
        <w:t>三</w:t>
      </w:r>
      <w:r>
        <w:rPr>
          <w:rFonts w:hint="eastAsia" w:ascii="宋体" w:hAnsi="宋体" w:eastAsia="宋体" w:cs="宋体"/>
          <w:color w:val="000000"/>
          <w:kern w:val="0"/>
          <w:sz w:val="24"/>
          <w:shd w:val="clear" w:color="auto" w:fill="FFFFFF"/>
          <w:lang w:val="zh-TW"/>
        </w:rPr>
        <w:t>）</w:t>
      </w:r>
      <w:r>
        <w:rPr>
          <w:rFonts w:hint="eastAsia" w:ascii="宋体" w:hAnsi="宋体" w:eastAsia="宋体" w:cs="宋体"/>
          <w:color w:val="000000"/>
          <w:kern w:val="0"/>
          <w:sz w:val="24"/>
          <w:shd w:val="clear" w:color="auto" w:fill="FFFFFF"/>
          <w:lang w:val="zh-TW" w:eastAsia="zh-TW"/>
        </w:rPr>
        <w:t>其他需要检查的内容。</w:t>
      </w:r>
    </w:p>
    <w:p w14:paraId="26617A4D">
      <w:pPr>
        <w:shd w:val="clear" w:color="auto" w:fill="FFFFFF"/>
        <w:spacing w:line="440" w:lineRule="atLeast"/>
        <w:ind w:firstLine="482"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b/>
          <w:color w:val="000000"/>
          <w:kern w:val="0"/>
          <w:sz w:val="24"/>
          <w:shd w:val="clear" w:color="auto" w:fill="FFFFFF"/>
          <w:lang w:val="zh-TW"/>
        </w:rPr>
        <w:t>第二十三条</w:t>
      </w:r>
      <w:r>
        <w:rPr>
          <w:rFonts w:hint="eastAsia" w:ascii="宋体" w:hAnsi="宋体" w:eastAsia="宋体" w:cs="宋体"/>
          <w:color w:val="000000"/>
          <w:kern w:val="0"/>
          <w:sz w:val="24"/>
          <w:shd w:val="clear" w:color="auto" w:fill="FFFFFF"/>
        </w:rPr>
        <w:t>　</w:t>
      </w:r>
      <w:r>
        <w:rPr>
          <w:rFonts w:hint="eastAsia" w:ascii="宋体" w:hAnsi="宋体" w:eastAsia="宋体" w:cs="宋体"/>
          <w:color w:val="000000"/>
          <w:kern w:val="0"/>
          <w:sz w:val="24"/>
          <w:shd w:val="clear" w:color="auto" w:fill="FFFFFF"/>
          <w:lang w:val="zh-TW" w:eastAsia="zh-TW"/>
        </w:rPr>
        <w:t>检查合格者由本会或地方协会在非执业会员证书上加盖中国资产评估协会非执业会员专用章（样式见附件2）或在非执业会员卡上予以记录。</w:t>
      </w:r>
    </w:p>
    <w:p w14:paraId="2177EBA6">
      <w:pPr>
        <w:shd w:val="clear" w:color="auto" w:fill="FFFFFF"/>
        <w:spacing w:line="440" w:lineRule="atLeast"/>
        <w:ind w:firstLine="482"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b/>
          <w:color w:val="000000"/>
          <w:kern w:val="0"/>
          <w:sz w:val="24"/>
          <w:shd w:val="clear" w:color="auto" w:fill="FFFFFF"/>
          <w:lang w:val="zh-TW"/>
        </w:rPr>
        <w:t>第二十四条</w:t>
      </w:r>
      <w:r>
        <w:rPr>
          <w:rFonts w:hint="eastAsia" w:ascii="宋体" w:hAnsi="宋体" w:eastAsia="宋体" w:cs="宋体"/>
          <w:color w:val="000000"/>
          <w:kern w:val="0"/>
          <w:sz w:val="24"/>
          <w:shd w:val="clear" w:color="auto" w:fill="FFFFFF"/>
        </w:rPr>
        <w:t>　</w:t>
      </w:r>
      <w:r>
        <w:rPr>
          <w:rFonts w:hint="eastAsia" w:ascii="宋体" w:hAnsi="宋体" w:eastAsia="宋体" w:cs="宋体"/>
          <w:color w:val="000000"/>
          <w:kern w:val="0"/>
          <w:sz w:val="24"/>
          <w:shd w:val="clear" w:color="auto" w:fill="FFFFFF"/>
          <w:lang w:val="zh-TW" w:eastAsia="zh-TW"/>
        </w:rPr>
        <w:t>对于未交纳会费、未完成规定的继续教育的非执业会员，定期检查不予通过。</w:t>
      </w:r>
    </w:p>
    <w:p w14:paraId="3861146D">
      <w:pPr>
        <w:shd w:val="clear" w:color="auto" w:fill="FFFFFF"/>
        <w:spacing w:line="440" w:lineRule="atLeast"/>
        <w:ind w:firstLine="482"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b/>
          <w:color w:val="000000"/>
          <w:kern w:val="0"/>
          <w:sz w:val="24"/>
          <w:shd w:val="clear" w:color="auto" w:fill="FFFFFF"/>
          <w:lang w:val="zh-TW"/>
        </w:rPr>
        <w:t>第二十五条</w:t>
      </w:r>
      <w:r>
        <w:rPr>
          <w:rFonts w:hint="eastAsia" w:ascii="宋体" w:hAnsi="宋体" w:eastAsia="宋体" w:cs="宋体"/>
          <w:color w:val="000000"/>
          <w:kern w:val="0"/>
          <w:sz w:val="24"/>
          <w:shd w:val="clear" w:color="auto" w:fill="FFFFFF"/>
        </w:rPr>
        <w:t>　</w:t>
      </w:r>
      <w:r>
        <w:rPr>
          <w:rFonts w:hint="eastAsia" w:ascii="宋体" w:hAnsi="宋体" w:eastAsia="宋体" w:cs="宋体"/>
          <w:color w:val="000000"/>
          <w:kern w:val="0"/>
          <w:sz w:val="24"/>
          <w:shd w:val="clear" w:color="auto" w:fill="FFFFFF"/>
          <w:lang w:val="zh-TW" w:eastAsia="zh-TW"/>
        </w:rPr>
        <w:t>未通过定期检查者，应在2年内予以整改完成。整改未通过的，取消其非执业会员资格，且2年内不得重新申请入会。</w:t>
      </w:r>
    </w:p>
    <w:p w14:paraId="77F3C686">
      <w:pPr>
        <w:shd w:val="clear" w:color="auto" w:fill="FFFFFF"/>
        <w:spacing w:line="440" w:lineRule="atLeast"/>
        <w:ind w:firstLine="482"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b/>
          <w:color w:val="000000"/>
          <w:kern w:val="0"/>
          <w:sz w:val="24"/>
          <w:shd w:val="clear" w:color="auto" w:fill="FFFFFF"/>
          <w:lang w:val="zh-TW"/>
        </w:rPr>
        <w:t>第二十六条</w:t>
      </w:r>
      <w:r>
        <w:rPr>
          <w:rFonts w:hint="eastAsia" w:ascii="宋体" w:hAnsi="宋体" w:eastAsia="宋体" w:cs="宋体"/>
          <w:color w:val="000000"/>
          <w:kern w:val="0"/>
          <w:sz w:val="24"/>
          <w:shd w:val="clear" w:color="auto" w:fill="FFFFFF"/>
        </w:rPr>
        <w:t>　</w:t>
      </w:r>
      <w:r>
        <w:rPr>
          <w:rFonts w:hint="eastAsia" w:ascii="宋体" w:hAnsi="宋体" w:eastAsia="宋体" w:cs="宋体"/>
          <w:color w:val="000000"/>
          <w:kern w:val="0"/>
          <w:sz w:val="24"/>
          <w:shd w:val="clear" w:color="auto" w:fill="FFFFFF"/>
          <w:lang w:val="zh-TW" w:eastAsia="zh-TW"/>
        </w:rPr>
        <w:t>无故不接受定期检查的非执业会员，视为其自行退会。</w:t>
      </w:r>
    </w:p>
    <w:p w14:paraId="46F082ED">
      <w:pPr>
        <w:shd w:val="clear" w:color="auto" w:fill="FFFFFF"/>
        <w:spacing w:line="440" w:lineRule="atLeast"/>
        <w:ind w:firstLine="482"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b/>
          <w:color w:val="000000"/>
          <w:kern w:val="0"/>
          <w:sz w:val="24"/>
          <w:shd w:val="clear" w:color="auto" w:fill="FFFFFF"/>
          <w:lang w:val="zh-TW"/>
        </w:rPr>
        <w:t>第二十七条</w:t>
      </w:r>
      <w:r>
        <w:rPr>
          <w:rFonts w:hint="eastAsia" w:ascii="宋体" w:hAnsi="宋体" w:eastAsia="宋体" w:cs="宋体"/>
          <w:color w:val="000000"/>
          <w:kern w:val="0"/>
          <w:sz w:val="24"/>
          <w:shd w:val="clear" w:color="auto" w:fill="FFFFFF"/>
        </w:rPr>
        <w:t>　</w:t>
      </w:r>
      <w:r>
        <w:rPr>
          <w:rFonts w:hint="eastAsia" w:ascii="宋体" w:hAnsi="宋体" w:eastAsia="宋体" w:cs="宋体"/>
          <w:color w:val="000000"/>
          <w:kern w:val="0"/>
          <w:sz w:val="24"/>
          <w:shd w:val="clear" w:color="auto" w:fill="FFFFFF"/>
          <w:lang w:val="zh-TW" w:eastAsia="zh-TW"/>
        </w:rPr>
        <w:t>地方协会应当加强对非执业会员的管理，接受本会指导。</w:t>
      </w:r>
    </w:p>
    <w:p w14:paraId="765ACEB2">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第五章　附则</w:t>
      </w:r>
    </w:p>
    <w:p w14:paraId="1E5386D1">
      <w:pPr>
        <w:shd w:val="clear" w:color="auto" w:fill="FFFFFF"/>
        <w:spacing w:line="440" w:lineRule="atLeast"/>
        <w:ind w:firstLine="482"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b/>
          <w:color w:val="000000"/>
          <w:kern w:val="0"/>
          <w:sz w:val="24"/>
          <w:shd w:val="clear" w:color="auto" w:fill="FFFFFF"/>
        </w:rPr>
        <w:t>第二十八条</w:t>
      </w:r>
      <w:r>
        <w:rPr>
          <w:rFonts w:hint="eastAsia" w:ascii="宋体" w:hAnsi="宋体" w:eastAsia="宋体" w:cs="宋体"/>
          <w:color w:val="000000"/>
          <w:kern w:val="0"/>
          <w:sz w:val="24"/>
          <w:shd w:val="clear" w:color="auto" w:fill="FFFFFF"/>
        </w:rPr>
        <w:t>　</w:t>
      </w:r>
      <w:r>
        <w:rPr>
          <w:rFonts w:hint="eastAsia" w:ascii="宋体" w:hAnsi="宋体" w:eastAsia="宋体" w:cs="宋体"/>
          <w:color w:val="000000"/>
          <w:kern w:val="0"/>
          <w:sz w:val="24"/>
          <w:shd w:val="clear" w:color="auto" w:fill="FFFFFF"/>
          <w:lang w:val="zh-TW" w:eastAsia="zh-TW"/>
        </w:rPr>
        <w:t>本办法由中国资产评估协会负责解释。</w:t>
      </w:r>
    </w:p>
    <w:p w14:paraId="0D9109B5">
      <w:pPr>
        <w:shd w:val="clear" w:color="auto" w:fill="FFFFFF"/>
        <w:spacing w:line="440" w:lineRule="atLeast"/>
        <w:ind w:firstLine="482" w:firstLineChars="200"/>
        <w:rPr>
          <w:rFonts w:ascii="宋体" w:hAnsi="宋体" w:eastAsia="宋体" w:cs="宋体"/>
          <w:color w:val="000000"/>
          <w:kern w:val="0"/>
          <w:sz w:val="24"/>
          <w:shd w:val="clear" w:color="auto" w:fill="FFFFFF"/>
          <w:lang w:val="zh-TW" w:eastAsia="zh-TW"/>
        </w:rPr>
        <w:sectPr>
          <w:headerReference r:id="rId14" w:type="default"/>
          <w:footerReference r:id="rId15" w:type="default"/>
          <w:pgSz w:w="11906" w:h="16838"/>
          <w:pgMar w:top="1440" w:right="1531" w:bottom="1440" w:left="1531" w:header="851" w:footer="992" w:gutter="0"/>
          <w:cols w:space="720" w:num="1"/>
          <w:docGrid w:type="lines" w:linePitch="312" w:charSpace="0"/>
        </w:sectPr>
      </w:pPr>
      <w:r>
        <w:rPr>
          <w:rFonts w:hint="eastAsia" w:ascii="宋体" w:hAnsi="宋体" w:eastAsia="宋体" w:cs="宋体"/>
          <w:b/>
          <w:color w:val="000000"/>
          <w:kern w:val="0"/>
          <w:sz w:val="24"/>
          <w:shd w:val="clear" w:color="auto" w:fill="FFFFFF"/>
          <w:lang w:val="zh-TW"/>
        </w:rPr>
        <w:t>第二十九条</w:t>
      </w:r>
      <w:r>
        <w:rPr>
          <w:rFonts w:hint="eastAsia" w:ascii="宋体" w:hAnsi="宋体" w:eastAsia="宋体" w:cs="宋体"/>
          <w:color w:val="000000"/>
          <w:kern w:val="0"/>
          <w:sz w:val="24"/>
          <w:shd w:val="clear" w:color="auto" w:fill="FFFFFF"/>
        </w:rPr>
        <w:t>　</w:t>
      </w:r>
      <w:r>
        <w:rPr>
          <w:rFonts w:hint="eastAsia" w:ascii="宋体" w:hAnsi="宋体" w:eastAsia="宋体" w:cs="宋体"/>
          <w:color w:val="000000"/>
          <w:kern w:val="0"/>
          <w:sz w:val="24"/>
          <w:shd w:val="clear" w:color="auto" w:fill="FFFFFF"/>
          <w:lang w:val="zh-TW" w:eastAsia="zh-TW"/>
        </w:rPr>
        <w:t>本办法自发布之日起施行。</w:t>
      </w:r>
    </w:p>
    <w:p w14:paraId="70EE7854">
      <w:pPr>
        <w:spacing w:line="440" w:lineRule="atLeast"/>
        <w:rPr>
          <w:rFonts w:ascii="宋体" w:hAnsi="宋体" w:eastAsia="宋体" w:cs="宋体"/>
          <w:bCs/>
          <w:sz w:val="24"/>
        </w:rPr>
      </w:pPr>
      <w:r>
        <w:rPr>
          <w:rFonts w:hint="eastAsia" w:ascii="宋体" w:hAnsi="宋体" w:eastAsia="宋体" w:cs="宋体"/>
          <w:bCs/>
          <w:sz w:val="24"/>
        </w:rPr>
        <w:t>附件1：</w:t>
      </w:r>
    </w:p>
    <w:p w14:paraId="699E2B04">
      <w:pPr>
        <w:spacing w:line="440" w:lineRule="atLeast"/>
        <w:rPr>
          <w:rFonts w:ascii="黑体" w:eastAsia="黑体"/>
          <w:bCs/>
          <w:sz w:val="32"/>
          <w:szCs w:val="32"/>
        </w:rPr>
      </w:pPr>
    </w:p>
    <w:p w14:paraId="016327D7">
      <w:pPr>
        <w:spacing w:line="440" w:lineRule="atLeast"/>
        <w:jc w:val="center"/>
        <w:rPr>
          <w:rFonts w:ascii="华文中宋" w:hAnsi="华文中宋" w:eastAsia="华文中宋"/>
          <w:b/>
          <w:bCs/>
          <w:sz w:val="36"/>
          <w:szCs w:val="36"/>
        </w:rPr>
      </w:pPr>
      <w:r>
        <w:rPr>
          <w:rFonts w:hint="eastAsia" w:ascii="华文中宋" w:hAnsi="华文中宋" w:eastAsia="华文中宋" w:cs="宋体"/>
          <w:b/>
          <w:spacing w:val="15"/>
          <w:kern w:val="0"/>
          <w:sz w:val="36"/>
          <w:szCs w:val="36"/>
        </w:rPr>
        <w:t>中国资产评估协会非执业会员情况报告</w:t>
      </w:r>
    </w:p>
    <w:p w14:paraId="1DC3EB10">
      <w:pPr>
        <w:spacing w:line="440" w:lineRule="atLeast"/>
        <w:jc w:val="center"/>
        <w:rPr>
          <w:rFonts w:ascii="仿宋_GB2312" w:eastAsia="仿宋_GB2312"/>
          <w:b/>
          <w:bCs/>
          <w:sz w:val="32"/>
          <w:szCs w:val="32"/>
        </w:rPr>
      </w:pPr>
    </w:p>
    <w:p w14:paraId="7FBB12EC">
      <w:pPr>
        <w:spacing w:line="440" w:lineRule="atLeast"/>
        <w:rPr>
          <w:rFonts w:ascii="仿宋_GB2312" w:eastAsia="仿宋_GB2312"/>
          <w:sz w:val="30"/>
          <w:szCs w:val="30"/>
        </w:rPr>
      </w:pPr>
      <w:r>
        <w:rPr>
          <w:rFonts w:hint="eastAsia" w:ascii="宋体" w:hAnsi="宋体" w:eastAsia="宋体" w:cs="宋体"/>
          <w:sz w:val="24"/>
        </w:rPr>
        <w:t>中国资产评估协会：</w:t>
      </w:r>
    </w:p>
    <w:p w14:paraId="2C8F98BA">
      <w:pPr>
        <w:spacing w:line="440" w:lineRule="atLeast"/>
        <w:ind w:firstLine="480" w:firstLineChars="200"/>
        <w:rPr>
          <w:rFonts w:ascii="仿宋_GB2312" w:eastAsia="仿宋_GB2312"/>
          <w:sz w:val="24"/>
        </w:rPr>
      </w:pPr>
      <w:r>
        <w:rPr>
          <w:rFonts w:hint="eastAsia" w:ascii="仿宋_GB2312" w:eastAsia="仿宋_GB2312"/>
          <w:sz w:val="24"/>
        </w:rPr>
        <w:t>根据《中国资产评估协会非执业会员管理办法》的有关规定，我会受理了</w:t>
      </w:r>
      <w:r>
        <w:rPr>
          <w:rFonts w:hint="eastAsia" w:ascii="仿宋_GB2312" w:eastAsia="仿宋_GB2312"/>
          <w:sz w:val="24"/>
          <w:u w:val="single"/>
        </w:rPr>
        <w:t>　　　　　　　</w:t>
      </w:r>
      <w:r>
        <w:rPr>
          <w:rFonts w:hint="eastAsia" w:ascii="仿宋_GB2312" w:eastAsia="仿宋_GB2312"/>
          <w:sz w:val="24"/>
        </w:rPr>
        <w:t>等</w:t>
      </w:r>
      <w:r>
        <w:rPr>
          <w:rFonts w:hint="eastAsia" w:ascii="仿宋_GB2312" w:eastAsia="仿宋_GB2312"/>
          <w:sz w:val="24"/>
          <w:u w:val="single"/>
        </w:rPr>
        <w:t>　　　　</w:t>
      </w:r>
      <w:r>
        <w:rPr>
          <w:rFonts w:hint="eastAsia" w:ascii="仿宋_GB2312" w:eastAsia="仿宋_GB2312"/>
          <w:sz w:val="24"/>
        </w:rPr>
        <w:t>人申请非执业会员的材料。经审核符合成为非执业会员的条件，已按照有关规定批准成为中国资产评估协会非执业会员，批准文号为：</w:t>
      </w:r>
      <w:r>
        <w:rPr>
          <w:rFonts w:hint="eastAsia" w:ascii="仿宋_GB2312" w:eastAsia="仿宋_GB2312"/>
          <w:sz w:val="24"/>
          <w:u w:val="single"/>
        </w:rPr>
        <w:t>　　　　　　　　　　　</w:t>
      </w:r>
      <w:r>
        <w:rPr>
          <w:rFonts w:hint="eastAsia" w:ascii="仿宋_GB2312" w:eastAsia="仿宋_GB2312"/>
          <w:sz w:val="24"/>
        </w:rPr>
        <w:t>。</w:t>
      </w:r>
    </w:p>
    <w:p w14:paraId="558841D2">
      <w:pPr>
        <w:spacing w:line="440" w:lineRule="atLeast"/>
        <w:ind w:firstLine="480" w:firstLineChars="200"/>
        <w:rPr>
          <w:rFonts w:ascii="仿宋_GB2312" w:eastAsia="仿宋_GB2312"/>
          <w:sz w:val="30"/>
          <w:szCs w:val="30"/>
        </w:rPr>
      </w:pPr>
      <w:r>
        <w:rPr>
          <w:rFonts w:hint="eastAsia" w:ascii="仿宋_GB2312" w:eastAsia="仿宋_GB2312"/>
          <w:sz w:val="24"/>
        </w:rPr>
        <w:t>现将名单上报，请备案。</w:t>
      </w:r>
    </w:p>
    <w:p w14:paraId="24D50CA6">
      <w:pPr>
        <w:spacing w:line="440" w:lineRule="atLeast"/>
        <w:rPr>
          <w:rFonts w:ascii="仿宋_GB2312" w:eastAsia="仿宋_GB2312"/>
          <w:sz w:val="30"/>
          <w:szCs w:val="30"/>
        </w:rPr>
      </w:pPr>
    </w:p>
    <w:p w14:paraId="069EBF08">
      <w:pPr>
        <w:spacing w:line="440" w:lineRule="atLeast"/>
        <w:rPr>
          <w:rFonts w:ascii="仿宋_GB2312" w:eastAsia="仿宋_GB2312"/>
          <w:sz w:val="30"/>
          <w:szCs w:val="30"/>
        </w:rPr>
      </w:pPr>
    </w:p>
    <w:p w14:paraId="171E2596">
      <w:pPr>
        <w:spacing w:line="440" w:lineRule="atLeast"/>
        <w:jc w:val="right"/>
        <w:rPr>
          <w:rFonts w:ascii="仿宋_GB2312" w:eastAsia="仿宋_GB2312"/>
          <w:sz w:val="30"/>
          <w:szCs w:val="30"/>
        </w:rPr>
      </w:pPr>
      <w:r>
        <w:rPr>
          <w:rFonts w:hint="eastAsia" w:ascii="仿宋_GB2312" w:eastAsia="仿宋_GB2312"/>
          <w:sz w:val="30"/>
          <w:szCs w:val="30"/>
        </w:rPr>
        <w:t>　（地方协会盖章）</w:t>
      </w:r>
    </w:p>
    <w:p w14:paraId="7F59333A">
      <w:pPr>
        <w:tabs>
          <w:tab w:val="left" w:pos="6663"/>
          <w:tab w:val="left" w:pos="6946"/>
        </w:tabs>
        <w:spacing w:line="440" w:lineRule="atLeast"/>
        <w:ind w:right="460"/>
        <w:jc w:val="right"/>
        <w:rPr>
          <w:rFonts w:ascii="仿宋_GB2312" w:eastAsia="仿宋_GB2312"/>
          <w:sz w:val="30"/>
          <w:szCs w:val="30"/>
        </w:rPr>
      </w:pPr>
      <w:r>
        <w:rPr>
          <w:rFonts w:hint="eastAsia" w:ascii="仿宋_GB2312" w:eastAsia="仿宋_GB2312"/>
          <w:sz w:val="30"/>
          <w:szCs w:val="30"/>
        </w:rPr>
        <w:t>年　　月　　日</w:t>
      </w:r>
    </w:p>
    <w:p w14:paraId="01A33676">
      <w:pPr>
        <w:spacing w:line="440" w:lineRule="atLeast"/>
        <w:rPr>
          <w:rFonts w:ascii="仿宋_GB2312" w:eastAsia="仿宋_GB2312"/>
          <w:bCs/>
          <w:sz w:val="30"/>
          <w:szCs w:val="30"/>
        </w:rPr>
      </w:pPr>
    </w:p>
    <w:p w14:paraId="6F9FA291">
      <w:pPr>
        <w:spacing w:line="440" w:lineRule="atLeast"/>
        <w:rPr>
          <w:rFonts w:ascii="宋体" w:hAnsi="宋体" w:eastAsia="宋体" w:cs="宋体"/>
          <w:bCs/>
          <w:sz w:val="24"/>
        </w:rPr>
      </w:pPr>
      <w:r>
        <w:rPr>
          <w:rFonts w:hint="eastAsia" w:ascii="宋体" w:hAnsi="宋体" w:eastAsia="宋体" w:cs="宋体"/>
          <w:bCs/>
          <w:sz w:val="24"/>
        </w:rPr>
        <w:t>附件2：</w:t>
      </w:r>
    </w:p>
    <w:p w14:paraId="4FB02F96">
      <w:pPr>
        <w:spacing w:line="440" w:lineRule="atLeast"/>
        <w:rPr>
          <w:rFonts w:ascii="宋体" w:hAnsi="宋体"/>
          <w:sz w:val="28"/>
        </w:rPr>
      </w:pPr>
    </w:p>
    <w:p w14:paraId="655399A9">
      <w:pPr>
        <w:spacing w:line="440" w:lineRule="atLeast"/>
        <w:jc w:val="center"/>
        <w:rPr>
          <w:rFonts w:ascii="宋体" w:hAnsi="宋体"/>
          <w:sz w:val="28"/>
        </w:rPr>
      </w:pPr>
      <w:r>
        <w:rPr>
          <w:rFonts w:ascii="宋体" w:hAnsi="宋体"/>
          <w:sz w:val="28"/>
        </w:rPr>
        <w:drawing>
          <wp:inline distT="0" distB="0" distL="114300" distR="114300">
            <wp:extent cx="1438275" cy="966470"/>
            <wp:effectExtent l="0" t="0" r="9525" b="508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36"/>
                    <a:stretch>
                      <a:fillRect/>
                    </a:stretch>
                  </pic:blipFill>
                  <pic:spPr>
                    <a:xfrm>
                      <a:off x="0" y="0"/>
                      <a:ext cx="1438275" cy="966470"/>
                    </a:xfrm>
                    <a:prstGeom prst="rect">
                      <a:avLst/>
                    </a:prstGeom>
                    <a:noFill/>
                    <a:ln>
                      <a:noFill/>
                    </a:ln>
                  </pic:spPr>
                </pic:pic>
              </a:graphicData>
            </a:graphic>
          </wp:inline>
        </w:drawing>
      </w:r>
    </w:p>
    <w:p w14:paraId="05F2437A">
      <w:pPr>
        <w:spacing w:line="440" w:lineRule="atLeast"/>
        <w:rPr>
          <w:rFonts w:ascii="宋体" w:hAnsi="宋体"/>
          <w:sz w:val="28"/>
        </w:rPr>
      </w:pPr>
    </w:p>
    <w:p w14:paraId="43DE6571">
      <w:pPr>
        <w:spacing w:line="440" w:lineRule="atLeast"/>
        <w:jc w:val="center"/>
        <w:rPr>
          <w:rFonts w:ascii="宋体" w:hAnsi="宋体"/>
          <w:sz w:val="28"/>
        </w:rPr>
      </w:pPr>
      <w:r>
        <w:rPr>
          <w:rFonts w:hint="eastAsia" w:ascii="宋体" w:hAnsi="宋体"/>
          <w:sz w:val="28"/>
        </w:rPr>
        <w:t>说明：宽4厘米，高2.7厘米，括号中文字为本省级区划名称，如北京市为“北京”，广西壮族自治区为“广西”。</w:t>
      </w:r>
    </w:p>
    <w:p w14:paraId="1E0511C8">
      <w:pPr>
        <w:rPr>
          <w:rFonts w:ascii="宋体" w:hAnsi="宋体"/>
          <w:sz w:val="28"/>
        </w:rPr>
      </w:pPr>
      <w:r>
        <w:rPr>
          <w:rFonts w:hint="eastAsia" w:ascii="宋体" w:hAnsi="宋体"/>
          <w:sz w:val="28"/>
        </w:rPr>
        <w:br w:type="page"/>
      </w:r>
    </w:p>
    <w:p w14:paraId="44E0D5F5">
      <w:pPr>
        <w:pStyle w:val="2"/>
      </w:pPr>
    </w:p>
    <w:p w14:paraId="403E86A1">
      <w:pPr>
        <w:spacing w:line="440" w:lineRule="atLeast"/>
        <w:rPr>
          <w:rFonts w:ascii="宋体" w:hAnsi="宋体" w:eastAsia="宋体" w:cs="宋体"/>
          <w:bCs/>
          <w:sz w:val="24"/>
        </w:rPr>
      </w:pPr>
      <w:r>
        <w:rPr>
          <w:rFonts w:hint="eastAsia" w:ascii="宋体" w:hAnsi="宋体" w:eastAsia="宋体" w:cs="宋体"/>
          <w:bCs/>
          <w:sz w:val="24"/>
        </w:rPr>
        <w:t>附表1：</w:t>
      </w:r>
    </w:p>
    <w:p w14:paraId="5AA44255">
      <w:pPr>
        <w:spacing w:line="440" w:lineRule="atLeast"/>
        <w:jc w:val="center"/>
        <w:rPr>
          <w:rFonts w:ascii="宋体" w:hAnsi="宋体" w:cs="宋体"/>
          <w:b/>
          <w:bCs/>
          <w:kern w:val="0"/>
          <w:sz w:val="36"/>
          <w:szCs w:val="36"/>
        </w:rPr>
      </w:pPr>
      <w:r>
        <w:rPr>
          <w:rFonts w:hint="eastAsia" w:ascii="宋体" w:hAnsi="宋体" w:cs="宋体"/>
          <w:b/>
          <w:bCs/>
          <w:kern w:val="0"/>
          <w:sz w:val="36"/>
          <w:szCs w:val="36"/>
        </w:rPr>
        <w:t>中国资产评估协会非执业会员入会申请表</w:t>
      </w:r>
    </w:p>
    <w:tbl>
      <w:tblPr>
        <w:tblStyle w:val="24"/>
        <w:tblpPr w:leftFromText="180" w:rightFromText="180" w:vertAnchor="text" w:horzAnchor="margin" w:tblpY="653"/>
        <w:tblW w:w="5145"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861"/>
        <w:gridCol w:w="1792"/>
        <w:gridCol w:w="992"/>
        <w:gridCol w:w="1027"/>
        <w:gridCol w:w="1201"/>
        <w:gridCol w:w="748"/>
        <w:gridCol w:w="1702"/>
      </w:tblGrid>
      <w:tr w14:paraId="10C6519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10" w:hRule="atLeast"/>
        </w:trPr>
        <w:tc>
          <w:tcPr>
            <w:tcW w:w="998" w:type="pct"/>
            <w:tcBorders>
              <w:top w:val="single" w:color="auto" w:sz="4" w:space="0"/>
              <w:left w:val="single" w:color="auto" w:sz="4" w:space="0"/>
              <w:bottom w:val="single" w:color="auto" w:sz="4" w:space="0"/>
              <w:right w:val="single" w:color="auto" w:sz="4" w:space="0"/>
            </w:tcBorders>
            <w:vAlign w:val="center"/>
          </w:tcPr>
          <w:p w14:paraId="24F85468">
            <w:pPr>
              <w:spacing w:line="440" w:lineRule="atLeast"/>
              <w:jc w:val="center"/>
              <w:rPr>
                <w:rFonts w:ascii="宋体" w:hAnsi="宋体"/>
                <w:sz w:val="24"/>
              </w:rPr>
            </w:pPr>
            <w:r>
              <w:rPr>
                <w:rFonts w:hint="eastAsia" w:ascii="宋体" w:hAnsi="宋体"/>
                <w:sz w:val="24"/>
              </w:rPr>
              <w:t>姓　　　　名</w:t>
            </w:r>
          </w:p>
        </w:tc>
        <w:tc>
          <w:tcPr>
            <w:tcW w:w="961" w:type="pct"/>
            <w:tcBorders>
              <w:top w:val="single" w:color="auto" w:sz="4" w:space="0"/>
              <w:left w:val="single" w:color="auto" w:sz="4" w:space="0"/>
              <w:bottom w:val="single" w:color="auto" w:sz="4" w:space="0"/>
              <w:right w:val="single" w:color="auto" w:sz="4" w:space="0"/>
            </w:tcBorders>
            <w:vAlign w:val="center"/>
          </w:tcPr>
          <w:p w14:paraId="5DEC9F93">
            <w:pPr>
              <w:spacing w:line="440" w:lineRule="atLeast"/>
              <w:jc w:val="center"/>
              <w:rPr>
                <w:rFonts w:ascii="宋体" w:hAnsi="宋体"/>
                <w:sz w:val="24"/>
              </w:rPr>
            </w:pPr>
          </w:p>
        </w:tc>
        <w:tc>
          <w:tcPr>
            <w:tcW w:w="1083" w:type="pct"/>
            <w:gridSpan w:val="2"/>
            <w:tcBorders>
              <w:top w:val="single" w:color="auto" w:sz="4" w:space="0"/>
              <w:left w:val="single" w:color="auto" w:sz="4" w:space="0"/>
              <w:bottom w:val="single" w:color="auto" w:sz="4" w:space="0"/>
              <w:right w:val="single" w:color="auto" w:sz="4" w:space="0"/>
            </w:tcBorders>
            <w:vAlign w:val="center"/>
          </w:tcPr>
          <w:p w14:paraId="300ACB66">
            <w:pPr>
              <w:spacing w:line="440" w:lineRule="atLeast"/>
              <w:jc w:val="center"/>
              <w:rPr>
                <w:rFonts w:ascii="宋体" w:hAnsi="宋体"/>
                <w:sz w:val="24"/>
              </w:rPr>
            </w:pPr>
            <w:r>
              <w:rPr>
                <w:rFonts w:hint="eastAsia" w:ascii="宋体" w:hAnsi="宋体"/>
                <w:sz w:val="24"/>
              </w:rPr>
              <w:t>性　　　　别</w:t>
            </w:r>
          </w:p>
        </w:tc>
        <w:tc>
          <w:tcPr>
            <w:tcW w:w="1045" w:type="pct"/>
            <w:gridSpan w:val="2"/>
            <w:tcBorders>
              <w:top w:val="single" w:color="auto" w:sz="4" w:space="0"/>
              <w:left w:val="single" w:color="auto" w:sz="4" w:space="0"/>
              <w:bottom w:val="single" w:color="auto" w:sz="4" w:space="0"/>
              <w:right w:val="single" w:color="auto" w:sz="4" w:space="0"/>
            </w:tcBorders>
          </w:tcPr>
          <w:p w14:paraId="3DB69219">
            <w:pPr>
              <w:spacing w:line="440" w:lineRule="atLeast"/>
              <w:rPr>
                <w:rFonts w:ascii="宋体" w:hAnsi="宋体"/>
                <w:sz w:val="24"/>
              </w:rPr>
            </w:pPr>
          </w:p>
        </w:tc>
        <w:tc>
          <w:tcPr>
            <w:tcW w:w="913" w:type="pct"/>
            <w:vMerge w:val="restart"/>
            <w:tcBorders>
              <w:top w:val="single" w:color="auto" w:sz="4" w:space="0"/>
              <w:left w:val="single" w:color="auto" w:sz="4" w:space="0"/>
              <w:bottom w:val="single" w:color="auto" w:sz="4" w:space="0"/>
              <w:right w:val="single" w:color="auto" w:sz="4" w:space="0"/>
            </w:tcBorders>
            <w:vAlign w:val="center"/>
          </w:tcPr>
          <w:p w14:paraId="0E7DFBA8">
            <w:pPr>
              <w:spacing w:line="440" w:lineRule="atLeast"/>
              <w:jc w:val="center"/>
              <w:rPr>
                <w:rFonts w:ascii="宋体" w:hAnsi="宋体"/>
                <w:sz w:val="24"/>
              </w:rPr>
            </w:pPr>
            <w:r>
              <w:rPr>
                <w:rFonts w:hint="eastAsia" w:ascii="宋体" w:hAnsi="宋体" w:cs="宋体"/>
                <w:color w:val="000000"/>
                <w:kern w:val="0"/>
                <w:sz w:val="24"/>
              </w:rPr>
              <w:t>（一寸免冠蓝底近照）</w:t>
            </w:r>
          </w:p>
        </w:tc>
      </w:tr>
      <w:tr w14:paraId="16FD134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10" w:hRule="atLeast"/>
        </w:trPr>
        <w:tc>
          <w:tcPr>
            <w:tcW w:w="998" w:type="pct"/>
            <w:tcBorders>
              <w:top w:val="single" w:color="auto" w:sz="4" w:space="0"/>
              <w:left w:val="single" w:color="auto" w:sz="4" w:space="0"/>
              <w:bottom w:val="single" w:color="auto" w:sz="4" w:space="0"/>
              <w:right w:val="single" w:color="auto" w:sz="4" w:space="0"/>
            </w:tcBorders>
            <w:vAlign w:val="center"/>
          </w:tcPr>
          <w:p w14:paraId="0726D40A">
            <w:pPr>
              <w:spacing w:line="440" w:lineRule="atLeast"/>
              <w:jc w:val="center"/>
              <w:rPr>
                <w:rFonts w:ascii="宋体" w:hAnsi="宋体"/>
                <w:sz w:val="24"/>
              </w:rPr>
            </w:pPr>
            <w:r>
              <w:rPr>
                <w:rFonts w:hint="eastAsia" w:ascii="宋体" w:hAnsi="宋体"/>
                <w:sz w:val="24"/>
              </w:rPr>
              <w:t>出生日期</w:t>
            </w:r>
          </w:p>
        </w:tc>
        <w:tc>
          <w:tcPr>
            <w:tcW w:w="961" w:type="pct"/>
            <w:tcBorders>
              <w:top w:val="single" w:color="auto" w:sz="4" w:space="0"/>
              <w:left w:val="single" w:color="auto" w:sz="4" w:space="0"/>
              <w:bottom w:val="single" w:color="auto" w:sz="4" w:space="0"/>
              <w:right w:val="single" w:color="auto" w:sz="4" w:space="0"/>
            </w:tcBorders>
            <w:vAlign w:val="center"/>
          </w:tcPr>
          <w:p w14:paraId="6A8078A3">
            <w:pPr>
              <w:spacing w:line="440" w:lineRule="atLeast"/>
              <w:jc w:val="center"/>
              <w:rPr>
                <w:rFonts w:ascii="宋体" w:hAnsi="宋体"/>
                <w:sz w:val="24"/>
              </w:rPr>
            </w:pPr>
          </w:p>
        </w:tc>
        <w:tc>
          <w:tcPr>
            <w:tcW w:w="1083" w:type="pct"/>
            <w:gridSpan w:val="2"/>
            <w:tcBorders>
              <w:top w:val="single" w:color="auto" w:sz="4" w:space="0"/>
              <w:left w:val="single" w:color="auto" w:sz="4" w:space="0"/>
              <w:bottom w:val="single" w:color="auto" w:sz="4" w:space="0"/>
              <w:right w:val="single" w:color="auto" w:sz="4" w:space="0"/>
            </w:tcBorders>
            <w:vAlign w:val="center"/>
          </w:tcPr>
          <w:p w14:paraId="08538A90">
            <w:pPr>
              <w:spacing w:line="440" w:lineRule="atLeast"/>
              <w:jc w:val="center"/>
              <w:rPr>
                <w:rFonts w:ascii="宋体" w:hAnsi="宋体"/>
                <w:sz w:val="24"/>
              </w:rPr>
            </w:pPr>
            <w:r>
              <w:rPr>
                <w:rFonts w:hint="eastAsia" w:ascii="宋体" w:hAnsi="宋体"/>
                <w:sz w:val="24"/>
              </w:rPr>
              <w:t>身份证号码</w:t>
            </w:r>
          </w:p>
        </w:tc>
        <w:tc>
          <w:tcPr>
            <w:tcW w:w="1045" w:type="pct"/>
            <w:gridSpan w:val="2"/>
            <w:tcBorders>
              <w:top w:val="single" w:color="auto" w:sz="4" w:space="0"/>
              <w:left w:val="single" w:color="auto" w:sz="4" w:space="0"/>
              <w:bottom w:val="single" w:color="auto" w:sz="4" w:space="0"/>
              <w:right w:val="single" w:color="auto" w:sz="4" w:space="0"/>
            </w:tcBorders>
          </w:tcPr>
          <w:p w14:paraId="510528C5">
            <w:pPr>
              <w:spacing w:line="440" w:lineRule="atLeast"/>
              <w:rPr>
                <w:rFonts w:ascii="宋体" w:hAnsi="宋体"/>
                <w:sz w:val="24"/>
              </w:rPr>
            </w:pPr>
          </w:p>
        </w:tc>
        <w:tc>
          <w:tcPr>
            <w:tcW w:w="913" w:type="pct"/>
            <w:vMerge w:val="continue"/>
            <w:tcBorders>
              <w:top w:val="single" w:color="auto" w:sz="4" w:space="0"/>
              <w:left w:val="single" w:color="auto" w:sz="4" w:space="0"/>
              <w:bottom w:val="single" w:color="auto" w:sz="4" w:space="0"/>
              <w:right w:val="single" w:color="auto" w:sz="4" w:space="0"/>
            </w:tcBorders>
            <w:vAlign w:val="center"/>
          </w:tcPr>
          <w:p w14:paraId="552F65E2">
            <w:pPr>
              <w:spacing w:line="440" w:lineRule="atLeast"/>
              <w:jc w:val="left"/>
              <w:rPr>
                <w:rFonts w:ascii="宋体" w:hAnsi="宋体"/>
                <w:sz w:val="24"/>
              </w:rPr>
            </w:pPr>
          </w:p>
        </w:tc>
      </w:tr>
      <w:tr w14:paraId="7199602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10" w:hRule="atLeast"/>
        </w:trPr>
        <w:tc>
          <w:tcPr>
            <w:tcW w:w="998" w:type="pct"/>
            <w:tcBorders>
              <w:top w:val="single" w:color="auto" w:sz="4" w:space="0"/>
              <w:left w:val="single" w:color="auto" w:sz="4" w:space="0"/>
              <w:bottom w:val="single" w:color="auto" w:sz="4" w:space="0"/>
              <w:right w:val="single" w:color="auto" w:sz="4" w:space="0"/>
            </w:tcBorders>
            <w:vAlign w:val="center"/>
          </w:tcPr>
          <w:p w14:paraId="1A9B5445">
            <w:pPr>
              <w:spacing w:line="440" w:lineRule="atLeast"/>
              <w:jc w:val="center"/>
              <w:rPr>
                <w:rFonts w:ascii="宋体" w:hAnsi="宋体"/>
                <w:sz w:val="24"/>
              </w:rPr>
            </w:pPr>
            <w:r>
              <w:rPr>
                <w:rFonts w:hint="eastAsia" w:ascii="宋体" w:hAnsi="宋体"/>
                <w:sz w:val="24"/>
              </w:rPr>
              <w:t>民　　　　族</w:t>
            </w:r>
          </w:p>
        </w:tc>
        <w:tc>
          <w:tcPr>
            <w:tcW w:w="961" w:type="pct"/>
            <w:tcBorders>
              <w:top w:val="single" w:color="auto" w:sz="4" w:space="0"/>
              <w:left w:val="single" w:color="auto" w:sz="4" w:space="0"/>
              <w:bottom w:val="single" w:color="auto" w:sz="4" w:space="0"/>
              <w:right w:val="single" w:color="auto" w:sz="4" w:space="0"/>
            </w:tcBorders>
            <w:vAlign w:val="center"/>
          </w:tcPr>
          <w:p w14:paraId="1E3ABD00">
            <w:pPr>
              <w:spacing w:line="440" w:lineRule="atLeast"/>
              <w:jc w:val="center"/>
              <w:rPr>
                <w:rFonts w:ascii="宋体" w:hAnsi="宋体"/>
                <w:sz w:val="24"/>
              </w:rPr>
            </w:pPr>
          </w:p>
        </w:tc>
        <w:tc>
          <w:tcPr>
            <w:tcW w:w="1083" w:type="pct"/>
            <w:gridSpan w:val="2"/>
            <w:tcBorders>
              <w:top w:val="single" w:color="auto" w:sz="4" w:space="0"/>
              <w:left w:val="single" w:color="auto" w:sz="4" w:space="0"/>
              <w:bottom w:val="single" w:color="auto" w:sz="4" w:space="0"/>
              <w:right w:val="single" w:color="auto" w:sz="4" w:space="0"/>
            </w:tcBorders>
            <w:vAlign w:val="center"/>
          </w:tcPr>
          <w:p w14:paraId="36519E1C">
            <w:pPr>
              <w:spacing w:line="440" w:lineRule="atLeast"/>
              <w:jc w:val="center"/>
              <w:rPr>
                <w:rFonts w:ascii="宋体" w:hAnsi="宋体"/>
                <w:sz w:val="24"/>
              </w:rPr>
            </w:pPr>
            <w:r>
              <w:rPr>
                <w:rFonts w:hint="eastAsia" w:ascii="宋体" w:hAnsi="宋体"/>
                <w:sz w:val="24"/>
              </w:rPr>
              <w:t>政治面貌</w:t>
            </w:r>
          </w:p>
        </w:tc>
        <w:tc>
          <w:tcPr>
            <w:tcW w:w="1045" w:type="pct"/>
            <w:gridSpan w:val="2"/>
            <w:tcBorders>
              <w:top w:val="single" w:color="auto" w:sz="4" w:space="0"/>
              <w:left w:val="single" w:color="auto" w:sz="4" w:space="0"/>
              <w:bottom w:val="single" w:color="auto" w:sz="4" w:space="0"/>
              <w:right w:val="single" w:color="auto" w:sz="4" w:space="0"/>
            </w:tcBorders>
          </w:tcPr>
          <w:p w14:paraId="626E1391">
            <w:pPr>
              <w:spacing w:line="440" w:lineRule="atLeast"/>
              <w:rPr>
                <w:rFonts w:ascii="宋体" w:hAnsi="宋体"/>
                <w:sz w:val="24"/>
              </w:rPr>
            </w:pPr>
          </w:p>
        </w:tc>
        <w:tc>
          <w:tcPr>
            <w:tcW w:w="913" w:type="pct"/>
            <w:vMerge w:val="continue"/>
            <w:tcBorders>
              <w:top w:val="single" w:color="auto" w:sz="4" w:space="0"/>
              <w:left w:val="single" w:color="auto" w:sz="4" w:space="0"/>
              <w:bottom w:val="single" w:color="auto" w:sz="4" w:space="0"/>
              <w:right w:val="single" w:color="auto" w:sz="4" w:space="0"/>
            </w:tcBorders>
            <w:vAlign w:val="center"/>
          </w:tcPr>
          <w:p w14:paraId="25442D5D">
            <w:pPr>
              <w:spacing w:line="440" w:lineRule="atLeast"/>
              <w:jc w:val="left"/>
              <w:rPr>
                <w:rFonts w:ascii="宋体" w:hAnsi="宋体"/>
                <w:sz w:val="24"/>
              </w:rPr>
            </w:pPr>
          </w:p>
        </w:tc>
      </w:tr>
      <w:tr w14:paraId="1057F6F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10" w:hRule="atLeast"/>
        </w:trPr>
        <w:tc>
          <w:tcPr>
            <w:tcW w:w="998" w:type="pct"/>
            <w:tcBorders>
              <w:top w:val="single" w:color="auto" w:sz="4" w:space="0"/>
              <w:left w:val="single" w:color="auto" w:sz="4" w:space="0"/>
              <w:bottom w:val="single" w:color="auto" w:sz="4" w:space="0"/>
              <w:right w:val="single" w:color="auto" w:sz="4" w:space="0"/>
            </w:tcBorders>
            <w:vAlign w:val="center"/>
          </w:tcPr>
          <w:p w14:paraId="1FDC2AF0">
            <w:pPr>
              <w:spacing w:line="440" w:lineRule="atLeast"/>
              <w:jc w:val="center"/>
              <w:rPr>
                <w:rFonts w:ascii="宋体" w:hAnsi="宋体"/>
                <w:sz w:val="24"/>
              </w:rPr>
            </w:pPr>
            <w:r>
              <w:rPr>
                <w:rFonts w:hint="eastAsia" w:ascii="宋体" w:hAnsi="宋体"/>
                <w:sz w:val="24"/>
              </w:rPr>
              <w:t>学历、学位</w:t>
            </w:r>
          </w:p>
        </w:tc>
        <w:tc>
          <w:tcPr>
            <w:tcW w:w="961" w:type="pct"/>
            <w:tcBorders>
              <w:top w:val="single" w:color="auto" w:sz="4" w:space="0"/>
              <w:left w:val="single" w:color="auto" w:sz="4" w:space="0"/>
              <w:bottom w:val="single" w:color="auto" w:sz="4" w:space="0"/>
              <w:right w:val="single" w:color="auto" w:sz="4" w:space="0"/>
            </w:tcBorders>
          </w:tcPr>
          <w:p w14:paraId="5B9E8359">
            <w:pPr>
              <w:spacing w:line="440" w:lineRule="atLeast"/>
              <w:rPr>
                <w:rFonts w:ascii="宋体" w:hAnsi="宋体"/>
                <w:sz w:val="24"/>
              </w:rPr>
            </w:pPr>
          </w:p>
        </w:tc>
        <w:tc>
          <w:tcPr>
            <w:tcW w:w="1083" w:type="pct"/>
            <w:gridSpan w:val="2"/>
            <w:tcBorders>
              <w:top w:val="single" w:color="auto" w:sz="4" w:space="0"/>
              <w:left w:val="single" w:color="auto" w:sz="4" w:space="0"/>
              <w:bottom w:val="single" w:color="auto" w:sz="4" w:space="0"/>
              <w:right w:val="single" w:color="auto" w:sz="4" w:space="0"/>
            </w:tcBorders>
            <w:vAlign w:val="center"/>
          </w:tcPr>
          <w:p w14:paraId="418206DF">
            <w:pPr>
              <w:spacing w:line="440" w:lineRule="atLeast"/>
              <w:jc w:val="center"/>
              <w:rPr>
                <w:rFonts w:ascii="宋体" w:hAnsi="宋体"/>
                <w:sz w:val="24"/>
              </w:rPr>
            </w:pPr>
            <w:r>
              <w:rPr>
                <w:rFonts w:hint="eastAsia" w:ascii="宋体" w:hAnsi="宋体"/>
                <w:sz w:val="24"/>
              </w:rPr>
              <w:t>专业方向</w:t>
            </w:r>
          </w:p>
        </w:tc>
        <w:tc>
          <w:tcPr>
            <w:tcW w:w="1045" w:type="pct"/>
            <w:gridSpan w:val="2"/>
            <w:tcBorders>
              <w:top w:val="single" w:color="auto" w:sz="4" w:space="0"/>
              <w:left w:val="single" w:color="auto" w:sz="4" w:space="0"/>
              <w:bottom w:val="single" w:color="auto" w:sz="4" w:space="0"/>
              <w:right w:val="single" w:color="auto" w:sz="4" w:space="0"/>
            </w:tcBorders>
          </w:tcPr>
          <w:p w14:paraId="58D443A1">
            <w:pPr>
              <w:spacing w:line="440" w:lineRule="atLeast"/>
              <w:rPr>
                <w:rFonts w:ascii="宋体" w:hAnsi="宋体"/>
                <w:sz w:val="24"/>
              </w:rPr>
            </w:pPr>
          </w:p>
        </w:tc>
        <w:tc>
          <w:tcPr>
            <w:tcW w:w="913" w:type="pct"/>
            <w:vMerge w:val="continue"/>
            <w:tcBorders>
              <w:top w:val="single" w:color="auto" w:sz="4" w:space="0"/>
              <w:left w:val="single" w:color="auto" w:sz="4" w:space="0"/>
              <w:bottom w:val="single" w:color="auto" w:sz="4" w:space="0"/>
              <w:right w:val="single" w:color="auto" w:sz="4" w:space="0"/>
            </w:tcBorders>
            <w:vAlign w:val="center"/>
          </w:tcPr>
          <w:p w14:paraId="71C80A56">
            <w:pPr>
              <w:spacing w:line="440" w:lineRule="atLeast"/>
              <w:jc w:val="left"/>
              <w:rPr>
                <w:rFonts w:ascii="宋体" w:hAnsi="宋体"/>
                <w:sz w:val="24"/>
              </w:rPr>
            </w:pPr>
          </w:p>
        </w:tc>
      </w:tr>
      <w:tr w14:paraId="6275628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10" w:hRule="atLeast"/>
        </w:trPr>
        <w:tc>
          <w:tcPr>
            <w:tcW w:w="998" w:type="pct"/>
            <w:tcBorders>
              <w:top w:val="single" w:color="auto" w:sz="4" w:space="0"/>
              <w:left w:val="single" w:color="auto" w:sz="4" w:space="0"/>
              <w:bottom w:val="single" w:color="auto" w:sz="4" w:space="0"/>
              <w:right w:val="single" w:color="auto" w:sz="4" w:space="0"/>
            </w:tcBorders>
            <w:vAlign w:val="center"/>
          </w:tcPr>
          <w:p w14:paraId="64B902FA">
            <w:pPr>
              <w:spacing w:line="440" w:lineRule="atLeast"/>
              <w:jc w:val="center"/>
              <w:rPr>
                <w:rFonts w:ascii="宋体" w:hAnsi="宋体"/>
                <w:sz w:val="24"/>
              </w:rPr>
            </w:pPr>
            <w:r>
              <w:rPr>
                <w:rFonts w:hint="eastAsia" w:ascii="宋体" w:hAnsi="宋体"/>
                <w:sz w:val="24"/>
              </w:rPr>
              <w:t>专业技术职称</w:t>
            </w:r>
          </w:p>
        </w:tc>
        <w:tc>
          <w:tcPr>
            <w:tcW w:w="961" w:type="pct"/>
            <w:tcBorders>
              <w:top w:val="single" w:color="auto" w:sz="4" w:space="0"/>
              <w:left w:val="single" w:color="auto" w:sz="4" w:space="0"/>
              <w:bottom w:val="single" w:color="auto" w:sz="4" w:space="0"/>
              <w:right w:val="single" w:color="auto" w:sz="4" w:space="0"/>
            </w:tcBorders>
          </w:tcPr>
          <w:p w14:paraId="4E3625F9">
            <w:pPr>
              <w:spacing w:line="440" w:lineRule="atLeast"/>
              <w:rPr>
                <w:rFonts w:ascii="宋体" w:hAnsi="宋体"/>
                <w:sz w:val="24"/>
              </w:rPr>
            </w:pPr>
          </w:p>
        </w:tc>
        <w:tc>
          <w:tcPr>
            <w:tcW w:w="1083" w:type="pct"/>
            <w:gridSpan w:val="2"/>
            <w:tcBorders>
              <w:top w:val="single" w:color="auto" w:sz="4" w:space="0"/>
              <w:left w:val="single" w:color="auto" w:sz="4" w:space="0"/>
              <w:bottom w:val="single" w:color="auto" w:sz="4" w:space="0"/>
              <w:right w:val="single" w:color="auto" w:sz="4" w:space="0"/>
            </w:tcBorders>
            <w:vAlign w:val="center"/>
          </w:tcPr>
          <w:p w14:paraId="5B7DA70A">
            <w:pPr>
              <w:spacing w:line="440" w:lineRule="atLeast"/>
              <w:jc w:val="center"/>
              <w:rPr>
                <w:rFonts w:ascii="宋体" w:hAnsi="宋体"/>
                <w:sz w:val="24"/>
              </w:rPr>
            </w:pPr>
            <w:r>
              <w:rPr>
                <w:rFonts w:hint="eastAsia" w:ascii="宋体" w:hAnsi="宋体"/>
                <w:sz w:val="24"/>
              </w:rPr>
              <w:t>全科通过时间</w:t>
            </w:r>
          </w:p>
        </w:tc>
        <w:tc>
          <w:tcPr>
            <w:tcW w:w="1045" w:type="pct"/>
            <w:gridSpan w:val="2"/>
            <w:tcBorders>
              <w:top w:val="single" w:color="auto" w:sz="4" w:space="0"/>
              <w:left w:val="single" w:color="auto" w:sz="4" w:space="0"/>
              <w:bottom w:val="single" w:color="auto" w:sz="4" w:space="0"/>
              <w:right w:val="single" w:color="auto" w:sz="4" w:space="0"/>
            </w:tcBorders>
          </w:tcPr>
          <w:p w14:paraId="43809C65">
            <w:pPr>
              <w:spacing w:line="440" w:lineRule="atLeast"/>
              <w:rPr>
                <w:rFonts w:ascii="宋体" w:hAnsi="宋体"/>
                <w:sz w:val="24"/>
              </w:rPr>
            </w:pPr>
          </w:p>
        </w:tc>
        <w:tc>
          <w:tcPr>
            <w:tcW w:w="913" w:type="pct"/>
            <w:vMerge w:val="continue"/>
            <w:tcBorders>
              <w:top w:val="single" w:color="auto" w:sz="4" w:space="0"/>
              <w:left w:val="single" w:color="auto" w:sz="4" w:space="0"/>
              <w:bottom w:val="single" w:color="auto" w:sz="4" w:space="0"/>
              <w:right w:val="single" w:color="auto" w:sz="4" w:space="0"/>
            </w:tcBorders>
            <w:vAlign w:val="center"/>
          </w:tcPr>
          <w:p w14:paraId="577E0CEC">
            <w:pPr>
              <w:spacing w:line="440" w:lineRule="atLeast"/>
              <w:jc w:val="left"/>
              <w:rPr>
                <w:rFonts w:ascii="宋体" w:hAnsi="宋体"/>
                <w:sz w:val="24"/>
              </w:rPr>
            </w:pPr>
          </w:p>
        </w:tc>
      </w:tr>
      <w:tr w14:paraId="17D143E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10" w:hRule="atLeast"/>
        </w:trPr>
        <w:tc>
          <w:tcPr>
            <w:tcW w:w="998" w:type="pct"/>
            <w:tcBorders>
              <w:top w:val="single" w:color="auto" w:sz="4" w:space="0"/>
              <w:left w:val="single" w:color="auto" w:sz="4" w:space="0"/>
              <w:bottom w:val="single" w:color="auto" w:sz="4" w:space="0"/>
              <w:right w:val="single" w:color="auto" w:sz="4" w:space="0"/>
            </w:tcBorders>
            <w:vAlign w:val="center"/>
          </w:tcPr>
          <w:p w14:paraId="19DFADD7">
            <w:pPr>
              <w:spacing w:line="440" w:lineRule="atLeast"/>
              <w:jc w:val="center"/>
              <w:rPr>
                <w:rFonts w:ascii="宋体" w:hAnsi="宋体"/>
                <w:sz w:val="24"/>
              </w:rPr>
            </w:pPr>
            <w:r>
              <w:rPr>
                <w:rFonts w:hint="eastAsia" w:ascii="宋体" w:hAnsi="宋体"/>
                <w:sz w:val="24"/>
              </w:rPr>
              <w:t>考试档案号（或认定批准文号）</w:t>
            </w:r>
          </w:p>
        </w:tc>
        <w:tc>
          <w:tcPr>
            <w:tcW w:w="961" w:type="pct"/>
            <w:tcBorders>
              <w:top w:val="single" w:color="auto" w:sz="4" w:space="0"/>
              <w:left w:val="single" w:color="auto" w:sz="4" w:space="0"/>
              <w:bottom w:val="single" w:color="auto" w:sz="4" w:space="0"/>
              <w:right w:val="single" w:color="auto" w:sz="4" w:space="0"/>
            </w:tcBorders>
          </w:tcPr>
          <w:p w14:paraId="2E7E5708">
            <w:pPr>
              <w:spacing w:line="440" w:lineRule="atLeast"/>
              <w:rPr>
                <w:rFonts w:ascii="宋体" w:hAnsi="宋体"/>
                <w:sz w:val="24"/>
              </w:rPr>
            </w:pPr>
          </w:p>
        </w:tc>
        <w:tc>
          <w:tcPr>
            <w:tcW w:w="1083" w:type="pct"/>
            <w:gridSpan w:val="2"/>
            <w:tcBorders>
              <w:top w:val="single" w:color="auto" w:sz="4" w:space="0"/>
              <w:left w:val="single" w:color="auto" w:sz="4" w:space="0"/>
              <w:bottom w:val="single" w:color="auto" w:sz="4" w:space="0"/>
              <w:right w:val="single" w:color="auto" w:sz="4" w:space="0"/>
            </w:tcBorders>
            <w:vAlign w:val="center"/>
          </w:tcPr>
          <w:p w14:paraId="46ECAEA5">
            <w:pPr>
              <w:spacing w:line="440" w:lineRule="atLeast"/>
              <w:jc w:val="center"/>
              <w:rPr>
                <w:rFonts w:ascii="宋体" w:hAnsi="宋体"/>
                <w:sz w:val="24"/>
              </w:rPr>
            </w:pPr>
            <w:r>
              <w:rPr>
                <w:rFonts w:hint="eastAsia" w:ascii="宋体" w:hAnsi="宋体"/>
                <w:sz w:val="24"/>
              </w:rPr>
              <w:t>工作单位</w:t>
            </w:r>
          </w:p>
        </w:tc>
        <w:tc>
          <w:tcPr>
            <w:tcW w:w="1958" w:type="pct"/>
            <w:gridSpan w:val="3"/>
            <w:tcBorders>
              <w:top w:val="single" w:color="auto" w:sz="4" w:space="0"/>
              <w:left w:val="single" w:color="auto" w:sz="4" w:space="0"/>
              <w:bottom w:val="single" w:color="auto" w:sz="4" w:space="0"/>
              <w:right w:val="single" w:color="auto" w:sz="4" w:space="0"/>
            </w:tcBorders>
          </w:tcPr>
          <w:p w14:paraId="732A07A9">
            <w:pPr>
              <w:spacing w:line="440" w:lineRule="atLeast"/>
              <w:jc w:val="left"/>
              <w:rPr>
                <w:rFonts w:ascii="宋体" w:hAnsi="宋体"/>
                <w:sz w:val="24"/>
              </w:rPr>
            </w:pPr>
          </w:p>
        </w:tc>
      </w:tr>
      <w:tr w14:paraId="456949B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10" w:hRule="atLeast"/>
        </w:trPr>
        <w:tc>
          <w:tcPr>
            <w:tcW w:w="998" w:type="pct"/>
            <w:tcBorders>
              <w:top w:val="single" w:color="auto" w:sz="4" w:space="0"/>
              <w:left w:val="single" w:color="auto" w:sz="4" w:space="0"/>
              <w:bottom w:val="single" w:color="auto" w:sz="4" w:space="0"/>
              <w:right w:val="single" w:color="auto" w:sz="4" w:space="0"/>
            </w:tcBorders>
            <w:vAlign w:val="center"/>
          </w:tcPr>
          <w:p w14:paraId="261E641C">
            <w:pPr>
              <w:spacing w:line="440" w:lineRule="atLeast"/>
              <w:jc w:val="center"/>
              <w:rPr>
                <w:rFonts w:ascii="宋体" w:hAnsi="宋体"/>
                <w:sz w:val="24"/>
              </w:rPr>
            </w:pPr>
            <w:r>
              <w:rPr>
                <w:rFonts w:hint="eastAsia" w:ascii="宋体" w:hAnsi="宋体"/>
                <w:sz w:val="24"/>
              </w:rPr>
              <w:t>联系电话</w:t>
            </w:r>
          </w:p>
        </w:tc>
        <w:tc>
          <w:tcPr>
            <w:tcW w:w="961" w:type="pct"/>
            <w:tcBorders>
              <w:top w:val="single" w:color="auto" w:sz="4" w:space="0"/>
              <w:left w:val="single" w:color="auto" w:sz="4" w:space="0"/>
              <w:bottom w:val="single" w:color="auto" w:sz="4" w:space="0"/>
              <w:right w:val="single" w:color="auto" w:sz="4" w:space="0"/>
            </w:tcBorders>
          </w:tcPr>
          <w:p w14:paraId="4266431C">
            <w:pPr>
              <w:spacing w:line="440" w:lineRule="atLeast"/>
              <w:rPr>
                <w:rFonts w:ascii="宋体" w:hAnsi="宋体"/>
                <w:sz w:val="24"/>
              </w:rPr>
            </w:pPr>
          </w:p>
        </w:tc>
        <w:tc>
          <w:tcPr>
            <w:tcW w:w="1083" w:type="pct"/>
            <w:gridSpan w:val="2"/>
            <w:tcBorders>
              <w:top w:val="single" w:color="auto" w:sz="4" w:space="0"/>
              <w:left w:val="single" w:color="auto" w:sz="4" w:space="0"/>
              <w:bottom w:val="single" w:color="auto" w:sz="4" w:space="0"/>
              <w:right w:val="single" w:color="auto" w:sz="4" w:space="0"/>
            </w:tcBorders>
            <w:vAlign w:val="center"/>
          </w:tcPr>
          <w:p w14:paraId="2DD34D2D">
            <w:pPr>
              <w:spacing w:line="440" w:lineRule="atLeast"/>
              <w:jc w:val="center"/>
              <w:rPr>
                <w:rFonts w:ascii="宋体" w:hAnsi="宋体"/>
                <w:sz w:val="24"/>
              </w:rPr>
            </w:pPr>
            <w:r>
              <w:rPr>
                <w:rFonts w:hint="eastAsia" w:ascii="宋体" w:hAnsi="宋体"/>
                <w:sz w:val="24"/>
              </w:rPr>
              <w:t>电子邮箱</w:t>
            </w:r>
          </w:p>
        </w:tc>
        <w:tc>
          <w:tcPr>
            <w:tcW w:w="1958" w:type="pct"/>
            <w:gridSpan w:val="3"/>
            <w:tcBorders>
              <w:top w:val="single" w:color="auto" w:sz="4" w:space="0"/>
              <w:left w:val="single" w:color="auto" w:sz="4" w:space="0"/>
              <w:bottom w:val="single" w:color="auto" w:sz="4" w:space="0"/>
              <w:right w:val="single" w:color="auto" w:sz="4" w:space="0"/>
            </w:tcBorders>
          </w:tcPr>
          <w:p w14:paraId="2B4BA0AE">
            <w:pPr>
              <w:spacing w:line="440" w:lineRule="atLeast"/>
              <w:jc w:val="left"/>
              <w:rPr>
                <w:rFonts w:ascii="宋体" w:hAnsi="宋体"/>
                <w:sz w:val="24"/>
              </w:rPr>
            </w:pPr>
          </w:p>
        </w:tc>
      </w:tr>
      <w:tr w14:paraId="0FAEF6E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10" w:hRule="atLeast"/>
        </w:trPr>
        <w:tc>
          <w:tcPr>
            <w:tcW w:w="998" w:type="pct"/>
            <w:tcBorders>
              <w:top w:val="single" w:color="auto" w:sz="4" w:space="0"/>
              <w:left w:val="single" w:color="auto" w:sz="4" w:space="0"/>
              <w:bottom w:val="single" w:color="auto" w:sz="4" w:space="0"/>
              <w:right w:val="single" w:color="auto" w:sz="4" w:space="0"/>
            </w:tcBorders>
            <w:vAlign w:val="center"/>
          </w:tcPr>
          <w:p w14:paraId="3C248BD0">
            <w:pPr>
              <w:spacing w:line="440" w:lineRule="atLeast"/>
              <w:jc w:val="center"/>
              <w:rPr>
                <w:rFonts w:ascii="宋体" w:hAnsi="宋体"/>
                <w:sz w:val="24"/>
              </w:rPr>
            </w:pPr>
            <w:r>
              <w:rPr>
                <w:rFonts w:hint="eastAsia" w:ascii="宋体" w:hAnsi="宋体"/>
                <w:sz w:val="24"/>
              </w:rPr>
              <w:t>通讯地址</w:t>
            </w:r>
          </w:p>
        </w:tc>
        <w:tc>
          <w:tcPr>
            <w:tcW w:w="2044" w:type="pct"/>
            <w:gridSpan w:val="3"/>
            <w:tcBorders>
              <w:top w:val="single" w:color="auto" w:sz="4" w:space="0"/>
              <w:left w:val="single" w:color="auto" w:sz="4" w:space="0"/>
              <w:bottom w:val="single" w:color="auto" w:sz="4" w:space="0"/>
              <w:right w:val="single" w:color="auto" w:sz="4" w:space="0"/>
            </w:tcBorders>
          </w:tcPr>
          <w:p w14:paraId="42878FAC">
            <w:pPr>
              <w:spacing w:line="440" w:lineRule="atLeast"/>
              <w:jc w:val="center"/>
              <w:rPr>
                <w:rFonts w:ascii="宋体" w:hAnsi="宋体"/>
                <w:sz w:val="24"/>
              </w:rPr>
            </w:pPr>
          </w:p>
        </w:tc>
        <w:tc>
          <w:tcPr>
            <w:tcW w:w="644" w:type="pct"/>
            <w:tcBorders>
              <w:top w:val="single" w:color="auto" w:sz="4" w:space="0"/>
              <w:left w:val="single" w:color="auto" w:sz="4" w:space="0"/>
              <w:bottom w:val="single" w:color="auto" w:sz="4" w:space="0"/>
              <w:right w:val="single" w:color="auto" w:sz="4" w:space="0"/>
            </w:tcBorders>
            <w:vAlign w:val="center"/>
          </w:tcPr>
          <w:p w14:paraId="1ECDFE8E">
            <w:pPr>
              <w:spacing w:line="440" w:lineRule="atLeast"/>
              <w:jc w:val="center"/>
              <w:rPr>
                <w:rFonts w:ascii="宋体" w:hAnsi="宋体"/>
                <w:sz w:val="24"/>
              </w:rPr>
            </w:pPr>
            <w:r>
              <w:rPr>
                <w:rFonts w:hint="eastAsia" w:ascii="宋体" w:hAnsi="宋体"/>
                <w:sz w:val="24"/>
              </w:rPr>
              <w:t>邮　　　　编</w:t>
            </w:r>
          </w:p>
        </w:tc>
        <w:tc>
          <w:tcPr>
            <w:tcW w:w="1314" w:type="pct"/>
            <w:gridSpan w:val="2"/>
            <w:tcBorders>
              <w:top w:val="single" w:color="auto" w:sz="4" w:space="0"/>
              <w:left w:val="single" w:color="auto" w:sz="4" w:space="0"/>
              <w:bottom w:val="single" w:color="auto" w:sz="4" w:space="0"/>
              <w:right w:val="single" w:color="auto" w:sz="4" w:space="0"/>
            </w:tcBorders>
          </w:tcPr>
          <w:p w14:paraId="4BC6DCF5">
            <w:pPr>
              <w:spacing w:line="440" w:lineRule="atLeast"/>
              <w:jc w:val="left"/>
              <w:rPr>
                <w:rFonts w:ascii="宋体" w:hAnsi="宋体"/>
                <w:sz w:val="24"/>
              </w:rPr>
            </w:pPr>
          </w:p>
        </w:tc>
      </w:tr>
      <w:tr w14:paraId="24094E8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513" w:hRule="atLeast"/>
        </w:trPr>
        <w:tc>
          <w:tcPr>
            <w:tcW w:w="998" w:type="pct"/>
            <w:tcBorders>
              <w:top w:val="single" w:color="auto" w:sz="4" w:space="0"/>
              <w:left w:val="single" w:color="auto" w:sz="4" w:space="0"/>
              <w:bottom w:val="single" w:color="auto" w:sz="4" w:space="0"/>
              <w:right w:val="single" w:color="auto" w:sz="4" w:space="0"/>
            </w:tcBorders>
            <w:vAlign w:val="center"/>
          </w:tcPr>
          <w:p w14:paraId="0F0163A2">
            <w:pPr>
              <w:spacing w:line="440" w:lineRule="atLeast"/>
              <w:jc w:val="center"/>
              <w:rPr>
                <w:rFonts w:ascii="宋体" w:hAnsi="宋体"/>
                <w:sz w:val="24"/>
              </w:rPr>
            </w:pPr>
            <w:r>
              <w:rPr>
                <w:rFonts w:hint="eastAsia" w:ascii="宋体" w:hAnsi="宋体"/>
                <w:sz w:val="24"/>
              </w:rPr>
              <w:t>本人工作简历</w:t>
            </w:r>
          </w:p>
        </w:tc>
        <w:tc>
          <w:tcPr>
            <w:tcW w:w="4002" w:type="pct"/>
            <w:gridSpan w:val="6"/>
            <w:tcBorders>
              <w:top w:val="single" w:color="auto" w:sz="4" w:space="0"/>
              <w:left w:val="single" w:color="auto" w:sz="4" w:space="0"/>
              <w:bottom w:val="single" w:color="auto" w:sz="4" w:space="0"/>
              <w:right w:val="single" w:color="auto" w:sz="4" w:space="0"/>
            </w:tcBorders>
          </w:tcPr>
          <w:p w14:paraId="4FB0B869">
            <w:pPr>
              <w:spacing w:line="440" w:lineRule="atLeast"/>
              <w:rPr>
                <w:rFonts w:ascii="宋体" w:hAnsi="宋体"/>
                <w:sz w:val="24"/>
              </w:rPr>
            </w:pPr>
          </w:p>
          <w:p w14:paraId="1F76B683">
            <w:pPr>
              <w:tabs>
                <w:tab w:val="left" w:pos="5295"/>
              </w:tabs>
              <w:spacing w:line="440" w:lineRule="atLeast"/>
              <w:rPr>
                <w:rFonts w:ascii="宋体" w:hAnsi="宋体"/>
                <w:sz w:val="24"/>
              </w:rPr>
            </w:pPr>
          </w:p>
          <w:p w14:paraId="5FDC9081">
            <w:pPr>
              <w:tabs>
                <w:tab w:val="left" w:pos="5295"/>
              </w:tabs>
              <w:spacing w:line="440" w:lineRule="atLeast"/>
              <w:rPr>
                <w:rFonts w:ascii="宋体" w:hAnsi="宋体"/>
                <w:sz w:val="24"/>
              </w:rPr>
            </w:pPr>
          </w:p>
          <w:p w14:paraId="23468E68">
            <w:pPr>
              <w:tabs>
                <w:tab w:val="left" w:pos="5295"/>
              </w:tabs>
              <w:spacing w:line="440" w:lineRule="atLeast"/>
              <w:rPr>
                <w:rFonts w:ascii="宋体" w:hAnsi="宋体"/>
                <w:sz w:val="24"/>
              </w:rPr>
            </w:pPr>
          </w:p>
        </w:tc>
      </w:tr>
      <w:tr w14:paraId="71BEE66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98" w:type="pct"/>
            <w:tcBorders>
              <w:top w:val="single" w:color="auto" w:sz="4" w:space="0"/>
              <w:left w:val="single" w:color="auto" w:sz="4" w:space="0"/>
              <w:right w:val="single" w:color="auto" w:sz="4" w:space="0"/>
            </w:tcBorders>
            <w:vAlign w:val="center"/>
          </w:tcPr>
          <w:p w14:paraId="45348F1B">
            <w:pPr>
              <w:spacing w:line="440" w:lineRule="atLeast"/>
              <w:jc w:val="center"/>
              <w:rPr>
                <w:rFonts w:ascii="宋体"/>
                <w:sz w:val="24"/>
              </w:rPr>
            </w:pPr>
            <w:r>
              <w:rPr>
                <w:rFonts w:hint="eastAsia" w:ascii="宋体"/>
                <w:sz w:val="24"/>
              </w:rPr>
              <w:t>本人声明</w:t>
            </w:r>
          </w:p>
        </w:tc>
        <w:tc>
          <w:tcPr>
            <w:tcW w:w="4002" w:type="pct"/>
            <w:gridSpan w:val="6"/>
            <w:tcBorders>
              <w:top w:val="single" w:color="auto" w:sz="4" w:space="0"/>
              <w:left w:val="single" w:color="auto" w:sz="4" w:space="0"/>
              <w:right w:val="single" w:color="auto" w:sz="4" w:space="0"/>
            </w:tcBorders>
            <w:vAlign w:val="center"/>
          </w:tcPr>
          <w:p w14:paraId="0F8CB189">
            <w:pPr>
              <w:spacing w:line="440" w:lineRule="atLeast"/>
              <w:rPr>
                <w:rFonts w:ascii="宋体"/>
                <w:sz w:val="24"/>
              </w:rPr>
            </w:pPr>
            <w:r>
              <w:rPr>
                <w:rFonts w:hint="eastAsia" w:ascii="宋体" w:hAnsi="宋体"/>
                <w:sz w:val="24"/>
              </w:rPr>
              <w:t>不具有《中国资产评估协会非执业会员管理办法》第六条所述情形。</w:t>
            </w:r>
          </w:p>
        </w:tc>
      </w:tr>
      <w:tr w14:paraId="129BA00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1178" w:hRule="atLeast"/>
        </w:trPr>
        <w:tc>
          <w:tcPr>
            <w:tcW w:w="5000" w:type="pct"/>
            <w:gridSpan w:val="7"/>
            <w:tcBorders>
              <w:top w:val="single" w:color="auto" w:sz="4" w:space="0"/>
              <w:left w:val="single" w:color="auto" w:sz="4" w:space="0"/>
              <w:bottom w:val="single" w:color="auto" w:sz="4" w:space="0"/>
              <w:right w:val="single" w:color="auto" w:sz="4" w:space="0"/>
            </w:tcBorders>
          </w:tcPr>
          <w:p w14:paraId="41FC4367">
            <w:pPr>
              <w:spacing w:line="440" w:lineRule="atLeast"/>
              <w:rPr>
                <w:rFonts w:ascii="宋体" w:hAnsi="宋体"/>
                <w:sz w:val="24"/>
              </w:rPr>
            </w:pPr>
          </w:p>
          <w:p w14:paraId="0FB3597B">
            <w:pPr>
              <w:spacing w:line="440" w:lineRule="atLeast"/>
              <w:rPr>
                <w:rFonts w:ascii="宋体" w:hAnsi="宋体"/>
                <w:sz w:val="24"/>
              </w:rPr>
            </w:pPr>
            <w:r>
              <w:rPr>
                <w:rFonts w:hint="eastAsia" w:ascii="宋体"/>
                <w:sz w:val="24"/>
              </w:rPr>
              <w:t>我自愿申请加入中国资产评估协会，成为非执业会员，并承诺遵守《中国资产评估协会章程》及相关规定。</w:t>
            </w:r>
          </w:p>
          <w:p w14:paraId="781264C4">
            <w:pPr>
              <w:spacing w:line="440" w:lineRule="atLeast"/>
              <w:rPr>
                <w:rFonts w:ascii="宋体" w:hAnsi="宋体"/>
                <w:sz w:val="24"/>
              </w:rPr>
            </w:pPr>
          </w:p>
          <w:p w14:paraId="56302235">
            <w:pPr>
              <w:spacing w:line="440" w:lineRule="atLeast"/>
              <w:rPr>
                <w:rFonts w:ascii="宋体" w:hAnsi="宋体"/>
                <w:sz w:val="24"/>
              </w:rPr>
            </w:pPr>
            <w:r>
              <w:rPr>
                <w:rFonts w:hint="eastAsia" w:ascii="宋体" w:hAnsi="宋体"/>
                <w:sz w:val="24"/>
              </w:rPr>
              <w:t>申请人签名：　　　　　　　　　　　　　　　　　年　　　　月　　　　日</w:t>
            </w:r>
          </w:p>
        </w:tc>
      </w:tr>
      <w:tr w14:paraId="19C01A0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236" w:hRule="atLeast"/>
        </w:trPr>
        <w:tc>
          <w:tcPr>
            <w:tcW w:w="2491" w:type="pct"/>
            <w:gridSpan w:val="3"/>
            <w:tcBorders>
              <w:top w:val="single" w:color="auto" w:sz="4" w:space="0"/>
              <w:left w:val="single" w:color="auto" w:sz="4" w:space="0"/>
              <w:bottom w:val="single" w:color="auto" w:sz="4" w:space="0"/>
              <w:right w:val="single" w:color="auto" w:sz="4" w:space="0"/>
            </w:tcBorders>
          </w:tcPr>
          <w:p w14:paraId="3A9561BA">
            <w:pPr>
              <w:spacing w:line="440" w:lineRule="atLeast"/>
              <w:rPr>
                <w:rFonts w:ascii="宋体" w:hAnsi="宋体"/>
                <w:sz w:val="24"/>
              </w:rPr>
            </w:pPr>
          </w:p>
          <w:p w14:paraId="76CC7003">
            <w:pPr>
              <w:spacing w:line="440" w:lineRule="atLeast"/>
              <w:rPr>
                <w:rFonts w:ascii="宋体" w:hAnsi="宋体"/>
                <w:sz w:val="24"/>
              </w:rPr>
            </w:pPr>
            <w:r>
              <w:rPr>
                <w:rFonts w:hint="eastAsia" w:ascii="宋体" w:hAnsi="宋体"/>
                <w:sz w:val="24"/>
              </w:rPr>
              <w:t>地方协会审批意见（盖章）：</w:t>
            </w:r>
          </w:p>
          <w:p w14:paraId="0CE0B666">
            <w:pPr>
              <w:spacing w:line="440" w:lineRule="atLeast"/>
              <w:rPr>
                <w:rFonts w:ascii="宋体" w:hAnsi="宋体"/>
                <w:sz w:val="24"/>
              </w:rPr>
            </w:pPr>
          </w:p>
          <w:p w14:paraId="758A6723">
            <w:pPr>
              <w:spacing w:line="440" w:lineRule="atLeast"/>
              <w:rPr>
                <w:rFonts w:ascii="宋体" w:hAnsi="宋体"/>
                <w:sz w:val="24"/>
              </w:rPr>
            </w:pPr>
          </w:p>
          <w:p w14:paraId="595337A3">
            <w:pPr>
              <w:spacing w:line="440" w:lineRule="atLeast"/>
              <w:jc w:val="left"/>
              <w:rPr>
                <w:rFonts w:ascii="宋体" w:hAnsi="宋体"/>
                <w:sz w:val="24"/>
              </w:rPr>
            </w:pPr>
          </w:p>
          <w:p w14:paraId="3082AAB7">
            <w:pPr>
              <w:spacing w:line="440" w:lineRule="atLeast"/>
              <w:jc w:val="left"/>
              <w:rPr>
                <w:rFonts w:ascii="宋体" w:hAnsi="宋体"/>
                <w:sz w:val="24"/>
              </w:rPr>
            </w:pPr>
            <w:r>
              <w:rPr>
                <w:rFonts w:hint="eastAsia" w:ascii="宋体" w:hAnsi="宋体"/>
                <w:sz w:val="24"/>
              </w:rPr>
              <w:t>负责人签名：</w:t>
            </w:r>
          </w:p>
          <w:p w14:paraId="07F1E1F3">
            <w:pPr>
              <w:spacing w:line="440" w:lineRule="atLeast"/>
              <w:jc w:val="left"/>
              <w:rPr>
                <w:rFonts w:ascii="宋体" w:hAnsi="宋体"/>
                <w:sz w:val="24"/>
              </w:rPr>
            </w:pPr>
          </w:p>
          <w:p w14:paraId="40E87263">
            <w:pPr>
              <w:spacing w:line="440" w:lineRule="atLeast"/>
              <w:jc w:val="left"/>
              <w:rPr>
                <w:rFonts w:ascii="宋体" w:hAnsi="宋体"/>
                <w:sz w:val="24"/>
              </w:rPr>
            </w:pPr>
            <w:r>
              <w:rPr>
                <w:rFonts w:hint="eastAsia" w:ascii="宋体" w:hAnsi="宋体"/>
                <w:sz w:val="24"/>
              </w:rPr>
              <w:t>经办人签名：</w:t>
            </w:r>
          </w:p>
          <w:p w14:paraId="1CB3195B">
            <w:pPr>
              <w:spacing w:line="440" w:lineRule="atLeast"/>
              <w:jc w:val="left"/>
              <w:rPr>
                <w:rFonts w:ascii="宋体" w:hAnsi="宋体"/>
                <w:sz w:val="24"/>
              </w:rPr>
            </w:pPr>
          </w:p>
          <w:p w14:paraId="0848BDD8">
            <w:pPr>
              <w:spacing w:line="440" w:lineRule="atLeast"/>
              <w:jc w:val="center"/>
              <w:rPr>
                <w:rFonts w:ascii="宋体" w:hAnsi="宋体"/>
                <w:sz w:val="24"/>
              </w:rPr>
            </w:pPr>
            <w:r>
              <w:rPr>
                <w:rFonts w:hint="eastAsia" w:ascii="宋体" w:hAnsi="宋体"/>
                <w:sz w:val="24"/>
              </w:rPr>
              <w:t>　年　　　　月　　　　日</w:t>
            </w:r>
          </w:p>
        </w:tc>
        <w:tc>
          <w:tcPr>
            <w:tcW w:w="2509" w:type="pct"/>
            <w:gridSpan w:val="4"/>
            <w:tcBorders>
              <w:top w:val="single" w:color="auto" w:sz="4" w:space="0"/>
              <w:left w:val="single" w:color="auto" w:sz="4" w:space="0"/>
              <w:bottom w:val="single" w:color="auto" w:sz="4" w:space="0"/>
              <w:right w:val="single" w:color="auto" w:sz="4" w:space="0"/>
            </w:tcBorders>
          </w:tcPr>
          <w:p w14:paraId="6FB1E9E0">
            <w:pPr>
              <w:spacing w:line="440" w:lineRule="atLeast"/>
              <w:jc w:val="left"/>
              <w:rPr>
                <w:rFonts w:ascii="宋体" w:hAnsi="宋体"/>
                <w:sz w:val="24"/>
              </w:rPr>
            </w:pPr>
          </w:p>
          <w:p w14:paraId="1A878F50">
            <w:pPr>
              <w:spacing w:line="440" w:lineRule="atLeast"/>
              <w:jc w:val="left"/>
              <w:rPr>
                <w:rFonts w:ascii="宋体" w:hAnsi="宋体"/>
                <w:sz w:val="24"/>
              </w:rPr>
            </w:pPr>
            <w:r>
              <w:rPr>
                <w:rFonts w:hint="eastAsia" w:ascii="宋体" w:hAnsi="宋体"/>
                <w:sz w:val="24"/>
              </w:rPr>
              <w:t>中国资产评估协会审批意见（盖章）：</w:t>
            </w:r>
          </w:p>
          <w:p w14:paraId="7FCDF587">
            <w:pPr>
              <w:spacing w:line="440" w:lineRule="atLeast"/>
              <w:jc w:val="left"/>
              <w:rPr>
                <w:rFonts w:ascii="宋体" w:hAnsi="宋体"/>
                <w:sz w:val="24"/>
              </w:rPr>
            </w:pPr>
          </w:p>
          <w:p w14:paraId="15C8C9FA">
            <w:pPr>
              <w:spacing w:line="440" w:lineRule="atLeast"/>
              <w:jc w:val="left"/>
              <w:rPr>
                <w:rFonts w:ascii="宋体" w:hAnsi="宋体"/>
                <w:sz w:val="24"/>
              </w:rPr>
            </w:pPr>
          </w:p>
          <w:p w14:paraId="386332C4">
            <w:pPr>
              <w:spacing w:line="440" w:lineRule="atLeast"/>
              <w:jc w:val="left"/>
              <w:rPr>
                <w:rFonts w:ascii="宋体" w:hAnsi="宋体"/>
                <w:sz w:val="24"/>
              </w:rPr>
            </w:pPr>
          </w:p>
          <w:p w14:paraId="577C6593">
            <w:pPr>
              <w:spacing w:line="440" w:lineRule="atLeast"/>
              <w:jc w:val="left"/>
              <w:rPr>
                <w:rFonts w:ascii="宋体" w:hAnsi="宋体"/>
                <w:sz w:val="24"/>
              </w:rPr>
            </w:pPr>
            <w:r>
              <w:rPr>
                <w:rFonts w:hint="eastAsia" w:ascii="宋体" w:hAnsi="宋体"/>
                <w:sz w:val="24"/>
              </w:rPr>
              <w:t>负责人签名：</w:t>
            </w:r>
          </w:p>
          <w:p w14:paraId="39F53286">
            <w:pPr>
              <w:spacing w:line="440" w:lineRule="atLeast"/>
              <w:jc w:val="left"/>
              <w:rPr>
                <w:rFonts w:ascii="宋体" w:hAnsi="宋体"/>
                <w:sz w:val="24"/>
              </w:rPr>
            </w:pPr>
          </w:p>
          <w:p w14:paraId="72368C7E">
            <w:pPr>
              <w:spacing w:line="440" w:lineRule="atLeast"/>
              <w:jc w:val="left"/>
              <w:rPr>
                <w:rFonts w:ascii="宋体" w:hAnsi="宋体"/>
                <w:sz w:val="24"/>
              </w:rPr>
            </w:pPr>
            <w:r>
              <w:rPr>
                <w:rFonts w:hint="eastAsia" w:ascii="宋体" w:hAnsi="宋体"/>
                <w:sz w:val="24"/>
              </w:rPr>
              <w:t>经办人签名：</w:t>
            </w:r>
          </w:p>
          <w:p w14:paraId="04C4F4DF">
            <w:pPr>
              <w:spacing w:line="440" w:lineRule="atLeast"/>
              <w:jc w:val="left"/>
              <w:rPr>
                <w:rFonts w:ascii="宋体" w:hAnsi="宋体"/>
                <w:sz w:val="24"/>
              </w:rPr>
            </w:pPr>
          </w:p>
          <w:p w14:paraId="518643EA">
            <w:pPr>
              <w:spacing w:line="440" w:lineRule="atLeast"/>
              <w:jc w:val="center"/>
              <w:rPr>
                <w:rFonts w:ascii="宋体" w:hAnsi="宋体"/>
                <w:sz w:val="24"/>
              </w:rPr>
            </w:pPr>
            <w:r>
              <w:rPr>
                <w:rFonts w:hint="eastAsia" w:ascii="宋体" w:hAnsi="宋体"/>
                <w:sz w:val="24"/>
              </w:rPr>
              <w:t>　　　年　　　　月　　　　日</w:t>
            </w:r>
          </w:p>
        </w:tc>
      </w:tr>
    </w:tbl>
    <w:p w14:paraId="5B9FF8CF">
      <w:pPr>
        <w:spacing w:line="440" w:lineRule="atLeast"/>
        <w:rPr>
          <w:rFonts w:ascii="宋体" w:hAnsi="宋体"/>
          <w:sz w:val="24"/>
        </w:rPr>
      </w:pPr>
      <w:r>
        <w:rPr>
          <w:rFonts w:hint="eastAsia" w:ascii="宋体" w:hAnsi="宋体"/>
          <w:sz w:val="24"/>
        </w:rPr>
        <w:t>注：1.本表需附《注册资产评估师执业资格证书》或依法认定批准文件复印件；</w:t>
      </w:r>
    </w:p>
    <w:p w14:paraId="77519A95">
      <w:pPr>
        <w:spacing w:line="440" w:lineRule="atLeast"/>
        <w:ind w:firstLine="480" w:firstLineChars="200"/>
        <w:rPr>
          <w:rFonts w:ascii="宋体" w:hAnsi="宋体"/>
          <w:sz w:val="24"/>
        </w:rPr>
        <w:sectPr>
          <w:headerReference r:id="rId18" w:type="first"/>
          <w:footerReference r:id="rId21" w:type="first"/>
          <w:headerReference r:id="rId16" w:type="default"/>
          <w:footerReference r:id="rId19" w:type="default"/>
          <w:headerReference r:id="rId17" w:type="even"/>
          <w:footerReference r:id="rId20" w:type="even"/>
          <w:pgSz w:w="11906" w:h="16838"/>
          <w:pgMar w:top="1440" w:right="1531" w:bottom="1440" w:left="1531" w:header="851" w:footer="992" w:gutter="0"/>
          <w:cols w:space="720" w:num="1"/>
          <w:docGrid w:type="lines" w:linePitch="312" w:charSpace="0"/>
        </w:sectPr>
      </w:pPr>
      <w:r>
        <w:rPr>
          <w:rFonts w:hint="eastAsia" w:ascii="宋体" w:hAnsi="宋体"/>
          <w:sz w:val="24"/>
        </w:rPr>
        <w:t>2.申请人身份证复印件。</w:t>
      </w:r>
    </w:p>
    <w:p w14:paraId="08D10D59">
      <w:pPr>
        <w:spacing w:line="440" w:lineRule="atLeast"/>
        <w:rPr>
          <w:rFonts w:ascii="宋体" w:hAnsi="宋体" w:eastAsia="宋体" w:cs="宋体"/>
          <w:bCs/>
          <w:sz w:val="24"/>
        </w:rPr>
      </w:pPr>
      <w:r>
        <w:rPr>
          <w:rFonts w:hint="eastAsia" w:ascii="宋体" w:hAnsi="宋体" w:eastAsia="宋体" w:cs="宋体"/>
          <w:bCs/>
          <w:sz w:val="24"/>
        </w:rPr>
        <w:t>附表2：</w:t>
      </w:r>
    </w:p>
    <w:p w14:paraId="437C6752">
      <w:pPr>
        <w:spacing w:line="440" w:lineRule="atLeast"/>
        <w:jc w:val="center"/>
        <w:rPr>
          <w:rFonts w:ascii="宋体" w:hAnsi="宋体" w:cs="宋体"/>
          <w:b/>
          <w:bCs/>
          <w:kern w:val="0"/>
          <w:sz w:val="36"/>
          <w:szCs w:val="36"/>
        </w:rPr>
      </w:pPr>
      <w:r>
        <w:rPr>
          <w:rFonts w:hint="eastAsia" w:ascii="宋体" w:hAnsi="宋体" w:cs="宋体"/>
          <w:b/>
          <w:bCs/>
          <w:kern w:val="0"/>
          <w:sz w:val="36"/>
          <w:szCs w:val="36"/>
        </w:rPr>
        <w:t>中国资产评估协会非执业会员汇总表</w:t>
      </w:r>
      <w:r>
        <w:rPr>
          <w:rFonts w:hint="eastAsia" w:ascii="宋体" w:hAnsi="宋体" w:cs="宋体"/>
          <w:b/>
          <w:bCs/>
          <w:kern w:val="0"/>
          <w:sz w:val="36"/>
          <w:szCs w:val="36"/>
        </w:rPr>
        <w:tab/>
      </w:r>
      <w:r>
        <w:rPr>
          <w:rFonts w:hint="eastAsia" w:ascii="宋体" w:hAnsi="宋体" w:cs="宋体"/>
          <w:b/>
          <w:bCs/>
          <w:kern w:val="0"/>
          <w:sz w:val="36"/>
          <w:szCs w:val="36"/>
        </w:rPr>
        <w:t>　</w:t>
      </w:r>
    </w:p>
    <w:p w14:paraId="260889E2">
      <w:pPr>
        <w:spacing w:line="440" w:lineRule="atLeast"/>
        <w:jc w:val="left"/>
        <w:rPr>
          <w:sz w:val="24"/>
        </w:rPr>
      </w:pPr>
      <w:r>
        <w:rPr>
          <w:rFonts w:hint="eastAsia"/>
          <w:sz w:val="24"/>
        </w:rPr>
        <w:t>填报省份：</w:t>
      </w:r>
    </w:p>
    <w:tbl>
      <w:tblPr>
        <w:tblStyle w:val="24"/>
        <w:tblW w:w="140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
        <w:gridCol w:w="1190"/>
        <w:gridCol w:w="696"/>
        <w:gridCol w:w="2501"/>
        <w:gridCol w:w="2144"/>
        <w:gridCol w:w="2762"/>
        <w:gridCol w:w="1759"/>
        <w:gridCol w:w="1559"/>
        <w:gridCol w:w="426"/>
      </w:tblGrid>
      <w:tr w14:paraId="69296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996" w:type="dxa"/>
            <w:vAlign w:val="center"/>
          </w:tcPr>
          <w:p w14:paraId="482F1893">
            <w:pPr>
              <w:spacing w:line="440" w:lineRule="atLeast"/>
              <w:jc w:val="center"/>
              <w:rPr>
                <w:rFonts w:ascii="宋体" w:hAnsi="宋体" w:cs="宋体"/>
                <w:color w:val="000000"/>
                <w:kern w:val="0"/>
                <w:szCs w:val="21"/>
              </w:rPr>
            </w:pPr>
            <w:r>
              <mc:AlternateContent>
                <mc:Choice Requires="wps">
                  <w:drawing>
                    <wp:anchor distT="0" distB="0" distL="114300" distR="114300" simplePos="0" relativeHeight="251659264" behindDoc="0" locked="0" layoutInCell="1" allowOverlap="1">
                      <wp:simplePos x="0" y="0"/>
                      <wp:positionH relativeFrom="column">
                        <wp:posOffset>-67310</wp:posOffset>
                      </wp:positionH>
                      <wp:positionV relativeFrom="paragraph">
                        <wp:posOffset>6350</wp:posOffset>
                      </wp:positionV>
                      <wp:extent cx="622300" cy="389890"/>
                      <wp:effectExtent l="2540" t="3810" r="3810" b="6350"/>
                      <wp:wrapNone/>
                      <wp:docPr id="4" name="直接箭头连接符 4"/>
                      <wp:cNvGraphicFramePr/>
                      <a:graphic xmlns:a="http://schemas.openxmlformats.org/drawingml/2006/main">
                        <a:graphicData uri="http://schemas.microsoft.com/office/word/2010/wordprocessingShape">
                          <wps:wsp>
                            <wps:cNvCnPr>
                              <a:cxnSpLocks noChangeShapeType="1"/>
                            </wps:cNvCnPr>
                            <wps:spPr bwMode="auto">
                              <a:xfrm>
                                <a:off x="0" y="0"/>
                                <a:ext cx="622300" cy="389890"/>
                              </a:xfrm>
                              <a:prstGeom prst="straightConnector1">
                                <a:avLst/>
                              </a:prstGeom>
                              <a:noFill/>
                              <a:ln w="3175">
                                <a:solidFill>
                                  <a:srgbClr val="000000"/>
                                </a:solidFill>
                                <a:round/>
                              </a:ln>
                              <a:effectLst/>
                            </wps:spPr>
                            <wps:bodyPr/>
                          </wps:wsp>
                        </a:graphicData>
                      </a:graphic>
                    </wp:anchor>
                  </w:drawing>
                </mc:Choice>
                <mc:Fallback>
                  <w:pict>
                    <v:shape id="_x0000_s1026" o:spid="_x0000_s1026" o:spt="32" type="#_x0000_t32" style="position:absolute;left:0pt;margin-left:-5.3pt;margin-top:0.5pt;height:30.7pt;width:49pt;z-index:251659264;mso-width-relative:page;mso-height-relative:page;" filled="f" stroked="t" coordsize="21600,21600" o:gfxdata="UEsDBAoAAAAAAIdO4kAAAAAAAAAAAAAAAAAEAAAAZHJzL1BLAwQUAAAACACHTuJAqS9uOdUAAAAH&#10;AQAADwAAAGRycy9kb3ducmV2LnhtbE2PQU7DMBBF90jcwRokdq2dUkIV4lQqAqEu0/QAbjwkUeJx&#10;FDtt6ekZVrAcva//3+TbqxvEGafQedKQLBUIpNrbjhoNx+pjsQERoiFrBk+o4RsDbIv7u9xk1l+o&#10;xPMhNoJLKGRGQxvjmEkZ6hadCUs/IjH78pMzkc+pkXYyFy53g1wplUpnOuKF1oz41mLdH2anoX+6&#10;lfu+3b/fwq6Sx+eqnOlzp/XjQ6JeQUS8xr8w/OqzOhTsdPIz2SAGDYtEpRxlwC8x37ysQZw0pKs1&#10;yCKX//2LH1BLAwQUAAAACACHTuJA3AsLRv8BAADQAwAADgAAAGRycy9lMm9Eb2MueG1srVPNbhMx&#10;EL4j8Q6W72STtJR0lU0PicqlQKS2D+B4vbsWXo81drLJS/ACSJyAU+HUO09Dy2Mwdn4o5dIDe7Bs&#10;j+f75vtmdny2bg1bKfQabMEHvT5nykoota0Lfn11/mLEmQ/ClsKAVQXfKM/PJs+fjTuXqyE0YEqF&#10;jECszztX8CYEl2eZl41qhe+BU5aCFWArAh2xzkoUHaG3Jhv2+ydZB1g6BKm8p9vZNsh3iPgUQKgq&#10;LdUM5LJVNmxRURkRSJJvtPN8kqqtKiXDu6ryKjBTcFIa0koktF/ENZuMRV6jcI2WuxLEU0p4pKkV&#10;2hLpAWomgmBL1P9AtVoieKhCT0KbbYUkR0jFoP/Im8tGOJW0kNXeHUz3/w9Wvl3Nkemy4MecWdFS&#10;w+8/3t59+HL//dvPz7e/fnyK+5uv7Dha1TmfU8bUzjGKlWt76S5AvvfMwrQRtlap5KuNI5xBzMj+&#10;SokH74hw0b2Bkt6IZYDk27rCNkKSI2yd2rM5tEetA5N0eTIcHvWpcZJCR6PT0WlqXybyfbJDH14r&#10;aFncFNwHFLpuwhSspUEAHCQqsbrwIZYm8n1CZLZwro1J82As64hi8OplSvBgdBmD8ZnHejE1yFYi&#10;TlT6kk6KPHyGsLTllsTYmKfSMO6Y9z5sHV1AuZnj3ixqdKptN5Rxkh6ek6V/fsTJ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kvbjnVAAAABwEAAA8AAAAAAAAAAQAgAAAAIgAAAGRycy9kb3ducmV2&#10;LnhtbFBLAQIUABQAAAAIAIdO4kDcCwtG/wEAANADAAAOAAAAAAAAAAEAIAAAACQBAABkcnMvZTJv&#10;RG9jLnhtbFBLBQYAAAAABgAGAFkBAACVBQAAAAA=&#10;">
                      <v:fill on="f" focussize="0,0"/>
                      <v:stroke weight="0.25pt" color="#000000" joinstyle="round"/>
                      <v:imagedata o:title=""/>
                      <o:lock v:ext="edit" aspectratio="f"/>
                    </v:shape>
                  </w:pict>
                </mc:Fallback>
              </mc:AlternateContent>
            </w:r>
            <w:r>
              <w:rPr>
                <w:rFonts w:hint="eastAsia" w:ascii="宋体" w:hAnsi="宋体" w:cs="宋体"/>
                <w:color w:val="000000"/>
                <w:kern w:val="0"/>
                <w:szCs w:val="21"/>
              </w:rPr>
              <w:t>　　　　　　项目　　　　　　序号</w:t>
            </w:r>
          </w:p>
        </w:tc>
        <w:tc>
          <w:tcPr>
            <w:tcW w:w="1190" w:type="dxa"/>
            <w:vAlign w:val="center"/>
          </w:tcPr>
          <w:p w14:paraId="3A499A2E">
            <w:pPr>
              <w:spacing w:line="440" w:lineRule="atLeast"/>
              <w:jc w:val="center"/>
              <w:rPr>
                <w:rFonts w:ascii="宋体" w:hAnsi="宋体" w:cs="宋体"/>
                <w:color w:val="000000"/>
                <w:kern w:val="0"/>
                <w:szCs w:val="21"/>
              </w:rPr>
            </w:pPr>
            <w:r>
              <w:rPr>
                <w:rFonts w:hint="eastAsia" w:ascii="宋体" w:hAnsi="宋体" w:cs="宋体"/>
                <w:color w:val="000000"/>
                <w:kern w:val="0"/>
                <w:szCs w:val="21"/>
              </w:rPr>
              <w:t>姓名</w:t>
            </w:r>
          </w:p>
        </w:tc>
        <w:tc>
          <w:tcPr>
            <w:tcW w:w="696" w:type="dxa"/>
            <w:vAlign w:val="center"/>
          </w:tcPr>
          <w:p w14:paraId="13BE48D6">
            <w:pPr>
              <w:spacing w:line="440" w:lineRule="atLeast"/>
              <w:jc w:val="center"/>
              <w:rPr>
                <w:rFonts w:ascii="宋体" w:hAnsi="宋体" w:cs="宋体"/>
                <w:color w:val="000000"/>
                <w:kern w:val="0"/>
                <w:szCs w:val="21"/>
              </w:rPr>
            </w:pPr>
            <w:r>
              <w:rPr>
                <w:rFonts w:hint="eastAsia" w:ascii="宋体" w:hAnsi="宋体" w:cs="宋体"/>
                <w:color w:val="000000"/>
                <w:kern w:val="0"/>
                <w:szCs w:val="21"/>
              </w:rPr>
              <w:t>性别</w:t>
            </w:r>
          </w:p>
        </w:tc>
        <w:tc>
          <w:tcPr>
            <w:tcW w:w="2501" w:type="dxa"/>
            <w:vAlign w:val="center"/>
          </w:tcPr>
          <w:p w14:paraId="1525C61A">
            <w:pPr>
              <w:spacing w:line="440" w:lineRule="atLeast"/>
              <w:jc w:val="center"/>
              <w:rPr>
                <w:rFonts w:ascii="宋体" w:hAnsi="宋体" w:cs="宋体"/>
                <w:color w:val="000000"/>
                <w:kern w:val="0"/>
                <w:szCs w:val="21"/>
              </w:rPr>
            </w:pPr>
            <w:r>
              <w:rPr>
                <w:rFonts w:hint="eastAsia" w:ascii="宋体" w:hAnsi="宋体" w:cs="宋体"/>
                <w:color w:val="000000"/>
                <w:kern w:val="0"/>
                <w:szCs w:val="21"/>
              </w:rPr>
              <w:t>身份证号码</w:t>
            </w:r>
          </w:p>
        </w:tc>
        <w:tc>
          <w:tcPr>
            <w:tcW w:w="2144" w:type="dxa"/>
            <w:vAlign w:val="center"/>
          </w:tcPr>
          <w:p w14:paraId="2B74DE6D">
            <w:pPr>
              <w:spacing w:line="440" w:lineRule="atLeast"/>
              <w:jc w:val="center"/>
              <w:rPr>
                <w:rFonts w:ascii="宋体" w:hAnsi="宋体" w:cs="宋体"/>
                <w:color w:val="000000"/>
                <w:kern w:val="0"/>
                <w:szCs w:val="21"/>
              </w:rPr>
            </w:pPr>
            <w:r>
              <w:rPr>
                <w:rFonts w:hint="eastAsia" w:ascii="宋体" w:hAnsi="宋体" w:cs="宋体"/>
                <w:color w:val="000000"/>
                <w:kern w:val="0"/>
                <w:szCs w:val="21"/>
              </w:rPr>
              <w:t>考试档案号</w:t>
            </w:r>
          </w:p>
          <w:p w14:paraId="3EAFD5B7">
            <w:pPr>
              <w:spacing w:line="440" w:lineRule="atLeast"/>
              <w:jc w:val="center"/>
              <w:rPr>
                <w:rFonts w:ascii="宋体" w:hAnsi="宋体" w:cs="宋体"/>
                <w:color w:val="000000"/>
                <w:kern w:val="0"/>
                <w:szCs w:val="21"/>
              </w:rPr>
            </w:pPr>
            <w:r>
              <w:rPr>
                <w:rFonts w:hint="eastAsia" w:ascii="宋体" w:hAnsi="宋体" w:cs="宋体"/>
                <w:color w:val="000000"/>
                <w:kern w:val="0"/>
                <w:szCs w:val="21"/>
              </w:rPr>
              <w:t>（或认定批准文号）</w:t>
            </w:r>
          </w:p>
        </w:tc>
        <w:tc>
          <w:tcPr>
            <w:tcW w:w="2762" w:type="dxa"/>
            <w:vAlign w:val="center"/>
          </w:tcPr>
          <w:p w14:paraId="43868A13">
            <w:pPr>
              <w:spacing w:line="440" w:lineRule="atLeast"/>
              <w:jc w:val="center"/>
              <w:rPr>
                <w:rFonts w:ascii="宋体" w:hAnsi="宋体" w:cs="宋体"/>
                <w:color w:val="000000"/>
                <w:kern w:val="0"/>
                <w:szCs w:val="21"/>
              </w:rPr>
            </w:pPr>
            <w:r>
              <w:rPr>
                <w:rFonts w:hint="eastAsia" w:ascii="宋体" w:hAnsi="宋体" w:cs="宋体"/>
                <w:color w:val="000000"/>
                <w:kern w:val="0"/>
                <w:szCs w:val="21"/>
              </w:rPr>
              <w:t>所在单位</w:t>
            </w:r>
          </w:p>
        </w:tc>
        <w:tc>
          <w:tcPr>
            <w:tcW w:w="1759" w:type="dxa"/>
            <w:vAlign w:val="center"/>
          </w:tcPr>
          <w:p w14:paraId="18DBACF6">
            <w:pPr>
              <w:spacing w:line="440" w:lineRule="atLeast"/>
              <w:jc w:val="center"/>
              <w:rPr>
                <w:rFonts w:ascii="宋体" w:hAnsi="宋体" w:cs="宋体"/>
                <w:color w:val="000000"/>
                <w:kern w:val="0"/>
                <w:szCs w:val="21"/>
              </w:rPr>
            </w:pPr>
            <w:r>
              <w:rPr>
                <w:rFonts w:hint="eastAsia" w:ascii="宋体" w:hAnsi="宋体" w:cs="宋体"/>
                <w:color w:val="000000"/>
                <w:kern w:val="0"/>
                <w:szCs w:val="21"/>
              </w:rPr>
              <w:t>联系电话</w:t>
            </w:r>
          </w:p>
        </w:tc>
        <w:tc>
          <w:tcPr>
            <w:tcW w:w="1559" w:type="dxa"/>
            <w:vAlign w:val="center"/>
          </w:tcPr>
          <w:p w14:paraId="505F3B6C">
            <w:pPr>
              <w:spacing w:line="440" w:lineRule="atLeast"/>
              <w:jc w:val="center"/>
              <w:rPr>
                <w:rFonts w:ascii="宋体" w:hAnsi="宋体" w:cs="宋体"/>
                <w:color w:val="000000"/>
                <w:kern w:val="0"/>
                <w:szCs w:val="21"/>
              </w:rPr>
            </w:pPr>
            <w:r>
              <w:rPr>
                <w:rFonts w:hint="eastAsia" w:ascii="宋体" w:hAnsi="宋体" w:cs="宋体"/>
                <w:color w:val="000000"/>
                <w:kern w:val="0"/>
                <w:szCs w:val="21"/>
              </w:rPr>
              <w:t>电子邮箱</w:t>
            </w:r>
          </w:p>
        </w:tc>
        <w:tc>
          <w:tcPr>
            <w:tcW w:w="426" w:type="dxa"/>
            <w:vAlign w:val="center"/>
          </w:tcPr>
          <w:p w14:paraId="26E09470">
            <w:pPr>
              <w:spacing w:line="440" w:lineRule="atLeast"/>
              <w:jc w:val="center"/>
              <w:rPr>
                <w:rFonts w:ascii="宋体" w:hAnsi="宋体" w:cs="宋体"/>
                <w:color w:val="000000"/>
                <w:kern w:val="0"/>
                <w:szCs w:val="21"/>
              </w:rPr>
            </w:pPr>
            <w:r>
              <w:rPr>
                <w:rFonts w:hint="eastAsia" w:ascii="宋体" w:hAnsi="宋体" w:cs="宋体"/>
                <w:color w:val="000000"/>
                <w:kern w:val="0"/>
                <w:szCs w:val="21"/>
              </w:rPr>
              <w:t>备注</w:t>
            </w:r>
          </w:p>
        </w:tc>
      </w:tr>
      <w:tr w14:paraId="41832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6" w:type="dxa"/>
            <w:vAlign w:val="center"/>
          </w:tcPr>
          <w:p w14:paraId="436C7707">
            <w:pPr>
              <w:spacing w:line="440" w:lineRule="atLeast"/>
              <w:jc w:val="center"/>
              <w:rPr>
                <w:rFonts w:ascii="宋体" w:hAnsi="宋体"/>
                <w:color w:val="000000"/>
                <w:kern w:val="0"/>
                <w:sz w:val="24"/>
              </w:rPr>
            </w:pPr>
            <w:r>
              <w:rPr>
                <w:rFonts w:ascii="宋体" w:hAnsi="宋体"/>
                <w:color w:val="000000"/>
                <w:kern w:val="0"/>
                <w:sz w:val="24"/>
              </w:rPr>
              <w:t>1</w:t>
            </w:r>
          </w:p>
        </w:tc>
        <w:tc>
          <w:tcPr>
            <w:tcW w:w="1190" w:type="dxa"/>
            <w:vAlign w:val="center"/>
          </w:tcPr>
          <w:p w14:paraId="0D6C7B3B">
            <w:pPr>
              <w:spacing w:line="440" w:lineRule="atLeast"/>
              <w:jc w:val="center"/>
              <w:rPr>
                <w:color w:val="000000"/>
                <w:kern w:val="0"/>
                <w:sz w:val="24"/>
              </w:rPr>
            </w:pPr>
          </w:p>
        </w:tc>
        <w:tc>
          <w:tcPr>
            <w:tcW w:w="696" w:type="dxa"/>
            <w:vAlign w:val="center"/>
          </w:tcPr>
          <w:p w14:paraId="76B3901A">
            <w:pPr>
              <w:spacing w:line="440" w:lineRule="atLeast"/>
              <w:jc w:val="center"/>
              <w:rPr>
                <w:rFonts w:ascii="宋体" w:hAnsi="宋体" w:cs="宋体"/>
                <w:color w:val="000000"/>
                <w:kern w:val="0"/>
                <w:sz w:val="24"/>
              </w:rPr>
            </w:pPr>
          </w:p>
        </w:tc>
        <w:tc>
          <w:tcPr>
            <w:tcW w:w="2501" w:type="dxa"/>
            <w:vAlign w:val="center"/>
          </w:tcPr>
          <w:p w14:paraId="7372FB4A">
            <w:pPr>
              <w:spacing w:line="440" w:lineRule="atLeast"/>
              <w:jc w:val="center"/>
              <w:rPr>
                <w:rFonts w:ascii="宋体" w:hAnsi="宋体" w:cs="宋体"/>
                <w:color w:val="000000"/>
                <w:kern w:val="0"/>
                <w:sz w:val="24"/>
              </w:rPr>
            </w:pPr>
          </w:p>
        </w:tc>
        <w:tc>
          <w:tcPr>
            <w:tcW w:w="2144" w:type="dxa"/>
            <w:vAlign w:val="center"/>
          </w:tcPr>
          <w:p w14:paraId="65050BB8">
            <w:pPr>
              <w:spacing w:line="440" w:lineRule="atLeast"/>
              <w:jc w:val="center"/>
              <w:rPr>
                <w:rFonts w:ascii="宋体" w:hAnsi="宋体" w:cs="宋体"/>
                <w:color w:val="000000"/>
                <w:kern w:val="0"/>
                <w:sz w:val="24"/>
              </w:rPr>
            </w:pPr>
          </w:p>
        </w:tc>
        <w:tc>
          <w:tcPr>
            <w:tcW w:w="2762" w:type="dxa"/>
            <w:vAlign w:val="center"/>
          </w:tcPr>
          <w:p w14:paraId="5771A9E7">
            <w:pPr>
              <w:spacing w:line="440" w:lineRule="atLeast"/>
              <w:jc w:val="center"/>
              <w:rPr>
                <w:rFonts w:ascii="宋体" w:hAnsi="宋体" w:cs="宋体"/>
                <w:color w:val="000000"/>
                <w:kern w:val="0"/>
                <w:sz w:val="24"/>
              </w:rPr>
            </w:pPr>
          </w:p>
        </w:tc>
        <w:tc>
          <w:tcPr>
            <w:tcW w:w="1759" w:type="dxa"/>
            <w:vAlign w:val="center"/>
          </w:tcPr>
          <w:p w14:paraId="3EB693F7">
            <w:pPr>
              <w:spacing w:line="440" w:lineRule="atLeast"/>
              <w:jc w:val="center"/>
              <w:rPr>
                <w:rFonts w:ascii="宋体" w:hAnsi="宋体" w:cs="宋体"/>
                <w:color w:val="000000"/>
                <w:kern w:val="0"/>
                <w:sz w:val="24"/>
              </w:rPr>
            </w:pPr>
          </w:p>
        </w:tc>
        <w:tc>
          <w:tcPr>
            <w:tcW w:w="1559" w:type="dxa"/>
            <w:vAlign w:val="center"/>
          </w:tcPr>
          <w:p w14:paraId="18C1D7F6">
            <w:pPr>
              <w:tabs>
                <w:tab w:val="left" w:pos="815"/>
              </w:tabs>
              <w:spacing w:line="440" w:lineRule="atLeast"/>
              <w:jc w:val="center"/>
              <w:rPr>
                <w:color w:val="000000"/>
                <w:kern w:val="0"/>
                <w:sz w:val="24"/>
              </w:rPr>
            </w:pPr>
          </w:p>
        </w:tc>
        <w:tc>
          <w:tcPr>
            <w:tcW w:w="426" w:type="dxa"/>
            <w:vAlign w:val="center"/>
          </w:tcPr>
          <w:p w14:paraId="54D1661E">
            <w:pPr>
              <w:spacing w:line="440" w:lineRule="atLeast"/>
              <w:jc w:val="center"/>
              <w:rPr>
                <w:rFonts w:ascii="宋体" w:hAnsi="宋体" w:cs="宋体"/>
                <w:color w:val="000000"/>
                <w:kern w:val="0"/>
                <w:sz w:val="24"/>
              </w:rPr>
            </w:pPr>
          </w:p>
        </w:tc>
      </w:tr>
      <w:tr w14:paraId="16F1A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6" w:type="dxa"/>
            <w:vAlign w:val="center"/>
          </w:tcPr>
          <w:p w14:paraId="34321B80">
            <w:pPr>
              <w:spacing w:line="440" w:lineRule="atLeast"/>
              <w:jc w:val="center"/>
              <w:rPr>
                <w:rFonts w:ascii="宋体" w:hAnsi="宋体"/>
                <w:color w:val="000000"/>
                <w:kern w:val="0"/>
                <w:sz w:val="24"/>
              </w:rPr>
            </w:pPr>
            <w:r>
              <w:rPr>
                <w:rFonts w:ascii="宋体" w:hAnsi="宋体"/>
                <w:color w:val="000000"/>
                <w:kern w:val="0"/>
                <w:sz w:val="24"/>
              </w:rPr>
              <w:t>2</w:t>
            </w:r>
          </w:p>
        </w:tc>
        <w:tc>
          <w:tcPr>
            <w:tcW w:w="1190" w:type="dxa"/>
            <w:vAlign w:val="center"/>
          </w:tcPr>
          <w:p w14:paraId="145F6872">
            <w:pPr>
              <w:spacing w:line="440" w:lineRule="atLeast"/>
              <w:jc w:val="center"/>
              <w:rPr>
                <w:color w:val="000000"/>
                <w:kern w:val="0"/>
                <w:sz w:val="24"/>
              </w:rPr>
            </w:pPr>
          </w:p>
        </w:tc>
        <w:tc>
          <w:tcPr>
            <w:tcW w:w="696" w:type="dxa"/>
            <w:vAlign w:val="center"/>
          </w:tcPr>
          <w:p w14:paraId="383B9D7F">
            <w:pPr>
              <w:spacing w:line="440" w:lineRule="atLeast"/>
              <w:jc w:val="center"/>
              <w:rPr>
                <w:rFonts w:ascii="宋体" w:hAnsi="宋体" w:cs="宋体"/>
                <w:color w:val="000000"/>
                <w:kern w:val="0"/>
                <w:sz w:val="24"/>
              </w:rPr>
            </w:pPr>
          </w:p>
        </w:tc>
        <w:tc>
          <w:tcPr>
            <w:tcW w:w="2501" w:type="dxa"/>
            <w:vAlign w:val="center"/>
          </w:tcPr>
          <w:p w14:paraId="65A2869B">
            <w:pPr>
              <w:spacing w:line="440" w:lineRule="atLeast"/>
              <w:jc w:val="center"/>
              <w:rPr>
                <w:rFonts w:ascii="宋体" w:hAnsi="宋体" w:cs="宋体"/>
                <w:color w:val="000000"/>
                <w:kern w:val="0"/>
                <w:sz w:val="24"/>
              </w:rPr>
            </w:pPr>
          </w:p>
        </w:tc>
        <w:tc>
          <w:tcPr>
            <w:tcW w:w="2144" w:type="dxa"/>
            <w:vAlign w:val="center"/>
          </w:tcPr>
          <w:p w14:paraId="746158B6">
            <w:pPr>
              <w:spacing w:line="440" w:lineRule="atLeast"/>
              <w:jc w:val="center"/>
              <w:rPr>
                <w:rFonts w:ascii="宋体" w:hAnsi="宋体" w:cs="宋体"/>
                <w:color w:val="000000"/>
                <w:kern w:val="0"/>
                <w:sz w:val="24"/>
              </w:rPr>
            </w:pPr>
          </w:p>
        </w:tc>
        <w:tc>
          <w:tcPr>
            <w:tcW w:w="2762" w:type="dxa"/>
            <w:vAlign w:val="center"/>
          </w:tcPr>
          <w:p w14:paraId="7FED8212">
            <w:pPr>
              <w:spacing w:line="440" w:lineRule="atLeast"/>
              <w:jc w:val="center"/>
              <w:rPr>
                <w:rFonts w:ascii="宋体" w:hAnsi="宋体" w:cs="宋体"/>
                <w:color w:val="000000"/>
                <w:kern w:val="0"/>
                <w:sz w:val="24"/>
              </w:rPr>
            </w:pPr>
          </w:p>
        </w:tc>
        <w:tc>
          <w:tcPr>
            <w:tcW w:w="1759" w:type="dxa"/>
            <w:vAlign w:val="center"/>
          </w:tcPr>
          <w:p w14:paraId="035EF7EA">
            <w:pPr>
              <w:spacing w:line="440" w:lineRule="atLeast"/>
              <w:jc w:val="center"/>
              <w:rPr>
                <w:rFonts w:ascii="宋体" w:hAnsi="宋体" w:cs="宋体"/>
                <w:color w:val="000000"/>
                <w:kern w:val="0"/>
                <w:sz w:val="24"/>
              </w:rPr>
            </w:pPr>
          </w:p>
        </w:tc>
        <w:tc>
          <w:tcPr>
            <w:tcW w:w="1559" w:type="dxa"/>
            <w:vAlign w:val="center"/>
          </w:tcPr>
          <w:p w14:paraId="4EA1C874">
            <w:pPr>
              <w:spacing w:line="440" w:lineRule="atLeast"/>
              <w:jc w:val="center"/>
              <w:rPr>
                <w:color w:val="000000"/>
                <w:kern w:val="0"/>
                <w:sz w:val="24"/>
              </w:rPr>
            </w:pPr>
          </w:p>
        </w:tc>
        <w:tc>
          <w:tcPr>
            <w:tcW w:w="426" w:type="dxa"/>
            <w:vAlign w:val="center"/>
          </w:tcPr>
          <w:p w14:paraId="207AF73D">
            <w:pPr>
              <w:spacing w:line="440" w:lineRule="atLeast"/>
              <w:jc w:val="center"/>
              <w:rPr>
                <w:rFonts w:ascii="宋体" w:hAnsi="宋体" w:cs="宋体"/>
                <w:color w:val="000000"/>
                <w:kern w:val="0"/>
                <w:sz w:val="24"/>
              </w:rPr>
            </w:pPr>
          </w:p>
        </w:tc>
      </w:tr>
      <w:tr w14:paraId="28AE5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6" w:type="dxa"/>
            <w:vAlign w:val="center"/>
          </w:tcPr>
          <w:p w14:paraId="08DD1EEA">
            <w:pPr>
              <w:spacing w:line="440" w:lineRule="atLeast"/>
              <w:jc w:val="center"/>
              <w:rPr>
                <w:rFonts w:ascii="宋体" w:hAnsi="宋体"/>
                <w:color w:val="000000"/>
                <w:kern w:val="0"/>
                <w:sz w:val="24"/>
              </w:rPr>
            </w:pPr>
            <w:r>
              <w:rPr>
                <w:rFonts w:ascii="宋体" w:hAnsi="宋体"/>
                <w:color w:val="000000"/>
                <w:kern w:val="0"/>
                <w:sz w:val="24"/>
              </w:rPr>
              <w:t>3</w:t>
            </w:r>
          </w:p>
        </w:tc>
        <w:tc>
          <w:tcPr>
            <w:tcW w:w="1190" w:type="dxa"/>
            <w:vAlign w:val="center"/>
          </w:tcPr>
          <w:p w14:paraId="426458B0">
            <w:pPr>
              <w:spacing w:line="440" w:lineRule="atLeast"/>
              <w:jc w:val="center"/>
              <w:rPr>
                <w:color w:val="000000"/>
                <w:kern w:val="0"/>
                <w:sz w:val="24"/>
              </w:rPr>
            </w:pPr>
          </w:p>
        </w:tc>
        <w:tc>
          <w:tcPr>
            <w:tcW w:w="696" w:type="dxa"/>
            <w:vAlign w:val="center"/>
          </w:tcPr>
          <w:p w14:paraId="52E3C44B">
            <w:pPr>
              <w:spacing w:line="440" w:lineRule="atLeast"/>
              <w:jc w:val="center"/>
              <w:rPr>
                <w:rFonts w:ascii="宋体" w:hAnsi="宋体" w:cs="宋体"/>
                <w:color w:val="000000"/>
                <w:kern w:val="0"/>
                <w:sz w:val="24"/>
              </w:rPr>
            </w:pPr>
          </w:p>
        </w:tc>
        <w:tc>
          <w:tcPr>
            <w:tcW w:w="2501" w:type="dxa"/>
            <w:vAlign w:val="center"/>
          </w:tcPr>
          <w:p w14:paraId="360D2CFA">
            <w:pPr>
              <w:spacing w:line="440" w:lineRule="atLeast"/>
              <w:jc w:val="center"/>
              <w:rPr>
                <w:rFonts w:ascii="宋体" w:hAnsi="宋体" w:cs="宋体"/>
                <w:color w:val="000000"/>
                <w:kern w:val="0"/>
                <w:sz w:val="24"/>
              </w:rPr>
            </w:pPr>
          </w:p>
        </w:tc>
        <w:tc>
          <w:tcPr>
            <w:tcW w:w="2144" w:type="dxa"/>
            <w:vAlign w:val="center"/>
          </w:tcPr>
          <w:p w14:paraId="6E04A457">
            <w:pPr>
              <w:spacing w:line="440" w:lineRule="atLeast"/>
              <w:jc w:val="center"/>
              <w:rPr>
                <w:rFonts w:ascii="宋体" w:hAnsi="宋体" w:cs="宋体"/>
                <w:color w:val="000000"/>
                <w:kern w:val="0"/>
                <w:sz w:val="24"/>
              </w:rPr>
            </w:pPr>
          </w:p>
        </w:tc>
        <w:tc>
          <w:tcPr>
            <w:tcW w:w="2762" w:type="dxa"/>
            <w:vAlign w:val="center"/>
          </w:tcPr>
          <w:p w14:paraId="5FE67D98">
            <w:pPr>
              <w:spacing w:line="440" w:lineRule="atLeast"/>
              <w:jc w:val="center"/>
              <w:rPr>
                <w:rFonts w:ascii="宋体" w:hAnsi="宋体" w:cs="宋体"/>
                <w:color w:val="000000"/>
                <w:kern w:val="0"/>
                <w:sz w:val="24"/>
              </w:rPr>
            </w:pPr>
          </w:p>
        </w:tc>
        <w:tc>
          <w:tcPr>
            <w:tcW w:w="1759" w:type="dxa"/>
            <w:vAlign w:val="center"/>
          </w:tcPr>
          <w:p w14:paraId="64201C2E">
            <w:pPr>
              <w:spacing w:line="440" w:lineRule="atLeast"/>
              <w:jc w:val="center"/>
              <w:rPr>
                <w:rFonts w:ascii="宋体" w:hAnsi="宋体" w:cs="宋体"/>
                <w:color w:val="000000"/>
                <w:kern w:val="0"/>
                <w:sz w:val="24"/>
              </w:rPr>
            </w:pPr>
          </w:p>
        </w:tc>
        <w:tc>
          <w:tcPr>
            <w:tcW w:w="1559" w:type="dxa"/>
            <w:vAlign w:val="center"/>
          </w:tcPr>
          <w:p w14:paraId="035E29D5">
            <w:pPr>
              <w:spacing w:line="440" w:lineRule="atLeast"/>
              <w:jc w:val="center"/>
              <w:rPr>
                <w:color w:val="000000"/>
                <w:kern w:val="0"/>
                <w:sz w:val="24"/>
              </w:rPr>
            </w:pPr>
          </w:p>
        </w:tc>
        <w:tc>
          <w:tcPr>
            <w:tcW w:w="426" w:type="dxa"/>
            <w:vAlign w:val="center"/>
          </w:tcPr>
          <w:p w14:paraId="69F742BB">
            <w:pPr>
              <w:spacing w:line="440" w:lineRule="atLeast"/>
              <w:jc w:val="center"/>
              <w:rPr>
                <w:rFonts w:ascii="宋体" w:hAnsi="宋体" w:cs="宋体"/>
                <w:color w:val="000000"/>
                <w:kern w:val="0"/>
                <w:sz w:val="24"/>
              </w:rPr>
            </w:pPr>
          </w:p>
        </w:tc>
      </w:tr>
      <w:tr w14:paraId="0ACB6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6" w:type="dxa"/>
            <w:vAlign w:val="center"/>
          </w:tcPr>
          <w:p w14:paraId="01C1566A">
            <w:pPr>
              <w:spacing w:line="440" w:lineRule="atLeast"/>
              <w:jc w:val="center"/>
              <w:rPr>
                <w:rFonts w:ascii="宋体" w:hAnsi="宋体"/>
                <w:color w:val="000000"/>
                <w:kern w:val="0"/>
                <w:sz w:val="24"/>
              </w:rPr>
            </w:pPr>
            <w:r>
              <w:rPr>
                <w:rFonts w:ascii="宋体" w:hAnsi="宋体"/>
                <w:color w:val="000000"/>
                <w:kern w:val="0"/>
                <w:sz w:val="24"/>
              </w:rPr>
              <w:t>4</w:t>
            </w:r>
          </w:p>
        </w:tc>
        <w:tc>
          <w:tcPr>
            <w:tcW w:w="1190" w:type="dxa"/>
            <w:vAlign w:val="center"/>
          </w:tcPr>
          <w:p w14:paraId="73580130">
            <w:pPr>
              <w:spacing w:line="440" w:lineRule="atLeast"/>
              <w:jc w:val="center"/>
              <w:rPr>
                <w:color w:val="000000"/>
                <w:kern w:val="0"/>
                <w:sz w:val="24"/>
              </w:rPr>
            </w:pPr>
          </w:p>
        </w:tc>
        <w:tc>
          <w:tcPr>
            <w:tcW w:w="696" w:type="dxa"/>
            <w:vAlign w:val="center"/>
          </w:tcPr>
          <w:p w14:paraId="3BFAA213">
            <w:pPr>
              <w:spacing w:line="440" w:lineRule="atLeast"/>
              <w:jc w:val="center"/>
              <w:rPr>
                <w:rFonts w:ascii="宋体" w:hAnsi="宋体" w:cs="宋体"/>
                <w:color w:val="000000"/>
                <w:kern w:val="0"/>
                <w:sz w:val="24"/>
              </w:rPr>
            </w:pPr>
          </w:p>
        </w:tc>
        <w:tc>
          <w:tcPr>
            <w:tcW w:w="2501" w:type="dxa"/>
            <w:vAlign w:val="center"/>
          </w:tcPr>
          <w:p w14:paraId="40E47E17">
            <w:pPr>
              <w:spacing w:line="440" w:lineRule="atLeast"/>
              <w:jc w:val="center"/>
              <w:rPr>
                <w:rFonts w:ascii="宋体" w:hAnsi="宋体" w:cs="宋体"/>
                <w:color w:val="000000"/>
                <w:kern w:val="0"/>
                <w:sz w:val="24"/>
              </w:rPr>
            </w:pPr>
          </w:p>
        </w:tc>
        <w:tc>
          <w:tcPr>
            <w:tcW w:w="2144" w:type="dxa"/>
            <w:vAlign w:val="center"/>
          </w:tcPr>
          <w:p w14:paraId="22798C00">
            <w:pPr>
              <w:spacing w:line="440" w:lineRule="atLeast"/>
              <w:jc w:val="center"/>
              <w:rPr>
                <w:rFonts w:ascii="宋体" w:hAnsi="宋体" w:cs="宋体"/>
                <w:color w:val="000000"/>
                <w:kern w:val="0"/>
                <w:sz w:val="24"/>
              </w:rPr>
            </w:pPr>
          </w:p>
        </w:tc>
        <w:tc>
          <w:tcPr>
            <w:tcW w:w="2762" w:type="dxa"/>
            <w:vAlign w:val="center"/>
          </w:tcPr>
          <w:p w14:paraId="7A85EE6B">
            <w:pPr>
              <w:spacing w:line="440" w:lineRule="atLeast"/>
              <w:jc w:val="center"/>
              <w:rPr>
                <w:rFonts w:ascii="宋体" w:hAnsi="宋体" w:cs="宋体"/>
                <w:color w:val="000000"/>
                <w:kern w:val="0"/>
                <w:sz w:val="24"/>
              </w:rPr>
            </w:pPr>
          </w:p>
        </w:tc>
        <w:tc>
          <w:tcPr>
            <w:tcW w:w="1759" w:type="dxa"/>
            <w:vAlign w:val="center"/>
          </w:tcPr>
          <w:p w14:paraId="538D6DCA">
            <w:pPr>
              <w:spacing w:line="440" w:lineRule="atLeast"/>
              <w:jc w:val="center"/>
              <w:rPr>
                <w:rFonts w:ascii="宋体" w:hAnsi="宋体" w:cs="宋体"/>
                <w:color w:val="000000"/>
                <w:kern w:val="0"/>
                <w:sz w:val="24"/>
              </w:rPr>
            </w:pPr>
          </w:p>
        </w:tc>
        <w:tc>
          <w:tcPr>
            <w:tcW w:w="1559" w:type="dxa"/>
            <w:vAlign w:val="center"/>
          </w:tcPr>
          <w:p w14:paraId="203A2DAE">
            <w:pPr>
              <w:spacing w:line="440" w:lineRule="atLeast"/>
              <w:jc w:val="center"/>
              <w:rPr>
                <w:color w:val="000000"/>
                <w:kern w:val="0"/>
                <w:sz w:val="24"/>
              </w:rPr>
            </w:pPr>
          </w:p>
        </w:tc>
        <w:tc>
          <w:tcPr>
            <w:tcW w:w="426" w:type="dxa"/>
            <w:vAlign w:val="center"/>
          </w:tcPr>
          <w:p w14:paraId="2D7BA51E">
            <w:pPr>
              <w:spacing w:line="440" w:lineRule="atLeast"/>
              <w:jc w:val="center"/>
              <w:rPr>
                <w:rFonts w:ascii="宋体" w:hAnsi="宋体" w:cs="宋体"/>
                <w:color w:val="000000"/>
                <w:kern w:val="0"/>
                <w:sz w:val="24"/>
              </w:rPr>
            </w:pPr>
          </w:p>
        </w:tc>
      </w:tr>
      <w:tr w14:paraId="468DC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6" w:type="dxa"/>
            <w:vAlign w:val="center"/>
          </w:tcPr>
          <w:p w14:paraId="5DCF10FD">
            <w:pPr>
              <w:spacing w:line="440" w:lineRule="atLeast"/>
              <w:jc w:val="center"/>
              <w:rPr>
                <w:rFonts w:ascii="宋体" w:hAnsi="宋体"/>
                <w:color w:val="000000"/>
                <w:kern w:val="0"/>
                <w:sz w:val="24"/>
              </w:rPr>
            </w:pPr>
            <w:r>
              <w:rPr>
                <w:rFonts w:ascii="宋体" w:hAnsi="宋体"/>
                <w:color w:val="000000"/>
                <w:kern w:val="0"/>
                <w:sz w:val="24"/>
              </w:rPr>
              <w:t>5</w:t>
            </w:r>
          </w:p>
        </w:tc>
        <w:tc>
          <w:tcPr>
            <w:tcW w:w="1190" w:type="dxa"/>
            <w:vAlign w:val="center"/>
          </w:tcPr>
          <w:p w14:paraId="62F0989C">
            <w:pPr>
              <w:spacing w:line="440" w:lineRule="atLeast"/>
              <w:jc w:val="center"/>
              <w:rPr>
                <w:color w:val="000000"/>
                <w:kern w:val="0"/>
                <w:sz w:val="24"/>
              </w:rPr>
            </w:pPr>
          </w:p>
        </w:tc>
        <w:tc>
          <w:tcPr>
            <w:tcW w:w="696" w:type="dxa"/>
            <w:vAlign w:val="center"/>
          </w:tcPr>
          <w:p w14:paraId="23D72C1F">
            <w:pPr>
              <w:spacing w:line="440" w:lineRule="atLeast"/>
              <w:jc w:val="center"/>
              <w:rPr>
                <w:rFonts w:ascii="宋体" w:hAnsi="宋体" w:cs="宋体"/>
                <w:color w:val="000000"/>
                <w:kern w:val="0"/>
                <w:sz w:val="24"/>
              </w:rPr>
            </w:pPr>
          </w:p>
        </w:tc>
        <w:tc>
          <w:tcPr>
            <w:tcW w:w="2501" w:type="dxa"/>
            <w:vAlign w:val="center"/>
          </w:tcPr>
          <w:p w14:paraId="71CC15CF">
            <w:pPr>
              <w:spacing w:line="440" w:lineRule="atLeast"/>
              <w:jc w:val="center"/>
              <w:rPr>
                <w:rFonts w:ascii="宋体" w:hAnsi="宋体" w:cs="宋体"/>
                <w:color w:val="000000"/>
                <w:kern w:val="0"/>
                <w:sz w:val="24"/>
              </w:rPr>
            </w:pPr>
          </w:p>
        </w:tc>
        <w:tc>
          <w:tcPr>
            <w:tcW w:w="2144" w:type="dxa"/>
            <w:vAlign w:val="center"/>
          </w:tcPr>
          <w:p w14:paraId="10EB7799">
            <w:pPr>
              <w:spacing w:line="440" w:lineRule="atLeast"/>
              <w:jc w:val="center"/>
              <w:rPr>
                <w:rFonts w:ascii="宋体" w:hAnsi="宋体" w:cs="宋体"/>
                <w:color w:val="000000"/>
                <w:kern w:val="0"/>
                <w:sz w:val="24"/>
              </w:rPr>
            </w:pPr>
          </w:p>
        </w:tc>
        <w:tc>
          <w:tcPr>
            <w:tcW w:w="2762" w:type="dxa"/>
            <w:vAlign w:val="center"/>
          </w:tcPr>
          <w:p w14:paraId="080A2D3C">
            <w:pPr>
              <w:spacing w:line="440" w:lineRule="atLeast"/>
              <w:jc w:val="center"/>
              <w:rPr>
                <w:rFonts w:ascii="宋体" w:hAnsi="宋体" w:cs="宋体"/>
                <w:color w:val="000000"/>
                <w:kern w:val="0"/>
                <w:sz w:val="24"/>
              </w:rPr>
            </w:pPr>
          </w:p>
        </w:tc>
        <w:tc>
          <w:tcPr>
            <w:tcW w:w="1759" w:type="dxa"/>
            <w:vAlign w:val="center"/>
          </w:tcPr>
          <w:p w14:paraId="74FA0B4B">
            <w:pPr>
              <w:spacing w:line="440" w:lineRule="atLeast"/>
              <w:jc w:val="center"/>
              <w:rPr>
                <w:rFonts w:ascii="宋体" w:hAnsi="宋体" w:cs="宋体"/>
                <w:color w:val="000000"/>
                <w:kern w:val="0"/>
                <w:sz w:val="24"/>
              </w:rPr>
            </w:pPr>
          </w:p>
        </w:tc>
        <w:tc>
          <w:tcPr>
            <w:tcW w:w="1559" w:type="dxa"/>
            <w:vAlign w:val="center"/>
          </w:tcPr>
          <w:p w14:paraId="72350BBF">
            <w:pPr>
              <w:spacing w:line="440" w:lineRule="atLeast"/>
              <w:jc w:val="center"/>
              <w:rPr>
                <w:color w:val="000000"/>
                <w:kern w:val="0"/>
                <w:sz w:val="24"/>
              </w:rPr>
            </w:pPr>
          </w:p>
        </w:tc>
        <w:tc>
          <w:tcPr>
            <w:tcW w:w="426" w:type="dxa"/>
            <w:vAlign w:val="center"/>
          </w:tcPr>
          <w:p w14:paraId="0E9AB17F">
            <w:pPr>
              <w:spacing w:line="440" w:lineRule="atLeast"/>
              <w:jc w:val="center"/>
              <w:rPr>
                <w:rFonts w:ascii="宋体" w:hAnsi="宋体" w:cs="宋体"/>
                <w:color w:val="000000"/>
                <w:kern w:val="0"/>
                <w:sz w:val="24"/>
              </w:rPr>
            </w:pPr>
          </w:p>
        </w:tc>
      </w:tr>
      <w:tr w14:paraId="40631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6" w:type="dxa"/>
            <w:vAlign w:val="center"/>
          </w:tcPr>
          <w:p w14:paraId="27E9F7BE">
            <w:pPr>
              <w:spacing w:line="440" w:lineRule="atLeast"/>
              <w:jc w:val="center"/>
              <w:rPr>
                <w:rFonts w:ascii="宋体" w:hAnsi="宋体"/>
                <w:color w:val="000000"/>
                <w:kern w:val="0"/>
                <w:sz w:val="24"/>
              </w:rPr>
            </w:pPr>
            <w:r>
              <w:rPr>
                <w:rFonts w:ascii="宋体" w:hAnsi="宋体"/>
                <w:color w:val="000000"/>
                <w:kern w:val="0"/>
                <w:sz w:val="24"/>
              </w:rPr>
              <w:t>6</w:t>
            </w:r>
          </w:p>
        </w:tc>
        <w:tc>
          <w:tcPr>
            <w:tcW w:w="1190" w:type="dxa"/>
            <w:vAlign w:val="center"/>
          </w:tcPr>
          <w:p w14:paraId="6831B6E0">
            <w:pPr>
              <w:spacing w:line="440" w:lineRule="atLeast"/>
              <w:jc w:val="center"/>
              <w:rPr>
                <w:color w:val="000000"/>
                <w:kern w:val="0"/>
                <w:sz w:val="24"/>
              </w:rPr>
            </w:pPr>
          </w:p>
        </w:tc>
        <w:tc>
          <w:tcPr>
            <w:tcW w:w="696" w:type="dxa"/>
            <w:vAlign w:val="center"/>
          </w:tcPr>
          <w:p w14:paraId="6122FA00">
            <w:pPr>
              <w:spacing w:line="440" w:lineRule="atLeast"/>
              <w:jc w:val="center"/>
              <w:rPr>
                <w:rFonts w:ascii="宋体" w:hAnsi="宋体" w:cs="宋体"/>
                <w:color w:val="000000"/>
                <w:kern w:val="0"/>
                <w:sz w:val="24"/>
              </w:rPr>
            </w:pPr>
          </w:p>
        </w:tc>
        <w:tc>
          <w:tcPr>
            <w:tcW w:w="2501" w:type="dxa"/>
            <w:vAlign w:val="center"/>
          </w:tcPr>
          <w:p w14:paraId="36B935BC">
            <w:pPr>
              <w:spacing w:line="440" w:lineRule="atLeast"/>
              <w:jc w:val="center"/>
              <w:rPr>
                <w:rFonts w:ascii="宋体" w:hAnsi="宋体" w:cs="宋体"/>
                <w:color w:val="000000"/>
                <w:kern w:val="0"/>
                <w:sz w:val="24"/>
              </w:rPr>
            </w:pPr>
          </w:p>
        </w:tc>
        <w:tc>
          <w:tcPr>
            <w:tcW w:w="2144" w:type="dxa"/>
            <w:vAlign w:val="center"/>
          </w:tcPr>
          <w:p w14:paraId="4EA80875">
            <w:pPr>
              <w:spacing w:line="440" w:lineRule="atLeast"/>
              <w:jc w:val="center"/>
              <w:rPr>
                <w:rFonts w:ascii="宋体" w:hAnsi="宋体" w:cs="宋体"/>
                <w:color w:val="000000"/>
                <w:kern w:val="0"/>
                <w:sz w:val="24"/>
              </w:rPr>
            </w:pPr>
          </w:p>
        </w:tc>
        <w:tc>
          <w:tcPr>
            <w:tcW w:w="2762" w:type="dxa"/>
            <w:vAlign w:val="center"/>
          </w:tcPr>
          <w:p w14:paraId="429415E8">
            <w:pPr>
              <w:spacing w:line="440" w:lineRule="atLeast"/>
              <w:jc w:val="center"/>
              <w:rPr>
                <w:rFonts w:ascii="宋体" w:hAnsi="宋体" w:cs="宋体"/>
                <w:color w:val="000000"/>
                <w:kern w:val="0"/>
                <w:sz w:val="24"/>
              </w:rPr>
            </w:pPr>
          </w:p>
        </w:tc>
        <w:tc>
          <w:tcPr>
            <w:tcW w:w="1759" w:type="dxa"/>
            <w:vAlign w:val="center"/>
          </w:tcPr>
          <w:p w14:paraId="7A505BB8">
            <w:pPr>
              <w:spacing w:line="440" w:lineRule="atLeast"/>
              <w:jc w:val="center"/>
              <w:rPr>
                <w:rFonts w:ascii="宋体" w:hAnsi="宋体" w:cs="宋体"/>
                <w:color w:val="000000"/>
                <w:kern w:val="0"/>
                <w:sz w:val="24"/>
              </w:rPr>
            </w:pPr>
          </w:p>
        </w:tc>
        <w:tc>
          <w:tcPr>
            <w:tcW w:w="1559" w:type="dxa"/>
            <w:vAlign w:val="center"/>
          </w:tcPr>
          <w:p w14:paraId="02487396">
            <w:pPr>
              <w:spacing w:line="440" w:lineRule="atLeast"/>
              <w:jc w:val="center"/>
              <w:rPr>
                <w:color w:val="000000"/>
                <w:kern w:val="0"/>
                <w:sz w:val="24"/>
              </w:rPr>
            </w:pPr>
          </w:p>
        </w:tc>
        <w:tc>
          <w:tcPr>
            <w:tcW w:w="426" w:type="dxa"/>
            <w:vAlign w:val="center"/>
          </w:tcPr>
          <w:p w14:paraId="5BC4DFD8">
            <w:pPr>
              <w:spacing w:line="440" w:lineRule="atLeast"/>
              <w:jc w:val="center"/>
              <w:rPr>
                <w:rFonts w:ascii="宋体" w:hAnsi="宋体" w:cs="宋体"/>
                <w:color w:val="000000"/>
                <w:kern w:val="0"/>
                <w:sz w:val="24"/>
              </w:rPr>
            </w:pPr>
          </w:p>
        </w:tc>
      </w:tr>
      <w:tr w14:paraId="51042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6" w:type="dxa"/>
            <w:vAlign w:val="center"/>
          </w:tcPr>
          <w:p w14:paraId="130CA0CA">
            <w:pPr>
              <w:spacing w:line="440" w:lineRule="atLeast"/>
              <w:jc w:val="center"/>
              <w:rPr>
                <w:rFonts w:ascii="宋体" w:hAnsi="宋体"/>
                <w:color w:val="000000"/>
                <w:kern w:val="0"/>
                <w:sz w:val="24"/>
              </w:rPr>
            </w:pPr>
            <w:r>
              <w:rPr>
                <w:rFonts w:ascii="宋体" w:hAnsi="宋体"/>
                <w:color w:val="000000"/>
                <w:kern w:val="0"/>
                <w:sz w:val="24"/>
              </w:rPr>
              <w:t>7</w:t>
            </w:r>
          </w:p>
        </w:tc>
        <w:tc>
          <w:tcPr>
            <w:tcW w:w="1190" w:type="dxa"/>
            <w:vAlign w:val="center"/>
          </w:tcPr>
          <w:p w14:paraId="1CEE463C">
            <w:pPr>
              <w:spacing w:line="440" w:lineRule="atLeast"/>
              <w:jc w:val="center"/>
              <w:rPr>
                <w:color w:val="000000"/>
                <w:kern w:val="0"/>
                <w:sz w:val="24"/>
              </w:rPr>
            </w:pPr>
          </w:p>
        </w:tc>
        <w:tc>
          <w:tcPr>
            <w:tcW w:w="696" w:type="dxa"/>
            <w:vAlign w:val="center"/>
          </w:tcPr>
          <w:p w14:paraId="5F5FFA0F">
            <w:pPr>
              <w:spacing w:line="440" w:lineRule="atLeast"/>
              <w:jc w:val="center"/>
              <w:rPr>
                <w:rFonts w:ascii="宋体" w:hAnsi="宋体" w:cs="宋体"/>
                <w:color w:val="000000"/>
                <w:kern w:val="0"/>
                <w:sz w:val="24"/>
              </w:rPr>
            </w:pPr>
          </w:p>
        </w:tc>
        <w:tc>
          <w:tcPr>
            <w:tcW w:w="2501" w:type="dxa"/>
            <w:vAlign w:val="center"/>
          </w:tcPr>
          <w:p w14:paraId="0A7C9033">
            <w:pPr>
              <w:spacing w:line="440" w:lineRule="atLeast"/>
              <w:jc w:val="center"/>
              <w:rPr>
                <w:rFonts w:ascii="宋体" w:hAnsi="宋体" w:cs="宋体"/>
                <w:color w:val="000000"/>
                <w:kern w:val="0"/>
                <w:sz w:val="24"/>
              </w:rPr>
            </w:pPr>
          </w:p>
        </w:tc>
        <w:tc>
          <w:tcPr>
            <w:tcW w:w="2144" w:type="dxa"/>
            <w:vAlign w:val="center"/>
          </w:tcPr>
          <w:p w14:paraId="55B23E65">
            <w:pPr>
              <w:spacing w:line="440" w:lineRule="atLeast"/>
              <w:jc w:val="center"/>
              <w:rPr>
                <w:rFonts w:ascii="宋体" w:hAnsi="宋体" w:cs="宋体"/>
                <w:color w:val="000000"/>
                <w:kern w:val="0"/>
                <w:sz w:val="24"/>
              </w:rPr>
            </w:pPr>
          </w:p>
        </w:tc>
        <w:tc>
          <w:tcPr>
            <w:tcW w:w="2762" w:type="dxa"/>
            <w:vAlign w:val="center"/>
          </w:tcPr>
          <w:p w14:paraId="6289421E">
            <w:pPr>
              <w:spacing w:line="440" w:lineRule="atLeast"/>
              <w:jc w:val="center"/>
              <w:rPr>
                <w:rFonts w:ascii="宋体" w:hAnsi="宋体" w:cs="宋体"/>
                <w:color w:val="000000"/>
                <w:kern w:val="0"/>
                <w:sz w:val="24"/>
              </w:rPr>
            </w:pPr>
          </w:p>
        </w:tc>
        <w:tc>
          <w:tcPr>
            <w:tcW w:w="1759" w:type="dxa"/>
            <w:vAlign w:val="center"/>
          </w:tcPr>
          <w:p w14:paraId="575B6C58">
            <w:pPr>
              <w:spacing w:line="440" w:lineRule="atLeast"/>
              <w:jc w:val="center"/>
              <w:rPr>
                <w:rFonts w:ascii="宋体" w:hAnsi="宋体" w:cs="宋体"/>
                <w:color w:val="000000"/>
                <w:kern w:val="0"/>
                <w:sz w:val="24"/>
              </w:rPr>
            </w:pPr>
          </w:p>
        </w:tc>
        <w:tc>
          <w:tcPr>
            <w:tcW w:w="1559" w:type="dxa"/>
            <w:vAlign w:val="center"/>
          </w:tcPr>
          <w:p w14:paraId="7D1C79FF">
            <w:pPr>
              <w:spacing w:line="440" w:lineRule="atLeast"/>
              <w:jc w:val="center"/>
              <w:rPr>
                <w:color w:val="000000"/>
                <w:kern w:val="0"/>
                <w:sz w:val="24"/>
              </w:rPr>
            </w:pPr>
          </w:p>
        </w:tc>
        <w:tc>
          <w:tcPr>
            <w:tcW w:w="426" w:type="dxa"/>
            <w:vAlign w:val="center"/>
          </w:tcPr>
          <w:p w14:paraId="2649AC55">
            <w:pPr>
              <w:spacing w:line="440" w:lineRule="atLeast"/>
              <w:jc w:val="center"/>
              <w:rPr>
                <w:rFonts w:ascii="宋体" w:hAnsi="宋体" w:cs="宋体"/>
                <w:color w:val="000000"/>
                <w:kern w:val="0"/>
                <w:sz w:val="24"/>
              </w:rPr>
            </w:pPr>
          </w:p>
        </w:tc>
      </w:tr>
      <w:tr w14:paraId="79A56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6" w:type="dxa"/>
            <w:vAlign w:val="center"/>
          </w:tcPr>
          <w:p w14:paraId="36DA56B4">
            <w:pPr>
              <w:spacing w:line="440" w:lineRule="atLeast"/>
              <w:jc w:val="center"/>
              <w:rPr>
                <w:rFonts w:ascii="宋体" w:hAnsi="宋体"/>
                <w:color w:val="000000"/>
                <w:kern w:val="0"/>
                <w:sz w:val="24"/>
              </w:rPr>
            </w:pPr>
            <w:r>
              <w:rPr>
                <w:rFonts w:ascii="宋体" w:hAnsi="宋体"/>
                <w:color w:val="000000"/>
                <w:kern w:val="0"/>
                <w:sz w:val="24"/>
              </w:rPr>
              <w:t>8</w:t>
            </w:r>
          </w:p>
        </w:tc>
        <w:tc>
          <w:tcPr>
            <w:tcW w:w="1190" w:type="dxa"/>
            <w:vAlign w:val="center"/>
          </w:tcPr>
          <w:p w14:paraId="4EDBADFA">
            <w:pPr>
              <w:spacing w:line="440" w:lineRule="atLeast"/>
              <w:jc w:val="center"/>
              <w:rPr>
                <w:color w:val="000000"/>
                <w:kern w:val="0"/>
                <w:sz w:val="24"/>
              </w:rPr>
            </w:pPr>
          </w:p>
        </w:tc>
        <w:tc>
          <w:tcPr>
            <w:tcW w:w="696" w:type="dxa"/>
            <w:vAlign w:val="center"/>
          </w:tcPr>
          <w:p w14:paraId="5A5CC373">
            <w:pPr>
              <w:spacing w:line="440" w:lineRule="atLeast"/>
              <w:jc w:val="center"/>
              <w:rPr>
                <w:rFonts w:ascii="宋体" w:hAnsi="宋体" w:cs="宋体"/>
                <w:color w:val="000000"/>
                <w:kern w:val="0"/>
                <w:sz w:val="24"/>
              </w:rPr>
            </w:pPr>
          </w:p>
        </w:tc>
        <w:tc>
          <w:tcPr>
            <w:tcW w:w="2501" w:type="dxa"/>
            <w:vAlign w:val="center"/>
          </w:tcPr>
          <w:p w14:paraId="613CD37D">
            <w:pPr>
              <w:spacing w:line="440" w:lineRule="atLeast"/>
              <w:jc w:val="center"/>
              <w:rPr>
                <w:rFonts w:ascii="宋体" w:hAnsi="宋体" w:cs="宋体"/>
                <w:color w:val="000000"/>
                <w:kern w:val="0"/>
                <w:sz w:val="24"/>
              </w:rPr>
            </w:pPr>
          </w:p>
        </w:tc>
        <w:tc>
          <w:tcPr>
            <w:tcW w:w="2144" w:type="dxa"/>
            <w:vAlign w:val="center"/>
          </w:tcPr>
          <w:p w14:paraId="7EC01045">
            <w:pPr>
              <w:spacing w:line="440" w:lineRule="atLeast"/>
              <w:jc w:val="center"/>
              <w:rPr>
                <w:rFonts w:ascii="宋体" w:hAnsi="宋体" w:cs="宋体"/>
                <w:color w:val="000000"/>
                <w:kern w:val="0"/>
                <w:sz w:val="24"/>
              </w:rPr>
            </w:pPr>
          </w:p>
        </w:tc>
        <w:tc>
          <w:tcPr>
            <w:tcW w:w="2762" w:type="dxa"/>
            <w:vAlign w:val="center"/>
          </w:tcPr>
          <w:p w14:paraId="18227D4D">
            <w:pPr>
              <w:spacing w:line="440" w:lineRule="atLeast"/>
              <w:jc w:val="center"/>
              <w:rPr>
                <w:rFonts w:ascii="宋体" w:hAnsi="宋体" w:cs="宋体"/>
                <w:color w:val="000000"/>
                <w:kern w:val="0"/>
                <w:sz w:val="24"/>
              </w:rPr>
            </w:pPr>
          </w:p>
        </w:tc>
        <w:tc>
          <w:tcPr>
            <w:tcW w:w="1759" w:type="dxa"/>
            <w:vAlign w:val="center"/>
          </w:tcPr>
          <w:p w14:paraId="7F0E8FA2">
            <w:pPr>
              <w:spacing w:line="440" w:lineRule="atLeast"/>
              <w:jc w:val="center"/>
              <w:rPr>
                <w:rFonts w:ascii="宋体" w:hAnsi="宋体" w:cs="宋体"/>
                <w:color w:val="000000"/>
                <w:kern w:val="0"/>
                <w:sz w:val="24"/>
              </w:rPr>
            </w:pPr>
          </w:p>
        </w:tc>
        <w:tc>
          <w:tcPr>
            <w:tcW w:w="1559" w:type="dxa"/>
            <w:vAlign w:val="center"/>
          </w:tcPr>
          <w:p w14:paraId="14842D9A">
            <w:pPr>
              <w:spacing w:line="440" w:lineRule="atLeast"/>
              <w:jc w:val="center"/>
              <w:rPr>
                <w:color w:val="000000"/>
                <w:kern w:val="0"/>
                <w:sz w:val="24"/>
              </w:rPr>
            </w:pPr>
          </w:p>
        </w:tc>
        <w:tc>
          <w:tcPr>
            <w:tcW w:w="426" w:type="dxa"/>
            <w:vAlign w:val="center"/>
          </w:tcPr>
          <w:p w14:paraId="7939FE2C">
            <w:pPr>
              <w:spacing w:line="440" w:lineRule="atLeast"/>
              <w:jc w:val="center"/>
              <w:rPr>
                <w:rFonts w:ascii="宋体" w:hAnsi="宋体" w:cs="宋体"/>
                <w:color w:val="000000"/>
                <w:kern w:val="0"/>
                <w:sz w:val="24"/>
              </w:rPr>
            </w:pPr>
          </w:p>
        </w:tc>
      </w:tr>
      <w:tr w14:paraId="445F6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6" w:type="dxa"/>
            <w:vAlign w:val="center"/>
          </w:tcPr>
          <w:p w14:paraId="4B53C311">
            <w:pPr>
              <w:spacing w:line="440" w:lineRule="atLeast"/>
              <w:jc w:val="center"/>
              <w:rPr>
                <w:rFonts w:ascii="宋体" w:hAnsi="宋体"/>
                <w:color w:val="000000"/>
                <w:kern w:val="0"/>
                <w:sz w:val="24"/>
              </w:rPr>
            </w:pPr>
            <w:r>
              <w:rPr>
                <w:rFonts w:ascii="宋体" w:hAnsi="宋体"/>
                <w:color w:val="000000"/>
                <w:kern w:val="0"/>
                <w:sz w:val="24"/>
              </w:rPr>
              <w:t>9</w:t>
            </w:r>
          </w:p>
        </w:tc>
        <w:tc>
          <w:tcPr>
            <w:tcW w:w="1190" w:type="dxa"/>
            <w:vAlign w:val="center"/>
          </w:tcPr>
          <w:p w14:paraId="559A610D">
            <w:pPr>
              <w:spacing w:line="440" w:lineRule="atLeast"/>
              <w:jc w:val="center"/>
              <w:rPr>
                <w:color w:val="000000"/>
                <w:kern w:val="0"/>
                <w:sz w:val="24"/>
              </w:rPr>
            </w:pPr>
          </w:p>
        </w:tc>
        <w:tc>
          <w:tcPr>
            <w:tcW w:w="696" w:type="dxa"/>
            <w:vAlign w:val="center"/>
          </w:tcPr>
          <w:p w14:paraId="2D7E10A9">
            <w:pPr>
              <w:spacing w:line="440" w:lineRule="atLeast"/>
              <w:jc w:val="center"/>
              <w:rPr>
                <w:rFonts w:ascii="宋体" w:hAnsi="宋体" w:cs="宋体"/>
                <w:color w:val="000000"/>
                <w:kern w:val="0"/>
                <w:sz w:val="24"/>
              </w:rPr>
            </w:pPr>
          </w:p>
        </w:tc>
        <w:tc>
          <w:tcPr>
            <w:tcW w:w="2501" w:type="dxa"/>
            <w:vAlign w:val="center"/>
          </w:tcPr>
          <w:p w14:paraId="37E5809E">
            <w:pPr>
              <w:spacing w:line="440" w:lineRule="atLeast"/>
              <w:jc w:val="center"/>
              <w:rPr>
                <w:rFonts w:ascii="宋体" w:hAnsi="宋体" w:cs="宋体"/>
                <w:color w:val="000000"/>
                <w:kern w:val="0"/>
                <w:sz w:val="24"/>
              </w:rPr>
            </w:pPr>
          </w:p>
        </w:tc>
        <w:tc>
          <w:tcPr>
            <w:tcW w:w="2144" w:type="dxa"/>
            <w:vAlign w:val="center"/>
          </w:tcPr>
          <w:p w14:paraId="587C5039">
            <w:pPr>
              <w:spacing w:line="440" w:lineRule="atLeast"/>
              <w:jc w:val="center"/>
              <w:rPr>
                <w:rFonts w:ascii="宋体" w:hAnsi="宋体" w:cs="宋体"/>
                <w:color w:val="000000"/>
                <w:kern w:val="0"/>
                <w:sz w:val="24"/>
              </w:rPr>
            </w:pPr>
          </w:p>
        </w:tc>
        <w:tc>
          <w:tcPr>
            <w:tcW w:w="2762" w:type="dxa"/>
            <w:vAlign w:val="center"/>
          </w:tcPr>
          <w:p w14:paraId="73CABDD9">
            <w:pPr>
              <w:spacing w:line="440" w:lineRule="atLeast"/>
              <w:jc w:val="center"/>
              <w:rPr>
                <w:rFonts w:ascii="宋体" w:hAnsi="宋体" w:cs="宋体"/>
                <w:color w:val="000000"/>
                <w:kern w:val="0"/>
                <w:sz w:val="24"/>
              </w:rPr>
            </w:pPr>
          </w:p>
        </w:tc>
        <w:tc>
          <w:tcPr>
            <w:tcW w:w="1759" w:type="dxa"/>
            <w:vAlign w:val="center"/>
          </w:tcPr>
          <w:p w14:paraId="2B30EFC6">
            <w:pPr>
              <w:spacing w:line="440" w:lineRule="atLeast"/>
              <w:jc w:val="center"/>
              <w:rPr>
                <w:rFonts w:ascii="宋体" w:hAnsi="宋体" w:cs="宋体"/>
                <w:color w:val="000000"/>
                <w:kern w:val="0"/>
                <w:sz w:val="24"/>
              </w:rPr>
            </w:pPr>
          </w:p>
        </w:tc>
        <w:tc>
          <w:tcPr>
            <w:tcW w:w="1559" w:type="dxa"/>
            <w:vAlign w:val="center"/>
          </w:tcPr>
          <w:p w14:paraId="10EDE78F">
            <w:pPr>
              <w:spacing w:line="440" w:lineRule="atLeast"/>
              <w:jc w:val="center"/>
              <w:rPr>
                <w:color w:val="000000"/>
                <w:kern w:val="0"/>
                <w:sz w:val="24"/>
              </w:rPr>
            </w:pPr>
          </w:p>
        </w:tc>
        <w:tc>
          <w:tcPr>
            <w:tcW w:w="426" w:type="dxa"/>
            <w:vAlign w:val="center"/>
          </w:tcPr>
          <w:p w14:paraId="35F20566">
            <w:pPr>
              <w:spacing w:line="440" w:lineRule="atLeast"/>
              <w:jc w:val="center"/>
              <w:rPr>
                <w:rFonts w:ascii="宋体" w:hAnsi="宋体" w:cs="宋体"/>
                <w:color w:val="000000"/>
                <w:kern w:val="0"/>
                <w:sz w:val="24"/>
              </w:rPr>
            </w:pPr>
          </w:p>
        </w:tc>
      </w:tr>
      <w:tr w14:paraId="153B6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6" w:type="dxa"/>
            <w:vAlign w:val="center"/>
          </w:tcPr>
          <w:p w14:paraId="10FD2EDF">
            <w:pPr>
              <w:spacing w:line="440" w:lineRule="atLeast"/>
              <w:jc w:val="center"/>
              <w:rPr>
                <w:rFonts w:ascii="宋体" w:hAnsi="宋体"/>
                <w:color w:val="000000"/>
                <w:kern w:val="0"/>
                <w:sz w:val="24"/>
              </w:rPr>
            </w:pPr>
            <w:r>
              <w:rPr>
                <w:rFonts w:ascii="宋体" w:hAnsi="宋体"/>
                <w:color w:val="000000"/>
                <w:kern w:val="0"/>
                <w:sz w:val="24"/>
              </w:rPr>
              <w:t>10</w:t>
            </w:r>
          </w:p>
        </w:tc>
        <w:tc>
          <w:tcPr>
            <w:tcW w:w="1190" w:type="dxa"/>
            <w:vAlign w:val="center"/>
          </w:tcPr>
          <w:p w14:paraId="51D4D99F">
            <w:pPr>
              <w:spacing w:line="440" w:lineRule="atLeast"/>
              <w:jc w:val="center"/>
              <w:rPr>
                <w:color w:val="000000"/>
                <w:kern w:val="0"/>
                <w:sz w:val="24"/>
              </w:rPr>
            </w:pPr>
          </w:p>
        </w:tc>
        <w:tc>
          <w:tcPr>
            <w:tcW w:w="696" w:type="dxa"/>
            <w:vAlign w:val="center"/>
          </w:tcPr>
          <w:p w14:paraId="2EA58783">
            <w:pPr>
              <w:spacing w:line="440" w:lineRule="atLeast"/>
              <w:jc w:val="center"/>
              <w:rPr>
                <w:rFonts w:ascii="宋体" w:hAnsi="宋体" w:cs="宋体"/>
                <w:color w:val="000000"/>
                <w:kern w:val="0"/>
                <w:sz w:val="24"/>
              </w:rPr>
            </w:pPr>
          </w:p>
        </w:tc>
        <w:tc>
          <w:tcPr>
            <w:tcW w:w="2501" w:type="dxa"/>
            <w:vAlign w:val="center"/>
          </w:tcPr>
          <w:p w14:paraId="16AAD1BD">
            <w:pPr>
              <w:spacing w:line="440" w:lineRule="atLeast"/>
              <w:jc w:val="center"/>
              <w:rPr>
                <w:rFonts w:ascii="宋体" w:hAnsi="宋体" w:cs="宋体"/>
                <w:color w:val="000000"/>
                <w:kern w:val="0"/>
                <w:sz w:val="24"/>
              </w:rPr>
            </w:pPr>
          </w:p>
        </w:tc>
        <w:tc>
          <w:tcPr>
            <w:tcW w:w="2144" w:type="dxa"/>
            <w:vAlign w:val="center"/>
          </w:tcPr>
          <w:p w14:paraId="217AC0BA">
            <w:pPr>
              <w:spacing w:line="440" w:lineRule="atLeast"/>
              <w:jc w:val="center"/>
              <w:rPr>
                <w:rFonts w:ascii="宋体" w:hAnsi="宋体" w:cs="宋体"/>
                <w:color w:val="000000"/>
                <w:kern w:val="0"/>
                <w:sz w:val="24"/>
              </w:rPr>
            </w:pPr>
          </w:p>
        </w:tc>
        <w:tc>
          <w:tcPr>
            <w:tcW w:w="2762" w:type="dxa"/>
            <w:vAlign w:val="center"/>
          </w:tcPr>
          <w:p w14:paraId="7D1FD9DD">
            <w:pPr>
              <w:spacing w:line="440" w:lineRule="atLeast"/>
              <w:jc w:val="center"/>
              <w:rPr>
                <w:rFonts w:ascii="宋体" w:hAnsi="宋体" w:cs="宋体"/>
                <w:color w:val="000000"/>
                <w:kern w:val="0"/>
                <w:sz w:val="24"/>
              </w:rPr>
            </w:pPr>
          </w:p>
        </w:tc>
        <w:tc>
          <w:tcPr>
            <w:tcW w:w="1759" w:type="dxa"/>
            <w:vAlign w:val="center"/>
          </w:tcPr>
          <w:p w14:paraId="59F00A71">
            <w:pPr>
              <w:spacing w:line="440" w:lineRule="atLeast"/>
              <w:jc w:val="center"/>
              <w:rPr>
                <w:rFonts w:ascii="宋体" w:hAnsi="宋体" w:cs="宋体"/>
                <w:color w:val="000000"/>
                <w:kern w:val="0"/>
                <w:sz w:val="24"/>
              </w:rPr>
            </w:pPr>
          </w:p>
        </w:tc>
        <w:tc>
          <w:tcPr>
            <w:tcW w:w="1559" w:type="dxa"/>
            <w:vAlign w:val="center"/>
          </w:tcPr>
          <w:p w14:paraId="2866113C">
            <w:pPr>
              <w:spacing w:line="440" w:lineRule="atLeast"/>
              <w:jc w:val="center"/>
              <w:rPr>
                <w:color w:val="000000"/>
                <w:kern w:val="0"/>
                <w:sz w:val="24"/>
              </w:rPr>
            </w:pPr>
          </w:p>
        </w:tc>
        <w:tc>
          <w:tcPr>
            <w:tcW w:w="426" w:type="dxa"/>
            <w:vAlign w:val="center"/>
          </w:tcPr>
          <w:p w14:paraId="4276F622">
            <w:pPr>
              <w:spacing w:line="440" w:lineRule="atLeast"/>
              <w:jc w:val="center"/>
              <w:rPr>
                <w:rFonts w:ascii="宋体" w:hAnsi="宋体" w:cs="宋体"/>
                <w:color w:val="000000"/>
                <w:kern w:val="0"/>
                <w:sz w:val="24"/>
              </w:rPr>
            </w:pPr>
          </w:p>
        </w:tc>
      </w:tr>
    </w:tbl>
    <w:p w14:paraId="5A39645D">
      <w:pPr>
        <w:spacing w:line="440" w:lineRule="atLeast"/>
        <w:rPr>
          <w:sz w:val="24"/>
        </w:rPr>
      </w:pPr>
      <w:r>
        <w:rPr>
          <w:rFonts w:hint="eastAsia"/>
          <w:sz w:val="24"/>
        </w:rPr>
        <w:t>填表人:　　　　　　　　　　　</w:t>
      </w:r>
      <w:r>
        <w:rPr>
          <w:rFonts w:hint="eastAsia"/>
          <w:sz w:val="24"/>
        </w:rPr>
        <w:tab/>
      </w:r>
      <w:r>
        <w:rPr>
          <w:rFonts w:hint="eastAsia"/>
          <w:sz w:val="24"/>
        </w:rPr>
        <w:t>联系电话：                                      　　　　填表日期：</w:t>
      </w:r>
    </w:p>
    <w:p w14:paraId="51C98FEA">
      <w:pPr>
        <w:spacing w:line="440" w:lineRule="atLeast"/>
        <w:rPr>
          <w:sz w:val="24"/>
        </w:rPr>
      </w:pPr>
    </w:p>
    <w:p w14:paraId="775DD817">
      <w:pPr>
        <w:spacing w:line="440" w:lineRule="atLeast"/>
        <w:jc w:val="left"/>
        <w:rPr>
          <w:sz w:val="24"/>
        </w:rPr>
        <w:sectPr>
          <w:pgSz w:w="16838" w:h="11906" w:orient="landscape"/>
          <w:pgMar w:top="1531" w:right="1440" w:bottom="1531" w:left="1440" w:header="851" w:footer="992" w:gutter="0"/>
          <w:cols w:space="720" w:num="1"/>
          <w:docGrid w:type="lines" w:linePitch="312" w:charSpace="0"/>
        </w:sectPr>
      </w:pPr>
      <w:r>
        <w:rPr>
          <w:rFonts w:hint="eastAsia"/>
          <w:sz w:val="24"/>
        </w:rPr>
        <w:t>说明：本表由地方协会填写。</w:t>
      </w:r>
    </w:p>
    <w:p w14:paraId="6C3B452A">
      <w:pPr>
        <w:spacing w:line="440" w:lineRule="atLeast"/>
        <w:rPr>
          <w:rFonts w:ascii="宋体" w:hAnsi="宋体" w:eastAsia="宋体" w:cs="宋体"/>
          <w:bCs/>
          <w:sz w:val="24"/>
        </w:rPr>
      </w:pPr>
      <w:r>
        <w:rPr>
          <w:rFonts w:hint="eastAsia" w:ascii="宋体" w:hAnsi="宋体" w:eastAsia="宋体" w:cs="宋体"/>
          <w:bCs/>
          <w:sz w:val="24"/>
        </w:rPr>
        <w:t>附表3：</w:t>
      </w:r>
    </w:p>
    <w:p w14:paraId="47C3C2D9">
      <w:pPr>
        <w:spacing w:line="440" w:lineRule="atLeast"/>
        <w:jc w:val="center"/>
        <w:rPr>
          <w:sz w:val="36"/>
          <w:szCs w:val="36"/>
        </w:rPr>
      </w:pPr>
      <w:r>
        <w:rPr>
          <w:rFonts w:hint="eastAsia" w:ascii="宋体" w:hAnsi="宋体" w:cs="宋体"/>
          <w:b/>
          <w:bCs/>
          <w:kern w:val="0"/>
          <w:sz w:val="36"/>
          <w:szCs w:val="36"/>
        </w:rPr>
        <w:t>中国资产评估协会非执业会员信息变更备案表</w:t>
      </w:r>
      <w:r>
        <w:rPr>
          <w:rFonts w:hint="eastAsia" w:ascii="宋体" w:hAnsi="宋体" w:cs="宋体"/>
          <w:b/>
          <w:bCs/>
          <w:kern w:val="0"/>
          <w:sz w:val="36"/>
          <w:szCs w:val="36"/>
        </w:rPr>
        <w:tab/>
      </w:r>
    </w:p>
    <w:tbl>
      <w:tblPr>
        <w:tblStyle w:val="24"/>
        <w:tblW w:w="9194" w:type="dxa"/>
        <w:jc w:val="center"/>
        <w:tblLayout w:type="autofit"/>
        <w:tblCellMar>
          <w:top w:w="0" w:type="dxa"/>
          <w:left w:w="108" w:type="dxa"/>
          <w:bottom w:w="0" w:type="dxa"/>
          <w:right w:w="108" w:type="dxa"/>
        </w:tblCellMar>
      </w:tblPr>
      <w:tblGrid>
        <w:gridCol w:w="1577"/>
        <w:gridCol w:w="1588"/>
        <w:gridCol w:w="1121"/>
        <w:gridCol w:w="986"/>
        <w:gridCol w:w="1958"/>
        <w:gridCol w:w="1964"/>
      </w:tblGrid>
      <w:tr w14:paraId="6970E2FC">
        <w:tblPrEx>
          <w:tblCellMar>
            <w:top w:w="0" w:type="dxa"/>
            <w:left w:w="108" w:type="dxa"/>
            <w:bottom w:w="0" w:type="dxa"/>
            <w:right w:w="108" w:type="dxa"/>
          </w:tblCellMar>
        </w:tblPrEx>
        <w:trPr>
          <w:trHeight w:val="677" w:hRule="atLeast"/>
          <w:jc w:val="center"/>
        </w:trPr>
        <w:tc>
          <w:tcPr>
            <w:tcW w:w="1577" w:type="dxa"/>
            <w:tcBorders>
              <w:top w:val="single" w:color="auto" w:sz="4" w:space="0"/>
              <w:left w:val="single" w:color="auto" w:sz="4" w:space="0"/>
              <w:bottom w:val="single" w:color="auto" w:sz="4" w:space="0"/>
              <w:right w:val="single" w:color="auto" w:sz="4" w:space="0"/>
            </w:tcBorders>
            <w:vAlign w:val="center"/>
          </w:tcPr>
          <w:p w14:paraId="04CBC2C4">
            <w:pPr>
              <w:spacing w:line="440" w:lineRule="atLeast"/>
              <w:jc w:val="center"/>
              <w:rPr>
                <w:rFonts w:ascii="宋体" w:hAnsi="宋体" w:cs="宋体"/>
                <w:color w:val="000000"/>
                <w:kern w:val="0"/>
                <w:sz w:val="24"/>
              </w:rPr>
            </w:pPr>
            <w:r>
              <w:rPr>
                <w:rFonts w:hint="eastAsia" w:ascii="宋体" w:hAnsi="宋体" w:cs="宋体"/>
                <w:color w:val="000000"/>
                <w:kern w:val="0"/>
                <w:sz w:val="24"/>
              </w:rPr>
              <w:t>姓名</w:t>
            </w:r>
          </w:p>
        </w:tc>
        <w:tc>
          <w:tcPr>
            <w:tcW w:w="1588" w:type="dxa"/>
            <w:tcBorders>
              <w:top w:val="single" w:color="auto" w:sz="4" w:space="0"/>
              <w:left w:val="nil"/>
              <w:bottom w:val="single" w:color="auto" w:sz="4" w:space="0"/>
              <w:right w:val="single" w:color="auto" w:sz="4" w:space="0"/>
            </w:tcBorders>
            <w:vAlign w:val="center"/>
          </w:tcPr>
          <w:p w14:paraId="5BB09216">
            <w:pPr>
              <w:spacing w:line="440" w:lineRule="atLeast"/>
              <w:jc w:val="center"/>
              <w:rPr>
                <w:rFonts w:ascii="宋体" w:hAnsi="宋体" w:cs="宋体"/>
                <w:color w:val="000000"/>
                <w:kern w:val="0"/>
                <w:sz w:val="24"/>
              </w:rPr>
            </w:pPr>
            <w:r>
              <w:rPr>
                <w:rFonts w:hint="eastAsia" w:ascii="宋体" w:hAnsi="宋体" w:cs="宋体"/>
                <w:color w:val="000000"/>
                <w:kern w:val="0"/>
                <w:sz w:val="24"/>
              </w:rPr>
              <w:t>　</w:t>
            </w:r>
          </w:p>
        </w:tc>
        <w:tc>
          <w:tcPr>
            <w:tcW w:w="1121" w:type="dxa"/>
            <w:tcBorders>
              <w:top w:val="single" w:color="auto" w:sz="4" w:space="0"/>
              <w:left w:val="nil"/>
              <w:bottom w:val="single" w:color="auto" w:sz="4" w:space="0"/>
              <w:right w:val="single" w:color="auto" w:sz="4" w:space="0"/>
            </w:tcBorders>
            <w:vAlign w:val="center"/>
          </w:tcPr>
          <w:p w14:paraId="11C7EF00">
            <w:pPr>
              <w:spacing w:line="440" w:lineRule="atLeast"/>
              <w:jc w:val="center"/>
              <w:rPr>
                <w:rFonts w:ascii="宋体" w:hAnsi="宋体" w:cs="宋体"/>
                <w:color w:val="000000"/>
                <w:kern w:val="0"/>
                <w:sz w:val="24"/>
              </w:rPr>
            </w:pPr>
            <w:r>
              <w:rPr>
                <w:rFonts w:hint="eastAsia" w:ascii="宋体" w:hAnsi="宋体" w:cs="宋体"/>
                <w:color w:val="000000"/>
                <w:kern w:val="0"/>
                <w:sz w:val="24"/>
              </w:rPr>
              <w:t>性别</w:t>
            </w:r>
          </w:p>
        </w:tc>
        <w:tc>
          <w:tcPr>
            <w:tcW w:w="986" w:type="dxa"/>
            <w:tcBorders>
              <w:top w:val="single" w:color="auto" w:sz="4" w:space="0"/>
              <w:left w:val="nil"/>
              <w:bottom w:val="single" w:color="auto" w:sz="4" w:space="0"/>
              <w:right w:val="single" w:color="auto" w:sz="4" w:space="0"/>
            </w:tcBorders>
            <w:vAlign w:val="center"/>
          </w:tcPr>
          <w:p w14:paraId="3A8FC83E">
            <w:pPr>
              <w:spacing w:line="440" w:lineRule="atLeast"/>
              <w:jc w:val="center"/>
              <w:rPr>
                <w:rFonts w:ascii="宋体" w:hAnsi="宋体" w:cs="宋体"/>
                <w:color w:val="000000"/>
                <w:kern w:val="0"/>
                <w:sz w:val="24"/>
              </w:rPr>
            </w:pPr>
            <w:r>
              <w:rPr>
                <w:rFonts w:hint="eastAsia" w:ascii="宋体" w:hAnsi="宋体" w:cs="宋体"/>
                <w:color w:val="000000"/>
                <w:kern w:val="0"/>
                <w:sz w:val="24"/>
              </w:rPr>
              <w:t>　</w:t>
            </w:r>
          </w:p>
        </w:tc>
        <w:tc>
          <w:tcPr>
            <w:tcW w:w="1958" w:type="dxa"/>
            <w:tcBorders>
              <w:top w:val="single" w:color="auto" w:sz="4" w:space="0"/>
              <w:left w:val="nil"/>
              <w:bottom w:val="single" w:color="auto" w:sz="4" w:space="0"/>
              <w:right w:val="single" w:color="auto" w:sz="4" w:space="0"/>
            </w:tcBorders>
            <w:vAlign w:val="center"/>
          </w:tcPr>
          <w:p w14:paraId="61E51515">
            <w:pPr>
              <w:spacing w:line="440" w:lineRule="atLeast"/>
              <w:jc w:val="center"/>
              <w:rPr>
                <w:rFonts w:ascii="宋体" w:hAnsi="宋体" w:cs="宋体"/>
                <w:color w:val="000000"/>
                <w:kern w:val="0"/>
                <w:sz w:val="24"/>
              </w:rPr>
            </w:pPr>
            <w:r>
              <w:rPr>
                <w:rFonts w:hint="eastAsia" w:ascii="宋体" w:hAnsi="宋体" w:cs="宋体"/>
                <w:color w:val="000000"/>
                <w:kern w:val="0"/>
                <w:sz w:val="24"/>
              </w:rPr>
              <w:t>非执业会员</w:t>
            </w:r>
          </w:p>
          <w:p w14:paraId="313F3464">
            <w:pPr>
              <w:spacing w:line="440" w:lineRule="atLeast"/>
              <w:jc w:val="center"/>
              <w:rPr>
                <w:rFonts w:ascii="宋体" w:hAnsi="宋体" w:cs="宋体"/>
                <w:color w:val="000000"/>
                <w:kern w:val="0"/>
                <w:sz w:val="24"/>
              </w:rPr>
            </w:pPr>
            <w:r>
              <w:rPr>
                <w:rFonts w:hint="eastAsia" w:ascii="宋体" w:hAnsi="宋体" w:cs="宋体"/>
                <w:color w:val="000000"/>
                <w:kern w:val="0"/>
                <w:sz w:val="24"/>
              </w:rPr>
              <w:t>证书编号</w:t>
            </w:r>
          </w:p>
        </w:tc>
        <w:tc>
          <w:tcPr>
            <w:tcW w:w="1964" w:type="dxa"/>
            <w:tcBorders>
              <w:top w:val="single" w:color="auto" w:sz="4" w:space="0"/>
              <w:left w:val="nil"/>
              <w:bottom w:val="single" w:color="auto" w:sz="4" w:space="0"/>
              <w:right w:val="single" w:color="auto" w:sz="4" w:space="0"/>
            </w:tcBorders>
            <w:vAlign w:val="center"/>
          </w:tcPr>
          <w:p w14:paraId="3AEF41B9">
            <w:pPr>
              <w:spacing w:line="440" w:lineRule="atLeast"/>
              <w:jc w:val="center"/>
              <w:rPr>
                <w:rFonts w:ascii="宋体" w:hAnsi="宋体" w:cs="宋体"/>
                <w:color w:val="000000"/>
                <w:kern w:val="0"/>
                <w:sz w:val="24"/>
              </w:rPr>
            </w:pPr>
            <w:r>
              <w:rPr>
                <w:rFonts w:hint="eastAsia" w:ascii="宋体" w:hAnsi="宋体" w:cs="宋体"/>
                <w:color w:val="000000"/>
                <w:kern w:val="0"/>
                <w:sz w:val="24"/>
              </w:rPr>
              <w:t>　</w:t>
            </w:r>
          </w:p>
        </w:tc>
      </w:tr>
      <w:tr w14:paraId="081BFCBC">
        <w:tblPrEx>
          <w:tblCellMar>
            <w:top w:w="0" w:type="dxa"/>
            <w:left w:w="108" w:type="dxa"/>
            <w:bottom w:w="0" w:type="dxa"/>
            <w:right w:w="108" w:type="dxa"/>
          </w:tblCellMar>
        </w:tblPrEx>
        <w:trPr>
          <w:trHeight w:val="677" w:hRule="atLeast"/>
          <w:jc w:val="center"/>
        </w:trPr>
        <w:tc>
          <w:tcPr>
            <w:tcW w:w="1577" w:type="dxa"/>
            <w:tcBorders>
              <w:top w:val="nil"/>
              <w:left w:val="single" w:color="auto" w:sz="4" w:space="0"/>
              <w:bottom w:val="single" w:color="auto" w:sz="4" w:space="0"/>
              <w:right w:val="single" w:color="auto" w:sz="4" w:space="0"/>
            </w:tcBorders>
            <w:vAlign w:val="center"/>
          </w:tcPr>
          <w:p w14:paraId="2ACCC4F7">
            <w:pPr>
              <w:spacing w:line="440" w:lineRule="atLeast"/>
              <w:jc w:val="center"/>
              <w:rPr>
                <w:rFonts w:ascii="宋体" w:hAnsi="宋体" w:cs="宋体"/>
                <w:b/>
                <w:color w:val="000000"/>
                <w:kern w:val="0"/>
                <w:sz w:val="24"/>
              </w:rPr>
            </w:pPr>
            <w:r>
              <w:rPr>
                <w:rFonts w:hint="eastAsia" w:ascii="宋体" w:hAnsi="宋体" w:cs="宋体"/>
                <w:b/>
                <w:color w:val="000000"/>
                <w:kern w:val="0"/>
                <w:sz w:val="24"/>
              </w:rPr>
              <w:t>项目</w:t>
            </w:r>
          </w:p>
        </w:tc>
        <w:tc>
          <w:tcPr>
            <w:tcW w:w="3695" w:type="dxa"/>
            <w:gridSpan w:val="3"/>
            <w:tcBorders>
              <w:top w:val="single" w:color="auto" w:sz="4" w:space="0"/>
              <w:left w:val="nil"/>
              <w:bottom w:val="single" w:color="auto" w:sz="4" w:space="0"/>
              <w:right w:val="single" w:color="auto" w:sz="4" w:space="0"/>
            </w:tcBorders>
            <w:vAlign w:val="center"/>
          </w:tcPr>
          <w:p w14:paraId="28B640D1">
            <w:pPr>
              <w:spacing w:line="440" w:lineRule="atLeast"/>
              <w:jc w:val="center"/>
              <w:rPr>
                <w:rFonts w:ascii="宋体" w:hAnsi="宋体" w:cs="宋体"/>
                <w:b/>
                <w:color w:val="000000"/>
                <w:kern w:val="0"/>
                <w:sz w:val="24"/>
              </w:rPr>
            </w:pPr>
            <w:r>
              <w:rPr>
                <w:rFonts w:hint="eastAsia" w:ascii="宋体" w:hAnsi="宋体" w:cs="宋体"/>
                <w:b/>
                <w:color w:val="000000"/>
                <w:kern w:val="0"/>
                <w:sz w:val="24"/>
              </w:rPr>
              <w:t>变更前内容</w:t>
            </w:r>
          </w:p>
        </w:tc>
        <w:tc>
          <w:tcPr>
            <w:tcW w:w="3922" w:type="dxa"/>
            <w:gridSpan w:val="2"/>
            <w:tcBorders>
              <w:top w:val="single" w:color="auto" w:sz="4" w:space="0"/>
              <w:left w:val="nil"/>
              <w:bottom w:val="single" w:color="auto" w:sz="4" w:space="0"/>
              <w:right w:val="single" w:color="auto" w:sz="4" w:space="0"/>
            </w:tcBorders>
            <w:vAlign w:val="center"/>
          </w:tcPr>
          <w:p w14:paraId="70CADA4E">
            <w:pPr>
              <w:spacing w:line="440" w:lineRule="atLeast"/>
              <w:jc w:val="center"/>
              <w:rPr>
                <w:rFonts w:ascii="宋体" w:hAnsi="宋体" w:cs="宋体"/>
                <w:b/>
                <w:color w:val="000000"/>
                <w:kern w:val="0"/>
                <w:sz w:val="24"/>
              </w:rPr>
            </w:pPr>
            <w:r>
              <w:rPr>
                <w:rFonts w:hint="eastAsia" w:ascii="宋体" w:hAnsi="宋体" w:cs="宋体"/>
                <w:b/>
                <w:color w:val="000000"/>
                <w:kern w:val="0"/>
                <w:sz w:val="24"/>
              </w:rPr>
              <w:t>变更后内容</w:t>
            </w:r>
          </w:p>
        </w:tc>
      </w:tr>
      <w:tr w14:paraId="7F549C44">
        <w:tblPrEx>
          <w:tblCellMar>
            <w:top w:w="0" w:type="dxa"/>
            <w:left w:w="108" w:type="dxa"/>
            <w:bottom w:w="0" w:type="dxa"/>
            <w:right w:w="108" w:type="dxa"/>
          </w:tblCellMar>
        </w:tblPrEx>
        <w:trPr>
          <w:trHeight w:val="851" w:hRule="exact"/>
          <w:jc w:val="center"/>
        </w:trPr>
        <w:tc>
          <w:tcPr>
            <w:tcW w:w="1577" w:type="dxa"/>
            <w:tcBorders>
              <w:top w:val="nil"/>
              <w:left w:val="single" w:color="auto" w:sz="4" w:space="0"/>
              <w:bottom w:val="single" w:color="auto" w:sz="4" w:space="0"/>
              <w:right w:val="single" w:color="auto" w:sz="4" w:space="0"/>
            </w:tcBorders>
            <w:vAlign w:val="center"/>
          </w:tcPr>
          <w:p w14:paraId="6F3483B1">
            <w:pPr>
              <w:spacing w:line="440" w:lineRule="atLeast"/>
              <w:jc w:val="center"/>
              <w:rPr>
                <w:rFonts w:ascii="宋体" w:hAnsi="宋体" w:cs="宋体"/>
                <w:color w:val="000000"/>
                <w:kern w:val="0"/>
                <w:sz w:val="24"/>
              </w:rPr>
            </w:pPr>
            <w:r>
              <w:rPr>
                <w:rFonts w:hint="eastAsia" w:ascii="宋体" w:hAnsi="宋体" w:cs="宋体"/>
                <w:color w:val="000000"/>
                <w:kern w:val="0"/>
                <w:sz w:val="24"/>
              </w:rPr>
              <w:t>姓名</w:t>
            </w:r>
          </w:p>
        </w:tc>
        <w:tc>
          <w:tcPr>
            <w:tcW w:w="3695" w:type="dxa"/>
            <w:gridSpan w:val="3"/>
            <w:tcBorders>
              <w:top w:val="single" w:color="auto" w:sz="4" w:space="0"/>
              <w:left w:val="nil"/>
              <w:bottom w:val="single" w:color="auto" w:sz="4" w:space="0"/>
              <w:right w:val="single" w:color="auto" w:sz="4" w:space="0"/>
            </w:tcBorders>
            <w:vAlign w:val="center"/>
          </w:tcPr>
          <w:p w14:paraId="1A3A001D">
            <w:pPr>
              <w:spacing w:line="440" w:lineRule="atLeast"/>
              <w:jc w:val="center"/>
              <w:rPr>
                <w:rFonts w:ascii="宋体" w:hAnsi="宋体" w:cs="宋体"/>
                <w:color w:val="000000"/>
                <w:kern w:val="0"/>
                <w:sz w:val="24"/>
              </w:rPr>
            </w:pPr>
            <w:r>
              <w:rPr>
                <w:rFonts w:hint="eastAsia" w:ascii="宋体" w:hAnsi="宋体" w:cs="宋体"/>
                <w:color w:val="000000"/>
                <w:kern w:val="0"/>
                <w:sz w:val="24"/>
              </w:rPr>
              <w:t>　</w:t>
            </w:r>
          </w:p>
        </w:tc>
        <w:tc>
          <w:tcPr>
            <w:tcW w:w="3922" w:type="dxa"/>
            <w:gridSpan w:val="2"/>
            <w:tcBorders>
              <w:top w:val="single" w:color="auto" w:sz="4" w:space="0"/>
              <w:left w:val="nil"/>
              <w:bottom w:val="single" w:color="auto" w:sz="4" w:space="0"/>
              <w:right w:val="single" w:color="auto" w:sz="4" w:space="0"/>
            </w:tcBorders>
            <w:vAlign w:val="center"/>
          </w:tcPr>
          <w:p w14:paraId="3B3D30F7">
            <w:pPr>
              <w:spacing w:line="440" w:lineRule="atLeast"/>
              <w:jc w:val="center"/>
              <w:rPr>
                <w:rFonts w:ascii="宋体" w:hAnsi="宋体" w:cs="宋体"/>
                <w:color w:val="000000"/>
                <w:kern w:val="0"/>
                <w:sz w:val="24"/>
              </w:rPr>
            </w:pPr>
            <w:r>
              <w:rPr>
                <w:rFonts w:hint="eastAsia" w:ascii="宋体" w:hAnsi="宋体" w:cs="宋体"/>
                <w:color w:val="000000"/>
                <w:kern w:val="0"/>
                <w:sz w:val="24"/>
              </w:rPr>
              <w:t>　</w:t>
            </w:r>
          </w:p>
        </w:tc>
      </w:tr>
      <w:tr w14:paraId="2EB7437C">
        <w:tblPrEx>
          <w:tblCellMar>
            <w:top w:w="0" w:type="dxa"/>
            <w:left w:w="108" w:type="dxa"/>
            <w:bottom w:w="0" w:type="dxa"/>
            <w:right w:w="108" w:type="dxa"/>
          </w:tblCellMar>
        </w:tblPrEx>
        <w:trPr>
          <w:trHeight w:val="851" w:hRule="exact"/>
          <w:jc w:val="center"/>
        </w:trPr>
        <w:tc>
          <w:tcPr>
            <w:tcW w:w="1577" w:type="dxa"/>
            <w:tcBorders>
              <w:top w:val="nil"/>
              <w:left w:val="single" w:color="auto" w:sz="4" w:space="0"/>
              <w:bottom w:val="single" w:color="auto" w:sz="4" w:space="0"/>
              <w:right w:val="single" w:color="auto" w:sz="4" w:space="0"/>
            </w:tcBorders>
            <w:vAlign w:val="center"/>
          </w:tcPr>
          <w:p w14:paraId="7E13F3BB">
            <w:pPr>
              <w:spacing w:line="440" w:lineRule="atLeast"/>
              <w:jc w:val="center"/>
              <w:rPr>
                <w:rFonts w:ascii="宋体" w:hAnsi="宋体" w:cs="宋体"/>
                <w:color w:val="000000"/>
                <w:kern w:val="0"/>
                <w:sz w:val="24"/>
              </w:rPr>
            </w:pPr>
            <w:r>
              <w:rPr>
                <w:rFonts w:hint="eastAsia" w:ascii="宋体" w:hAnsi="宋体" w:cs="宋体"/>
                <w:color w:val="000000"/>
                <w:kern w:val="0"/>
                <w:sz w:val="24"/>
              </w:rPr>
              <w:t>身份证号码</w:t>
            </w:r>
          </w:p>
        </w:tc>
        <w:tc>
          <w:tcPr>
            <w:tcW w:w="3695" w:type="dxa"/>
            <w:gridSpan w:val="3"/>
            <w:tcBorders>
              <w:top w:val="single" w:color="auto" w:sz="4" w:space="0"/>
              <w:left w:val="nil"/>
              <w:bottom w:val="single" w:color="auto" w:sz="4" w:space="0"/>
              <w:right w:val="single" w:color="auto" w:sz="4" w:space="0"/>
            </w:tcBorders>
            <w:vAlign w:val="center"/>
          </w:tcPr>
          <w:p w14:paraId="741DD801">
            <w:pPr>
              <w:spacing w:line="440" w:lineRule="atLeast"/>
              <w:jc w:val="center"/>
              <w:rPr>
                <w:rFonts w:ascii="宋体" w:hAnsi="宋体" w:cs="宋体"/>
                <w:color w:val="000000"/>
                <w:kern w:val="0"/>
                <w:sz w:val="24"/>
              </w:rPr>
            </w:pPr>
            <w:r>
              <w:rPr>
                <w:rFonts w:hint="eastAsia" w:ascii="宋体" w:hAnsi="宋体" w:cs="宋体"/>
                <w:color w:val="000000"/>
                <w:kern w:val="0"/>
                <w:sz w:val="24"/>
              </w:rPr>
              <w:t>　</w:t>
            </w:r>
          </w:p>
        </w:tc>
        <w:tc>
          <w:tcPr>
            <w:tcW w:w="3922" w:type="dxa"/>
            <w:gridSpan w:val="2"/>
            <w:tcBorders>
              <w:top w:val="single" w:color="auto" w:sz="4" w:space="0"/>
              <w:left w:val="nil"/>
              <w:bottom w:val="single" w:color="auto" w:sz="4" w:space="0"/>
              <w:right w:val="single" w:color="auto" w:sz="4" w:space="0"/>
            </w:tcBorders>
            <w:vAlign w:val="center"/>
          </w:tcPr>
          <w:p w14:paraId="51CF57B2">
            <w:pPr>
              <w:spacing w:line="440" w:lineRule="atLeast"/>
              <w:jc w:val="center"/>
              <w:rPr>
                <w:rFonts w:ascii="宋体" w:hAnsi="宋体" w:cs="宋体"/>
                <w:color w:val="000000"/>
                <w:kern w:val="0"/>
                <w:sz w:val="24"/>
              </w:rPr>
            </w:pPr>
            <w:r>
              <w:rPr>
                <w:rFonts w:hint="eastAsia" w:ascii="宋体" w:hAnsi="宋体" w:cs="宋体"/>
                <w:color w:val="000000"/>
                <w:kern w:val="0"/>
                <w:sz w:val="24"/>
              </w:rPr>
              <w:t>　</w:t>
            </w:r>
          </w:p>
        </w:tc>
      </w:tr>
      <w:tr w14:paraId="319B564D">
        <w:tblPrEx>
          <w:tblCellMar>
            <w:top w:w="0" w:type="dxa"/>
            <w:left w:w="108" w:type="dxa"/>
            <w:bottom w:w="0" w:type="dxa"/>
            <w:right w:w="108" w:type="dxa"/>
          </w:tblCellMar>
        </w:tblPrEx>
        <w:trPr>
          <w:trHeight w:val="851" w:hRule="exact"/>
          <w:jc w:val="center"/>
        </w:trPr>
        <w:tc>
          <w:tcPr>
            <w:tcW w:w="1577" w:type="dxa"/>
            <w:tcBorders>
              <w:top w:val="nil"/>
              <w:left w:val="single" w:color="auto" w:sz="4" w:space="0"/>
              <w:bottom w:val="single" w:color="auto" w:sz="4" w:space="0"/>
              <w:right w:val="single" w:color="auto" w:sz="4" w:space="0"/>
            </w:tcBorders>
            <w:vAlign w:val="center"/>
          </w:tcPr>
          <w:p w14:paraId="2724B85E">
            <w:pPr>
              <w:spacing w:line="440" w:lineRule="atLeast"/>
              <w:jc w:val="center"/>
              <w:rPr>
                <w:rFonts w:ascii="宋体" w:hAnsi="宋体" w:cs="宋体"/>
                <w:color w:val="000000"/>
                <w:kern w:val="0"/>
                <w:sz w:val="24"/>
              </w:rPr>
            </w:pPr>
            <w:r>
              <w:rPr>
                <w:rFonts w:hint="eastAsia" w:ascii="宋体" w:hAnsi="宋体" w:cs="宋体"/>
                <w:color w:val="000000"/>
                <w:kern w:val="0"/>
                <w:sz w:val="24"/>
              </w:rPr>
              <w:t>政治面貌</w:t>
            </w:r>
          </w:p>
        </w:tc>
        <w:tc>
          <w:tcPr>
            <w:tcW w:w="3695" w:type="dxa"/>
            <w:gridSpan w:val="3"/>
            <w:tcBorders>
              <w:top w:val="single" w:color="auto" w:sz="4" w:space="0"/>
              <w:left w:val="nil"/>
              <w:bottom w:val="single" w:color="auto" w:sz="4" w:space="0"/>
              <w:right w:val="single" w:color="auto" w:sz="4" w:space="0"/>
            </w:tcBorders>
            <w:vAlign w:val="center"/>
          </w:tcPr>
          <w:p w14:paraId="77477FE0">
            <w:pPr>
              <w:spacing w:line="440" w:lineRule="atLeast"/>
              <w:jc w:val="center"/>
              <w:rPr>
                <w:rFonts w:ascii="宋体" w:hAnsi="宋体" w:cs="宋体"/>
                <w:color w:val="000000"/>
                <w:kern w:val="0"/>
                <w:sz w:val="24"/>
              </w:rPr>
            </w:pPr>
            <w:r>
              <w:rPr>
                <w:rFonts w:hint="eastAsia" w:ascii="宋体" w:hAnsi="宋体" w:cs="宋体"/>
                <w:color w:val="000000"/>
                <w:kern w:val="0"/>
                <w:sz w:val="24"/>
              </w:rPr>
              <w:t>　</w:t>
            </w:r>
          </w:p>
        </w:tc>
        <w:tc>
          <w:tcPr>
            <w:tcW w:w="3922" w:type="dxa"/>
            <w:gridSpan w:val="2"/>
            <w:tcBorders>
              <w:top w:val="single" w:color="auto" w:sz="4" w:space="0"/>
              <w:left w:val="nil"/>
              <w:bottom w:val="single" w:color="auto" w:sz="4" w:space="0"/>
              <w:right w:val="single" w:color="auto" w:sz="4" w:space="0"/>
            </w:tcBorders>
            <w:vAlign w:val="center"/>
          </w:tcPr>
          <w:p w14:paraId="0DD529AB">
            <w:pPr>
              <w:spacing w:line="440" w:lineRule="atLeast"/>
              <w:jc w:val="center"/>
              <w:rPr>
                <w:rFonts w:ascii="宋体" w:hAnsi="宋体" w:cs="宋体"/>
                <w:color w:val="000000"/>
                <w:kern w:val="0"/>
                <w:sz w:val="24"/>
              </w:rPr>
            </w:pPr>
            <w:r>
              <w:rPr>
                <w:rFonts w:hint="eastAsia" w:ascii="宋体" w:hAnsi="宋体" w:cs="宋体"/>
                <w:color w:val="000000"/>
                <w:kern w:val="0"/>
                <w:sz w:val="24"/>
              </w:rPr>
              <w:t>　</w:t>
            </w:r>
          </w:p>
        </w:tc>
      </w:tr>
      <w:tr w14:paraId="639F94BA">
        <w:tblPrEx>
          <w:tblCellMar>
            <w:top w:w="0" w:type="dxa"/>
            <w:left w:w="108" w:type="dxa"/>
            <w:bottom w:w="0" w:type="dxa"/>
            <w:right w:w="108" w:type="dxa"/>
          </w:tblCellMar>
        </w:tblPrEx>
        <w:trPr>
          <w:trHeight w:val="851" w:hRule="exact"/>
          <w:jc w:val="center"/>
        </w:trPr>
        <w:tc>
          <w:tcPr>
            <w:tcW w:w="1577" w:type="dxa"/>
            <w:tcBorders>
              <w:top w:val="nil"/>
              <w:left w:val="single" w:color="auto" w:sz="4" w:space="0"/>
              <w:bottom w:val="single" w:color="auto" w:sz="4" w:space="0"/>
              <w:right w:val="single" w:color="auto" w:sz="4" w:space="0"/>
            </w:tcBorders>
            <w:vAlign w:val="center"/>
          </w:tcPr>
          <w:p w14:paraId="17C81A5F">
            <w:pPr>
              <w:spacing w:line="440" w:lineRule="atLeast"/>
              <w:jc w:val="center"/>
              <w:rPr>
                <w:rFonts w:ascii="宋体" w:hAnsi="宋体" w:cs="宋体"/>
                <w:color w:val="000000"/>
                <w:kern w:val="0"/>
                <w:sz w:val="24"/>
              </w:rPr>
            </w:pPr>
            <w:r>
              <w:rPr>
                <w:rFonts w:hint="eastAsia" w:ascii="宋体" w:hAnsi="宋体" w:cs="宋体"/>
                <w:color w:val="000000"/>
                <w:kern w:val="0"/>
                <w:sz w:val="24"/>
              </w:rPr>
              <w:t>学历</w:t>
            </w:r>
          </w:p>
        </w:tc>
        <w:tc>
          <w:tcPr>
            <w:tcW w:w="3695" w:type="dxa"/>
            <w:gridSpan w:val="3"/>
            <w:tcBorders>
              <w:top w:val="single" w:color="auto" w:sz="4" w:space="0"/>
              <w:left w:val="nil"/>
              <w:bottom w:val="single" w:color="auto" w:sz="4" w:space="0"/>
              <w:right w:val="single" w:color="auto" w:sz="4" w:space="0"/>
            </w:tcBorders>
            <w:vAlign w:val="center"/>
          </w:tcPr>
          <w:p w14:paraId="4FECDF06">
            <w:pPr>
              <w:spacing w:line="440" w:lineRule="atLeast"/>
              <w:jc w:val="center"/>
              <w:rPr>
                <w:rFonts w:ascii="宋体" w:hAnsi="宋体" w:cs="宋体"/>
                <w:color w:val="000000"/>
                <w:kern w:val="0"/>
                <w:sz w:val="24"/>
              </w:rPr>
            </w:pPr>
            <w:r>
              <w:rPr>
                <w:rFonts w:hint="eastAsia" w:ascii="宋体" w:hAnsi="宋体" w:cs="宋体"/>
                <w:color w:val="000000"/>
                <w:kern w:val="0"/>
                <w:sz w:val="24"/>
              </w:rPr>
              <w:t>　</w:t>
            </w:r>
          </w:p>
        </w:tc>
        <w:tc>
          <w:tcPr>
            <w:tcW w:w="3922" w:type="dxa"/>
            <w:gridSpan w:val="2"/>
            <w:tcBorders>
              <w:top w:val="single" w:color="auto" w:sz="4" w:space="0"/>
              <w:left w:val="nil"/>
              <w:bottom w:val="single" w:color="auto" w:sz="4" w:space="0"/>
              <w:right w:val="single" w:color="auto" w:sz="4" w:space="0"/>
            </w:tcBorders>
            <w:vAlign w:val="center"/>
          </w:tcPr>
          <w:p w14:paraId="339F2738">
            <w:pPr>
              <w:spacing w:line="440" w:lineRule="atLeast"/>
              <w:jc w:val="center"/>
              <w:rPr>
                <w:rFonts w:ascii="宋体" w:hAnsi="宋体" w:cs="宋体"/>
                <w:color w:val="000000"/>
                <w:kern w:val="0"/>
                <w:sz w:val="24"/>
              </w:rPr>
            </w:pPr>
            <w:r>
              <w:rPr>
                <w:rFonts w:hint="eastAsia" w:ascii="宋体" w:hAnsi="宋体" w:cs="宋体"/>
                <w:color w:val="000000"/>
                <w:kern w:val="0"/>
                <w:sz w:val="24"/>
              </w:rPr>
              <w:t>　</w:t>
            </w:r>
          </w:p>
        </w:tc>
      </w:tr>
      <w:tr w14:paraId="001F198B">
        <w:tblPrEx>
          <w:tblCellMar>
            <w:top w:w="0" w:type="dxa"/>
            <w:left w:w="108" w:type="dxa"/>
            <w:bottom w:w="0" w:type="dxa"/>
            <w:right w:w="108" w:type="dxa"/>
          </w:tblCellMar>
        </w:tblPrEx>
        <w:trPr>
          <w:trHeight w:val="851" w:hRule="exact"/>
          <w:jc w:val="center"/>
        </w:trPr>
        <w:tc>
          <w:tcPr>
            <w:tcW w:w="1577" w:type="dxa"/>
            <w:tcBorders>
              <w:top w:val="nil"/>
              <w:left w:val="single" w:color="auto" w:sz="4" w:space="0"/>
              <w:bottom w:val="single" w:color="auto" w:sz="4" w:space="0"/>
              <w:right w:val="single" w:color="auto" w:sz="4" w:space="0"/>
            </w:tcBorders>
            <w:vAlign w:val="center"/>
          </w:tcPr>
          <w:p w14:paraId="355071C2">
            <w:pPr>
              <w:spacing w:line="440" w:lineRule="atLeast"/>
              <w:jc w:val="center"/>
              <w:rPr>
                <w:rFonts w:ascii="宋体" w:hAnsi="宋体" w:cs="宋体"/>
                <w:color w:val="000000"/>
                <w:kern w:val="0"/>
                <w:sz w:val="24"/>
              </w:rPr>
            </w:pPr>
            <w:r>
              <w:rPr>
                <w:rFonts w:hint="eastAsia" w:ascii="宋体" w:hAnsi="宋体" w:cs="宋体"/>
                <w:color w:val="000000"/>
                <w:kern w:val="0"/>
                <w:sz w:val="24"/>
              </w:rPr>
              <w:t>专业技术</w:t>
            </w:r>
          </w:p>
          <w:p w14:paraId="04779E74">
            <w:pPr>
              <w:spacing w:line="440" w:lineRule="atLeast"/>
              <w:jc w:val="center"/>
              <w:rPr>
                <w:rFonts w:ascii="宋体" w:hAnsi="宋体" w:cs="宋体"/>
                <w:color w:val="000000"/>
                <w:kern w:val="0"/>
                <w:sz w:val="24"/>
              </w:rPr>
            </w:pPr>
            <w:r>
              <w:rPr>
                <w:rFonts w:hint="eastAsia" w:ascii="宋体" w:hAnsi="宋体" w:cs="宋体"/>
                <w:color w:val="000000"/>
                <w:kern w:val="0"/>
                <w:sz w:val="24"/>
              </w:rPr>
              <w:t>职称</w:t>
            </w:r>
          </w:p>
        </w:tc>
        <w:tc>
          <w:tcPr>
            <w:tcW w:w="3695" w:type="dxa"/>
            <w:gridSpan w:val="3"/>
            <w:tcBorders>
              <w:top w:val="single" w:color="auto" w:sz="4" w:space="0"/>
              <w:left w:val="nil"/>
              <w:bottom w:val="single" w:color="auto" w:sz="4" w:space="0"/>
              <w:right w:val="single" w:color="auto" w:sz="4" w:space="0"/>
            </w:tcBorders>
            <w:vAlign w:val="center"/>
          </w:tcPr>
          <w:p w14:paraId="1DD50CA9">
            <w:pPr>
              <w:spacing w:line="440" w:lineRule="atLeast"/>
              <w:jc w:val="center"/>
              <w:rPr>
                <w:rFonts w:ascii="宋体" w:hAnsi="宋体" w:cs="宋体"/>
                <w:color w:val="000000"/>
                <w:kern w:val="0"/>
                <w:sz w:val="24"/>
              </w:rPr>
            </w:pPr>
            <w:r>
              <w:rPr>
                <w:rFonts w:hint="eastAsia" w:ascii="宋体" w:hAnsi="宋体" w:cs="宋体"/>
                <w:color w:val="000000"/>
                <w:kern w:val="0"/>
                <w:sz w:val="24"/>
              </w:rPr>
              <w:t>　</w:t>
            </w:r>
          </w:p>
        </w:tc>
        <w:tc>
          <w:tcPr>
            <w:tcW w:w="3922" w:type="dxa"/>
            <w:gridSpan w:val="2"/>
            <w:tcBorders>
              <w:top w:val="single" w:color="auto" w:sz="4" w:space="0"/>
              <w:left w:val="nil"/>
              <w:bottom w:val="single" w:color="auto" w:sz="4" w:space="0"/>
              <w:right w:val="single" w:color="auto" w:sz="4" w:space="0"/>
            </w:tcBorders>
            <w:vAlign w:val="center"/>
          </w:tcPr>
          <w:p w14:paraId="1CE1F672">
            <w:pPr>
              <w:spacing w:line="440" w:lineRule="atLeast"/>
              <w:jc w:val="center"/>
              <w:rPr>
                <w:rFonts w:ascii="宋体" w:hAnsi="宋体" w:cs="宋体"/>
                <w:color w:val="000000"/>
                <w:kern w:val="0"/>
                <w:sz w:val="24"/>
              </w:rPr>
            </w:pPr>
            <w:r>
              <w:rPr>
                <w:rFonts w:hint="eastAsia" w:ascii="宋体" w:hAnsi="宋体" w:cs="宋体"/>
                <w:color w:val="000000"/>
                <w:kern w:val="0"/>
                <w:sz w:val="24"/>
              </w:rPr>
              <w:t>　</w:t>
            </w:r>
          </w:p>
        </w:tc>
      </w:tr>
      <w:tr w14:paraId="774247AF">
        <w:tblPrEx>
          <w:tblCellMar>
            <w:top w:w="0" w:type="dxa"/>
            <w:left w:w="108" w:type="dxa"/>
            <w:bottom w:w="0" w:type="dxa"/>
            <w:right w:w="108" w:type="dxa"/>
          </w:tblCellMar>
        </w:tblPrEx>
        <w:trPr>
          <w:trHeight w:val="851" w:hRule="exact"/>
          <w:jc w:val="center"/>
        </w:trPr>
        <w:tc>
          <w:tcPr>
            <w:tcW w:w="1577" w:type="dxa"/>
            <w:tcBorders>
              <w:top w:val="nil"/>
              <w:left w:val="single" w:color="auto" w:sz="4" w:space="0"/>
              <w:bottom w:val="single" w:color="auto" w:sz="4" w:space="0"/>
              <w:right w:val="single" w:color="auto" w:sz="4" w:space="0"/>
            </w:tcBorders>
            <w:vAlign w:val="center"/>
          </w:tcPr>
          <w:p w14:paraId="2E5FAB4B">
            <w:pPr>
              <w:spacing w:line="440" w:lineRule="atLeast"/>
              <w:jc w:val="center"/>
              <w:rPr>
                <w:rFonts w:ascii="宋体" w:hAnsi="宋体" w:cs="宋体"/>
                <w:color w:val="000000"/>
                <w:kern w:val="0"/>
                <w:sz w:val="24"/>
              </w:rPr>
            </w:pPr>
            <w:r>
              <w:rPr>
                <w:rFonts w:hint="eastAsia" w:ascii="宋体" w:hAnsi="宋体" w:cs="宋体"/>
                <w:color w:val="000000"/>
                <w:kern w:val="0"/>
                <w:sz w:val="24"/>
              </w:rPr>
              <w:t>工作单位</w:t>
            </w:r>
          </w:p>
        </w:tc>
        <w:tc>
          <w:tcPr>
            <w:tcW w:w="3695" w:type="dxa"/>
            <w:gridSpan w:val="3"/>
            <w:tcBorders>
              <w:top w:val="single" w:color="auto" w:sz="4" w:space="0"/>
              <w:left w:val="nil"/>
              <w:bottom w:val="single" w:color="auto" w:sz="4" w:space="0"/>
              <w:right w:val="single" w:color="auto" w:sz="4" w:space="0"/>
            </w:tcBorders>
            <w:vAlign w:val="center"/>
          </w:tcPr>
          <w:p w14:paraId="49D0E569">
            <w:pPr>
              <w:spacing w:line="440" w:lineRule="atLeast"/>
              <w:jc w:val="center"/>
              <w:rPr>
                <w:rFonts w:ascii="宋体" w:hAnsi="宋体" w:cs="宋体"/>
                <w:color w:val="000000"/>
                <w:kern w:val="0"/>
                <w:sz w:val="24"/>
              </w:rPr>
            </w:pPr>
            <w:r>
              <w:rPr>
                <w:rFonts w:hint="eastAsia" w:ascii="宋体" w:hAnsi="宋体" w:cs="宋体"/>
                <w:color w:val="000000"/>
                <w:kern w:val="0"/>
                <w:sz w:val="24"/>
              </w:rPr>
              <w:t>　</w:t>
            </w:r>
          </w:p>
        </w:tc>
        <w:tc>
          <w:tcPr>
            <w:tcW w:w="3922" w:type="dxa"/>
            <w:gridSpan w:val="2"/>
            <w:tcBorders>
              <w:top w:val="single" w:color="auto" w:sz="4" w:space="0"/>
              <w:left w:val="nil"/>
              <w:bottom w:val="single" w:color="auto" w:sz="4" w:space="0"/>
              <w:right w:val="single" w:color="auto" w:sz="4" w:space="0"/>
            </w:tcBorders>
            <w:vAlign w:val="center"/>
          </w:tcPr>
          <w:p w14:paraId="25773BA5">
            <w:pPr>
              <w:spacing w:line="440" w:lineRule="atLeast"/>
              <w:jc w:val="center"/>
              <w:rPr>
                <w:rFonts w:ascii="宋体" w:hAnsi="宋体" w:cs="宋体"/>
                <w:color w:val="000000"/>
                <w:kern w:val="0"/>
                <w:sz w:val="24"/>
              </w:rPr>
            </w:pPr>
            <w:r>
              <w:rPr>
                <w:rFonts w:hint="eastAsia" w:ascii="宋体" w:hAnsi="宋体" w:cs="宋体"/>
                <w:color w:val="000000"/>
                <w:kern w:val="0"/>
                <w:sz w:val="24"/>
              </w:rPr>
              <w:t>　</w:t>
            </w:r>
          </w:p>
        </w:tc>
      </w:tr>
      <w:tr w14:paraId="067669C7">
        <w:tblPrEx>
          <w:tblCellMar>
            <w:top w:w="0" w:type="dxa"/>
            <w:left w:w="108" w:type="dxa"/>
            <w:bottom w:w="0" w:type="dxa"/>
            <w:right w:w="108" w:type="dxa"/>
          </w:tblCellMar>
        </w:tblPrEx>
        <w:trPr>
          <w:trHeight w:val="851" w:hRule="exact"/>
          <w:jc w:val="center"/>
        </w:trPr>
        <w:tc>
          <w:tcPr>
            <w:tcW w:w="1577" w:type="dxa"/>
            <w:tcBorders>
              <w:top w:val="nil"/>
              <w:left w:val="single" w:color="auto" w:sz="4" w:space="0"/>
              <w:bottom w:val="single" w:color="auto" w:sz="4" w:space="0"/>
              <w:right w:val="single" w:color="auto" w:sz="4" w:space="0"/>
            </w:tcBorders>
            <w:vAlign w:val="center"/>
          </w:tcPr>
          <w:p w14:paraId="7578D260">
            <w:pPr>
              <w:spacing w:line="440" w:lineRule="atLeast"/>
              <w:jc w:val="center"/>
              <w:rPr>
                <w:rFonts w:ascii="宋体" w:hAnsi="宋体" w:cs="宋体"/>
                <w:color w:val="000000"/>
                <w:kern w:val="0"/>
                <w:sz w:val="24"/>
              </w:rPr>
            </w:pPr>
            <w:r>
              <w:rPr>
                <w:rFonts w:hint="eastAsia" w:ascii="宋体" w:hAnsi="宋体" w:cs="宋体"/>
                <w:color w:val="000000"/>
                <w:kern w:val="0"/>
                <w:sz w:val="24"/>
              </w:rPr>
              <w:t>通讯地址及邮编</w:t>
            </w:r>
          </w:p>
        </w:tc>
        <w:tc>
          <w:tcPr>
            <w:tcW w:w="3695" w:type="dxa"/>
            <w:gridSpan w:val="3"/>
            <w:tcBorders>
              <w:top w:val="single" w:color="auto" w:sz="4" w:space="0"/>
              <w:left w:val="nil"/>
              <w:bottom w:val="single" w:color="auto" w:sz="4" w:space="0"/>
              <w:right w:val="single" w:color="auto" w:sz="4" w:space="0"/>
            </w:tcBorders>
            <w:vAlign w:val="center"/>
          </w:tcPr>
          <w:p w14:paraId="3DE36771">
            <w:pPr>
              <w:spacing w:line="440" w:lineRule="atLeast"/>
              <w:jc w:val="center"/>
              <w:rPr>
                <w:rFonts w:ascii="宋体" w:hAnsi="宋体" w:cs="宋体"/>
                <w:color w:val="000000"/>
                <w:kern w:val="0"/>
                <w:sz w:val="24"/>
              </w:rPr>
            </w:pPr>
            <w:r>
              <w:rPr>
                <w:rFonts w:hint="eastAsia" w:ascii="宋体" w:hAnsi="宋体" w:cs="宋体"/>
                <w:color w:val="000000"/>
                <w:kern w:val="0"/>
                <w:sz w:val="24"/>
              </w:rPr>
              <w:t>　</w:t>
            </w:r>
          </w:p>
        </w:tc>
        <w:tc>
          <w:tcPr>
            <w:tcW w:w="3922" w:type="dxa"/>
            <w:gridSpan w:val="2"/>
            <w:tcBorders>
              <w:top w:val="single" w:color="auto" w:sz="4" w:space="0"/>
              <w:left w:val="nil"/>
              <w:bottom w:val="single" w:color="auto" w:sz="4" w:space="0"/>
              <w:right w:val="single" w:color="auto" w:sz="4" w:space="0"/>
            </w:tcBorders>
            <w:vAlign w:val="center"/>
          </w:tcPr>
          <w:p w14:paraId="5E468FFC">
            <w:pPr>
              <w:spacing w:line="440" w:lineRule="atLeast"/>
              <w:jc w:val="center"/>
              <w:rPr>
                <w:rFonts w:ascii="宋体" w:hAnsi="宋体" w:cs="宋体"/>
                <w:color w:val="000000"/>
                <w:kern w:val="0"/>
                <w:sz w:val="24"/>
              </w:rPr>
            </w:pPr>
            <w:r>
              <w:rPr>
                <w:rFonts w:hint="eastAsia" w:ascii="宋体" w:hAnsi="宋体" w:cs="宋体"/>
                <w:color w:val="000000"/>
                <w:kern w:val="0"/>
                <w:sz w:val="24"/>
              </w:rPr>
              <w:t>　</w:t>
            </w:r>
          </w:p>
        </w:tc>
      </w:tr>
      <w:tr w14:paraId="0988E77F">
        <w:tblPrEx>
          <w:tblCellMar>
            <w:top w:w="0" w:type="dxa"/>
            <w:left w:w="108" w:type="dxa"/>
            <w:bottom w:w="0" w:type="dxa"/>
            <w:right w:w="108" w:type="dxa"/>
          </w:tblCellMar>
        </w:tblPrEx>
        <w:trPr>
          <w:trHeight w:val="851" w:hRule="exact"/>
          <w:jc w:val="center"/>
        </w:trPr>
        <w:tc>
          <w:tcPr>
            <w:tcW w:w="1577" w:type="dxa"/>
            <w:tcBorders>
              <w:top w:val="nil"/>
              <w:left w:val="single" w:color="auto" w:sz="4" w:space="0"/>
              <w:bottom w:val="single" w:color="auto" w:sz="4" w:space="0"/>
              <w:right w:val="single" w:color="auto" w:sz="4" w:space="0"/>
            </w:tcBorders>
            <w:vAlign w:val="center"/>
          </w:tcPr>
          <w:p w14:paraId="5250C975">
            <w:pPr>
              <w:spacing w:line="440" w:lineRule="atLeast"/>
              <w:jc w:val="center"/>
              <w:rPr>
                <w:rFonts w:ascii="宋体" w:hAnsi="宋体" w:cs="宋体"/>
                <w:color w:val="000000"/>
                <w:kern w:val="0"/>
                <w:sz w:val="24"/>
              </w:rPr>
            </w:pPr>
            <w:r>
              <w:rPr>
                <w:rFonts w:hint="eastAsia" w:ascii="宋体" w:hAnsi="宋体" w:cs="宋体"/>
                <w:color w:val="000000"/>
                <w:kern w:val="0"/>
                <w:sz w:val="24"/>
              </w:rPr>
              <w:t>联系电话</w:t>
            </w:r>
          </w:p>
        </w:tc>
        <w:tc>
          <w:tcPr>
            <w:tcW w:w="3695" w:type="dxa"/>
            <w:gridSpan w:val="3"/>
            <w:tcBorders>
              <w:top w:val="single" w:color="auto" w:sz="4" w:space="0"/>
              <w:left w:val="nil"/>
              <w:bottom w:val="single" w:color="auto" w:sz="4" w:space="0"/>
              <w:right w:val="single" w:color="auto" w:sz="4" w:space="0"/>
            </w:tcBorders>
            <w:vAlign w:val="center"/>
          </w:tcPr>
          <w:p w14:paraId="2362E6DE">
            <w:pPr>
              <w:spacing w:line="440" w:lineRule="atLeast"/>
              <w:jc w:val="center"/>
              <w:rPr>
                <w:rFonts w:ascii="宋体" w:hAnsi="宋体" w:cs="宋体"/>
                <w:color w:val="000000"/>
                <w:kern w:val="0"/>
                <w:sz w:val="24"/>
              </w:rPr>
            </w:pPr>
            <w:r>
              <w:rPr>
                <w:rFonts w:hint="eastAsia" w:ascii="宋体" w:hAnsi="宋体" w:cs="宋体"/>
                <w:color w:val="000000"/>
                <w:kern w:val="0"/>
                <w:sz w:val="24"/>
              </w:rPr>
              <w:t>　</w:t>
            </w:r>
          </w:p>
        </w:tc>
        <w:tc>
          <w:tcPr>
            <w:tcW w:w="3922" w:type="dxa"/>
            <w:gridSpan w:val="2"/>
            <w:tcBorders>
              <w:top w:val="single" w:color="auto" w:sz="4" w:space="0"/>
              <w:left w:val="nil"/>
              <w:bottom w:val="single" w:color="auto" w:sz="4" w:space="0"/>
              <w:right w:val="single" w:color="auto" w:sz="4" w:space="0"/>
            </w:tcBorders>
            <w:vAlign w:val="center"/>
          </w:tcPr>
          <w:p w14:paraId="2F4D92DE">
            <w:pPr>
              <w:spacing w:line="440" w:lineRule="atLeast"/>
              <w:jc w:val="center"/>
              <w:rPr>
                <w:rFonts w:ascii="宋体" w:hAnsi="宋体" w:cs="宋体"/>
                <w:color w:val="000000"/>
                <w:kern w:val="0"/>
                <w:sz w:val="24"/>
              </w:rPr>
            </w:pPr>
            <w:r>
              <w:rPr>
                <w:rFonts w:hint="eastAsia" w:ascii="宋体" w:hAnsi="宋体" w:cs="宋体"/>
                <w:color w:val="000000"/>
                <w:kern w:val="0"/>
                <w:sz w:val="24"/>
              </w:rPr>
              <w:t>　</w:t>
            </w:r>
          </w:p>
        </w:tc>
      </w:tr>
      <w:tr w14:paraId="5E764371">
        <w:tblPrEx>
          <w:tblCellMar>
            <w:top w:w="0" w:type="dxa"/>
            <w:left w:w="108" w:type="dxa"/>
            <w:bottom w:w="0" w:type="dxa"/>
            <w:right w:w="108" w:type="dxa"/>
          </w:tblCellMar>
        </w:tblPrEx>
        <w:trPr>
          <w:trHeight w:val="510" w:hRule="atLeast"/>
          <w:jc w:val="center"/>
        </w:trPr>
        <w:tc>
          <w:tcPr>
            <w:tcW w:w="1577" w:type="dxa"/>
            <w:vMerge w:val="restart"/>
            <w:tcBorders>
              <w:top w:val="nil"/>
              <w:left w:val="single" w:color="auto" w:sz="4" w:space="0"/>
              <w:bottom w:val="single" w:color="auto" w:sz="4" w:space="0"/>
              <w:right w:val="single" w:color="auto" w:sz="4" w:space="0"/>
            </w:tcBorders>
            <w:vAlign w:val="center"/>
          </w:tcPr>
          <w:p w14:paraId="1897CC94">
            <w:pPr>
              <w:spacing w:line="440" w:lineRule="atLeast"/>
              <w:jc w:val="center"/>
              <w:rPr>
                <w:rFonts w:ascii="宋体" w:hAnsi="宋体" w:cs="宋体"/>
                <w:color w:val="000000"/>
                <w:kern w:val="0"/>
                <w:sz w:val="24"/>
              </w:rPr>
            </w:pPr>
            <w:r>
              <w:rPr>
                <w:rFonts w:hint="eastAsia" w:ascii="宋体" w:hAnsi="宋体" w:cs="宋体"/>
                <w:color w:val="000000"/>
                <w:kern w:val="0"/>
                <w:sz w:val="24"/>
              </w:rPr>
              <w:t>其他变更</w:t>
            </w:r>
          </w:p>
          <w:p w14:paraId="5A472013">
            <w:pPr>
              <w:spacing w:line="440" w:lineRule="atLeast"/>
              <w:jc w:val="center"/>
              <w:rPr>
                <w:rFonts w:ascii="宋体" w:hAnsi="宋体" w:cs="宋体"/>
                <w:color w:val="000000"/>
                <w:kern w:val="0"/>
                <w:sz w:val="24"/>
              </w:rPr>
            </w:pPr>
            <w:r>
              <w:rPr>
                <w:rFonts w:hint="eastAsia" w:ascii="宋体" w:hAnsi="宋体" w:cs="宋体"/>
                <w:color w:val="000000"/>
                <w:kern w:val="0"/>
                <w:sz w:val="24"/>
              </w:rPr>
              <w:t>事项</w:t>
            </w:r>
          </w:p>
        </w:tc>
        <w:tc>
          <w:tcPr>
            <w:tcW w:w="3695" w:type="dxa"/>
            <w:gridSpan w:val="3"/>
            <w:vMerge w:val="restart"/>
            <w:tcBorders>
              <w:top w:val="single" w:color="auto" w:sz="4" w:space="0"/>
              <w:left w:val="single" w:color="auto" w:sz="4" w:space="0"/>
              <w:bottom w:val="single" w:color="auto" w:sz="4" w:space="0"/>
              <w:right w:val="single" w:color="auto" w:sz="4" w:space="0"/>
            </w:tcBorders>
            <w:vAlign w:val="center"/>
          </w:tcPr>
          <w:p w14:paraId="3F7940C5">
            <w:pPr>
              <w:spacing w:line="440" w:lineRule="atLeast"/>
              <w:jc w:val="center"/>
              <w:rPr>
                <w:rFonts w:ascii="宋体" w:hAnsi="宋体" w:cs="宋体"/>
                <w:color w:val="000000"/>
                <w:kern w:val="0"/>
                <w:sz w:val="24"/>
              </w:rPr>
            </w:pPr>
            <w:r>
              <w:rPr>
                <w:rFonts w:hint="eastAsia" w:ascii="宋体" w:hAnsi="宋体" w:cs="宋体"/>
                <w:color w:val="000000"/>
                <w:kern w:val="0"/>
                <w:sz w:val="24"/>
              </w:rPr>
              <w:t>　</w:t>
            </w:r>
          </w:p>
        </w:tc>
        <w:tc>
          <w:tcPr>
            <w:tcW w:w="3922" w:type="dxa"/>
            <w:gridSpan w:val="2"/>
            <w:vMerge w:val="restart"/>
            <w:tcBorders>
              <w:top w:val="single" w:color="auto" w:sz="4" w:space="0"/>
              <w:left w:val="single" w:color="auto" w:sz="4" w:space="0"/>
              <w:bottom w:val="single" w:color="auto" w:sz="4" w:space="0"/>
              <w:right w:val="single" w:color="auto" w:sz="4" w:space="0"/>
            </w:tcBorders>
            <w:vAlign w:val="center"/>
          </w:tcPr>
          <w:p w14:paraId="17A69AEC">
            <w:pPr>
              <w:spacing w:line="440" w:lineRule="atLeast"/>
              <w:jc w:val="center"/>
              <w:rPr>
                <w:rFonts w:ascii="宋体" w:hAnsi="宋体" w:cs="宋体"/>
                <w:color w:val="000000"/>
                <w:kern w:val="0"/>
                <w:sz w:val="24"/>
              </w:rPr>
            </w:pPr>
          </w:p>
        </w:tc>
      </w:tr>
      <w:tr w14:paraId="415ACC9F">
        <w:tblPrEx>
          <w:tblCellMar>
            <w:top w:w="0" w:type="dxa"/>
            <w:left w:w="108" w:type="dxa"/>
            <w:bottom w:w="0" w:type="dxa"/>
            <w:right w:w="108" w:type="dxa"/>
          </w:tblCellMar>
        </w:tblPrEx>
        <w:trPr>
          <w:trHeight w:val="440" w:hRule="atLeast"/>
          <w:jc w:val="center"/>
        </w:trPr>
        <w:tc>
          <w:tcPr>
            <w:tcW w:w="1577" w:type="dxa"/>
            <w:vMerge w:val="continue"/>
            <w:tcBorders>
              <w:top w:val="nil"/>
              <w:left w:val="single" w:color="auto" w:sz="4" w:space="0"/>
              <w:bottom w:val="single" w:color="auto" w:sz="4" w:space="0"/>
              <w:right w:val="single" w:color="auto" w:sz="4" w:space="0"/>
            </w:tcBorders>
            <w:vAlign w:val="center"/>
          </w:tcPr>
          <w:p w14:paraId="0CD9E885">
            <w:pPr>
              <w:spacing w:line="440" w:lineRule="atLeast"/>
              <w:jc w:val="left"/>
              <w:rPr>
                <w:rFonts w:ascii="宋体" w:hAnsi="宋体" w:cs="宋体"/>
                <w:color w:val="000000"/>
                <w:kern w:val="0"/>
                <w:sz w:val="24"/>
              </w:rPr>
            </w:pPr>
          </w:p>
        </w:tc>
        <w:tc>
          <w:tcPr>
            <w:tcW w:w="3695" w:type="dxa"/>
            <w:gridSpan w:val="3"/>
            <w:vMerge w:val="continue"/>
            <w:tcBorders>
              <w:top w:val="single" w:color="auto" w:sz="4" w:space="0"/>
              <w:left w:val="single" w:color="auto" w:sz="4" w:space="0"/>
              <w:bottom w:val="single" w:color="auto" w:sz="4" w:space="0"/>
              <w:right w:val="single" w:color="auto" w:sz="4" w:space="0"/>
            </w:tcBorders>
            <w:vAlign w:val="center"/>
          </w:tcPr>
          <w:p w14:paraId="64CE397E">
            <w:pPr>
              <w:spacing w:line="440" w:lineRule="atLeast"/>
              <w:jc w:val="left"/>
              <w:rPr>
                <w:rFonts w:ascii="宋体" w:hAnsi="宋体" w:cs="宋体"/>
                <w:color w:val="000000"/>
                <w:kern w:val="0"/>
                <w:sz w:val="24"/>
              </w:rPr>
            </w:pPr>
          </w:p>
        </w:tc>
        <w:tc>
          <w:tcPr>
            <w:tcW w:w="3922" w:type="dxa"/>
            <w:gridSpan w:val="2"/>
            <w:vMerge w:val="continue"/>
            <w:tcBorders>
              <w:top w:val="single" w:color="auto" w:sz="4" w:space="0"/>
              <w:left w:val="single" w:color="auto" w:sz="4" w:space="0"/>
              <w:bottom w:val="single" w:color="auto" w:sz="4" w:space="0"/>
              <w:right w:val="single" w:color="auto" w:sz="4" w:space="0"/>
            </w:tcBorders>
            <w:vAlign w:val="center"/>
          </w:tcPr>
          <w:p w14:paraId="73539539">
            <w:pPr>
              <w:spacing w:line="440" w:lineRule="atLeast"/>
              <w:jc w:val="left"/>
              <w:rPr>
                <w:rFonts w:ascii="宋体" w:hAnsi="宋体" w:cs="宋体"/>
                <w:color w:val="000000"/>
                <w:kern w:val="0"/>
                <w:sz w:val="24"/>
              </w:rPr>
            </w:pPr>
          </w:p>
        </w:tc>
      </w:tr>
      <w:tr w14:paraId="06C7AC86">
        <w:tblPrEx>
          <w:tblCellMar>
            <w:top w:w="0" w:type="dxa"/>
            <w:left w:w="108" w:type="dxa"/>
            <w:bottom w:w="0" w:type="dxa"/>
            <w:right w:w="108" w:type="dxa"/>
          </w:tblCellMar>
        </w:tblPrEx>
        <w:trPr>
          <w:trHeight w:val="1634" w:hRule="atLeast"/>
          <w:jc w:val="center"/>
        </w:trPr>
        <w:tc>
          <w:tcPr>
            <w:tcW w:w="9194" w:type="dxa"/>
            <w:gridSpan w:val="6"/>
            <w:tcBorders>
              <w:top w:val="single" w:color="auto" w:sz="4" w:space="0"/>
              <w:left w:val="single" w:color="auto" w:sz="4" w:space="0"/>
              <w:bottom w:val="single" w:color="auto" w:sz="4" w:space="0"/>
              <w:right w:val="single" w:color="auto" w:sz="4" w:space="0"/>
            </w:tcBorders>
            <w:vAlign w:val="center"/>
          </w:tcPr>
          <w:p w14:paraId="657C3260">
            <w:pPr>
              <w:spacing w:line="440" w:lineRule="atLeast"/>
              <w:rPr>
                <w:rFonts w:ascii="宋体" w:hAnsi="宋体"/>
                <w:sz w:val="24"/>
              </w:rPr>
            </w:pPr>
            <w:r>
              <w:rPr>
                <w:rFonts w:hint="eastAsia" w:ascii="宋体" w:hAnsi="宋体"/>
                <w:sz w:val="24"/>
              </w:rPr>
              <w:t>本人对以上内容的真实性承担责任。</w:t>
            </w:r>
          </w:p>
          <w:p w14:paraId="32B2E147">
            <w:pPr>
              <w:spacing w:line="440" w:lineRule="atLeast"/>
              <w:rPr>
                <w:rFonts w:ascii="宋体" w:hAnsi="宋体"/>
                <w:sz w:val="24"/>
              </w:rPr>
            </w:pPr>
          </w:p>
          <w:p w14:paraId="02C82B57">
            <w:pPr>
              <w:spacing w:line="440" w:lineRule="atLeast"/>
              <w:ind w:right="120"/>
              <w:jc w:val="right"/>
              <w:rPr>
                <w:rFonts w:ascii="宋体" w:hAnsi="宋体"/>
                <w:sz w:val="24"/>
              </w:rPr>
            </w:pPr>
            <w:r>
              <w:rPr>
                <w:rFonts w:hint="eastAsia" w:ascii="宋体" w:hAnsi="宋体"/>
                <w:sz w:val="24"/>
              </w:rPr>
              <w:t>　　　　申请人签名：　　　　　　年　　　　月　　　　日</w:t>
            </w:r>
          </w:p>
        </w:tc>
      </w:tr>
    </w:tbl>
    <w:p w14:paraId="391A042B">
      <w:pPr>
        <w:spacing w:line="440" w:lineRule="atLeast"/>
        <w:jc w:val="left"/>
        <w:rPr>
          <w:rFonts w:ascii="宋体" w:hAnsi="宋体" w:cs="宋体"/>
          <w:color w:val="000000"/>
          <w:kern w:val="0"/>
          <w:sz w:val="24"/>
        </w:rPr>
      </w:pPr>
      <w:r>
        <w:rPr>
          <w:rFonts w:hint="eastAsia" w:ascii="宋体" w:hAnsi="宋体" w:cs="宋体"/>
          <w:color w:val="000000"/>
          <w:kern w:val="0"/>
          <w:sz w:val="24"/>
        </w:rPr>
        <w:t>注：1.本表只需填写变更事项栏目，未变更的不填写；</w:t>
      </w:r>
    </w:p>
    <w:p w14:paraId="10442C17">
      <w:pPr>
        <w:spacing w:line="440" w:lineRule="atLeast"/>
        <w:jc w:val="left"/>
        <w:rPr>
          <w:rFonts w:ascii="宋体" w:hAnsi="宋体" w:cs="宋体"/>
          <w:color w:val="000000"/>
          <w:kern w:val="0"/>
          <w:sz w:val="24"/>
        </w:rPr>
      </w:pPr>
      <w:r>
        <w:rPr>
          <w:rFonts w:hint="eastAsia" w:ascii="宋体" w:hAnsi="宋体" w:cs="宋体"/>
          <w:color w:val="000000"/>
          <w:kern w:val="0"/>
          <w:sz w:val="24"/>
        </w:rPr>
        <w:t>　　2.凡姓名、身份证号码变更的，需提交申请人户籍所在地公安部门出具的书面证明。</w:t>
      </w:r>
    </w:p>
    <w:p w14:paraId="1C6C4E1E">
      <w:pPr>
        <w:spacing w:line="440" w:lineRule="atLeast"/>
        <w:jc w:val="left"/>
        <w:rPr>
          <w:rFonts w:ascii="宋体" w:hAnsi="宋体" w:cs="宋体"/>
          <w:color w:val="000000"/>
          <w:kern w:val="0"/>
          <w:sz w:val="22"/>
        </w:rPr>
      </w:pPr>
    </w:p>
    <w:p w14:paraId="4371AA6E">
      <w:pPr>
        <w:spacing w:line="440" w:lineRule="atLeast"/>
        <w:rPr>
          <w:rFonts w:ascii="仿宋" w:hAnsi="仿宋" w:eastAsia="仿宋"/>
          <w:sz w:val="24"/>
        </w:rPr>
        <w:sectPr>
          <w:footerReference r:id="rId22" w:type="default"/>
          <w:footerReference r:id="rId23" w:type="even"/>
          <w:pgSz w:w="11906" w:h="16838"/>
          <w:pgMar w:top="1440" w:right="1531" w:bottom="1440" w:left="1531" w:header="851" w:footer="992" w:gutter="0"/>
          <w:cols w:space="720" w:num="1"/>
          <w:docGrid w:type="lines" w:linePitch="312" w:charSpace="0"/>
        </w:sectPr>
      </w:pPr>
    </w:p>
    <w:p w14:paraId="633227D7">
      <w:pPr>
        <w:spacing w:line="440" w:lineRule="atLeast"/>
        <w:rPr>
          <w:rFonts w:ascii="宋体" w:hAnsi="宋体" w:eastAsia="宋体" w:cs="宋体"/>
          <w:bCs/>
          <w:sz w:val="24"/>
        </w:rPr>
      </w:pPr>
      <w:r>
        <w:rPr>
          <w:rFonts w:hint="eastAsia" w:ascii="宋体" w:hAnsi="宋体" w:eastAsia="宋体" w:cs="宋体"/>
          <w:bCs/>
          <w:sz w:val="24"/>
        </w:rPr>
        <w:t>附表4：</w:t>
      </w:r>
    </w:p>
    <w:p w14:paraId="6B741789">
      <w:pPr>
        <w:spacing w:line="440" w:lineRule="atLeast"/>
        <w:jc w:val="center"/>
        <w:rPr>
          <w:rFonts w:ascii="宋体" w:hAnsi="宋体" w:cs="宋体"/>
          <w:color w:val="000000"/>
          <w:kern w:val="0"/>
          <w:sz w:val="36"/>
          <w:szCs w:val="36"/>
        </w:rPr>
      </w:pPr>
      <w:r>
        <w:rPr>
          <w:rFonts w:hint="eastAsia" w:ascii="宋体" w:hAnsi="宋体" w:cs="宋体"/>
          <w:b/>
          <w:bCs/>
          <w:kern w:val="0"/>
          <w:sz w:val="36"/>
          <w:szCs w:val="36"/>
        </w:rPr>
        <w:t>中国资产评估协会非执业会员转会申请表</w:t>
      </w:r>
    </w:p>
    <w:tbl>
      <w:tblPr>
        <w:tblStyle w:val="24"/>
        <w:tblW w:w="9328" w:type="dxa"/>
        <w:jc w:val="center"/>
        <w:tblLayout w:type="autofit"/>
        <w:tblCellMar>
          <w:top w:w="0" w:type="dxa"/>
          <w:left w:w="108" w:type="dxa"/>
          <w:bottom w:w="0" w:type="dxa"/>
          <w:right w:w="108" w:type="dxa"/>
        </w:tblCellMar>
      </w:tblPr>
      <w:tblGrid>
        <w:gridCol w:w="1787"/>
        <w:gridCol w:w="2947"/>
        <w:gridCol w:w="1701"/>
        <w:gridCol w:w="2893"/>
      </w:tblGrid>
      <w:tr w14:paraId="1164389E">
        <w:tblPrEx>
          <w:tblCellMar>
            <w:top w:w="0" w:type="dxa"/>
            <w:left w:w="108" w:type="dxa"/>
            <w:bottom w:w="0" w:type="dxa"/>
            <w:right w:w="108" w:type="dxa"/>
          </w:tblCellMar>
        </w:tblPrEx>
        <w:trPr>
          <w:trHeight w:val="567" w:hRule="atLeast"/>
          <w:jc w:val="center"/>
        </w:trPr>
        <w:tc>
          <w:tcPr>
            <w:tcW w:w="1787" w:type="dxa"/>
            <w:tcBorders>
              <w:top w:val="single" w:color="auto" w:sz="4" w:space="0"/>
              <w:left w:val="single" w:color="auto" w:sz="4" w:space="0"/>
              <w:bottom w:val="single" w:color="auto" w:sz="4" w:space="0"/>
              <w:right w:val="single" w:color="auto" w:sz="4" w:space="0"/>
            </w:tcBorders>
            <w:vAlign w:val="center"/>
          </w:tcPr>
          <w:p w14:paraId="79BF29A5">
            <w:pPr>
              <w:spacing w:line="440" w:lineRule="atLeast"/>
              <w:jc w:val="center"/>
              <w:rPr>
                <w:rFonts w:ascii="宋体" w:hAnsi="宋体" w:cs="宋体"/>
                <w:kern w:val="0"/>
                <w:sz w:val="24"/>
              </w:rPr>
            </w:pPr>
            <w:r>
              <w:rPr>
                <w:rFonts w:hint="eastAsia" w:ascii="宋体" w:hAnsi="宋体" w:cs="宋体"/>
                <w:kern w:val="0"/>
                <w:sz w:val="24"/>
              </w:rPr>
              <w:t>姓　　　　名</w:t>
            </w:r>
          </w:p>
        </w:tc>
        <w:tc>
          <w:tcPr>
            <w:tcW w:w="2947" w:type="dxa"/>
            <w:tcBorders>
              <w:top w:val="single" w:color="auto" w:sz="4" w:space="0"/>
              <w:left w:val="nil"/>
              <w:bottom w:val="single" w:color="auto" w:sz="4" w:space="0"/>
              <w:right w:val="single" w:color="auto" w:sz="4" w:space="0"/>
            </w:tcBorders>
            <w:vAlign w:val="center"/>
          </w:tcPr>
          <w:p w14:paraId="10A16037">
            <w:pPr>
              <w:spacing w:line="440" w:lineRule="atLeast"/>
              <w:jc w:val="center"/>
              <w:rPr>
                <w:rFonts w:ascii="宋体" w:hAnsi="宋体" w:cs="宋体"/>
                <w:kern w:val="0"/>
                <w:sz w:val="24"/>
              </w:rPr>
            </w:pPr>
            <w:r>
              <w:rPr>
                <w:rFonts w:hint="eastAsia" w:ascii="宋体" w:hAnsi="宋体" w:cs="宋体"/>
                <w:kern w:val="0"/>
                <w:sz w:val="24"/>
              </w:rPr>
              <w:t>　</w:t>
            </w:r>
          </w:p>
        </w:tc>
        <w:tc>
          <w:tcPr>
            <w:tcW w:w="1701" w:type="dxa"/>
            <w:tcBorders>
              <w:top w:val="single" w:color="auto" w:sz="4" w:space="0"/>
              <w:left w:val="nil"/>
              <w:bottom w:val="single" w:color="auto" w:sz="4" w:space="0"/>
              <w:right w:val="single" w:color="auto" w:sz="4" w:space="0"/>
            </w:tcBorders>
            <w:vAlign w:val="center"/>
          </w:tcPr>
          <w:p w14:paraId="71BA7208">
            <w:pPr>
              <w:spacing w:line="440" w:lineRule="atLeast"/>
              <w:jc w:val="center"/>
              <w:rPr>
                <w:rFonts w:ascii="宋体" w:hAnsi="宋体" w:cs="宋体"/>
                <w:kern w:val="0"/>
                <w:sz w:val="24"/>
              </w:rPr>
            </w:pPr>
            <w:r>
              <w:rPr>
                <w:rFonts w:hint="eastAsia" w:ascii="宋体" w:hAnsi="宋体" w:cs="宋体"/>
                <w:kern w:val="0"/>
                <w:sz w:val="24"/>
              </w:rPr>
              <w:t>性　　　　别</w:t>
            </w:r>
          </w:p>
        </w:tc>
        <w:tc>
          <w:tcPr>
            <w:tcW w:w="2893" w:type="dxa"/>
            <w:tcBorders>
              <w:top w:val="single" w:color="auto" w:sz="4" w:space="0"/>
              <w:left w:val="nil"/>
              <w:bottom w:val="single" w:color="auto" w:sz="4" w:space="0"/>
              <w:right w:val="single" w:color="auto" w:sz="4" w:space="0"/>
            </w:tcBorders>
            <w:vAlign w:val="center"/>
          </w:tcPr>
          <w:p w14:paraId="7CF81CF4">
            <w:pPr>
              <w:spacing w:line="440" w:lineRule="atLeast"/>
              <w:jc w:val="center"/>
              <w:rPr>
                <w:rFonts w:ascii="宋体" w:hAnsi="宋体" w:cs="宋体"/>
                <w:kern w:val="0"/>
                <w:sz w:val="24"/>
              </w:rPr>
            </w:pPr>
            <w:r>
              <w:rPr>
                <w:rFonts w:hint="eastAsia" w:ascii="宋体" w:hAnsi="宋体" w:cs="宋体"/>
                <w:kern w:val="0"/>
                <w:sz w:val="24"/>
              </w:rPr>
              <w:t>　</w:t>
            </w:r>
          </w:p>
        </w:tc>
      </w:tr>
      <w:tr w14:paraId="0F8D4831">
        <w:tblPrEx>
          <w:tblCellMar>
            <w:top w:w="0" w:type="dxa"/>
            <w:left w:w="108" w:type="dxa"/>
            <w:bottom w:w="0" w:type="dxa"/>
            <w:right w:w="108" w:type="dxa"/>
          </w:tblCellMar>
        </w:tblPrEx>
        <w:trPr>
          <w:trHeight w:val="567" w:hRule="atLeast"/>
          <w:jc w:val="center"/>
        </w:trPr>
        <w:tc>
          <w:tcPr>
            <w:tcW w:w="1787" w:type="dxa"/>
            <w:tcBorders>
              <w:top w:val="nil"/>
              <w:left w:val="single" w:color="auto" w:sz="4" w:space="0"/>
              <w:bottom w:val="single" w:color="auto" w:sz="4" w:space="0"/>
              <w:right w:val="single" w:color="auto" w:sz="4" w:space="0"/>
            </w:tcBorders>
            <w:vAlign w:val="center"/>
          </w:tcPr>
          <w:p w14:paraId="4A05EBCA">
            <w:pPr>
              <w:spacing w:line="440" w:lineRule="atLeast"/>
              <w:jc w:val="center"/>
              <w:rPr>
                <w:rFonts w:ascii="宋体" w:hAnsi="宋体" w:cs="宋体"/>
                <w:kern w:val="0"/>
                <w:sz w:val="24"/>
              </w:rPr>
            </w:pPr>
            <w:r>
              <w:rPr>
                <w:rFonts w:hint="eastAsia" w:ascii="宋体" w:hAnsi="宋体" w:cs="宋体"/>
                <w:kern w:val="0"/>
                <w:sz w:val="24"/>
              </w:rPr>
              <w:t>身份证号码</w:t>
            </w:r>
          </w:p>
        </w:tc>
        <w:tc>
          <w:tcPr>
            <w:tcW w:w="2947" w:type="dxa"/>
            <w:tcBorders>
              <w:top w:val="single" w:color="auto" w:sz="4" w:space="0"/>
              <w:left w:val="nil"/>
              <w:bottom w:val="single" w:color="auto" w:sz="4" w:space="0"/>
              <w:right w:val="single" w:color="auto" w:sz="4" w:space="0"/>
            </w:tcBorders>
            <w:vAlign w:val="center"/>
          </w:tcPr>
          <w:p w14:paraId="25C7FE0B">
            <w:pPr>
              <w:spacing w:line="440" w:lineRule="atLeast"/>
              <w:jc w:val="center"/>
              <w:rPr>
                <w:rFonts w:ascii="宋体" w:hAnsi="宋体" w:cs="宋体"/>
                <w:kern w:val="0"/>
                <w:sz w:val="24"/>
              </w:rPr>
            </w:pPr>
          </w:p>
        </w:tc>
        <w:tc>
          <w:tcPr>
            <w:tcW w:w="1701" w:type="dxa"/>
            <w:tcBorders>
              <w:top w:val="nil"/>
              <w:left w:val="nil"/>
              <w:bottom w:val="single" w:color="auto" w:sz="4" w:space="0"/>
              <w:right w:val="single" w:color="auto" w:sz="4" w:space="0"/>
            </w:tcBorders>
            <w:vAlign w:val="center"/>
          </w:tcPr>
          <w:p w14:paraId="15737CC7">
            <w:pPr>
              <w:spacing w:line="440" w:lineRule="atLeast"/>
              <w:jc w:val="center"/>
              <w:rPr>
                <w:rFonts w:ascii="宋体" w:hAnsi="宋体" w:cs="宋体"/>
                <w:kern w:val="0"/>
                <w:sz w:val="24"/>
              </w:rPr>
            </w:pPr>
            <w:r>
              <w:rPr>
                <w:rFonts w:hint="eastAsia" w:ascii="宋体" w:hAnsi="宋体" w:cs="宋体"/>
                <w:kern w:val="0"/>
                <w:sz w:val="24"/>
              </w:rPr>
              <w:t>非执业会员</w:t>
            </w:r>
          </w:p>
          <w:p w14:paraId="503A525D">
            <w:pPr>
              <w:spacing w:line="440" w:lineRule="atLeast"/>
              <w:jc w:val="center"/>
              <w:rPr>
                <w:rFonts w:ascii="宋体" w:hAnsi="宋体" w:cs="宋体"/>
                <w:kern w:val="0"/>
                <w:sz w:val="24"/>
              </w:rPr>
            </w:pPr>
            <w:r>
              <w:rPr>
                <w:rFonts w:hint="eastAsia" w:ascii="宋体" w:hAnsi="宋体" w:cs="宋体"/>
                <w:kern w:val="0"/>
                <w:sz w:val="24"/>
              </w:rPr>
              <w:t>证书编号</w:t>
            </w:r>
          </w:p>
        </w:tc>
        <w:tc>
          <w:tcPr>
            <w:tcW w:w="2893" w:type="dxa"/>
            <w:tcBorders>
              <w:top w:val="single" w:color="auto" w:sz="4" w:space="0"/>
              <w:left w:val="nil"/>
              <w:bottom w:val="single" w:color="auto" w:sz="4" w:space="0"/>
              <w:right w:val="single" w:color="auto" w:sz="4" w:space="0"/>
            </w:tcBorders>
            <w:vAlign w:val="center"/>
          </w:tcPr>
          <w:p w14:paraId="2EBE472D">
            <w:pPr>
              <w:spacing w:line="440" w:lineRule="atLeast"/>
              <w:jc w:val="center"/>
              <w:rPr>
                <w:rFonts w:ascii="宋体" w:hAnsi="宋体" w:cs="宋体"/>
                <w:kern w:val="0"/>
                <w:sz w:val="24"/>
              </w:rPr>
            </w:pPr>
          </w:p>
        </w:tc>
      </w:tr>
      <w:tr w14:paraId="3D122A90">
        <w:tblPrEx>
          <w:tblCellMar>
            <w:top w:w="0" w:type="dxa"/>
            <w:left w:w="108" w:type="dxa"/>
            <w:bottom w:w="0" w:type="dxa"/>
            <w:right w:w="108" w:type="dxa"/>
          </w:tblCellMar>
        </w:tblPrEx>
        <w:trPr>
          <w:trHeight w:val="567" w:hRule="atLeast"/>
          <w:jc w:val="center"/>
        </w:trPr>
        <w:tc>
          <w:tcPr>
            <w:tcW w:w="1787" w:type="dxa"/>
            <w:tcBorders>
              <w:top w:val="nil"/>
              <w:left w:val="single" w:color="auto" w:sz="4" w:space="0"/>
              <w:bottom w:val="single" w:color="auto" w:sz="4" w:space="0"/>
              <w:right w:val="single" w:color="auto" w:sz="4" w:space="0"/>
            </w:tcBorders>
            <w:vAlign w:val="center"/>
          </w:tcPr>
          <w:p w14:paraId="772BAE18">
            <w:pPr>
              <w:spacing w:line="440" w:lineRule="atLeast"/>
              <w:jc w:val="center"/>
              <w:rPr>
                <w:rFonts w:ascii="宋体" w:hAnsi="宋体" w:cs="宋体"/>
                <w:kern w:val="0"/>
                <w:sz w:val="24"/>
              </w:rPr>
            </w:pPr>
            <w:r>
              <w:rPr>
                <w:rFonts w:hint="eastAsia" w:ascii="宋体" w:hAnsi="宋体" w:cs="宋体"/>
                <w:kern w:val="0"/>
                <w:sz w:val="24"/>
              </w:rPr>
              <w:t>工作单位</w:t>
            </w:r>
          </w:p>
        </w:tc>
        <w:tc>
          <w:tcPr>
            <w:tcW w:w="2947" w:type="dxa"/>
            <w:tcBorders>
              <w:top w:val="single" w:color="auto" w:sz="4" w:space="0"/>
              <w:left w:val="nil"/>
              <w:bottom w:val="single" w:color="auto" w:sz="4" w:space="0"/>
              <w:right w:val="single" w:color="auto" w:sz="4" w:space="0"/>
            </w:tcBorders>
            <w:vAlign w:val="center"/>
          </w:tcPr>
          <w:p w14:paraId="47A8E029">
            <w:pPr>
              <w:spacing w:line="440" w:lineRule="atLeast"/>
              <w:jc w:val="center"/>
              <w:rPr>
                <w:rFonts w:ascii="宋体" w:hAnsi="宋体" w:cs="宋体"/>
                <w:kern w:val="0"/>
                <w:sz w:val="24"/>
              </w:rPr>
            </w:pPr>
            <w:r>
              <w:rPr>
                <w:rFonts w:hint="eastAsia" w:ascii="宋体" w:hAnsi="宋体" w:cs="宋体"/>
                <w:kern w:val="0"/>
                <w:sz w:val="24"/>
              </w:rPr>
              <w:t>　</w:t>
            </w:r>
          </w:p>
        </w:tc>
        <w:tc>
          <w:tcPr>
            <w:tcW w:w="1701" w:type="dxa"/>
            <w:tcBorders>
              <w:top w:val="nil"/>
              <w:left w:val="nil"/>
              <w:bottom w:val="single" w:color="auto" w:sz="4" w:space="0"/>
              <w:right w:val="single" w:color="auto" w:sz="4" w:space="0"/>
            </w:tcBorders>
            <w:vAlign w:val="center"/>
          </w:tcPr>
          <w:p w14:paraId="06616DF6">
            <w:pPr>
              <w:spacing w:line="440" w:lineRule="atLeast"/>
              <w:jc w:val="center"/>
              <w:rPr>
                <w:rFonts w:ascii="宋体" w:hAnsi="宋体" w:cs="宋体"/>
                <w:kern w:val="0"/>
                <w:sz w:val="24"/>
              </w:rPr>
            </w:pPr>
            <w:r>
              <w:rPr>
                <w:rFonts w:hint="eastAsia" w:ascii="宋体" w:hAnsi="宋体" w:cs="宋体"/>
                <w:kern w:val="0"/>
                <w:sz w:val="24"/>
              </w:rPr>
              <w:t>联系电话</w:t>
            </w:r>
          </w:p>
        </w:tc>
        <w:tc>
          <w:tcPr>
            <w:tcW w:w="2893" w:type="dxa"/>
            <w:tcBorders>
              <w:top w:val="single" w:color="auto" w:sz="4" w:space="0"/>
              <w:left w:val="nil"/>
              <w:bottom w:val="single" w:color="auto" w:sz="4" w:space="0"/>
              <w:right w:val="single" w:color="auto" w:sz="4" w:space="0"/>
            </w:tcBorders>
            <w:vAlign w:val="center"/>
          </w:tcPr>
          <w:p w14:paraId="6D0F22B0">
            <w:pPr>
              <w:spacing w:line="440" w:lineRule="atLeast"/>
              <w:jc w:val="center"/>
              <w:rPr>
                <w:rFonts w:ascii="宋体" w:hAnsi="宋体" w:cs="宋体"/>
                <w:kern w:val="0"/>
                <w:sz w:val="24"/>
              </w:rPr>
            </w:pPr>
            <w:r>
              <w:rPr>
                <w:rFonts w:hint="eastAsia" w:ascii="宋体" w:hAnsi="宋体" w:cs="宋体"/>
                <w:kern w:val="0"/>
                <w:sz w:val="24"/>
              </w:rPr>
              <w:t>　</w:t>
            </w:r>
          </w:p>
        </w:tc>
      </w:tr>
      <w:tr w14:paraId="3F09EF16">
        <w:tblPrEx>
          <w:tblCellMar>
            <w:top w:w="0" w:type="dxa"/>
            <w:left w:w="108" w:type="dxa"/>
            <w:bottom w:w="0" w:type="dxa"/>
            <w:right w:w="108" w:type="dxa"/>
          </w:tblCellMar>
        </w:tblPrEx>
        <w:trPr>
          <w:trHeight w:val="567" w:hRule="atLeast"/>
          <w:jc w:val="center"/>
        </w:trPr>
        <w:tc>
          <w:tcPr>
            <w:tcW w:w="1787" w:type="dxa"/>
            <w:tcBorders>
              <w:top w:val="nil"/>
              <w:left w:val="single" w:color="auto" w:sz="4" w:space="0"/>
              <w:bottom w:val="single" w:color="auto" w:sz="4" w:space="0"/>
              <w:right w:val="single" w:color="auto" w:sz="4" w:space="0"/>
            </w:tcBorders>
            <w:vAlign w:val="center"/>
          </w:tcPr>
          <w:p w14:paraId="18AAD5C2">
            <w:pPr>
              <w:spacing w:line="440" w:lineRule="atLeast"/>
              <w:jc w:val="center"/>
              <w:rPr>
                <w:rFonts w:ascii="宋体" w:hAnsi="宋体" w:cs="宋体"/>
                <w:kern w:val="0"/>
                <w:sz w:val="24"/>
              </w:rPr>
            </w:pPr>
            <w:r>
              <w:rPr>
                <w:rFonts w:hint="eastAsia" w:ascii="宋体" w:hAnsi="宋体" w:cs="宋体"/>
                <w:kern w:val="0"/>
                <w:sz w:val="24"/>
              </w:rPr>
              <w:t>通讯地址</w:t>
            </w:r>
          </w:p>
        </w:tc>
        <w:tc>
          <w:tcPr>
            <w:tcW w:w="2947" w:type="dxa"/>
            <w:tcBorders>
              <w:top w:val="single" w:color="auto" w:sz="4" w:space="0"/>
              <w:left w:val="nil"/>
              <w:bottom w:val="single" w:color="auto" w:sz="4" w:space="0"/>
              <w:right w:val="single" w:color="auto" w:sz="4" w:space="0"/>
            </w:tcBorders>
            <w:vAlign w:val="center"/>
          </w:tcPr>
          <w:p w14:paraId="67FE5795">
            <w:pPr>
              <w:spacing w:line="440" w:lineRule="atLeast"/>
              <w:jc w:val="center"/>
              <w:rPr>
                <w:rFonts w:ascii="宋体" w:hAnsi="宋体" w:cs="宋体"/>
                <w:kern w:val="0"/>
                <w:sz w:val="24"/>
              </w:rPr>
            </w:pPr>
            <w:r>
              <w:rPr>
                <w:rFonts w:hint="eastAsia" w:ascii="宋体" w:hAnsi="宋体" w:cs="宋体"/>
                <w:kern w:val="0"/>
                <w:sz w:val="24"/>
              </w:rPr>
              <w:t>　</w:t>
            </w:r>
          </w:p>
        </w:tc>
        <w:tc>
          <w:tcPr>
            <w:tcW w:w="1701" w:type="dxa"/>
            <w:tcBorders>
              <w:top w:val="nil"/>
              <w:left w:val="nil"/>
              <w:bottom w:val="single" w:color="auto" w:sz="4" w:space="0"/>
              <w:right w:val="single" w:color="auto" w:sz="4" w:space="0"/>
            </w:tcBorders>
            <w:vAlign w:val="center"/>
          </w:tcPr>
          <w:p w14:paraId="403D77A8">
            <w:pPr>
              <w:spacing w:line="440" w:lineRule="atLeast"/>
              <w:jc w:val="center"/>
              <w:rPr>
                <w:rFonts w:ascii="宋体" w:hAnsi="宋体" w:cs="宋体"/>
                <w:kern w:val="0"/>
                <w:sz w:val="24"/>
              </w:rPr>
            </w:pPr>
            <w:r>
              <w:rPr>
                <w:rFonts w:hint="eastAsia" w:ascii="宋体" w:hAnsi="宋体" w:cs="宋体"/>
                <w:kern w:val="0"/>
                <w:sz w:val="24"/>
              </w:rPr>
              <w:t>邮　　　　编</w:t>
            </w:r>
          </w:p>
        </w:tc>
        <w:tc>
          <w:tcPr>
            <w:tcW w:w="2893" w:type="dxa"/>
            <w:tcBorders>
              <w:top w:val="single" w:color="auto" w:sz="4" w:space="0"/>
              <w:left w:val="nil"/>
              <w:bottom w:val="single" w:color="auto" w:sz="4" w:space="0"/>
              <w:right w:val="single" w:color="auto" w:sz="4" w:space="0"/>
            </w:tcBorders>
            <w:vAlign w:val="center"/>
          </w:tcPr>
          <w:p w14:paraId="409BA535">
            <w:pPr>
              <w:spacing w:line="440" w:lineRule="atLeast"/>
              <w:jc w:val="center"/>
              <w:rPr>
                <w:rFonts w:ascii="宋体" w:hAnsi="宋体" w:cs="宋体"/>
                <w:kern w:val="0"/>
                <w:sz w:val="24"/>
              </w:rPr>
            </w:pPr>
            <w:r>
              <w:rPr>
                <w:rFonts w:hint="eastAsia" w:ascii="宋体" w:hAnsi="宋体" w:cs="宋体"/>
                <w:kern w:val="0"/>
                <w:sz w:val="24"/>
              </w:rPr>
              <w:t>　</w:t>
            </w:r>
          </w:p>
        </w:tc>
      </w:tr>
      <w:tr w14:paraId="47919AC5">
        <w:tblPrEx>
          <w:tblCellMar>
            <w:top w:w="0" w:type="dxa"/>
            <w:left w:w="108" w:type="dxa"/>
            <w:bottom w:w="0" w:type="dxa"/>
            <w:right w:w="108" w:type="dxa"/>
          </w:tblCellMar>
        </w:tblPrEx>
        <w:trPr>
          <w:trHeight w:val="752" w:hRule="atLeast"/>
          <w:jc w:val="center"/>
        </w:trPr>
        <w:tc>
          <w:tcPr>
            <w:tcW w:w="1787" w:type="dxa"/>
            <w:tcBorders>
              <w:top w:val="nil"/>
              <w:left w:val="single" w:color="auto" w:sz="4" w:space="0"/>
              <w:bottom w:val="single" w:color="auto" w:sz="4" w:space="0"/>
              <w:right w:val="single" w:color="auto" w:sz="4" w:space="0"/>
            </w:tcBorders>
            <w:vAlign w:val="center"/>
          </w:tcPr>
          <w:p w14:paraId="06AA7977">
            <w:pPr>
              <w:spacing w:line="440" w:lineRule="atLeast"/>
              <w:jc w:val="center"/>
              <w:rPr>
                <w:rFonts w:ascii="宋体" w:hAnsi="宋体" w:cs="宋体"/>
                <w:kern w:val="0"/>
                <w:sz w:val="24"/>
              </w:rPr>
            </w:pPr>
            <w:r>
              <w:rPr>
                <w:rFonts w:hint="eastAsia" w:ascii="宋体" w:hAnsi="宋体" w:cs="宋体"/>
                <w:kern w:val="0"/>
                <w:sz w:val="24"/>
              </w:rPr>
              <w:t>本年度完成继续教育学时数</w:t>
            </w:r>
          </w:p>
        </w:tc>
        <w:tc>
          <w:tcPr>
            <w:tcW w:w="2947" w:type="dxa"/>
            <w:tcBorders>
              <w:top w:val="nil"/>
              <w:left w:val="nil"/>
              <w:bottom w:val="single" w:color="auto" w:sz="4" w:space="0"/>
              <w:right w:val="single" w:color="auto" w:sz="4" w:space="0"/>
            </w:tcBorders>
            <w:vAlign w:val="center"/>
          </w:tcPr>
          <w:p w14:paraId="6DD9022A">
            <w:pPr>
              <w:spacing w:line="440" w:lineRule="atLeast"/>
              <w:jc w:val="left"/>
              <w:rPr>
                <w:rFonts w:ascii="宋体" w:hAnsi="宋体" w:cs="宋体"/>
                <w:kern w:val="0"/>
                <w:sz w:val="24"/>
              </w:rPr>
            </w:pPr>
            <w:r>
              <w:rPr>
                <w:rFonts w:hint="eastAsia" w:ascii="宋体" w:hAnsi="宋体" w:cs="宋体"/>
                <w:kern w:val="0"/>
                <w:sz w:val="24"/>
              </w:rPr>
              <w:t>　</w:t>
            </w:r>
          </w:p>
        </w:tc>
        <w:tc>
          <w:tcPr>
            <w:tcW w:w="1701" w:type="dxa"/>
            <w:tcBorders>
              <w:top w:val="nil"/>
              <w:left w:val="nil"/>
              <w:bottom w:val="single" w:color="auto" w:sz="4" w:space="0"/>
              <w:right w:val="single" w:color="auto" w:sz="4" w:space="0"/>
            </w:tcBorders>
            <w:vAlign w:val="center"/>
          </w:tcPr>
          <w:p w14:paraId="2EB2137E">
            <w:pPr>
              <w:spacing w:line="440" w:lineRule="atLeast"/>
              <w:jc w:val="center"/>
              <w:rPr>
                <w:rFonts w:ascii="宋体" w:hAnsi="宋体" w:cs="宋体"/>
                <w:kern w:val="0"/>
                <w:sz w:val="24"/>
              </w:rPr>
            </w:pPr>
            <w:r>
              <w:rPr>
                <w:rFonts w:hint="eastAsia" w:ascii="宋体" w:hAnsi="宋体" w:cs="宋体"/>
                <w:kern w:val="0"/>
                <w:sz w:val="24"/>
              </w:rPr>
              <w:t>是否交纳</w:t>
            </w:r>
          </w:p>
          <w:p w14:paraId="3FA2ED18">
            <w:pPr>
              <w:spacing w:line="440" w:lineRule="atLeast"/>
              <w:jc w:val="center"/>
              <w:rPr>
                <w:rFonts w:ascii="宋体" w:hAnsi="宋体" w:cs="宋体"/>
                <w:kern w:val="0"/>
                <w:sz w:val="24"/>
              </w:rPr>
            </w:pPr>
            <w:r>
              <w:rPr>
                <w:rFonts w:hint="eastAsia" w:ascii="宋体" w:hAnsi="宋体" w:cs="宋体"/>
                <w:kern w:val="0"/>
                <w:sz w:val="24"/>
              </w:rPr>
              <w:t>当年会费</w:t>
            </w:r>
          </w:p>
        </w:tc>
        <w:tc>
          <w:tcPr>
            <w:tcW w:w="2893" w:type="dxa"/>
            <w:tcBorders>
              <w:top w:val="nil"/>
              <w:left w:val="nil"/>
              <w:bottom w:val="single" w:color="auto" w:sz="4" w:space="0"/>
              <w:right w:val="single" w:color="auto" w:sz="4" w:space="0"/>
            </w:tcBorders>
            <w:vAlign w:val="center"/>
          </w:tcPr>
          <w:p w14:paraId="5A2158AE">
            <w:pPr>
              <w:spacing w:line="440" w:lineRule="atLeast"/>
              <w:jc w:val="center"/>
              <w:rPr>
                <w:rFonts w:ascii="宋体" w:hAnsi="宋体" w:cs="宋体"/>
                <w:kern w:val="0"/>
                <w:sz w:val="24"/>
              </w:rPr>
            </w:pPr>
          </w:p>
        </w:tc>
      </w:tr>
      <w:tr w14:paraId="55255D1F">
        <w:tblPrEx>
          <w:tblCellMar>
            <w:top w:w="0" w:type="dxa"/>
            <w:left w:w="108" w:type="dxa"/>
            <w:bottom w:w="0" w:type="dxa"/>
            <w:right w:w="108" w:type="dxa"/>
          </w:tblCellMar>
        </w:tblPrEx>
        <w:trPr>
          <w:trHeight w:val="752" w:hRule="atLeast"/>
          <w:jc w:val="center"/>
        </w:trPr>
        <w:tc>
          <w:tcPr>
            <w:tcW w:w="1787" w:type="dxa"/>
            <w:tcBorders>
              <w:top w:val="nil"/>
              <w:left w:val="single" w:color="auto" w:sz="4" w:space="0"/>
              <w:bottom w:val="single" w:color="auto" w:sz="4" w:space="0"/>
              <w:right w:val="single" w:color="auto" w:sz="4" w:space="0"/>
            </w:tcBorders>
            <w:vAlign w:val="center"/>
          </w:tcPr>
          <w:p w14:paraId="577A9EE4">
            <w:pPr>
              <w:spacing w:line="440" w:lineRule="atLeast"/>
              <w:jc w:val="center"/>
              <w:rPr>
                <w:rFonts w:ascii="宋体" w:hAnsi="宋体" w:cs="宋体"/>
                <w:kern w:val="0"/>
                <w:sz w:val="24"/>
              </w:rPr>
            </w:pPr>
            <w:r>
              <w:rPr>
                <w:rFonts w:hint="eastAsia" w:ascii="宋体" w:hAnsi="宋体" w:cs="宋体"/>
                <w:kern w:val="0"/>
                <w:sz w:val="24"/>
              </w:rPr>
              <w:t>是否通过</w:t>
            </w:r>
          </w:p>
          <w:p w14:paraId="04F60346">
            <w:pPr>
              <w:spacing w:line="440" w:lineRule="atLeast"/>
              <w:jc w:val="center"/>
              <w:rPr>
                <w:rFonts w:ascii="宋体" w:hAnsi="宋体" w:cs="宋体"/>
                <w:kern w:val="0"/>
                <w:sz w:val="24"/>
              </w:rPr>
            </w:pPr>
            <w:r>
              <w:rPr>
                <w:rFonts w:hint="eastAsia" w:ascii="宋体" w:hAnsi="宋体" w:cs="宋体"/>
                <w:kern w:val="0"/>
                <w:sz w:val="24"/>
              </w:rPr>
              <w:t>定期检查</w:t>
            </w:r>
          </w:p>
        </w:tc>
        <w:tc>
          <w:tcPr>
            <w:tcW w:w="7541" w:type="dxa"/>
            <w:gridSpan w:val="3"/>
            <w:tcBorders>
              <w:top w:val="nil"/>
              <w:left w:val="nil"/>
              <w:bottom w:val="single" w:color="auto" w:sz="4" w:space="0"/>
              <w:right w:val="single" w:color="auto" w:sz="4" w:space="0"/>
            </w:tcBorders>
            <w:vAlign w:val="center"/>
          </w:tcPr>
          <w:p w14:paraId="7F66EA78">
            <w:pPr>
              <w:spacing w:line="440" w:lineRule="atLeast"/>
              <w:jc w:val="center"/>
              <w:rPr>
                <w:rFonts w:ascii="宋体" w:hAnsi="宋体" w:cs="宋体"/>
                <w:kern w:val="0"/>
                <w:sz w:val="24"/>
              </w:rPr>
            </w:pPr>
          </w:p>
        </w:tc>
      </w:tr>
      <w:tr w14:paraId="4EBFC6A1">
        <w:tblPrEx>
          <w:tblCellMar>
            <w:top w:w="0" w:type="dxa"/>
            <w:left w:w="108" w:type="dxa"/>
            <w:bottom w:w="0" w:type="dxa"/>
            <w:right w:w="108" w:type="dxa"/>
          </w:tblCellMar>
        </w:tblPrEx>
        <w:trPr>
          <w:trHeight w:val="2802" w:hRule="atLeast"/>
          <w:jc w:val="center"/>
        </w:trPr>
        <w:tc>
          <w:tcPr>
            <w:tcW w:w="9328" w:type="dxa"/>
            <w:gridSpan w:val="4"/>
            <w:tcBorders>
              <w:top w:val="single" w:color="auto" w:sz="4" w:space="0"/>
              <w:left w:val="single" w:color="auto" w:sz="4" w:space="0"/>
              <w:bottom w:val="single" w:color="auto" w:sz="4" w:space="0"/>
              <w:right w:val="single" w:color="auto" w:sz="4" w:space="0"/>
            </w:tcBorders>
            <w:vAlign w:val="center"/>
          </w:tcPr>
          <w:p w14:paraId="2B05EFA3">
            <w:pPr>
              <w:spacing w:line="440" w:lineRule="atLeast"/>
              <w:jc w:val="left"/>
              <w:rPr>
                <w:rFonts w:ascii="宋体" w:hAnsi="宋体" w:cs="宋体"/>
                <w:kern w:val="0"/>
                <w:sz w:val="24"/>
              </w:rPr>
            </w:pPr>
            <w:r>
              <w:rPr>
                <w:rFonts w:hint="eastAsia" w:ascii="宋体" w:hAnsi="宋体" w:cs="宋体"/>
                <w:kern w:val="0"/>
                <w:sz w:val="24"/>
              </w:rPr>
              <w:t>转会申请:</w:t>
            </w:r>
          </w:p>
          <w:p w14:paraId="21D7E16D">
            <w:pPr>
              <w:spacing w:line="440" w:lineRule="atLeast"/>
              <w:jc w:val="left"/>
              <w:rPr>
                <w:rFonts w:ascii="宋体" w:hAnsi="宋体" w:cs="宋体"/>
                <w:kern w:val="0"/>
                <w:sz w:val="24"/>
              </w:rPr>
            </w:pPr>
          </w:p>
          <w:p w14:paraId="64E01047">
            <w:pPr>
              <w:spacing w:line="440" w:lineRule="atLeast"/>
              <w:jc w:val="left"/>
              <w:rPr>
                <w:rFonts w:ascii="宋体" w:hAnsi="宋体" w:cs="宋体"/>
                <w:kern w:val="0"/>
                <w:sz w:val="24"/>
              </w:rPr>
            </w:pPr>
          </w:p>
          <w:p w14:paraId="56E8AB11">
            <w:pPr>
              <w:spacing w:line="440" w:lineRule="atLeast"/>
              <w:jc w:val="left"/>
              <w:rPr>
                <w:rFonts w:ascii="宋体" w:hAnsi="宋体" w:cs="宋体"/>
                <w:kern w:val="0"/>
                <w:sz w:val="24"/>
              </w:rPr>
            </w:pPr>
          </w:p>
          <w:p w14:paraId="28B05E30">
            <w:pPr>
              <w:spacing w:line="440" w:lineRule="atLeast"/>
              <w:jc w:val="left"/>
              <w:rPr>
                <w:rFonts w:ascii="宋体" w:hAnsi="宋体" w:cs="宋体"/>
                <w:kern w:val="0"/>
                <w:sz w:val="24"/>
              </w:rPr>
            </w:pPr>
          </w:p>
          <w:p w14:paraId="65B3C76C">
            <w:pPr>
              <w:spacing w:line="440" w:lineRule="atLeast"/>
              <w:jc w:val="center"/>
              <w:rPr>
                <w:rFonts w:ascii="宋体" w:hAnsi="宋体" w:cs="宋体"/>
                <w:kern w:val="0"/>
                <w:sz w:val="24"/>
              </w:rPr>
            </w:pPr>
            <w:r>
              <w:rPr>
                <w:rFonts w:hint="eastAsia" w:ascii="宋体" w:hAnsi="宋体" w:cs="宋体"/>
                <w:kern w:val="0"/>
                <w:sz w:val="24"/>
              </w:rPr>
              <w:t>　　　　　　　　　　　　　　　　　　　　申请人签名：　　　　　　　　　　　　　　　　　年　　　　月　　　　日</w:t>
            </w:r>
          </w:p>
        </w:tc>
      </w:tr>
      <w:tr w14:paraId="151C7310">
        <w:tblPrEx>
          <w:tblCellMar>
            <w:top w:w="0" w:type="dxa"/>
            <w:left w:w="108" w:type="dxa"/>
            <w:bottom w:w="0" w:type="dxa"/>
            <w:right w:w="108" w:type="dxa"/>
          </w:tblCellMar>
        </w:tblPrEx>
        <w:trPr>
          <w:trHeight w:val="2559" w:hRule="atLeast"/>
          <w:jc w:val="center"/>
        </w:trPr>
        <w:tc>
          <w:tcPr>
            <w:tcW w:w="4734" w:type="dxa"/>
            <w:gridSpan w:val="2"/>
            <w:tcBorders>
              <w:top w:val="single" w:color="auto" w:sz="4" w:space="0"/>
              <w:left w:val="single" w:color="auto" w:sz="4" w:space="0"/>
              <w:bottom w:val="single" w:color="auto" w:sz="4" w:space="0"/>
              <w:right w:val="single" w:color="auto" w:sz="4" w:space="0"/>
            </w:tcBorders>
            <w:vAlign w:val="center"/>
          </w:tcPr>
          <w:p w14:paraId="2E31FD72">
            <w:pPr>
              <w:spacing w:line="440" w:lineRule="atLeast"/>
              <w:jc w:val="left"/>
              <w:rPr>
                <w:rFonts w:ascii="宋体" w:hAnsi="宋体" w:cs="宋体"/>
                <w:kern w:val="0"/>
                <w:sz w:val="24"/>
              </w:rPr>
            </w:pPr>
          </w:p>
          <w:p w14:paraId="28BEE427">
            <w:pPr>
              <w:spacing w:line="440" w:lineRule="atLeast"/>
              <w:jc w:val="left"/>
              <w:rPr>
                <w:rFonts w:ascii="宋体" w:hAnsi="宋体" w:cs="宋体"/>
                <w:kern w:val="0"/>
                <w:sz w:val="24"/>
              </w:rPr>
            </w:pPr>
            <w:r>
              <w:rPr>
                <w:rFonts w:hint="eastAsia" w:ascii="宋体" w:hAnsi="宋体" w:cs="宋体"/>
                <w:kern w:val="0"/>
                <w:sz w:val="24"/>
              </w:rPr>
              <w:t>转出地地方协会审批意见:</w:t>
            </w:r>
          </w:p>
          <w:p w14:paraId="41BE92A6">
            <w:pPr>
              <w:spacing w:line="440" w:lineRule="atLeast"/>
              <w:jc w:val="left"/>
              <w:rPr>
                <w:rFonts w:ascii="宋体" w:hAnsi="宋体" w:cs="宋体"/>
                <w:kern w:val="0"/>
                <w:sz w:val="24"/>
              </w:rPr>
            </w:pPr>
          </w:p>
          <w:p w14:paraId="4DB42765">
            <w:pPr>
              <w:spacing w:line="440" w:lineRule="atLeast"/>
              <w:jc w:val="left"/>
              <w:rPr>
                <w:rFonts w:ascii="宋体" w:hAnsi="宋体" w:cs="宋体"/>
                <w:kern w:val="0"/>
                <w:sz w:val="24"/>
              </w:rPr>
            </w:pPr>
          </w:p>
          <w:p w14:paraId="18F0FDCD">
            <w:pPr>
              <w:spacing w:line="440" w:lineRule="atLeast"/>
              <w:jc w:val="left"/>
              <w:rPr>
                <w:rFonts w:ascii="宋体" w:hAnsi="宋体" w:cs="宋体"/>
                <w:kern w:val="0"/>
                <w:sz w:val="24"/>
              </w:rPr>
            </w:pPr>
          </w:p>
          <w:p w14:paraId="53E15D9E">
            <w:pPr>
              <w:spacing w:line="440" w:lineRule="atLeast"/>
              <w:jc w:val="left"/>
              <w:rPr>
                <w:rFonts w:ascii="宋体" w:hAnsi="宋体" w:cs="宋体"/>
                <w:kern w:val="0"/>
                <w:sz w:val="24"/>
              </w:rPr>
            </w:pPr>
          </w:p>
          <w:p w14:paraId="43D357CD">
            <w:pPr>
              <w:spacing w:line="440" w:lineRule="atLeast"/>
              <w:jc w:val="center"/>
              <w:rPr>
                <w:rFonts w:ascii="宋体" w:hAnsi="宋体" w:cs="宋体"/>
                <w:kern w:val="0"/>
                <w:sz w:val="24"/>
              </w:rPr>
            </w:pPr>
            <w:r>
              <w:rPr>
                <w:rFonts w:hint="eastAsia" w:ascii="宋体" w:hAnsi="宋体" w:cs="宋体"/>
                <w:kern w:val="0"/>
                <w:sz w:val="24"/>
              </w:rPr>
              <w:t>（盖　章）</w:t>
            </w:r>
          </w:p>
          <w:p w14:paraId="2A4C7FAB">
            <w:pPr>
              <w:spacing w:line="440" w:lineRule="atLeast"/>
              <w:jc w:val="center"/>
              <w:rPr>
                <w:rFonts w:ascii="宋体" w:hAnsi="宋体" w:cs="宋体"/>
                <w:kern w:val="0"/>
                <w:sz w:val="24"/>
              </w:rPr>
            </w:pPr>
            <w:r>
              <w:rPr>
                <w:rFonts w:hint="eastAsia" w:ascii="宋体" w:hAnsi="宋体" w:cs="宋体"/>
                <w:kern w:val="0"/>
                <w:sz w:val="24"/>
              </w:rPr>
              <w:t>　年　　　　月　　　　日</w:t>
            </w:r>
          </w:p>
          <w:p w14:paraId="131987C8">
            <w:pPr>
              <w:spacing w:line="440" w:lineRule="atLeast"/>
              <w:jc w:val="center"/>
              <w:rPr>
                <w:rFonts w:ascii="宋体" w:hAnsi="宋体" w:cs="宋体"/>
                <w:kern w:val="0"/>
                <w:sz w:val="24"/>
              </w:rPr>
            </w:pPr>
          </w:p>
        </w:tc>
        <w:tc>
          <w:tcPr>
            <w:tcW w:w="4594" w:type="dxa"/>
            <w:gridSpan w:val="2"/>
            <w:tcBorders>
              <w:top w:val="single" w:color="auto" w:sz="4" w:space="0"/>
              <w:left w:val="nil"/>
              <w:bottom w:val="single" w:color="auto" w:sz="4" w:space="0"/>
              <w:right w:val="single" w:color="auto" w:sz="4" w:space="0"/>
            </w:tcBorders>
            <w:vAlign w:val="center"/>
          </w:tcPr>
          <w:p w14:paraId="2FAB15A6">
            <w:pPr>
              <w:spacing w:line="440" w:lineRule="atLeast"/>
              <w:jc w:val="left"/>
              <w:rPr>
                <w:rFonts w:ascii="宋体" w:hAnsi="宋体" w:cs="宋体"/>
                <w:kern w:val="0"/>
                <w:sz w:val="24"/>
              </w:rPr>
            </w:pPr>
          </w:p>
          <w:p w14:paraId="757548D2">
            <w:pPr>
              <w:spacing w:line="440" w:lineRule="atLeast"/>
              <w:jc w:val="left"/>
              <w:rPr>
                <w:rFonts w:ascii="宋体" w:hAnsi="宋体" w:cs="宋体"/>
                <w:kern w:val="0"/>
                <w:sz w:val="24"/>
              </w:rPr>
            </w:pPr>
            <w:r>
              <w:rPr>
                <w:rFonts w:hint="eastAsia" w:ascii="宋体" w:hAnsi="宋体" w:cs="宋体"/>
                <w:kern w:val="0"/>
                <w:sz w:val="24"/>
              </w:rPr>
              <w:t>转入地地方协会审批意见:</w:t>
            </w:r>
          </w:p>
          <w:p w14:paraId="6F8DBD79">
            <w:pPr>
              <w:spacing w:line="440" w:lineRule="atLeast"/>
              <w:jc w:val="left"/>
              <w:rPr>
                <w:rFonts w:ascii="宋体" w:hAnsi="宋体" w:cs="宋体"/>
                <w:kern w:val="0"/>
                <w:sz w:val="24"/>
              </w:rPr>
            </w:pPr>
          </w:p>
          <w:p w14:paraId="71859B4F">
            <w:pPr>
              <w:spacing w:line="440" w:lineRule="atLeast"/>
              <w:jc w:val="left"/>
              <w:rPr>
                <w:rFonts w:ascii="宋体" w:hAnsi="宋体" w:cs="宋体"/>
                <w:kern w:val="0"/>
                <w:sz w:val="24"/>
              </w:rPr>
            </w:pPr>
          </w:p>
          <w:p w14:paraId="1D1D01C7">
            <w:pPr>
              <w:spacing w:line="440" w:lineRule="atLeast"/>
              <w:jc w:val="left"/>
              <w:rPr>
                <w:rFonts w:ascii="宋体" w:hAnsi="宋体" w:cs="宋体"/>
                <w:kern w:val="0"/>
                <w:sz w:val="24"/>
              </w:rPr>
            </w:pPr>
          </w:p>
          <w:p w14:paraId="55D57FA5">
            <w:pPr>
              <w:spacing w:line="440" w:lineRule="atLeast"/>
              <w:jc w:val="left"/>
              <w:rPr>
                <w:rFonts w:ascii="宋体" w:hAnsi="宋体" w:cs="宋体"/>
                <w:kern w:val="0"/>
                <w:sz w:val="24"/>
              </w:rPr>
            </w:pPr>
          </w:p>
          <w:p w14:paraId="6BE9BB34">
            <w:pPr>
              <w:spacing w:line="440" w:lineRule="atLeast"/>
              <w:jc w:val="center"/>
              <w:rPr>
                <w:rFonts w:ascii="宋体" w:hAnsi="宋体" w:cs="宋体"/>
                <w:kern w:val="0"/>
                <w:sz w:val="24"/>
              </w:rPr>
            </w:pPr>
            <w:r>
              <w:rPr>
                <w:rFonts w:hint="eastAsia" w:ascii="宋体" w:hAnsi="宋体" w:cs="宋体"/>
                <w:kern w:val="0"/>
                <w:sz w:val="24"/>
              </w:rPr>
              <w:t>（盖　章）</w:t>
            </w:r>
          </w:p>
          <w:p w14:paraId="663F3263">
            <w:pPr>
              <w:spacing w:line="440" w:lineRule="atLeast"/>
              <w:jc w:val="left"/>
              <w:rPr>
                <w:rFonts w:ascii="宋体" w:hAnsi="宋体" w:cs="宋体"/>
                <w:kern w:val="0"/>
                <w:sz w:val="24"/>
              </w:rPr>
            </w:pPr>
            <w:r>
              <w:rPr>
                <w:rFonts w:hint="eastAsia" w:ascii="宋体" w:hAnsi="宋体" w:cs="宋体"/>
                <w:kern w:val="0"/>
                <w:sz w:val="24"/>
              </w:rPr>
              <w:t>年　　　　月　　　　日</w:t>
            </w:r>
          </w:p>
          <w:p w14:paraId="100F0F9D">
            <w:pPr>
              <w:spacing w:line="440" w:lineRule="atLeast"/>
              <w:jc w:val="left"/>
              <w:rPr>
                <w:rFonts w:ascii="宋体" w:hAnsi="宋体" w:cs="宋体"/>
                <w:kern w:val="0"/>
                <w:sz w:val="24"/>
              </w:rPr>
            </w:pPr>
          </w:p>
        </w:tc>
      </w:tr>
      <w:tr w14:paraId="53392D4B">
        <w:tblPrEx>
          <w:tblCellMar>
            <w:top w:w="0" w:type="dxa"/>
            <w:left w:w="108" w:type="dxa"/>
            <w:bottom w:w="0" w:type="dxa"/>
            <w:right w:w="108" w:type="dxa"/>
          </w:tblCellMar>
        </w:tblPrEx>
        <w:trPr>
          <w:trHeight w:val="978" w:hRule="atLeast"/>
          <w:jc w:val="center"/>
        </w:trPr>
        <w:tc>
          <w:tcPr>
            <w:tcW w:w="9328" w:type="dxa"/>
            <w:gridSpan w:val="4"/>
            <w:tcBorders>
              <w:top w:val="single" w:color="auto" w:sz="4" w:space="0"/>
              <w:left w:val="single" w:color="auto" w:sz="4" w:space="0"/>
              <w:bottom w:val="single" w:color="auto" w:sz="4" w:space="0"/>
              <w:right w:val="single" w:color="auto" w:sz="4" w:space="0"/>
            </w:tcBorders>
            <w:vAlign w:val="center"/>
          </w:tcPr>
          <w:p w14:paraId="6119313B">
            <w:pPr>
              <w:spacing w:line="440" w:lineRule="atLeast"/>
              <w:jc w:val="left"/>
              <w:rPr>
                <w:rFonts w:ascii="宋体" w:hAnsi="宋体" w:cs="宋体"/>
                <w:kern w:val="0"/>
                <w:sz w:val="24"/>
              </w:rPr>
            </w:pPr>
            <w:r>
              <w:rPr>
                <w:rFonts w:hint="eastAsia" w:ascii="宋体" w:hAnsi="宋体" w:cs="宋体"/>
                <w:kern w:val="0"/>
                <w:sz w:val="24"/>
              </w:rPr>
              <w:t>备注:此表由转出地地方协会及转入地地方协会各留存一份。</w:t>
            </w:r>
          </w:p>
        </w:tc>
      </w:tr>
    </w:tbl>
    <w:p w14:paraId="5C66C6CF">
      <w:pPr>
        <w:rPr>
          <w:rFonts w:ascii="宋体" w:hAnsi="宋体" w:eastAsia="宋体" w:cs="宋体"/>
          <w:lang w:val="zh-TW" w:eastAsia="zh-TW"/>
        </w:rPr>
      </w:pPr>
      <w:r>
        <w:rPr>
          <w:rFonts w:hint="eastAsia" w:ascii="宋体" w:hAnsi="宋体" w:eastAsia="宋体" w:cs="宋体"/>
          <w:lang w:val="zh-TW" w:eastAsia="zh-TW"/>
        </w:rPr>
        <w:br w:type="page"/>
      </w:r>
    </w:p>
    <w:p w14:paraId="75027B06">
      <w:pPr>
        <w:pStyle w:val="5"/>
        <w:spacing w:line="440" w:lineRule="atLeast"/>
        <w:jc w:val="center"/>
        <w:rPr>
          <w:rFonts w:ascii="宋体" w:hAnsi="宋体" w:eastAsia="宋体" w:cs="宋体"/>
          <w:lang w:val="zh-TW" w:eastAsia="zh-TW"/>
        </w:rPr>
      </w:pPr>
      <w:bookmarkStart w:id="95" w:name="_Toc30900"/>
      <w:r>
        <w:rPr>
          <w:rFonts w:hint="eastAsia" w:ascii="宋体" w:hAnsi="宋体" w:eastAsia="宋体" w:cs="宋体"/>
          <w:lang w:val="zh-TW" w:eastAsia="zh-TW"/>
        </w:rPr>
        <w:t>资产评估师职业资格证书登记办法（试行）</w:t>
      </w:r>
      <w:bookmarkEnd w:id="95"/>
    </w:p>
    <w:p w14:paraId="4BA5CA4B">
      <w:pPr>
        <w:shd w:val="clear" w:color="auto" w:fill="FFFFFF"/>
        <w:spacing w:line="440" w:lineRule="atLeast"/>
        <w:jc w:val="center"/>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2016年2月3日中国资产评估协会发布　中评协〔2016〕4号</w:t>
      </w:r>
    </w:p>
    <w:p w14:paraId="61E80F96">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第一章　总则</w:t>
      </w:r>
    </w:p>
    <w:p w14:paraId="0E230D30">
      <w:pPr>
        <w:shd w:val="clear" w:color="auto" w:fill="FFFFFF"/>
        <w:spacing w:line="440" w:lineRule="atLeast"/>
        <w:ind w:firstLine="482"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b/>
          <w:color w:val="000000"/>
          <w:kern w:val="0"/>
          <w:sz w:val="24"/>
          <w:shd w:val="clear" w:color="auto" w:fill="FFFFFF"/>
        </w:rPr>
        <w:t>第一条</w:t>
      </w:r>
      <w:r>
        <w:rPr>
          <w:rFonts w:hint="eastAsia" w:ascii="宋体" w:hAnsi="宋体" w:eastAsia="宋体" w:cs="宋体"/>
          <w:color w:val="000000"/>
          <w:kern w:val="0"/>
          <w:sz w:val="24"/>
          <w:shd w:val="clear" w:color="auto" w:fill="FFFFFF"/>
          <w:lang w:val="zh-TW"/>
        </w:rPr>
        <w:t>　</w:t>
      </w:r>
      <w:r>
        <w:rPr>
          <w:rFonts w:hint="eastAsia" w:ascii="宋体" w:hAnsi="宋体" w:eastAsia="宋体" w:cs="宋体"/>
          <w:color w:val="000000"/>
          <w:kern w:val="0"/>
          <w:sz w:val="24"/>
          <w:shd w:val="clear" w:color="auto" w:fill="FFFFFF"/>
          <w:lang w:val="zh-TW" w:eastAsia="zh-TW"/>
        </w:rPr>
        <w:t>为保障资产评估师职业资格制度的实施，规范资产评估师职业资格证书管理，根据《人力资源社会保障部</w:t>
      </w:r>
      <w:r>
        <w:rPr>
          <w:rFonts w:hint="eastAsia" w:ascii="宋体" w:hAnsi="宋体" w:eastAsia="宋体" w:cs="宋体"/>
          <w:color w:val="000000"/>
          <w:kern w:val="0"/>
          <w:sz w:val="24"/>
          <w:shd w:val="clear" w:color="auto" w:fill="FFFFFF"/>
          <w:lang w:val="zh-TW"/>
        </w:rPr>
        <w:t>　</w:t>
      </w:r>
      <w:r>
        <w:rPr>
          <w:rFonts w:hint="eastAsia" w:ascii="宋体" w:hAnsi="宋体" w:eastAsia="宋体" w:cs="宋体"/>
          <w:color w:val="000000"/>
          <w:kern w:val="0"/>
          <w:sz w:val="24"/>
          <w:shd w:val="clear" w:color="auto" w:fill="FFFFFF"/>
          <w:lang w:val="zh-TW" w:eastAsia="zh-TW"/>
        </w:rPr>
        <w:t>财政部关于印发&lt;资产评估师职业资格制度暂行规定&gt;和&lt;资产评估师职业资格考试实施办法&gt;的通知》（人社部发﹝2015﹞43号），制定本办法。</w:t>
      </w:r>
    </w:p>
    <w:p w14:paraId="67D71B5D">
      <w:pPr>
        <w:shd w:val="clear" w:color="auto" w:fill="FFFFFF"/>
        <w:spacing w:line="440" w:lineRule="atLeast"/>
        <w:ind w:firstLine="482"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b/>
          <w:color w:val="000000"/>
          <w:kern w:val="0"/>
          <w:sz w:val="24"/>
          <w:shd w:val="clear" w:color="auto" w:fill="FFFFFF"/>
          <w:lang w:val="zh-TW"/>
        </w:rPr>
        <w:t>第二条</w:t>
      </w:r>
      <w:r>
        <w:rPr>
          <w:rFonts w:hint="eastAsia" w:ascii="宋体" w:hAnsi="宋体" w:eastAsia="宋体" w:cs="宋体"/>
          <w:color w:val="000000"/>
          <w:kern w:val="0"/>
          <w:sz w:val="24"/>
          <w:shd w:val="clear" w:color="auto" w:fill="FFFFFF"/>
          <w:lang w:val="zh-TW"/>
        </w:rPr>
        <w:t>　</w:t>
      </w:r>
      <w:r>
        <w:rPr>
          <w:rFonts w:hint="eastAsia" w:ascii="宋体" w:hAnsi="宋体" w:eastAsia="宋体" w:cs="宋体"/>
          <w:color w:val="000000"/>
          <w:kern w:val="0"/>
          <w:sz w:val="24"/>
          <w:shd w:val="clear" w:color="auto" w:fill="FFFFFF"/>
          <w:lang w:val="zh-TW" w:eastAsia="zh-TW"/>
        </w:rPr>
        <w:t>资产评估师职业资格证书实行登记服务制度。资产评估师职业资格考试合格的人员（以下简称考试合格人员）应当进行职业资格证书登记。</w:t>
      </w:r>
    </w:p>
    <w:p w14:paraId="1977858F">
      <w:pPr>
        <w:shd w:val="clear" w:color="auto" w:fill="FFFFFF"/>
        <w:spacing w:line="440" w:lineRule="atLeast"/>
        <w:ind w:firstLine="482"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b/>
          <w:color w:val="000000"/>
          <w:kern w:val="0"/>
          <w:sz w:val="24"/>
          <w:shd w:val="clear" w:color="auto" w:fill="FFFFFF"/>
          <w:lang w:val="zh-TW"/>
        </w:rPr>
        <w:t>第三条</w:t>
      </w:r>
      <w:r>
        <w:rPr>
          <w:rFonts w:hint="eastAsia" w:ascii="宋体" w:hAnsi="宋体" w:eastAsia="宋体" w:cs="宋体"/>
          <w:color w:val="000000"/>
          <w:kern w:val="0"/>
          <w:sz w:val="24"/>
          <w:shd w:val="clear" w:color="auto" w:fill="FFFFFF"/>
          <w:lang w:val="zh-TW"/>
        </w:rPr>
        <w:t>　</w:t>
      </w:r>
      <w:r>
        <w:rPr>
          <w:rFonts w:hint="eastAsia" w:ascii="宋体" w:hAnsi="宋体" w:eastAsia="宋体" w:cs="宋体"/>
          <w:color w:val="000000"/>
          <w:kern w:val="0"/>
          <w:sz w:val="24"/>
          <w:shd w:val="clear" w:color="auto" w:fill="FFFFFF"/>
          <w:lang w:val="zh-TW" w:eastAsia="zh-TW"/>
        </w:rPr>
        <w:t>中国资产评估协会</w:t>
      </w:r>
      <w:r>
        <w:rPr>
          <w:rFonts w:hint="eastAsia" w:ascii="宋体" w:hAnsi="宋体" w:eastAsia="宋体" w:cs="宋体"/>
          <w:color w:val="000000"/>
          <w:kern w:val="0"/>
          <w:sz w:val="24"/>
          <w:shd w:val="clear" w:color="auto" w:fill="FFFFFF"/>
          <w:lang w:val="zh-TW"/>
        </w:rPr>
        <w:t>（</w:t>
      </w:r>
      <w:r>
        <w:rPr>
          <w:rFonts w:hint="eastAsia" w:ascii="宋体" w:hAnsi="宋体" w:eastAsia="宋体" w:cs="宋体"/>
          <w:color w:val="000000"/>
          <w:kern w:val="0"/>
          <w:sz w:val="24"/>
          <w:shd w:val="clear" w:color="auto" w:fill="FFFFFF"/>
          <w:lang w:val="zh-TW" w:eastAsia="zh-TW"/>
        </w:rPr>
        <w:t>以下简称中评协</w:t>
      </w:r>
      <w:r>
        <w:rPr>
          <w:rFonts w:hint="eastAsia" w:ascii="宋体" w:hAnsi="宋体" w:eastAsia="宋体" w:cs="宋体"/>
          <w:color w:val="000000"/>
          <w:kern w:val="0"/>
          <w:sz w:val="24"/>
          <w:shd w:val="clear" w:color="auto" w:fill="FFFFFF"/>
          <w:lang w:val="zh-TW"/>
        </w:rPr>
        <w:t>）</w:t>
      </w:r>
      <w:r>
        <w:rPr>
          <w:rFonts w:hint="eastAsia" w:ascii="宋体" w:hAnsi="宋体" w:eastAsia="宋体" w:cs="宋体"/>
          <w:color w:val="000000"/>
          <w:kern w:val="0"/>
          <w:sz w:val="24"/>
          <w:shd w:val="clear" w:color="auto" w:fill="FFFFFF"/>
          <w:lang w:val="zh-TW" w:eastAsia="zh-TW"/>
        </w:rPr>
        <w:t>负责资产评估师职业资格证书登记工作，取得资产评估师职业资格证书的人员，应当自觉接受管理。</w:t>
      </w:r>
    </w:p>
    <w:p w14:paraId="14C3D352">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中评协委托各省、自治区、直辖市、计划单列市资产评估协会（以下简称地方协会）负责本地区资产评估师职业资格证书登记的具体工作。</w:t>
      </w:r>
    </w:p>
    <w:p w14:paraId="257A2FD2">
      <w:pPr>
        <w:shd w:val="clear" w:color="auto" w:fill="FFFFFF"/>
        <w:spacing w:line="440" w:lineRule="atLeast"/>
        <w:ind w:firstLine="482"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b/>
          <w:color w:val="000000"/>
          <w:kern w:val="0"/>
          <w:sz w:val="24"/>
          <w:shd w:val="clear" w:color="auto" w:fill="FFFFFF"/>
          <w:lang w:val="zh-TW"/>
        </w:rPr>
        <w:t>第四条</w:t>
      </w:r>
      <w:r>
        <w:rPr>
          <w:rFonts w:hint="eastAsia" w:ascii="宋体" w:hAnsi="宋体" w:eastAsia="宋体" w:cs="宋体"/>
          <w:color w:val="000000"/>
          <w:kern w:val="0"/>
          <w:sz w:val="24"/>
          <w:shd w:val="clear" w:color="auto" w:fill="FFFFFF"/>
          <w:lang w:val="zh-TW"/>
        </w:rPr>
        <w:t>　</w:t>
      </w:r>
      <w:r>
        <w:rPr>
          <w:rFonts w:hint="eastAsia" w:ascii="宋体" w:hAnsi="宋体" w:eastAsia="宋体" w:cs="宋体"/>
          <w:color w:val="000000"/>
          <w:kern w:val="0"/>
          <w:sz w:val="24"/>
          <w:shd w:val="clear" w:color="auto" w:fill="FFFFFF"/>
          <w:lang w:val="zh-TW" w:eastAsia="zh-TW"/>
        </w:rPr>
        <w:t>中评协为取得资产评估师职业资格证书的人员建立诚信档案；对资产评估师职业资格证书登记情况实行定期检查。</w:t>
      </w:r>
    </w:p>
    <w:p w14:paraId="381BC700">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第二章　登记</w:t>
      </w:r>
    </w:p>
    <w:p w14:paraId="68B8F188">
      <w:pPr>
        <w:shd w:val="clear" w:color="auto" w:fill="FFFFFF"/>
        <w:spacing w:line="440" w:lineRule="atLeast"/>
        <w:ind w:firstLine="482"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b/>
          <w:color w:val="000000"/>
          <w:kern w:val="0"/>
          <w:sz w:val="24"/>
          <w:shd w:val="clear" w:color="auto" w:fill="FFFFFF"/>
        </w:rPr>
        <w:t>第五条</w:t>
      </w:r>
      <w:r>
        <w:rPr>
          <w:rFonts w:hint="eastAsia" w:ascii="宋体" w:hAnsi="宋体" w:eastAsia="宋体" w:cs="宋体"/>
          <w:color w:val="000000"/>
          <w:kern w:val="0"/>
          <w:sz w:val="24"/>
          <w:shd w:val="clear" w:color="auto" w:fill="FFFFFF"/>
          <w:lang w:val="zh-TW"/>
        </w:rPr>
        <w:t>　</w:t>
      </w:r>
      <w:r>
        <w:rPr>
          <w:rFonts w:hint="eastAsia" w:ascii="宋体" w:hAnsi="宋体" w:eastAsia="宋体" w:cs="宋体"/>
          <w:color w:val="000000"/>
          <w:kern w:val="0"/>
          <w:sz w:val="24"/>
          <w:shd w:val="clear" w:color="auto" w:fill="FFFFFF"/>
          <w:lang w:val="zh-TW" w:eastAsia="zh-TW"/>
        </w:rPr>
        <w:t>资产评估师职业资格考试合格，由中评协颁发《中华人民共和国资产评估师职业资格证书》，考试合格人员领取该证书后，应当办理资产评估师职业资格证书登记手续。</w:t>
      </w:r>
    </w:p>
    <w:p w14:paraId="6B8A4DC6">
      <w:pPr>
        <w:shd w:val="clear" w:color="auto" w:fill="FFFFFF"/>
        <w:spacing w:line="440" w:lineRule="atLeast"/>
        <w:ind w:firstLine="482"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b/>
          <w:color w:val="000000"/>
          <w:kern w:val="0"/>
          <w:sz w:val="24"/>
          <w:shd w:val="clear" w:color="auto" w:fill="FFFFFF"/>
          <w:lang w:val="zh-TW"/>
        </w:rPr>
        <w:t>第六条</w:t>
      </w:r>
      <w:r>
        <w:rPr>
          <w:rFonts w:hint="eastAsia" w:ascii="宋体" w:hAnsi="宋体" w:eastAsia="宋体" w:cs="宋体"/>
          <w:color w:val="000000"/>
          <w:kern w:val="0"/>
          <w:sz w:val="24"/>
          <w:shd w:val="clear" w:color="auto" w:fill="FFFFFF"/>
          <w:lang w:val="zh-TW"/>
        </w:rPr>
        <w:t>　</w:t>
      </w:r>
      <w:r>
        <w:rPr>
          <w:rFonts w:hint="eastAsia" w:ascii="宋体" w:hAnsi="宋体" w:eastAsia="宋体" w:cs="宋体"/>
          <w:color w:val="000000"/>
          <w:kern w:val="0"/>
          <w:sz w:val="24"/>
          <w:shd w:val="clear" w:color="auto" w:fill="FFFFFF"/>
          <w:lang w:val="zh-TW" w:eastAsia="zh-TW"/>
        </w:rPr>
        <w:t>考试合格人员办理登记应当提交《资产评估师职业资格证书登记表》（附件1）及本人身份证复印件,并根据是否在资产评估机构工作分类登记。</w:t>
      </w:r>
    </w:p>
    <w:p w14:paraId="00AB1C6A">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在资产评估机构工作的考试合格人员（以下简称评估机构人员），办理登记还应当提供下列材料：</w:t>
      </w:r>
    </w:p>
    <w:p w14:paraId="0958C86F">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（一）社会人才交流机构统一管理档案的凭证复印件或者内退、下岗、退休人员相关证明复印件；</w:t>
      </w:r>
    </w:p>
    <w:p w14:paraId="5E139080">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（二）本人与所在机构签订的有效劳动合同复印件。</w:t>
      </w:r>
    </w:p>
    <w:p w14:paraId="681DE5E8">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评估机构人员由所在资产评估机构为其缴纳社会保险费的，办理登记时应当提供缴纳社会保险费凭证复印件。</w:t>
      </w:r>
    </w:p>
    <w:p w14:paraId="423AFDD8">
      <w:pPr>
        <w:shd w:val="clear" w:color="auto" w:fill="FFFFFF"/>
        <w:spacing w:line="440" w:lineRule="atLeast"/>
        <w:ind w:firstLine="482"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b/>
          <w:color w:val="000000"/>
          <w:kern w:val="0"/>
          <w:sz w:val="24"/>
          <w:shd w:val="clear" w:color="auto" w:fill="FFFFFF"/>
          <w:lang w:val="zh-TW"/>
        </w:rPr>
        <w:t>第七条</w:t>
      </w:r>
      <w:r>
        <w:rPr>
          <w:rFonts w:hint="eastAsia" w:ascii="宋体" w:hAnsi="宋体" w:eastAsia="宋体" w:cs="宋体"/>
          <w:color w:val="000000"/>
          <w:kern w:val="0"/>
          <w:sz w:val="24"/>
          <w:shd w:val="clear" w:color="auto" w:fill="FFFFFF"/>
          <w:lang w:val="zh-TW"/>
        </w:rPr>
        <w:t>　</w:t>
      </w:r>
      <w:r>
        <w:rPr>
          <w:rFonts w:hint="eastAsia" w:ascii="宋体" w:hAnsi="宋体" w:eastAsia="宋体" w:cs="宋体"/>
          <w:color w:val="000000"/>
          <w:kern w:val="0"/>
          <w:sz w:val="24"/>
          <w:shd w:val="clear" w:color="auto" w:fill="FFFFFF"/>
          <w:lang w:val="zh-TW" w:eastAsia="zh-TW"/>
        </w:rPr>
        <w:t>考试合格人员有下列情形之一的，不予登记：</w:t>
      </w:r>
    </w:p>
    <w:p w14:paraId="1BD2EA27">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（一）不具有完全民事行为能力；</w:t>
      </w:r>
    </w:p>
    <w:p w14:paraId="65A7DEA4">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（二）因在资产评估相关工作中受刑事处罚，刑罚执行期满未逾5年；</w:t>
      </w:r>
    </w:p>
    <w:p w14:paraId="2FF876F4">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（三）因在资产评估相关工作中违反法律、法规、规章或者职业道德被取消登记未逾5年；</w:t>
      </w:r>
    </w:p>
    <w:p w14:paraId="0EA82912">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（四）因在资产评估、会计、审计、税务、法律等相关工作领域中受行政处罚，自受到行政处罚之日起不满2年；</w:t>
      </w:r>
    </w:p>
    <w:p w14:paraId="297C0DD3">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（五）在申报登记过程中有弄虚作假行为未予登记或者被取消登记的，自不予登记或者取消登记之日起不满3年；</w:t>
      </w:r>
    </w:p>
    <w:p w14:paraId="3F7DB9B5">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（六）中评协规定的其他不予登记的情形。</w:t>
      </w:r>
    </w:p>
    <w:p w14:paraId="19DFEBAF">
      <w:pPr>
        <w:shd w:val="clear" w:color="auto" w:fill="FFFFFF"/>
        <w:spacing w:line="440" w:lineRule="atLeast"/>
        <w:ind w:firstLine="482"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b/>
          <w:color w:val="000000"/>
          <w:kern w:val="0"/>
          <w:sz w:val="24"/>
          <w:shd w:val="clear" w:color="auto" w:fill="FFFFFF"/>
          <w:lang w:val="zh-TW"/>
        </w:rPr>
        <w:t>第八条</w:t>
      </w:r>
      <w:r>
        <w:rPr>
          <w:rFonts w:hint="eastAsia" w:ascii="宋体" w:hAnsi="宋体" w:eastAsia="宋体" w:cs="宋体"/>
          <w:color w:val="000000"/>
          <w:kern w:val="0"/>
          <w:sz w:val="24"/>
          <w:shd w:val="clear" w:color="auto" w:fill="FFFFFF"/>
          <w:lang w:val="zh-TW"/>
        </w:rPr>
        <w:t>　</w:t>
      </w:r>
      <w:r>
        <w:rPr>
          <w:rFonts w:hint="eastAsia" w:ascii="宋体" w:hAnsi="宋体" w:eastAsia="宋体" w:cs="宋体"/>
          <w:color w:val="000000"/>
          <w:kern w:val="0"/>
          <w:sz w:val="24"/>
          <w:shd w:val="clear" w:color="auto" w:fill="FFFFFF"/>
          <w:lang w:val="zh-TW" w:eastAsia="zh-TW"/>
        </w:rPr>
        <w:t>资产评估师职业资格证书登记按照下列程序办理：</w:t>
      </w:r>
    </w:p>
    <w:p w14:paraId="284E597E">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（一）考试合格人员向所在地地方协会提交</w:t>
      </w:r>
      <w:r>
        <w:rPr>
          <w:rFonts w:hint="eastAsia" w:ascii="宋体" w:hAnsi="宋体" w:eastAsia="宋体" w:cs="宋体"/>
          <w:bCs/>
          <w:color w:val="000000"/>
          <w:kern w:val="0"/>
          <w:sz w:val="24"/>
          <w:shd w:val="clear" w:color="auto" w:fill="FFFFFF"/>
          <w:lang w:val="zh-TW"/>
        </w:rPr>
        <w:t>第六条</w:t>
      </w:r>
      <w:r>
        <w:rPr>
          <w:rFonts w:hint="eastAsia" w:ascii="宋体" w:hAnsi="宋体" w:eastAsia="宋体" w:cs="宋体"/>
          <w:color w:val="000000"/>
          <w:kern w:val="0"/>
          <w:sz w:val="24"/>
          <w:shd w:val="clear" w:color="auto" w:fill="FFFFFF"/>
          <w:lang w:val="zh-TW" w:eastAsia="zh-TW"/>
        </w:rPr>
        <w:t>所规定的材料；</w:t>
      </w:r>
    </w:p>
    <w:p w14:paraId="257DC226">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（二）地方协会应当在7个工作日内完成提交材料的审核，将拟予以登记的考试合格人员信息及材料报送中评协；</w:t>
      </w:r>
    </w:p>
    <w:p w14:paraId="3995B981">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（三）中评协自收到材料之日起7个工作日内对符合规定的考试合格人员予以登记；</w:t>
      </w:r>
    </w:p>
    <w:p w14:paraId="06F2E5FB">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（四）考试合格人员可以登录中评协网站查询个人信息。评估机构人员可以下载打印《资产评估师职业资格证书登记卡》（以下简称《登记卡》）。</w:t>
      </w:r>
    </w:p>
    <w:p w14:paraId="45160936">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《登记卡》是评估机构人员从事资产评估业务的有效证明，实行统一编号，全国范围内有效。</w:t>
      </w:r>
    </w:p>
    <w:p w14:paraId="6BF57E52">
      <w:pPr>
        <w:shd w:val="clear" w:color="auto" w:fill="FFFFFF"/>
        <w:spacing w:line="440" w:lineRule="atLeast"/>
        <w:ind w:firstLine="482"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b/>
          <w:color w:val="000000"/>
          <w:kern w:val="0"/>
          <w:sz w:val="24"/>
          <w:shd w:val="clear" w:color="auto" w:fill="FFFFFF"/>
          <w:lang w:val="zh-TW"/>
        </w:rPr>
        <w:t>第九条</w:t>
      </w:r>
      <w:r>
        <w:rPr>
          <w:rFonts w:hint="eastAsia" w:ascii="宋体" w:hAnsi="宋体" w:eastAsia="宋体" w:cs="宋体"/>
          <w:color w:val="000000"/>
          <w:kern w:val="0"/>
          <w:sz w:val="24"/>
          <w:shd w:val="clear" w:color="auto" w:fill="FFFFFF"/>
          <w:lang w:val="zh-TW"/>
        </w:rPr>
        <w:t>　</w:t>
      </w:r>
      <w:r>
        <w:rPr>
          <w:rFonts w:hint="eastAsia" w:ascii="宋体" w:hAnsi="宋体" w:eastAsia="宋体" w:cs="宋体"/>
          <w:color w:val="000000"/>
          <w:kern w:val="0"/>
          <w:sz w:val="24"/>
          <w:shd w:val="clear" w:color="auto" w:fill="FFFFFF"/>
          <w:lang w:val="zh-TW" w:eastAsia="zh-TW"/>
        </w:rPr>
        <w:t>经登记的资产评估师应当加入行业协会，接受自律管理。</w:t>
      </w:r>
    </w:p>
    <w:p w14:paraId="11D45BBD">
      <w:pPr>
        <w:shd w:val="clear" w:color="auto" w:fill="FFFFFF"/>
        <w:spacing w:line="440" w:lineRule="atLeast"/>
        <w:ind w:firstLine="482"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b/>
          <w:color w:val="000000"/>
          <w:kern w:val="0"/>
          <w:sz w:val="24"/>
          <w:shd w:val="clear" w:color="auto" w:fill="FFFFFF"/>
          <w:lang w:val="zh-TW"/>
        </w:rPr>
        <w:t>第十条</w:t>
      </w:r>
      <w:r>
        <w:rPr>
          <w:rFonts w:hint="eastAsia" w:ascii="宋体" w:hAnsi="宋体" w:eastAsia="宋体" w:cs="宋体"/>
          <w:color w:val="000000"/>
          <w:kern w:val="0"/>
          <w:sz w:val="24"/>
          <w:shd w:val="clear" w:color="auto" w:fill="FFFFFF"/>
          <w:lang w:val="zh-TW"/>
        </w:rPr>
        <w:t>　</w:t>
      </w:r>
      <w:r>
        <w:rPr>
          <w:rFonts w:hint="eastAsia" w:ascii="宋体" w:hAnsi="宋体" w:eastAsia="宋体" w:cs="宋体"/>
          <w:color w:val="000000"/>
          <w:kern w:val="0"/>
          <w:sz w:val="24"/>
          <w:shd w:val="clear" w:color="auto" w:fill="FFFFFF"/>
          <w:lang w:val="zh-TW" w:eastAsia="zh-TW"/>
        </w:rPr>
        <w:t>中评协定期通过协会网站或者其他公共媒体向社会分类公布资产评估师登记情况。</w:t>
      </w:r>
    </w:p>
    <w:p w14:paraId="5DB7169A">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第三章　变更和注销</w:t>
      </w:r>
    </w:p>
    <w:p w14:paraId="3A236C8C">
      <w:pPr>
        <w:shd w:val="clear" w:color="auto" w:fill="FFFFFF"/>
        <w:spacing w:line="440" w:lineRule="atLeast"/>
        <w:ind w:firstLine="482"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b/>
          <w:color w:val="000000"/>
          <w:kern w:val="0"/>
          <w:sz w:val="24"/>
          <w:shd w:val="clear" w:color="auto" w:fill="FFFFFF"/>
        </w:rPr>
        <w:t>第十一条</w:t>
      </w:r>
      <w:r>
        <w:rPr>
          <w:rFonts w:hint="eastAsia" w:ascii="宋体" w:hAnsi="宋体" w:eastAsia="宋体" w:cs="宋体"/>
          <w:color w:val="000000"/>
          <w:kern w:val="0"/>
          <w:sz w:val="24"/>
          <w:shd w:val="clear" w:color="auto" w:fill="FFFFFF"/>
          <w:lang w:val="zh-TW"/>
        </w:rPr>
        <w:t>　</w:t>
      </w:r>
      <w:r>
        <w:rPr>
          <w:rFonts w:hint="eastAsia" w:ascii="宋体" w:hAnsi="宋体" w:eastAsia="宋体" w:cs="宋体"/>
          <w:color w:val="000000"/>
          <w:kern w:val="0"/>
          <w:sz w:val="24"/>
          <w:shd w:val="clear" w:color="auto" w:fill="FFFFFF"/>
          <w:lang w:val="zh-TW" w:eastAsia="zh-TW"/>
        </w:rPr>
        <w:t>资产评估师登记信息发生变更的，应当于变更之日起30日内通过中评协网站办理变更登记。其中：</w:t>
      </w:r>
    </w:p>
    <w:p w14:paraId="03FBAACE">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（一）姓名或者身份证号码发生变更的，应当向所在地地方协会提交有关公安机关的证明材料，由地方协会审核并报中评协确认后进行变更；</w:t>
      </w:r>
    </w:p>
    <w:p w14:paraId="244AEF34">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（二）资产评估师变更登记类别的，应当向所在地地方协会提交相关工作证明材料，由地方协会审核并报中评协确认后进行变更；</w:t>
      </w:r>
    </w:p>
    <w:p w14:paraId="57CF586C">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（三）资产评估师变更工作单位的，应当向所在地地方协会提交相关证明材料，由地方协会审核并报中评协确认后进行变更。</w:t>
      </w:r>
    </w:p>
    <w:p w14:paraId="4920FD31">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地方协会受理上述变更事项的，应当自受理之日起7个工作日内完成信息变更审核，并报中评协确认。</w:t>
      </w:r>
    </w:p>
    <w:p w14:paraId="791AC438">
      <w:pPr>
        <w:shd w:val="clear" w:color="auto" w:fill="FFFFFF"/>
        <w:spacing w:line="440" w:lineRule="atLeast"/>
        <w:ind w:firstLine="482"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b/>
          <w:color w:val="000000"/>
          <w:kern w:val="0"/>
          <w:sz w:val="24"/>
          <w:shd w:val="clear" w:color="auto" w:fill="FFFFFF"/>
          <w:lang w:val="zh-TW"/>
        </w:rPr>
        <w:t>第十二条</w:t>
      </w:r>
      <w:r>
        <w:rPr>
          <w:rFonts w:hint="eastAsia" w:ascii="宋体" w:hAnsi="宋体" w:eastAsia="宋体" w:cs="宋体"/>
          <w:color w:val="000000"/>
          <w:kern w:val="0"/>
          <w:sz w:val="24"/>
          <w:shd w:val="clear" w:color="auto" w:fill="FFFFFF"/>
          <w:lang w:val="zh-TW"/>
        </w:rPr>
        <w:t>　</w:t>
      </w:r>
      <w:r>
        <w:rPr>
          <w:rFonts w:hint="eastAsia" w:ascii="宋体" w:hAnsi="宋体" w:eastAsia="宋体" w:cs="宋体"/>
          <w:color w:val="000000"/>
          <w:kern w:val="0"/>
          <w:sz w:val="24"/>
          <w:shd w:val="clear" w:color="auto" w:fill="FFFFFF"/>
          <w:lang w:val="zh-TW" w:eastAsia="zh-TW"/>
        </w:rPr>
        <w:t>资产评估师有下列情形之一的，由地方协会报中评协注销登记：</w:t>
      </w:r>
    </w:p>
    <w:p w14:paraId="34A1156A">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（一）不具有完全民事行为能力；</w:t>
      </w:r>
    </w:p>
    <w:p w14:paraId="2CAD87DF">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（二）自愿申请注销登记；</w:t>
      </w:r>
    </w:p>
    <w:p w14:paraId="05B6F6D9">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（三）死亡或者被依法宣告死亡；</w:t>
      </w:r>
    </w:p>
    <w:p w14:paraId="3905AFF1">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（四）中评协规定的其他情形。</w:t>
      </w:r>
    </w:p>
    <w:p w14:paraId="4B5E7FAF">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第四章　诚信档案</w:t>
      </w:r>
    </w:p>
    <w:p w14:paraId="4797BA4E">
      <w:pPr>
        <w:shd w:val="clear" w:color="auto" w:fill="FFFFFF"/>
        <w:spacing w:line="440" w:lineRule="atLeast"/>
        <w:ind w:firstLine="482"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b/>
          <w:color w:val="000000"/>
          <w:kern w:val="0"/>
          <w:sz w:val="24"/>
          <w:shd w:val="clear" w:color="auto" w:fill="FFFFFF"/>
        </w:rPr>
        <w:t>第十三条</w:t>
      </w:r>
      <w:r>
        <w:rPr>
          <w:rFonts w:hint="eastAsia" w:ascii="宋体" w:hAnsi="宋体" w:eastAsia="宋体" w:cs="宋体"/>
          <w:color w:val="000000"/>
          <w:kern w:val="0"/>
          <w:sz w:val="24"/>
          <w:shd w:val="clear" w:color="auto" w:fill="FFFFFF"/>
          <w:lang w:val="zh-TW"/>
        </w:rPr>
        <w:t>　</w:t>
      </w:r>
      <w:r>
        <w:rPr>
          <w:rFonts w:hint="eastAsia" w:ascii="宋体" w:hAnsi="宋体" w:eastAsia="宋体" w:cs="宋体"/>
          <w:color w:val="000000"/>
          <w:kern w:val="0"/>
          <w:sz w:val="24"/>
          <w:shd w:val="clear" w:color="auto" w:fill="FFFFFF"/>
          <w:lang w:val="zh-TW" w:eastAsia="zh-TW"/>
        </w:rPr>
        <w:t>中评协为资产评估师建立诚信档案，诚信档案的主要内容包括：</w:t>
      </w:r>
    </w:p>
    <w:p w14:paraId="0655B544">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（一）良好行为记录</w:t>
      </w:r>
    </w:p>
    <w:p w14:paraId="53B02792">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1.受到行业协会执业质量、行业贡献等表彰、奖励情况；</w:t>
      </w:r>
    </w:p>
    <w:p w14:paraId="413CA1E8">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2.受到县级以上政府部门、社会组织表彰、奖励情况；</w:t>
      </w:r>
    </w:p>
    <w:p w14:paraId="38C1AEED">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3.当选各级人大代表、政协委员以及在政府、社会组织中任职情况；</w:t>
      </w:r>
    </w:p>
    <w:p w14:paraId="5B524032">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4.热心公益事业情况；</w:t>
      </w:r>
    </w:p>
    <w:p w14:paraId="1385C83C">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5.其他良好行为。</w:t>
      </w:r>
    </w:p>
    <w:p w14:paraId="3397A369">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（二）提示信息记录</w:t>
      </w:r>
    </w:p>
    <w:p w14:paraId="53D5DAF5">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1.被行业协会发关注函或者谈话提醒等非自律惩戒情况；</w:t>
      </w:r>
    </w:p>
    <w:p w14:paraId="4DBE1AF8">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2.被政府部门发关注函或者谈话提醒等非行政处罚情况。</w:t>
      </w:r>
    </w:p>
    <w:p w14:paraId="1B2F049F">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（三）不良行为记录</w:t>
      </w:r>
    </w:p>
    <w:p w14:paraId="5BC5556D">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1.受到行业协会自律惩戒情况；</w:t>
      </w:r>
    </w:p>
    <w:p w14:paraId="36664901">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2.受到行政处罚、刑事处罚情况；</w:t>
      </w:r>
    </w:p>
    <w:p w14:paraId="5F558690">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3.其他不良行为。</w:t>
      </w:r>
    </w:p>
    <w:p w14:paraId="5B058FA3">
      <w:pPr>
        <w:shd w:val="clear" w:color="auto" w:fill="FFFFFF"/>
        <w:spacing w:line="440" w:lineRule="atLeast"/>
        <w:ind w:firstLine="482"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b/>
          <w:color w:val="000000"/>
          <w:kern w:val="0"/>
          <w:sz w:val="24"/>
          <w:shd w:val="clear" w:color="auto" w:fill="FFFFFF"/>
          <w:lang w:val="zh-TW"/>
        </w:rPr>
        <w:t>第十四条</w:t>
      </w:r>
      <w:r>
        <w:rPr>
          <w:rFonts w:hint="eastAsia" w:ascii="宋体" w:hAnsi="宋体" w:eastAsia="宋体" w:cs="宋体"/>
          <w:color w:val="000000"/>
          <w:kern w:val="0"/>
          <w:sz w:val="24"/>
          <w:shd w:val="clear" w:color="auto" w:fill="FFFFFF"/>
          <w:lang w:val="zh-TW"/>
        </w:rPr>
        <w:t>　</w:t>
      </w:r>
      <w:r>
        <w:rPr>
          <w:rFonts w:hint="eastAsia" w:ascii="宋体" w:hAnsi="宋体" w:eastAsia="宋体" w:cs="宋体"/>
          <w:color w:val="000000"/>
          <w:kern w:val="0"/>
          <w:sz w:val="24"/>
          <w:shd w:val="clear" w:color="auto" w:fill="FFFFFF"/>
          <w:lang w:val="zh-TW" w:eastAsia="zh-TW"/>
        </w:rPr>
        <w:t>资产评估师出现</w:t>
      </w:r>
      <w:r>
        <w:rPr>
          <w:rFonts w:hint="eastAsia" w:ascii="宋体" w:hAnsi="宋体" w:eastAsia="宋体" w:cs="宋体"/>
          <w:bCs/>
          <w:color w:val="000000"/>
          <w:kern w:val="0"/>
          <w:sz w:val="24"/>
          <w:shd w:val="clear" w:color="auto" w:fill="FFFFFF"/>
          <w:lang w:val="zh-TW"/>
        </w:rPr>
        <w:t>第十三条</w:t>
      </w:r>
      <w:r>
        <w:rPr>
          <w:rFonts w:hint="eastAsia" w:ascii="宋体" w:hAnsi="宋体" w:eastAsia="宋体" w:cs="宋体"/>
          <w:bCs/>
          <w:color w:val="000000"/>
          <w:kern w:val="0"/>
          <w:sz w:val="24"/>
          <w:shd w:val="clear" w:color="auto" w:fill="FFFFFF"/>
          <w:lang w:val="zh-TW" w:eastAsia="zh-TW"/>
        </w:rPr>
        <w:t>规</w:t>
      </w:r>
      <w:r>
        <w:rPr>
          <w:rFonts w:hint="eastAsia" w:ascii="宋体" w:hAnsi="宋体" w:eastAsia="宋体" w:cs="宋体"/>
          <w:color w:val="000000"/>
          <w:kern w:val="0"/>
          <w:sz w:val="24"/>
          <w:shd w:val="clear" w:color="auto" w:fill="FFFFFF"/>
          <w:lang w:val="zh-TW" w:eastAsia="zh-TW"/>
        </w:rPr>
        <w:t>定情形的，应当填写诚信信息申报表（附件2），通过中评协网站进行申报，并对所申报资料、信息的真实性和合法性负责。</w:t>
      </w:r>
    </w:p>
    <w:p w14:paraId="7B5904FB">
      <w:pPr>
        <w:shd w:val="clear" w:color="auto" w:fill="FFFFFF"/>
        <w:spacing w:line="440" w:lineRule="atLeast"/>
        <w:ind w:firstLine="482"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b/>
          <w:color w:val="000000"/>
          <w:kern w:val="0"/>
          <w:sz w:val="24"/>
          <w:shd w:val="clear" w:color="auto" w:fill="FFFFFF"/>
          <w:lang w:val="zh-TW"/>
        </w:rPr>
        <w:t>第十五条</w:t>
      </w:r>
      <w:r>
        <w:rPr>
          <w:rFonts w:hint="eastAsia" w:ascii="宋体" w:hAnsi="宋体" w:eastAsia="宋体" w:cs="宋体"/>
          <w:color w:val="000000"/>
          <w:kern w:val="0"/>
          <w:sz w:val="24"/>
          <w:shd w:val="clear" w:color="auto" w:fill="FFFFFF"/>
          <w:lang w:val="zh-TW"/>
        </w:rPr>
        <w:t>　</w:t>
      </w:r>
      <w:r>
        <w:rPr>
          <w:rFonts w:hint="eastAsia" w:ascii="宋体" w:hAnsi="宋体" w:eastAsia="宋体" w:cs="宋体"/>
          <w:color w:val="000000"/>
          <w:kern w:val="0"/>
          <w:sz w:val="24"/>
          <w:shd w:val="clear" w:color="auto" w:fill="FFFFFF"/>
          <w:lang w:val="zh-TW" w:eastAsia="zh-TW"/>
        </w:rPr>
        <w:t>地方协会及时搜集资产评估师的有关诚信信息，对搜集的和资产评估师提交的诚信信息进行核查记入诚信档案。</w:t>
      </w:r>
    </w:p>
    <w:p w14:paraId="59DC40C1">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p>
    <w:p w14:paraId="6C435DA6">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第五章　定期检查</w:t>
      </w:r>
    </w:p>
    <w:p w14:paraId="07F7E458">
      <w:pPr>
        <w:shd w:val="clear" w:color="auto" w:fill="FFFFFF"/>
        <w:spacing w:line="440" w:lineRule="atLeast"/>
        <w:ind w:firstLine="482"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b/>
          <w:color w:val="000000"/>
          <w:kern w:val="0"/>
          <w:sz w:val="24"/>
          <w:shd w:val="clear" w:color="auto" w:fill="FFFFFF"/>
        </w:rPr>
        <w:t>第十六条</w:t>
      </w:r>
      <w:r>
        <w:rPr>
          <w:rFonts w:hint="eastAsia" w:ascii="宋体" w:hAnsi="宋体" w:eastAsia="宋体" w:cs="宋体"/>
          <w:color w:val="000000"/>
          <w:kern w:val="0"/>
          <w:sz w:val="24"/>
          <w:shd w:val="clear" w:color="auto" w:fill="FFFFFF"/>
          <w:lang w:val="zh-TW"/>
        </w:rPr>
        <w:t>　</w:t>
      </w:r>
      <w:r>
        <w:rPr>
          <w:rFonts w:hint="eastAsia" w:ascii="宋体" w:hAnsi="宋体" w:eastAsia="宋体" w:cs="宋体"/>
          <w:color w:val="000000"/>
          <w:kern w:val="0"/>
          <w:sz w:val="24"/>
          <w:shd w:val="clear" w:color="auto" w:fill="FFFFFF"/>
          <w:lang w:val="zh-TW" w:eastAsia="zh-TW"/>
        </w:rPr>
        <w:t>资产评估师职业资格证书登记实行定期检查。评估机构人员应当接受由所在地地方协会组织的年检。非评估机构人员应当接受由所在地地方协会组织的抽查。</w:t>
      </w:r>
    </w:p>
    <w:p w14:paraId="35E1AE94">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定期检查工作由中评协监督、指导，地方协会具体负责，中评协可以根据需要对地方协会的定期检查工作进行抽查。</w:t>
      </w:r>
    </w:p>
    <w:p w14:paraId="3F753651">
      <w:pPr>
        <w:shd w:val="clear" w:color="auto" w:fill="FFFFFF"/>
        <w:spacing w:line="440" w:lineRule="atLeast"/>
        <w:ind w:firstLine="482"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b/>
          <w:color w:val="000000"/>
          <w:kern w:val="0"/>
          <w:sz w:val="24"/>
          <w:shd w:val="clear" w:color="auto" w:fill="FFFFFF"/>
          <w:lang w:val="zh-TW"/>
        </w:rPr>
        <w:t>第十七条</w:t>
      </w:r>
      <w:r>
        <w:rPr>
          <w:rFonts w:hint="eastAsia" w:ascii="宋体" w:hAnsi="宋体" w:eastAsia="宋体" w:cs="宋体"/>
          <w:color w:val="000000"/>
          <w:kern w:val="0"/>
          <w:sz w:val="24"/>
          <w:shd w:val="clear" w:color="auto" w:fill="FFFFFF"/>
          <w:lang w:val="zh-TW"/>
        </w:rPr>
        <w:t>　</w:t>
      </w:r>
      <w:r>
        <w:rPr>
          <w:rFonts w:hint="eastAsia" w:ascii="宋体" w:hAnsi="宋体" w:eastAsia="宋体" w:cs="宋体"/>
          <w:color w:val="000000"/>
          <w:kern w:val="0"/>
          <w:sz w:val="24"/>
          <w:shd w:val="clear" w:color="auto" w:fill="FFFFFF"/>
          <w:lang w:val="zh-TW" w:eastAsia="zh-TW"/>
        </w:rPr>
        <w:t>年检的主要内容包括：</w:t>
      </w:r>
    </w:p>
    <w:p w14:paraId="273249E4">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（一）是否具有完全民事行为能力；</w:t>
      </w:r>
    </w:p>
    <w:p w14:paraId="3145B955">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（二）是否存在违反资产评估相关法律、行政法规、规章或者职业道德的情况；</w:t>
      </w:r>
    </w:p>
    <w:p w14:paraId="3DE857AE">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（三）是否按规定接受继续教育；</w:t>
      </w:r>
    </w:p>
    <w:p w14:paraId="108B1A0B">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（四）是否按本办法</w:t>
      </w:r>
      <w:r>
        <w:rPr>
          <w:rFonts w:hint="eastAsia" w:ascii="宋体" w:hAnsi="宋体" w:eastAsia="宋体" w:cs="宋体"/>
          <w:color w:val="000000"/>
          <w:kern w:val="0"/>
          <w:sz w:val="24"/>
          <w:shd w:val="clear" w:color="auto" w:fill="FFFFFF"/>
          <w:lang w:val="zh-TW"/>
        </w:rPr>
        <w:t>第十一条</w:t>
      </w:r>
      <w:r>
        <w:rPr>
          <w:rFonts w:hint="eastAsia" w:ascii="宋体" w:hAnsi="宋体" w:eastAsia="宋体" w:cs="宋体"/>
          <w:color w:val="000000"/>
          <w:kern w:val="0"/>
          <w:sz w:val="24"/>
          <w:shd w:val="clear" w:color="auto" w:fill="FFFFFF"/>
          <w:lang w:val="zh-TW" w:eastAsia="zh-TW"/>
        </w:rPr>
        <w:t>规定及时办理变更手续；</w:t>
      </w:r>
    </w:p>
    <w:p w14:paraId="09F0CFCF">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（五）是否按规定报送本人诚信信息；</w:t>
      </w:r>
    </w:p>
    <w:p w14:paraId="2382AABA">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（六）是否符合本办法</w:t>
      </w:r>
      <w:r>
        <w:rPr>
          <w:rFonts w:hint="eastAsia" w:ascii="宋体" w:hAnsi="宋体" w:eastAsia="宋体" w:cs="宋体"/>
          <w:color w:val="000000"/>
          <w:kern w:val="0"/>
          <w:sz w:val="24"/>
          <w:shd w:val="clear" w:color="auto" w:fill="FFFFFF"/>
          <w:lang w:val="zh-TW"/>
        </w:rPr>
        <w:t>第六条</w:t>
      </w:r>
      <w:r>
        <w:rPr>
          <w:rFonts w:hint="eastAsia" w:ascii="宋体" w:hAnsi="宋体" w:eastAsia="宋体" w:cs="宋体"/>
          <w:color w:val="000000"/>
          <w:kern w:val="0"/>
          <w:sz w:val="24"/>
          <w:shd w:val="clear" w:color="auto" w:fill="FFFFFF"/>
          <w:lang w:val="zh-TW" w:eastAsia="zh-TW"/>
        </w:rPr>
        <w:t>规定的在资产评估机构工作的条件；</w:t>
      </w:r>
    </w:p>
    <w:p w14:paraId="2F3299BA">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（七）是否加入行业协会。</w:t>
      </w:r>
    </w:p>
    <w:p w14:paraId="0906071F">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抽查的主要内容和时间由中评协根据实际情况另行确定。</w:t>
      </w:r>
    </w:p>
    <w:p w14:paraId="6A808889">
      <w:pPr>
        <w:shd w:val="clear" w:color="auto" w:fill="FFFFFF"/>
        <w:spacing w:line="440" w:lineRule="atLeast"/>
        <w:ind w:firstLine="482"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b/>
          <w:color w:val="000000"/>
          <w:kern w:val="0"/>
          <w:sz w:val="24"/>
          <w:shd w:val="clear" w:color="auto" w:fill="FFFFFF"/>
          <w:lang w:val="zh-TW"/>
        </w:rPr>
        <w:t>第十八条</w:t>
      </w:r>
      <w:r>
        <w:rPr>
          <w:rFonts w:hint="eastAsia" w:ascii="宋体" w:hAnsi="宋体" w:eastAsia="宋体" w:cs="宋体"/>
          <w:color w:val="000000"/>
          <w:kern w:val="0"/>
          <w:sz w:val="24"/>
          <w:shd w:val="clear" w:color="auto" w:fill="FFFFFF"/>
          <w:lang w:val="zh-TW"/>
        </w:rPr>
        <w:t>　</w:t>
      </w:r>
      <w:r>
        <w:rPr>
          <w:rFonts w:hint="eastAsia" w:ascii="宋体" w:hAnsi="宋体" w:eastAsia="宋体" w:cs="宋体"/>
          <w:color w:val="000000"/>
          <w:kern w:val="0"/>
          <w:sz w:val="24"/>
          <w:shd w:val="clear" w:color="auto" w:fill="FFFFFF"/>
          <w:lang w:val="zh-TW" w:eastAsia="zh-TW"/>
        </w:rPr>
        <w:t>评估机构人员应当在规定时间内向所在地地方协会提交年检材料，可以与中评协执业会员年检材料合并提交。地方协会对评估机构人员按下列情形分别处理：</w:t>
      </w:r>
    </w:p>
    <w:p w14:paraId="6A1027D8">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（一）对符合各项规定的，予以通过年检；</w:t>
      </w:r>
    </w:p>
    <w:p w14:paraId="50442784">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（二）对违反有关规定但不符合取消资产评估师职业资格证书登记条件的，暂缓通过年检，并责令限期改正，在限期内完成改正的予以通过年检，未完成改正的不予通过年检。因不符合本办法</w:t>
      </w:r>
      <w:r>
        <w:rPr>
          <w:rFonts w:hint="eastAsia" w:ascii="宋体" w:hAnsi="宋体" w:eastAsia="宋体" w:cs="宋体"/>
          <w:bCs/>
          <w:color w:val="000000"/>
          <w:kern w:val="0"/>
          <w:sz w:val="24"/>
          <w:shd w:val="clear" w:color="auto" w:fill="FFFFFF"/>
          <w:lang w:val="zh-TW"/>
        </w:rPr>
        <w:t>第六条</w:t>
      </w:r>
      <w:r>
        <w:rPr>
          <w:rFonts w:hint="eastAsia" w:ascii="宋体" w:hAnsi="宋体" w:eastAsia="宋体" w:cs="宋体"/>
          <w:color w:val="000000"/>
          <w:kern w:val="0"/>
          <w:sz w:val="24"/>
          <w:shd w:val="clear" w:color="auto" w:fill="FFFFFF"/>
          <w:lang w:val="zh-TW" w:eastAsia="zh-TW"/>
        </w:rPr>
        <w:t>规定的在资产评估机构工作条件而不予通过年检的,应当变更其登记类别；</w:t>
      </w:r>
    </w:p>
    <w:p w14:paraId="6F5DD1DC">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（三）对违反有关规定，符合取消资产评估师职业资格证书登记条件的，不予通过年检。</w:t>
      </w:r>
    </w:p>
    <w:p w14:paraId="520AB1F0">
      <w:pPr>
        <w:shd w:val="clear" w:color="auto" w:fill="FFFFFF"/>
        <w:spacing w:line="440" w:lineRule="atLeast"/>
        <w:ind w:firstLine="482"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b/>
          <w:color w:val="000000"/>
          <w:kern w:val="0"/>
          <w:sz w:val="24"/>
          <w:shd w:val="clear" w:color="auto" w:fill="FFFFFF"/>
          <w:lang w:val="zh-TW"/>
        </w:rPr>
        <w:t>第十九条</w:t>
      </w:r>
      <w:r>
        <w:rPr>
          <w:rFonts w:hint="eastAsia" w:ascii="宋体" w:hAnsi="宋体" w:eastAsia="宋体" w:cs="宋体"/>
          <w:color w:val="000000"/>
          <w:kern w:val="0"/>
          <w:sz w:val="24"/>
          <w:shd w:val="clear" w:color="auto" w:fill="FFFFFF"/>
          <w:lang w:val="zh-TW"/>
        </w:rPr>
        <w:t>　</w:t>
      </w:r>
      <w:r>
        <w:rPr>
          <w:rFonts w:hint="eastAsia" w:ascii="宋体" w:hAnsi="宋体" w:eastAsia="宋体" w:cs="宋体"/>
          <w:color w:val="000000"/>
          <w:kern w:val="0"/>
          <w:sz w:val="24"/>
          <w:shd w:val="clear" w:color="auto" w:fill="FFFFFF"/>
          <w:lang w:val="zh-TW" w:eastAsia="zh-TW"/>
        </w:rPr>
        <w:t>对未按要求接受定期检查的资产评估师，地方协会在检查材料提交截止日起2个月内，向社会予以公告并限期报送，限期内仍未提交相关信息的，不予通过定期检查。</w:t>
      </w:r>
    </w:p>
    <w:p w14:paraId="76A723F6">
      <w:pPr>
        <w:shd w:val="clear" w:color="auto" w:fill="FFFFFF"/>
        <w:spacing w:line="440" w:lineRule="atLeast"/>
        <w:ind w:firstLine="482"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b/>
          <w:color w:val="000000"/>
          <w:kern w:val="0"/>
          <w:sz w:val="24"/>
          <w:shd w:val="clear" w:color="auto" w:fill="FFFFFF"/>
          <w:lang w:val="zh-TW"/>
        </w:rPr>
        <w:t>第二十条</w:t>
      </w:r>
      <w:r>
        <w:rPr>
          <w:rFonts w:hint="eastAsia" w:ascii="宋体" w:hAnsi="宋体" w:eastAsia="宋体" w:cs="宋体"/>
          <w:color w:val="000000"/>
          <w:kern w:val="0"/>
          <w:sz w:val="24"/>
          <w:shd w:val="clear" w:color="auto" w:fill="FFFFFF"/>
          <w:lang w:val="zh-TW"/>
        </w:rPr>
        <w:t>　</w:t>
      </w:r>
      <w:r>
        <w:rPr>
          <w:rFonts w:hint="eastAsia" w:ascii="宋体" w:hAnsi="宋体" w:eastAsia="宋体" w:cs="宋体"/>
          <w:color w:val="000000"/>
          <w:kern w:val="0"/>
          <w:sz w:val="24"/>
          <w:shd w:val="clear" w:color="auto" w:fill="FFFFFF"/>
          <w:lang w:val="zh-TW" w:eastAsia="zh-TW"/>
        </w:rPr>
        <w:t>地方协会在定期检查工作结束后，将检查情况报中评协确认，并通过中评协网站或者其他公共媒体向社会公布。</w:t>
      </w:r>
    </w:p>
    <w:p w14:paraId="2BC8EFE7">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第六章　惩戒</w:t>
      </w:r>
    </w:p>
    <w:p w14:paraId="44CEED13">
      <w:pPr>
        <w:shd w:val="clear" w:color="auto" w:fill="FFFFFF"/>
        <w:spacing w:line="440" w:lineRule="atLeast"/>
        <w:ind w:firstLine="482"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b/>
          <w:color w:val="000000"/>
          <w:kern w:val="0"/>
          <w:sz w:val="24"/>
          <w:shd w:val="clear" w:color="auto" w:fill="FFFFFF"/>
        </w:rPr>
        <w:t>第二十一条</w:t>
      </w:r>
      <w:r>
        <w:rPr>
          <w:rFonts w:hint="eastAsia" w:ascii="宋体" w:hAnsi="宋体" w:eastAsia="宋体" w:cs="宋体"/>
          <w:color w:val="000000"/>
          <w:kern w:val="0"/>
          <w:sz w:val="24"/>
          <w:shd w:val="clear" w:color="auto" w:fill="FFFFFF"/>
          <w:lang w:val="zh-TW"/>
        </w:rPr>
        <w:t>　</w:t>
      </w:r>
      <w:r>
        <w:rPr>
          <w:rFonts w:hint="eastAsia" w:ascii="宋体" w:hAnsi="宋体" w:eastAsia="宋体" w:cs="宋体"/>
          <w:color w:val="000000"/>
          <w:kern w:val="0"/>
          <w:sz w:val="24"/>
          <w:shd w:val="clear" w:color="auto" w:fill="FFFFFF"/>
          <w:lang w:val="zh-TW" w:eastAsia="zh-TW"/>
        </w:rPr>
        <w:t>资产评估师有下列情形之一的，地方协会应当责令限期改正，视情节轻重，予以谈话提醒、警告或者通报批评。</w:t>
      </w:r>
    </w:p>
    <w:p w14:paraId="341E1242">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（一）未按本办法</w:t>
      </w:r>
      <w:r>
        <w:rPr>
          <w:rFonts w:hint="eastAsia" w:ascii="宋体" w:hAnsi="宋体" w:eastAsia="宋体" w:cs="宋体"/>
          <w:bCs/>
          <w:color w:val="000000"/>
          <w:kern w:val="0"/>
          <w:sz w:val="24"/>
          <w:shd w:val="clear" w:color="auto" w:fill="FFFFFF"/>
          <w:lang w:val="zh-TW"/>
        </w:rPr>
        <w:t>第十一条</w:t>
      </w:r>
      <w:r>
        <w:rPr>
          <w:rFonts w:hint="eastAsia" w:ascii="宋体" w:hAnsi="宋体" w:eastAsia="宋体" w:cs="宋体"/>
          <w:color w:val="000000"/>
          <w:kern w:val="0"/>
          <w:sz w:val="24"/>
          <w:shd w:val="clear" w:color="auto" w:fill="FFFFFF"/>
          <w:lang w:val="zh-TW" w:eastAsia="zh-TW"/>
        </w:rPr>
        <w:t>规定办理变更手续；</w:t>
      </w:r>
    </w:p>
    <w:p w14:paraId="784C85FE">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（二）未按有关制度报送或者更新诚信信息。</w:t>
      </w:r>
    </w:p>
    <w:p w14:paraId="2BCC1E82">
      <w:pPr>
        <w:shd w:val="clear" w:color="auto" w:fill="FFFFFF"/>
        <w:spacing w:line="440" w:lineRule="atLeast"/>
        <w:ind w:firstLine="482"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b/>
          <w:color w:val="000000"/>
          <w:kern w:val="0"/>
          <w:sz w:val="24"/>
          <w:shd w:val="clear" w:color="auto" w:fill="FFFFFF"/>
          <w:lang w:val="zh-TW"/>
        </w:rPr>
        <w:t>第二十二条</w:t>
      </w:r>
      <w:r>
        <w:rPr>
          <w:rFonts w:hint="eastAsia" w:ascii="宋体" w:hAnsi="宋体" w:eastAsia="宋体" w:cs="宋体"/>
          <w:color w:val="000000"/>
          <w:kern w:val="0"/>
          <w:sz w:val="24"/>
          <w:shd w:val="clear" w:color="auto" w:fill="FFFFFF"/>
          <w:lang w:val="zh-TW"/>
        </w:rPr>
        <w:t>　</w:t>
      </w:r>
      <w:r>
        <w:rPr>
          <w:rFonts w:hint="eastAsia" w:ascii="宋体" w:hAnsi="宋体" w:eastAsia="宋体" w:cs="宋体"/>
          <w:color w:val="000000"/>
          <w:kern w:val="0"/>
          <w:sz w:val="24"/>
          <w:shd w:val="clear" w:color="auto" w:fill="FFFFFF"/>
          <w:lang w:val="zh-TW" w:eastAsia="zh-TW"/>
        </w:rPr>
        <w:t>资产评估师有下列情形之一的，由地方协会报中评协或者由中评协直接取消资产评估师职业资格证书登记，情节严重的，收回其职业资格证书。</w:t>
      </w:r>
    </w:p>
    <w:p w14:paraId="24DEBD8D">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（一）在登记过程中有弄虚作假行为的；</w:t>
      </w:r>
    </w:p>
    <w:p w14:paraId="651B8955">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（二）在资产评估相关工作中有违反法律、行政法规、规章或者职业道德的；</w:t>
      </w:r>
    </w:p>
    <w:p w14:paraId="54F9B4AA">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（三）未通过定期检查的；</w:t>
      </w:r>
    </w:p>
    <w:p w14:paraId="5630B024">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（四）发生</w:t>
      </w:r>
      <w:r>
        <w:rPr>
          <w:rFonts w:hint="eastAsia" w:ascii="宋体" w:hAnsi="宋体" w:eastAsia="宋体" w:cs="宋体"/>
          <w:color w:val="000000"/>
          <w:kern w:val="0"/>
          <w:sz w:val="24"/>
          <w:shd w:val="clear" w:color="auto" w:fill="FFFFFF"/>
          <w:lang w:val="zh-TW"/>
        </w:rPr>
        <w:t>第二十一条</w:t>
      </w:r>
      <w:r>
        <w:rPr>
          <w:rFonts w:hint="eastAsia" w:ascii="宋体" w:hAnsi="宋体" w:eastAsia="宋体" w:cs="宋体"/>
          <w:color w:val="000000"/>
          <w:kern w:val="0"/>
          <w:sz w:val="24"/>
          <w:shd w:val="clear" w:color="auto" w:fill="FFFFFF"/>
          <w:lang w:val="zh-TW" w:eastAsia="zh-TW"/>
        </w:rPr>
        <w:t>情形又拒不改正的。</w:t>
      </w:r>
    </w:p>
    <w:p w14:paraId="04416078">
      <w:pPr>
        <w:shd w:val="clear" w:color="auto" w:fill="FFFFFF"/>
        <w:spacing w:line="440" w:lineRule="atLeast"/>
        <w:ind w:firstLine="482"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b/>
          <w:color w:val="000000"/>
          <w:kern w:val="0"/>
          <w:sz w:val="24"/>
          <w:shd w:val="clear" w:color="auto" w:fill="FFFFFF"/>
          <w:lang w:val="zh-TW"/>
        </w:rPr>
        <w:t>第二十三条</w:t>
      </w:r>
      <w:r>
        <w:rPr>
          <w:rFonts w:hint="eastAsia" w:ascii="宋体" w:hAnsi="宋体" w:eastAsia="宋体" w:cs="宋体"/>
          <w:color w:val="000000"/>
          <w:kern w:val="0"/>
          <w:sz w:val="24"/>
          <w:shd w:val="clear" w:color="auto" w:fill="FFFFFF"/>
          <w:lang w:val="zh-TW"/>
        </w:rPr>
        <w:t>　</w:t>
      </w:r>
      <w:r>
        <w:rPr>
          <w:rFonts w:hint="eastAsia" w:ascii="宋体" w:hAnsi="宋体" w:eastAsia="宋体" w:cs="宋体"/>
          <w:color w:val="000000"/>
          <w:kern w:val="0"/>
          <w:sz w:val="24"/>
          <w:shd w:val="clear" w:color="auto" w:fill="FFFFFF"/>
          <w:lang w:val="zh-TW" w:eastAsia="zh-TW"/>
        </w:rPr>
        <w:t>中评协或者地方协会的工作人员在登记管理工作中违反规定的，按有关规定给予处分。</w:t>
      </w:r>
    </w:p>
    <w:p w14:paraId="4427A2CE">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第七章　附则</w:t>
      </w:r>
    </w:p>
    <w:p w14:paraId="139986B9">
      <w:pPr>
        <w:shd w:val="clear" w:color="auto" w:fill="FFFFFF"/>
        <w:spacing w:line="440" w:lineRule="atLeast"/>
        <w:ind w:firstLine="482"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b/>
          <w:color w:val="000000"/>
          <w:kern w:val="0"/>
          <w:sz w:val="24"/>
          <w:shd w:val="clear" w:color="auto" w:fill="FFFFFF"/>
        </w:rPr>
        <w:t>第二十四条</w:t>
      </w:r>
      <w:r>
        <w:rPr>
          <w:rFonts w:hint="eastAsia" w:ascii="宋体" w:hAnsi="宋体" w:eastAsia="宋体" w:cs="宋体"/>
          <w:color w:val="000000"/>
          <w:kern w:val="0"/>
          <w:sz w:val="24"/>
          <w:shd w:val="clear" w:color="auto" w:fill="FFFFFF"/>
          <w:lang w:val="zh-TW"/>
        </w:rPr>
        <w:t>　</w:t>
      </w:r>
      <w:r>
        <w:rPr>
          <w:rFonts w:hint="eastAsia" w:ascii="宋体" w:hAnsi="宋体" w:eastAsia="宋体" w:cs="宋体"/>
          <w:color w:val="000000"/>
          <w:kern w:val="0"/>
          <w:sz w:val="24"/>
          <w:shd w:val="clear" w:color="auto" w:fill="FFFFFF"/>
          <w:lang w:val="zh-TW" w:eastAsia="zh-TW"/>
        </w:rPr>
        <w:t>资产评估师（珠宝）职业资格证书登记由中评协直接办理。</w:t>
      </w:r>
    </w:p>
    <w:p w14:paraId="6595AA4A">
      <w:pPr>
        <w:shd w:val="clear" w:color="auto" w:fill="FFFFFF"/>
        <w:spacing w:line="440" w:lineRule="atLeast"/>
        <w:ind w:firstLine="482"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b/>
          <w:color w:val="000000"/>
          <w:kern w:val="0"/>
          <w:sz w:val="24"/>
          <w:shd w:val="clear" w:color="auto" w:fill="FFFFFF"/>
          <w:lang w:val="zh-TW"/>
        </w:rPr>
        <w:t>第二十五条</w:t>
      </w:r>
      <w:r>
        <w:rPr>
          <w:rFonts w:hint="eastAsia" w:ascii="宋体" w:hAnsi="宋体" w:eastAsia="宋体" w:cs="宋体"/>
          <w:color w:val="000000"/>
          <w:kern w:val="0"/>
          <w:sz w:val="24"/>
          <w:shd w:val="clear" w:color="auto" w:fill="FFFFFF"/>
          <w:lang w:val="zh-TW"/>
        </w:rPr>
        <w:t>　</w:t>
      </w:r>
      <w:r>
        <w:rPr>
          <w:rFonts w:hint="eastAsia" w:ascii="宋体" w:hAnsi="宋体" w:eastAsia="宋体" w:cs="宋体"/>
          <w:color w:val="000000"/>
          <w:kern w:val="0"/>
          <w:sz w:val="24"/>
          <w:shd w:val="clear" w:color="auto" w:fill="FFFFFF"/>
          <w:lang w:val="zh-TW" w:eastAsia="zh-TW"/>
        </w:rPr>
        <w:t>持有原《注册资产评估师证书》的人员视同本办法所称经登记的资产评估师，原《注册资产评估师证书》自本办法发布之日起继续有效一年，视同本办法所述登记卡；原通过考试或者认定但未注册人员可以按本办法办理登记。</w:t>
      </w:r>
    </w:p>
    <w:p w14:paraId="005B2444">
      <w:pPr>
        <w:shd w:val="clear" w:color="auto" w:fill="FFFFFF"/>
        <w:spacing w:line="440" w:lineRule="atLeast"/>
        <w:ind w:firstLine="482"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b/>
          <w:color w:val="000000"/>
          <w:kern w:val="0"/>
          <w:sz w:val="24"/>
          <w:shd w:val="clear" w:color="auto" w:fill="FFFFFF"/>
          <w:lang w:val="zh-TW"/>
        </w:rPr>
        <w:t>第二十六条</w:t>
      </w:r>
      <w:r>
        <w:rPr>
          <w:rFonts w:hint="eastAsia" w:ascii="宋体" w:hAnsi="宋体" w:eastAsia="宋体" w:cs="宋体"/>
          <w:color w:val="000000"/>
          <w:kern w:val="0"/>
          <w:sz w:val="24"/>
          <w:shd w:val="clear" w:color="auto" w:fill="FFFFFF"/>
          <w:lang w:val="zh-TW"/>
        </w:rPr>
        <w:t>　</w:t>
      </w:r>
      <w:r>
        <w:rPr>
          <w:rFonts w:hint="eastAsia" w:ascii="宋体" w:hAnsi="宋体" w:eastAsia="宋体" w:cs="宋体"/>
          <w:color w:val="000000"/>
          <w:kern w:val="0"/>
          <w:sz w:val="24"/>
          <w:shd w:val="clear" w:color="auto" w:fill="FFFFFF"/>
          <w:lang w:val="zh-TW" w:eastAsia="zh-TW"/>
        </w:rPr>
        <w:t>本办法自发布之日起施行。</w:t>
      </w:r>
    </w:p>
    <w:p w14:paraId="0E484584">
      <w:pPr>
        <w:shd w:val="clear" w:color="auto" w:fill="FFFFFF"/>
        <w:spacing w:line="440" w:lineRule="atLeast"/>
        <w:ind w:firstLine="480" w:firstLineChars="200"/>
        <w:rPr>
          <w:rFonts w:ascii="宋体" w:hAnsi="宋体" w:eastAsia="宋体" w:cs="宋体"/>
          <w:bCs/>
          <w:sz w:val="24"/>
        </w:rPr>
      </w:pPr>
      <w:r>
        <w:rPr>
          <w:rFonts w:hint="eastAsia" w:ascii="宋体" w:hAnsi="宋体" w:eastAsia="宋体" w:cs="宋体"/>
          <w:color w:val="000000"/>
          <w:kern w:val="0"/>
          <w:sz w:val="24"/>
          <w:shd w:val="clear" w:color="auto" w:fill="FFFFFF"/>
        </w:rPr>
        <w:br w:type="page"/>
      </w:r>
      <w:r>
        <w:rPr>
          <w:rFonts w:hint="eastAsia" w:ascii="宋体" w:hAnsi="宋体" w:eastAsia="宋体" w:cs="宋体"/>
          <w:bCs/>
          <w:sz w:val="24"/>
        </w:rPr>
        <w:t>附件1</w:t>
      </w:r>
    </w:p>
    <w:p w14:paraId="62627433">
      <w:pPr>
        <w:spacing w:line="440" w:lineRule="atLeast"/>
        <w:jc w:val="center"/>
        <w:rPr>
          <w:rFonts w:ascii="华文中宋" w:hAnsi="华文中宋" w:eastAsia="华文中宋"/>
          <w:b/>
          <w:sz w:val="36"/>
          <w:szCs w:val="36"/>
        </w:rPr>
      </w:pPr>
      <w:r>
        <w:rPr>
          <w:rFonts w:hint="eastAsia" w:ascii="华文中宋" w:hAnsi="华文中宋" w:eastAsia="华文中宋"/>
          <w:b/>
          <w:sz w:val="36"/>
          <w:szCs w:val="36"/>
        </w:rPr>
        <w:t>资产评估师职业资格证书登记表</w:t>
      </w:r>
    </w:p>
    <w:tbl>
      <w:tblPr>
        <w:tblStyle w:val="24"/>
        <w:tblW w:w="88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4"/>
        <w:gridCol w:w="1677"/>
        <w:gridCol w:w="1701"/>
        <w:gridCol w:w="827"/>
        <w:gridCol w:w="1016"/>
        <w:gridCol w:w="1110"/>
        <w:gridCol w:w="425"/>
        <w:gridCol w:w="1642"/>
      </w:tblGrid>
      <w:tr w14:paraId="657F6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blHeader/>
          <w:jc w:val="center"/>
        </w:trPr>
        <w:tc>
          <w:tcPr>
            <w:tcW w:w="2101" w:type="dxa"/>
            <w:gridSpan w:val="2"/>
            <w:tcBorders>
              <w:top w:val="single" w:color="auto" w:sz="8" w:space="0"/>
              <w:left w:val="single" w:color="auto" w:sz="8" w:space="0"/>
            </w:tcBorders>
            <w:vAlign w:val="center"/>
          </w:tcPr>
          <w:p w14:paraId="4C0DAA35">
            <w:pPr>
              <w:adjustRightInd w:val="0"/>
              <w:snapToGrid w:val="0"/>
              <w:spacing w:line="440" w:lineRule="atLeast"/>
              <w:jc w:val="center"/>
              <w:rPr>
                <w:rFonts w:ascii="仿宋_GB2312" w:hAnsi="华文仿宋" w:eastAsia="仿宋_GB2312"/>
                <w:sz w:val="24"/>
              </w:rPr>
            </w:pPr>
            <w:r>
              <w:rPr>
                <w:rFonts w:hint="eastAsia" w:ascii="仿宋_GB2312" w:hAnsi="华文仿宋" w:eastAsia="仿宋_GB2312"/>
                <w:sz w:val="24"/>
              </w:rPr>
              <w:t>姓　　　名</w:t>
            </w:r>
          </w:p>
        </w:tc>
        <w:tc>
          <w:tcPr>
            <w:tcW w:w="1701" w:type="dxa"/>
            <w:tcBorders>
              <w:top w:val="single" w:color="auto" w:sz="8" w:space="0"/>
              <w:bottom w:val="single" w:color="auto" w:sz="4" w:space="0"/>
            </w:tcBorders>
            <w:vAlign w:val="center"/>
          </w:tcPr>
          <w:p w14:paraId="1B02FB46">
            <w:pPr>
              <w:adjustRightInd w:val="0"/>
              <w:snapToGrid w:val="0"/>
              <w:spacing w:line="440" w:lineRule="atLeast"/>
              <w:jc w:val="center"/>
              <w:rPr>
                <w:rFonts w:ascii="仿宋_GB2312" w:hAnsi="华文仿宋" w:eastAsia="仿宋_GB2312"/>
                <w:sz w:val="24"/>
              </w:rPr>
            </w:pPr>
          </w:p>
        </w:tc>
        <w:tc>
          <w:tcPr>
            <w:tcW w:w="1843" w:type="dxa"/>
            <w:gridSpan w:val="2"/>
            <w:tcBorders>
              <w:top w:val="single" w:color="auto" w:sz="8" w:space="0"/>
              <w:bottom w:val="single" w:color="auto" w:sz="4" w:space="0"/>
            </w:tcBorders>
            <w:vAlign w:val="center"/>
          </w:tcPr>
          <w:p w14:paraId="6CD1356F">
            <w:pPr>
              <w:adjustRightInd w:val="0"/>
              <w:snapToGrid w:val="0"/>
              <w:spacing w:line="440" w:lineRule="atLeast"/>
              <w:jc w:val="center"/>
              <w:rPr>
                <w:rFonts w:ascii="仿宋_GB2312" w:hAnsi="华文仿宋" w:eastAsia="仿宋_GB2312"/>
                <w:sz w:val="24"/>
              </w:rPr>
            </w:pPr>
            <w:r>
              <w:rPr>
                <w:rFonts w:hint="eastAsia" w:ascii="仿宋_GB2312" w:hAnsi="华文仿宋" w:eastAsia="仿宋_GB2312"/>
                <w:sz w:val="24"/>
              </w:rPr>
              <w:t>性　　　别</w:t>
            </w:r>
          </w:p>
        </w:tc>
        <w:tc>
          <w:tcPr>
            <w:tcW w:w="1535" w:type="dxa"/>
            <w:gridSpan w:val="2"/>
            <w:tcBorders>
              <w:top w:val="single" w:color="auto" w:sz="8" w:space="0"/>
              <w:bottom w:val="single" w:color="auto" w:sz="4" w:space="0"/>
            </w:tcBorders>
            <w:vAlign w:val="center"/>
          </w:tcPr>
          <w:p w14:paraId="03E495BA">
            <w:pPr>
              <w:adjustRightInd w:val="0"/>
              <w:snapToGrid w:val="0"/>
              <w:spacing w:line="440" w:lineRule="atLeast"/>
              <w:jc w:val="center"/>
              <w:rPr>
                <w:rFonts w:ascii="仿宋_GB2312" w:hAnsi="华文仿宋" w:eastAsia="仿宋_GB2312"/>
                <w:sz w:val="24"/>
              </w:rPr>
            </w:pPr>
          </w:p>
        </w:tc>
        <w:tc>
          <w:tcPr>
            <w:tcW w:w="1642" w:type="dxa"/>
            <w:vMerge w:val="restart"/>
            <w:tcBorders>
              <w:top w:val="single" w:color="auto" w:sz="8" w:space="0"/>
              <w:right w:val="single" w:color="auto" w:sz="8" w:space="0"/>
            </w:tcBorders>
            <w:vAlign w:val="center"/>
          </w:tcPr>
          <w:p w14:paraId="30709ECE">
            <w:pPr>
              <w:adjustRightInd w:val="0"/>
              <w:snapToGrid w:val="0"/>
              <w:spacing w:line="440" w:lineRule="atLeast"/>
              <w:jc w:val="center"/>
              <w:rPr>
                <w:rFonts w:ascii="仿宋_GB2312" w:hAnsi="华文仿宋" w:eastAsia="仿宋_GB2312"/>
                <w:sz w:val="24"/>
              </w:rPr>
            </w:pPr>
            <w:r>
              <w:rPr>
                <w:rFonts w:hint="eastAsia" w:ascii="仿宋_GB2312" w:hAnsi="华文仿宋" w:eastAsia="仿宋_GB2312"/>
                <w:sz w:val="24"/>
              </w:rPr>
              <w:t>照　　片</w:t>
            </w:r>
          </w:p>
          <w:p w14:paraId="3B3DE2A7">
            <w:pPr>
              <w:adjustRightInd w:val="0"/>
              <w:snapToGrid w:val="0"/>
              <w:spacing w:line="440" w:lineRule="atLeast"/>
              <w:jc w:val="center"/>
              <w:rPr>
                <w:rFonts w:ascii="仿宋_GB2312" w:hAnsi="华文仿宋" w:eastAsia="仿宋_GB2312"/>
                <w:sz w:val="24"/>
              </w:rPr>
            </w:pPr>
            <w:r>
              <w:rPr>
                <w:rFonts w:hint="eastAsia" w:ascii="仿宋_GB2312" w:hAnsi="华文仿宋" w:eastAsia="仿宋_GB2312"/>
                <w:sz w:val="24"/>
              </w:rPr>
              <w:t>（二寸免冠蓝底近照）</w:t>
            </w:r>
          </w:p>
        </w:tc>
      </w:tr>
      <w:tr w14:paraId="0799E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blHeader/>
          <w:jc w:val="center"/>
        </w:trPr>
        <w:tc>
          <w:tcPr>
            <w:tcW w:w="2101" w:type="dxa"/>
            <w:gridSpan w:val="2"/>
            <w:tcBorders>
              <w:top w:val="single" w:color="auto" w:sz="4" w:space="0"/>
              <w:left w:val="single" w:color="auto" w:sz="8" w:space="0"/>
            </w:tcBorders>
            <w:vAlign w:val="center"/>
          </w:tcPr>
          <w:p w14:paraId="2004E590">
            <w:pPr>
              <w:adjustRightInd w:val="0"/>
              <w:snapToGrid w:val="0"/>
              <w:spacing w:line="440" w:lineRule="atLeast"/>
              <w:jc w:val="center"/>
              <w:rPr>
                <w:rFonts w:ascii="仿宋_GB2312" w:hAnsi="华文仿宋" w:eastAsia="仿宋_GB2312"/>
                <w:sz w:val="24"/>
              </w:rPr>
            </w:pPr>
            <w:r>
              <w:rPr>
                <w:rFonts w:hint="eastAsia" w:ascii="仿宋_GB2312" w:hAnsi="华文仿宋" w:eastAsia="仿宋_GB2312"/>
                <w:sz w:val="24"/>
              </w:rPr>
              <w:t>出生年月</w:t>
            </w:r>
          </w:p>
        </w:tc>
        <w:tc>
          <w:tcPr>
            <w:tcW w:w="1701" w:type="dxa"/>
            <w:tcBorders>
              <w:top w:val="single" w:color="auto" w:sz="4" w:space="0"/>
              <w:bottom w:val="single" w:color="auto" w:sz="4" w:space="0"/>
            </w:tcBorders>
            <w:vAlign w:val="center"/>
          </w:tcPr>
          <w:p w14:paraId="267476B2">
            <w:pPr>
              <w:adjustRightInd w:val="0"/>
              <w:snapToGrid w:val="0"/>
              <w:spacing w:line="440" w:lineRule="atLeast"/>
              <w:jc w:val="center"/>
              <w:rPr>
                <w:rFonts w:ascii="仿宋_GB2312" w:hAnsi="华文仿宋" w:eastAsia="仿宋_GB2312"/>
                <w:sz w:val="24"/>
              </w:rPr>
            </w:pPr>
          </w:p>
        </w:tc>
        <w:tc>
          <w:tcPr>
            <w:tcW w:w="1843" w:type="dxa"/>
            <w:gridSpan w:val="2"/>
            <w:tcBorders>
              <w:top w:val="single" w:color="auto" w:sz="4" w:space="0"/>
              <w:bottom w:val="single" w:color="auto" w:sz="4" w:space="0"/>
            </w:tcBorders>
            <w:vAlign w:val="center"/>
          </w:tcPr>
          <w:p w14:paraId="0D988B7C">
            <w:pPr>
              <w:adjustRightInd w:val="0"/>
              <w:snapToGrid w:val="0"/>
              <w:spacing w:line="440" w:lineRule="atLeast"/>
              <w:jc w:val="center"/>
              <w:rPr>
                <w:rFonts w:ascii="仿宋_GB2312" w:hAnsi="华文仿宋" w:eastAsia="仿宋_GB2312"/>
                <w:sz w:val="24"/>
              </w:rPr>
            </w:pPr>
            <w:r>
              <w:rPr>
                <w:rFonts w:hint="eastAsia" w:ascii="仿宋_GB2312" w:hAnsi="华文仿宋" w:eastAsia="仿宋_GB2312"/>
                <w:sz w:val="24"/>
              </w:rPr>
              <w:t>民　　　族</w:t>
            </w:r>
          </w:p>
        </w:tc>
        <w:tc>
          <w:tcPr>
            <w:tcW w:w="1535" w:type="dxa"/>
            <w:gridSpan w:val="2"/>
            <w:tcBorders>
              <w:top w:val="single" w:color="auto" w:sz="4" w:space="0"/>
              <w:bottom w:val="single" w:color="auto" w:sz="4" w:space="0"/>
            </w:tcBorders>
            <w:vAlign w:val="center"/>
          </w:tcPr>
          <w:p w14:paraId="170016FD">
            <w:pPr>
              <w:adjustRightInd w:val="0"/>
              <w:snapToGrid w:val="0"/>
              <w:spacing w:line="440" w:lineRule="atLeast"/>
              <w:jc w:val="center"/>
              <w:rPr>
                <w:rFonts w:ascii="仿宋_GB2312" w:hAnsi="华文仿宋" w:eastAsia="仿宋_GB2312"/>
                <w:sz w:val="24"/>
              </w:rPr>
            </w:pPr>
          </w:p>
        </w:tc>
        <w:tc>
          <w:tcPr>
            <w:tcW w:w="1642" w:type="dxa"/>
            <w:vMerge w:val="continue"/>
            <w:tcBorders>
              <w:top w:val="nil"/>
              <w:right w:val="single" w:color="auto" w:sz="8" w:space="0"/>
            </w:tcBorders>
            <w:vAlign w:val="center"/>
          </w:tcPr>
          <w:p w14:paraId="2500CE96">
            <w:pPr>
              <w:adjustRightInd w:val="0"/>
              <w:snapToGrid w:val="0"/>
              <w:spacing w:line="440" w:lineRule="atLeast"/>
              <w:jc w:val="center"/>
              <w:rPr>
                <w:rFonts w:ascii="仿宋_GB2312" w:hAnsi="华文仿宋" w:eastAsia="仿宋_GB2312"/>
                <w:sz w:val="24"/>
              </w:rPr>
            </w:pPr>
          </w:p>
        </w:tc>
      </w:tr>
      <w:tr w14:paraId="3B209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blHeader/>
          <w:jc w:val="center"/>
        </w:trPr>
        <w:tc>
          <w:tcPr>
            <w:tcW w:w="2101" w:type="dxa"/>
            <w:gridSpan w:val="2"/>
            <w:tcBorders>
              <w:top w:val="single" w:color="auto" w:sz="4" w:space="0"/>
              <w:left w:val="single" w:color="auto" w:sz="8" w:space="0"/>
            </w:tcBorders>
            <w:vAlign w:val="center"/>
          </w:tcPr>
          <w:p w14:paraId="206FBDB5">
            <w:pPr>
              <w:adjustRightInd w:val="0"/>
              <w:snapToGrid w:val="0"/>
              <w:spacing w:line="440" w:lineRule="atLeast"/>
              <w:jc w:val="center"/>
              <w:rPr>
                <w:rFonts w:ascii="仿宋_GB2312" w:hAnsi="华文仿宋" w:eastAsia="仿宋_GB2312"/>
                <w:sz w:val="24"/>
              </w:rPr>
            </w:pPr>
            <w:r>
              <w:rPr>
                <w:rFonts w:hint="eastAsia" w:ascii="仿宋_GB2312" w:hAnsi="华文仿宋" w:eastAsia="仿宋_GB2312"/>
                <w:sz w:val="24"/>
              </w:rPr>
              <w:t>国籍地区</w:t>
            </w:r>
          </w:p>
        </w:tc>
        <w:tc>
          <w:tcPr>
            <w:tcW w:w="1701" w:type="dxa"/>
            <w:tcBorders>
              <w:top w:val="single" w:color="auto" w:sz="4" w:space="0"/>
              <w:bottom w:val="single" w:color="auto" w:sz="4" w:space="0"/>
            </w:tcBorders>
            <w:vAlign w:val="center"/>
          </w:tcPr>
          <w:p w14:paraId="56619DBE">
            <w:pPr>
              <w:adjustRightInd w:val="0"/>
              <w:snapToGrid w:val="0"/>
              <w:spacing w:line="440" w:lineRule="atLeast"/>
              <w:jc w:val="center"/>
              <w:rPr>
                <w:rFonts w:ascii="仿宋_GB2312" w:hAnsi="华文仿宋" w:eastAsia="仿宋_GB2312"/>
                <w:sz w:val="24"/>
              </w:rPr>
            </w:pPr>
          </w:p>
        </w:tc>
        <w:tc>
          <w:tcPr>
            <w:tcW w:w="1843" w:type="dxa"/>
            <w:gridSpan w:val="2"/>
            <w:tcBorders>
              <w:top w:val="single" w:color="auto" w:sz="4" w:space="0"/>
              <w:bottom w:val="single" w:color="auto" w:sz="4" w:space="0"/>
            </w:tcBorders>
            <w:vAlign w:val="center"/>
          </w:tcPr>
          <w:p w14:paraId="5D55939E">
            <w:pPr>
              <w:adjustRightInd w:val="0"/>
              <w:snapToGrid w:val="0"/>
              <w:spacing w:line="440" w:lineRule="atLeast"/>
              <w:jc w:val="center"/>
              <w:rPr>
                <w:rFonts w:ascii="仿宋_GB2312" w:hAnsi="华文仿宋" w:eastAsia="仿宋_GB2312"/>
                <w:sz w:val="24"/>
              </w:rPr>
            </w:pPr>
            <w:r>
              <w:rPr>
                <w:rFonts w:hint="eastAsia" w:ascii="仿宋_GB2312" w:hAnsi="华文仿宋" w:eastAsia="仿宋_GB2312"/>
                <w:spacing w:val="-10"/>
                <w:sz w:val="24"/>
              </w:rPr>
              <w:t>政治面貌</w:t>
            </w:r>
          </w:p>
        </w:tc>
        <w:tc>
          <w:tcPr>
            <w:tcW w:w="1535" w:type="dxa"/>
            <w:gridSpan w:val="2"/>
            <w:tcBorders>
              <w:top w:val="single" w:color="auto" w:sz="4" w:space="0"/>
              <w:bottom w:val="single" w:color="auto" w:sz="4" w:space="0"/>
            </w:tcBorders>
            <w:vAlign w:val="center"/>
          </w:tcPr>
          <w:p w14:paraId="0420F1BC">
            <w:pPr>
              <w:adjustRightInd w:val="0"/>
              <w:snapToGrid w:val="0"/>
              <w:spacing w:line="440" w:lineRule="atLeast"/>
              <w:jc w:val="center"/>
              <w:rPr>
                <w:rFonts w:ascii="仿宋_GB2312" w:hAnsi="华文仿宋" w:eastAsia="仿宋_GB2312"/>
                <w:sz w:val="24"/>
              </w:rPr>
            </w:pPr>
          </w:p>
        </w:tc>
        <w:tc>
          <w:tcPr>
            <w:tcW w:w="1642" w:type="dxa"/>
            <w:vMerge w:val="continue"/>
            <w:tcBorders>
              <w:top w:val="nil"/>
              <w:right w:val="single" w:color="auto" w:sz="8" w:space="0"/>
            </w:tcBorders>
            <w:vAlign w:val="center"/>
          </w:tcPr>
          <w:p w14:paraId="5DB4F692">
            <w:pPr>
              <w:adjustRightInd w:val="0"/>
              <w:snapToGrid w:val="0"/>
              <w:spacing w:line="440" w:lineRule="atLeast"/>
              <w:jc w:val="center"/>
              <w:rPr>
                <w:rFonts w:ascii="仿宋_GB2312" w:hAnsi="华文仿宋" w:eastAsia="仿宋_GB2312"/>
                <w:sz w:val="24"/>
              </w:rPr>
            </w:pPr>
          </w:p>
        </w:tc>
      </w:tr>
      <w:tr w14:paraId="29126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blHeader/>
          <w:jc w:val="center"/>
        </w:trPr>
        <w:tc>
          <w:tcPr>
            <w:tcW w:w="2101" w:type="dxa"/>
            <w:gridSpan w:val="2"/>
            <w:tcBorders>
              <w:left w:val="single" w:color="auto" w:sz="8" w:space="0"/>
            </w:tcBorders>
            <w:vAlign w:val="center"/>
          </w:tcPr>
          <w:p w14:paraId="7FBCFDCF">
            <w:pPr>
              <w:adjustRightInd w:val="0"/>
              <w:snapToGrid w:val="0"/>
              <w:spacing w:line="440" w:lineRule="atLeast"/>
              <w:jc w:val="center"/>
              <w:rPr>
                <w:rFonts w:ascii="仿宋_GB2312" w:hAnsi="华文仿宋" w:eastAsia="仿宋_GB2312"/>
                <w:sz w:val="24"/>
              </w:rPr>
            </w:pPr>
            <w:r>
              <w:rPr>
                <w:rFonts w:hint="eastAsia" w:ascii="仿宋_GB2312" w:hAnsi="华文仿宋" w:eastAsia="仿宋_GB2312"/>
                <w:sz w:val="24"/>
              </w:rPr>
              <w:t>身份证号码</w:t>
            </w:r>
          </w:p>
        </w:tc>
        <w:tc>
          <w:tcPr>
            <w:tcW w:w="5079" w:type="dxa"/>
            <w:gridSpan w:val="5"/>
            <w:tcBorders>
              <w:top w:val="single" w:color="auto" w:sz="4" w:space="0"/>
              <w:bottom w:val="single" w:color="auto" w:sz="4" w:space="0"/>
            </w:tcBorders>
            <w:vAlign w:val="center"/>
          </w:tcPr>
          <w:p w14:paraId="054DDA5B">
            <w:pPr>
              <w:adjustRightInd w:val="0"/>
              <w:snapToGrid w:val="0"/>
              <w:spacing w:line="440" w:lineRule="atLeast"/>
              <w:jc w:val="center"/>
              <w:rPr>
                <w:rFonts w:ascii="仿宋_GB2312" w:hAnsi="华文仿宋" w:eastAsia="仿宋_GB2312"/>
                <w:sz w:val="24"/>
              </w:rPr>
            </w:pPr>
          </w:p>
        </w:tc>
        <w:tc>
          <w:tcPr>
            <w:tcW w:w="1642" w:type="dxa"/>
            <w:vMerge w:val="continue"/>
            <w:tcBorders>
              <w:top w:val="nil"/>
              <w:right w:val="single" w:color="auto" w:sz="8" w:space="0"/>
            </w:tcBorders>
            <w:vAlign w:val="center"/>
          </w:tcPr>
          <w:p w14:paraId="2847840A">
            <w:pPr>
              <w:adjustRightInd w:val="0"/>
              <w:snapToGrid w:val="0"/>
              <w:spacing w:line="440" w:lineRule="atLeast"/>
              <w:jc w:val="center"/>
              <w:rPr>
                <w:rFonts w:ascii="仿宋_GB2312" w:hAnsi="华文仿宋" w:eastAsia="仿宋_GB2312"/>
                <w:sz w:val="24"/>
              </w:rPr>
            </w:pPr>
          </w:p>
        </w:tc>
      </w:tr>
      <w:tr w14:paraId="3517B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blHeader/>
          <w:jc w:val="center"/>
        </w:trPr>
        <w:tc>
          <w:tcPr>
            <w:tcW w:w="2101" w:type="dxa"/>
            <w:gridSpan w:val="2"/>
            <w:tcBorders>
              <w:left w:val="single" w:color="auto" w:sz="8" w:space="0"/>
            </w:tcBorders>
            <w:vAlign w:val="center"/>
          </w:tcPr>
          <w:p w14:paraId="36B42D47">
            <w:pPr>
              <w:adjustRightInd w:val="0"/>
              <w:snapToGrid w:val="0"/>
              <w:spacing w:line="440" w:lineRule="atLeast"/>
              <w:jc w:val="center"/>
              <w:rPr>
                <w:rFonts w:ascii="仿宋_GB2312" w:hAnsi="华文仿宋" w:eastAsia="仿宋_GB2312"/>
                <w:sz w:val="24"/>
              </w:rPr>
            </w:pPr>
            <w:r>
              <w:rPr>
                <w:rFonts w:hint="eastAsia" w:ascii="仿宋_GB2312" w:hAnsi="华文仿宋" w:eastAsia="仿宋_GB2312"/>
                <w:sz w:val="24"/>
              </w:rPr>
              <w:t>省（市）</w:t>
            </w:r>
          </w:p>
        </w:tc>
        <w:tc>
          <w:tcPr>
            <w:tcW w:w="2528" w:type="dxa"/>
            <w:gridSpan w:val="2"/>
            <w:tcBorders>
              <w:top w:val="single" w:color="auto" w:sz="4" w:space="0"/>
              <w:bottom w:val="single" w:color="auto" w:sz="4" w:space="0"/>
            </w:tcBorders>
            <w:vAlign w:val="center"/>
          </w:tcPr>
          <w:p w14:paraId="7DF9B978">
            <w:pPr>
              <w:adjustRightInd w:val="0"/>
              <w:snapToGrid w:val="0"/>
              <w:spacing w:line="440" w:lineRule="atLeast"/>
              <w:jc w:val="center"/>
              <w:rPr>
                <w:rFonts w:ascii="仿宋_GB2312" w:hAnsi="华文仿宋" w:eastAsia="仿宋_GB2312"/>
                <w:sz w:val="24"/>
              </w:rPr>
            </w:pPr>
          </w:p>
        </w:tc>
        <w:tc>
          <w:tcPr>
            <w:tcW w:w="2126" w:type="dxa"/>
            <w:gridSpan w:val="2"/>
            <w:tcBorders>
              <w:top w:val="single" w:color="auto" w:sz="4" w:space="0"/>
              <w:bottom w:val="single" w:color="auto" w:sz="4" w:space="0"/>
              <w:right w:val="single" w:color="auto" w:sz="8" w:space="0"/>
            </w:tcBorders>
            <w:vAlign w:val="center"/>
          </w:tcPr>
          <w:p w14:paraId="50192B80">
            <w:pPr>
              <w:adjustRightInd w:val="0"/>
              <w:snapToGrid w:val="0"/>
              <w:spacing w:line="440" w:lineRule="atLeast"/>
              <w:jc w:val="center"/>
              <w:rPr>
                <w:rFonts w:ascii="仿宋_GB2312" w:hAnsi="华文仿宋" w:eastAsia="仿宋_GB2312"/>
                <w:sz w:val="24"/>
              </w:rPr>
            </w:pPr>
            <w:r>
              <w:rPr>
                <w:rFonts w:hint="eastAsia" w:ascii="仿宋_GB2312" w:hAnsi="华文仿宋" w:eastAsia="仿宋_GB2312"/>
                <w:sz w:val="24"/>
              </w:rPr>
              <w:t>地（市）</w:t>
            </w:r>
          </w:p>
        </w:tc>
        <w:tc>
          <w:tcPr>
            <w:tcW w:w="2067" w:type="dxa"/>
            <w:gridSpan w:val="2"/>
            <w:tcBorders>
              <w:top w:val="single" w:color="auto" w:sz="4" w:space="0"/>
              <w:bottom w:val="single" w:color="auto" w:sz="4" w:space="0"/>
              <w:right w:val="single" w:color="auto" w:sz="8" w:space="0"/>
            </w:tcBorders>
            <w:vAlign w:val="center"/>
          </w:tcPr>
          <w:p w14:paraId="2B70621C">
            <w:pPr>
              <w:adjustRightInd w:val="0"/>
              <w:snapToGrid w:val="0"/>
              <w:spacing w:line="440" w:lineRule="atLeast"/>
              <w:jc w:val="center"/>
              <w:rPr>
                <w:rFonts w:ascii="仿宋_GB2312" w:hAnsi="华文仿宋" w:eastAsia="仿宋_GB2312"/>
                <w:sz w:val="24"/>
              </w:rPr>
            </w:pPr>
          </w:p>
        </w:tc>
      </w:tr>
      <w:tr w14:paraId="2370A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blHeader/>
          <w:jc w:val="center"/>
        </w:trPr>
        <w:tc>
          <w:tcPr>
            <w:tcW w:w="2101" w:type="dxa"/>
            <w:gridSpan w:val="2"/>
            <w:tcBorders>
              <w:left w:val="single" w:color="auto" w:sz="8" w:space="0"/>
            </w:tcBorders>
            <w:vAlign w:val="center"/>
          </w:tcPr>
          <w:p w14:paraId="6D96CF6E">
            <w:pPr>
              <w:adjustRightInd w:val="0"/>
              <w:snapToGrid w:val="0"/>
              <w:spacing w:line="440" w:lineRule="atLeast"/>
              <w:jc w:val="center"/>
              <w:rPr>
                <w:rFonts w:ascii="仿宋_GB2312" w:hAnsi="华文仿宋" w:eastAsia="仿宋_GB2312"/>
                <w:sz w:val="24"/>
              </w:rPr>
            </w:pPr>
            <w:r>
              <w:rPr>
                <w:rFonts w:hint="eastAsia" w:ascii="仿宋_GB2312" w:hAnsi="华文仿宋" w:eastAsia="仿宋_GB2312"/>
                <w:sz w:val="24"/>
              </w:rPr>
              <w:t>毕业学校</w:t>
            </w:r>
          </w:p>
        </w:tc>
        <w:tc>
          <w:tcPr>
            <w:tcW w:w="2528" w:type="dxa"/>
            <w:gridSpan w:val="2"/>
            <w:tcBorders>
              <w:top w:val="single" w:color="auto" w:sz="4" w:space="0"/>
              <w:bottom w:val="single" w:color="auto" w:sz="4" w:space="0"/>
              <w:right w:val="single" w:color="auto" w:sz="4" w:space="0"/>
            </w:tcBorders>
            <w:vAlign w:val="center"/>
          </w:tcPr>
          <w:p w14:paraId="5772AA5B">
            <w:pPr>
              <w:adjustRightInd w:val="0"/>
              <w:snapToGrid w:val="0"/>
              <w:spacing w:line="440" w:lineRule="atLeast"/>
              <w:jc w:val="center"/>
              <w:rPr>
                <w:rFonts w:ascii="仿宋_GB2312" w:hAnsi="华文仿宋" w:eastAsia="仿宋_GB2312"/>
                <w:sz w:val="24"/>
              </w:rPr>
            </w:pPr>
          </w:p>
        </w:tc>
        <w:tc>
          <w:tcPr>
            <w:tcW w:w="2126" w:type="dxa"/>
            <w:gridSpan w:val="2"/>
            <w:tcBorders>
              <w:top w:val="single" w:color="auto" w:sz="4" w:space="0"/>
              <w:bottom w:val="single" w:color="auto" w:sz="4" w:space="0"/>
              <w:right w:val="single" w:color="auto" w:sz="4" w:space="0"/>
            </w:tcBorders>
            <w:vAlign w:val="center"/>
          </w:tcPr>
          <w:p w14:paraId="594F3F0F">
            <w:pPr>
              <w:adjustRightInd w:val="0"/>
              <w:snapToGrid w:val="0"/>
              <w:spacing w:line="440" w:lineRule="atLeast"/>
              <w:jc w:val="center"/>
              <w:rPr>
                <w:rFonts w:ascii="仿宋_GB2312" w:hAnsi="华文仿宋" w:eastAsia="仿宋_GB2312"/>
                <w:sz w:val="24"/>
              </w:rPr>
            </w:pPr>
            <w:r>
              <w:rPr>
                <w:rFonts w:hint="eastAsia" w:ascii="仿宋_GB2312" w:hAnsi="华文仿宋" w:eastAsia="仿宋_GB2312"/>
                <w:sz w:val="24"/>
              </w:rPr>
              <w:t>毕业日期</w:t>
            </w:r>
          </w:p>
        </w:tc>
        <w:tc>
          <w:tcPr>
            <w:tcW w:w="2067" w:type="dxa"/>
            <w:gridSpan w:val="2"/>
            <w:tcBorders>
              <w:top w:val="single" w:color="auto" w:sz="4" w:space="0"/>
              <w:bottom w:val="single" w:color="auto" w:sz="4" w:space="0"/>
              <w:right w:val="single" w:color="auto" w:sz="8" w:space="0"/>
            </w:tcBorders>
            <w:vAlign w:val="center"/>
          </w:tcPr>
          <w:p w14:paraId="79EAD73A">
            <w:pPr>
              <w:adjustRightInd w:val="0"/>
              <w:snapToGrid w:val="0"/>
              <w:spacing w:line="440" w:lineRule="atLeast"/>
              <w:jc w:val="center"/>
              <w:rPr>
                <w:rFonts w:ascii="仿宋_GB2312" w:hAnsi="华文仿宋" w:eastAsia="仿宋_GB2312"/>
                <w:sz w:val="24"/>
              </w:rPr>
            </w:pPr>
          </w:p>
        </w:tc>
      </w:tr>
      <w:tr w14:paraId="23373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blHeader/>
          <w:jc w:val="center"/>
        </w:trPr>
        <w:tc>
          <w:tcPr>
            <w:tcW w:w="2101" w:type="dxa"/>
            <w:gridSpan w:val="2"/>
            <w:tcBorders>
              <w:left w:val="single" w:color="auto" w:sz="8" w:space="0"/>
            </w:tcBorders>
            <w:vAlign w:val="center"/>
          </w:tcPr>
          <w:p w14:paraId="298F643E">
            <w:pPr>
              <w:adjustRightInd w:val="0"/>
              <w:snapToGrid w:val="0"/>
              <w:spacing w:line="440" w:lineRule="atLeast"/>
              <w:jc w:val="center"/>
              <w:rPr>
                <w:rFonts w:ascii="仿宋_GB2312" w:hAnsi="华文仿宋" w:eastAsia="仿宋_GB2312"/>
                <w:sz w:val="24"/>
              </w:rPr>
            </w:pPr>
            <w:r>
              <w:rPr>
                <w:rFonts w:hint="eastAsia" w:ascii="仿宋_GB2312" w:hAnsi="华文仿宋" w:eastAsia="仿宋_GB2312"/>
                <w:sz w:val="24"/>
              </w:rPr>
              <w:t>所学专业</w:t>
            </w:r>
          </w:p>
        </w:tc>
        <w:tc>
          <w:tcPr>
            <w:tcW w:w="2528" w:type="dxa"/>
            <w:gridSpan w:val="2"/>
            <w:tcBorders>
              <w:top w:val="single" w:color="auto" w:sz="4" w:space="0"/>
              <w:bottom w:val="single" w:color="auto" w:sz="4" w:space="0"/>
              <w:right w:val="single" w:color="auto" w:sz="4" w:space="0"/>
            </w:tcBorders>
            <w:vAlign w:val="center"/>
          </w:tcPr>
          <w:p w14:paraId="075C10D6">
            <w:pPr>
              <w:adjustRightInd w:val="0"/>
              <w:snapToGrid w:val="0"/>
              <w:spacing w:line="440" w:lineRule="atLeast"/>
              <w:jc w:val="center"/>
              <w:rPr>
                <w:rFonts w:ascii="仿宋_GB2312" w:hAnsi="华文仿宋" w:eastAsia="仿宋_GB2312"/>
                <w:sz w:val="24"/>
              </w:rPr>
            </w:pPr>
          </w:p>
        </w:tc>
        <w:tc>
          <w:tcPr>
            <w:tcW w:w="2126" w:type="dxa"/>
            <w:gridSpan w:val="2"/>
            <w:tcBorders>
              <w:top w:val="single" w:color="auto" w:sz="4" w:space="0"/>
              <w:bottom w:val="single" w:color="auto" w:sz="4" w:space="0"/>
              <w:right w:val="single" w:color="auto" w:sz="4" w:space="0"/>
            </w:tcBorders>
            <w:vAlign w:val="center"/>
          </w:tcPr>
          <w:p w14:paraId="6697C931">
            <w:pPr>
              <w:adjustRightInd w:val="0"/>
              <w:snapToGrid w:val="0"/>
              <w:spacing w:line="440" w:lineRule="atLeast"/>
              <w:jc w:val="center"/>
              <w:rPr>
                <w:rFonts w:ascii="仿宋_GB2312" w:hAnsi="华文仿宋" w:eastAsia="仿宋_GB2312"/>
                <w:sz w:val="22"/>
              </w:rPr>
            </w:pPr>
            <w:r>
              <w:rPr>
                <w:rFonts w:hint="eastAsia" w:ascii="仿宋_GB2312" w:hAnsi="华文仿宋" w:eastAsia="仿宋_GB2312"/>
                <w:sz w:val="22"/>
              </w:rPr>
              <w:t>最高学历、学位</w:t>
            </w:r>
          </w:p>
        </w:tc>
        <w:tc>
          <w:tcPr>
            <w:tcW w:w="2067" w:type="dxa"/>
            <w:gridSpan w:val="2"/>
            <w:tcBorders>
              <w:top w:val="single" w:color="auto" w:sz="4" w:space="0"/>
              <w:bottom w:val="single" w:color="auto" w:sz="4" w:space="0"/>
              <w:right w:val="single" w:color="auto" w:sz="8" w:space="0"/>
            </w:tcBorders>
            <w:vAlign w:val="center"/>
          </w:tcPr>
          <w:p w14:paraId="0D161822">
            <w:pPr>
              <w:adjustRightInd w:val="0"/>
              <w:snapToGrid w:val="0"/>
              <w:spacing w:line="440" w:lineRule="atLeast"/>
              <w:jc w:val="center"/>
              <w:rPr>
                <w:rFonts w:ascii="仿宋_GB2312" w:hAnsi="华文仿宋" w:eastAsia="仿宋_GB2312"/>
                <w:sz w:val="24"/>
              </w:rPr>
            </w:pPr>
          </w:p>
        </w:tc>
      </w:tr>
      <w:tr w14:paraId="3B51C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8" w:hRule="exact"/>
          <w:tblHeader/>
          <w:jc w:val="center"/>
        </w:trPr>
        <w:tc>
          <w:tcPr>
            <w:tcW w:w="2101" w:type="dxa"/>
            <w:gridSpan w:val="2"/>
            <w:tcBorders>
              <w:top w:val="single" w:color="auto" w:sz="4" w:space="0"/>
              <w:left w:val="single" w:color="auto" w:sz="8" w:space="0"/>
              <w:bottom w:val="single" w:color="auto" w:sz="4" w:space="0"/>
              <w:right w:val="single" w:color="auto" w:sz="4" w:space="0"/>
            </w:tcBorders>
            <w:vAlign w:val="center"/>
          </w:tcPr>
          <w:p w14:paraId="68F162D2">
            <w:pPr>
              <w:adjustRightInd w:val="0"/>
              <w:snapToGrid w:val="0"/>
              <w:spacing w:line="440" w:lineRule="atLeast"/>
              <w:jc w:val="center"/>
              <w:rPr>
                <w:rFonts w:ascii="仿宋_GB2312" w:hAnsi="华文仿宋" w:eastAsia="仿宋_GB2312"/>
                <w:sz w:val="24"/>
              </w:rPr>
            </w:pPr>
            <w:r>
              <w:rPr>
                <w:rFonts w:hint="eastAsia" w:ascii="仿宋_GB2312" w:hAnsi="华文仿宋" w:eastAsia="仿宋_GB2312"/>
                <w:sz w:val="24"/>
              </w:rPr>
              <w:t>现工作单位</w:t>
            </w:r>
          </w:p>
        </w:tc>
        <w:tc>
          <w:tcPr>
            <w:tcW w:w="2528" w:type="dxa"/>
            <w:gridSpan w:val="2"/>
            <w:tcBorders>
              <w:top w:val="single" w:color="auto" w:sz="4" w:space="0"/>
              <w:left w:val="single" w:color="auto" w:sz="4" w:space="0"/>
              <w:bottom w:val="single" w:color="auto" w:sz="4" w:space="0"/>
              <w:right w:val="single" w:color="auto" w:sz="4" w:space="0"/>
            </w:tcBorders>
            <w:vAlign w:val="center"/>
          </w:tcPr>
          <w:p w14:paraId="11368182">
            <w:pPr>
              <w:adjustRightInd w:val="0"/>
              <w:snapToGrid w:val="0"/>
              <w:spacing w:line="440" w:lineRule="atLeast"/>
              <w:jc w:val="center"/>
              <w:rPr>
                <w:rFonts w:ascii="仿宋_GB2312" w:hAnsi="华文仿宋" w:eastAsia="仿宋_GB2312"/>
                <w:sz w:val="24"/>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14:paraId="274C5E3F">
            <w:pPr>
              <w:adjustRightInd w:val="0"/>
              <w:snapToGrid w:val="0"/>
              <w:spacing w:line="440" w:lineRule="atLeast"/>
              <w:jc w:val="center"/>
              <w:rPr>
                <w:rFonts w:ascii="仿宋_GB2312" w:hAnsi="华文仿宋" w:eastAsia="仿宋_GB2312"/>
                <w:sz w:val="24"/>
              </w:rPr>
            </w:pPr>
            <w:r>
              <w:rPr>
                <w:rFonts w:hint="eastAsia" w:ascii="仿宋_GB2312" w:hAnsi="华文仿宋" w:eastAsia="仿宋_GB2312"/>
                <w:sz w:val="24"/>
              </w:rPr>
              <w:t>参加工作时间</w:t>
            </w:r>
          </w:p>
        </w:tc>
        <w:tc>
          <w:tcPr>
            <w:tcW w:w="2067" w:type="dxa"/>
            <w:gridSpan w:val="2"/>
            <w:tcBorders>
              <w:top w:val="single" w:color="auto" w:sz="4" w:space="0"/>
              <w:left w:val="single" w:color="auto" w:sz="4" w:space="0"/>
              <w:bottom w:val="single" w:color="auto" w:sz="4" w:space="0"/>
              <w:right w:val="single" w:color="auto" w:sz="8" w:space="0"/>
            </w:tcBorders>
            <w:vAlign w:val="center"/>
          </w:tcPr>
          <w:p w14:paraId="65E8FFF3">
            <w:pPr>
              <w:adjustRightInd w:val="0"/>
              <w:snapToGrid w:val="0"/>
              <w:spacing w:line="440" w:lineRule="atLeast"/>
              <w:jc w:val="center"/>
              <w:rPr>
                <w:rFonts w:ascii="仿宋_GB2312" w:hAnsi="华文仿宋" w:eastAsia="仿宋_GB2312"/>
                <w:sz w:val="24"/>
              </w:rPr>
            </w:pPr>
          </w:p>
        </w:tc>
      </w:tr>
      <w:tr w14:paraId="16246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blHeader/>
          <w:jc w:val="center"/>
        </w:trPr>
        <w:tc>
          <w:tcPr>
            <w:tcW w:w="2101" w:type="dxa"/>
            <w:gridSpan w:val="2"/>
            <w:tcBorders>
              <w:left w:val="single" w:color="auto" w:sz="8" w:space="0"/>
            </w:tcBorders>
            <w:vAlign w:val="center"/>
          </w:tcPr>
          <w:p w14:paraId="2689A51D">
            <w:pPr>
              <w:adjustRightInd w:val="0"/>
              <w:snapToGrid w:val="0"/>
              <w:spacing w:line="440" w:lineRule="atLeast"/>
              <w:jc w:val="center"/>
              <w:rPr>
                <w:rFonts w:ascii="仿宋_GB2312" w:hAnsi="华文仿宋" w:eastAsia="仿宋_GB2312"/>
                <w:sz w:val="24"/>
              </w:rPr>
            </w:pPr>
            <w:r>
              <w:rPr>
                <w:rFonts w:hint="eastAsia" w:ascii="仿宋_GB2312" w:hAnsi="华文仿宋" w:eastAsia="仿宋_GB2312"/>
                <w:sz w:val="24"/>
              </w:rPr>
              <w:t>职称</w:t>
            </w:r>
          </w:p>
        </w:tc>
        <w:tc>
          <w:tcPr>
            <w:tcW w:w="2528" w:type="dxa"/>
            <w:gridSpan w:val="2"/>
            <w:tcBorders>
              <w:top w:val="single" w:color="auto" w:sz="4" w:space="0"/>
              <w:bottom w:val="single" w:color="auto" w:sz="4" w:space="0"/>
              <w:right w:val="single" w:color="auto" w:sz="4" w:space="0"/>
            </w:tcBorders>
            <w:vAlign w:val="center"/>
          </w:tcPr>
          <w:p w14:paraId="5C4FCCAB">
            <w:pPr>
              <w:adjustRightInd w:val="0"/>
              <w:snapToGrid w:val="0"/>
              <w:spacing w:line="440" w:lineRule="atLeast"/>
              <w:jc w:val="center"/>
              <w:rPr>
                <w:rFonts w:ascii="仿宋_GB2312" w:hAnsi="华文仿宋" w:eastAsia="仿宋_GB2312"/>
                <w:sz w:val="24"/>
              </w:rPr>
            </w:pPr>
          </w:p>
        </w:tc>
        <w:tc>
          <w:tcPr>
            <w:tcW w:w="2126" w:type="dxa"/>
            <w:gridSpan w:val="2"/>
            <w:tcBorders>
              <w:top w:val="single" w:color="auto" w:sz="4" w:space="0"/>
              <w:bottom w:val="single" w:color="auto" w:sz="4" w:space="0"/>
              <w:right w:val="single" w:color="auto" w:sz="4" w:space="0"/>
            </w:tcBorders>
            <w:vAlign w:val="center"/>
          </w:tcPr>
          <w:p w14:paraId="7BCB9F2B">
            <w:pPr>
              <w:adjustRightInd w:val="0"/>
              <w:snapToGrid w:val="0"/>
              <w:spacing w:line="440" w:lineRule="atLeast"/>
              <w:jc w:val="center"/>
              <w:rPr>
                <w:rFonts w:ascii="仿宋_GB2312" w:hAnsi="华文仿宋" w:eastAsia="仿宋_GB2312"/>
                <w:sz w:val="24"/>
              </w:rPr>
            </w:pPr>
            <w:r>
              <w:rPr>
                <w:rFonts w:hint="eastAsia" w:ascii="仿宋_GB2312" w:hAnsi="华文仿宋" w:eastAsia="仿宋_GB2312"/>
                <w:sz w:val="24"/>
              </w:rPr>
              <w:t>职务</w:t>
            </w:r>
          </w:p>
        </w:tc>
        <w:tc>
          <w:tcPr>
            <w:tcW w:w="2067" w:type="dxa"/>
            <w:gridSpan w:val="2"/>
            <w:tcBorders>
              <w:top w:val="single" w:color="auto" w:sz="4" w:space="0"/>
              <w:bottom w:val="single" w:color="auto" w:sz="4" w:space="0"/>
              <w:right w:val="single" w:color="auto" w:sz="8" w:space="0"/>
            </w:tcBorders>
            <w:vAlign w:val="center"/>
          </w:tcPr>
          <w:p w14:paraId="0A792DE6">
            <w:pPr>
              <w:adjustRightInd w:val="0"/>
              <w:snapToGrid w:val="0"/>
              <w:spacing w:line="440" w:lineRule="atLeast"/>
              <w:jc w:val="center"/>
              <w:rPr>
                <w:rFonts w:ascii="仿宋_GB2312" w:hAnsi="华文仿宋" w:eastAsia="仿宋_GB2312"/>
                <w:sz w:val="24"/>
              </w:rPr>
            </w:pPr>
          </w:p>
        </w:tc>
      </w:tr>
      <w:tr w14:paraId="1498A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blHeader/>
          <w:jc w:val="center"/>
        </w:trPr>
        <w:tc>
          <w:tcPr>
            <w:tcW w:w="2101" w:type="dxa"/>
            <w:gridSpan w:val="2"/>
            <w:tcBorders>
              <w:left w:val="single" w:color="auto" w:sz="8" w:space="0"/>
            </w:tcBorders>
            <w:vAlign w:val="center"/>
          </w:tcPr>
          <w:p w14:paraId="1EF503EB">
            <w:pPr>
              <w:adjustRightInd w:val="0"/>
              <w:snapToGrid w:val="0"/>
              <w:spacing w:line="440" w:lineRule="atLeast"/>
              <w:jc w:val="center"/>
              <w:rPr>
                <w:rFonts w:ascii="仿宋_GB2312" w:hAnsi="华文仿宋" w:eastAsia="仿宋_GB2312"/>
                <w:sz w:val="24"/>
              </w:rPr>
            </w:pPr>
            <w:r>
              <w:rPr>
                <w:rFonts w:hint="eastAsia" w:ascii="仿宋_GB2312" w:hAnsi="华文仿宋" w:eastAsia="仿宋_GB2312"/>
                <w:sz w:val="24"/>
              </w:rPr>
              <w:t>通讯地址</w:t>
            </w:r>
          </w:p>
        </w:tc>
        <w:tc>
          <w:tcPr>
            <w:tcW w:w="6721" w:type="dxa"/>
            <w:gridSpan w:val="6"/>
            <w:tcBorders>
              <w:top w:val="single" w:color="auto" w:sz="4" w:space="0"/>
              <w:bottom w:val="single" w:color="auto" w:sz="4" w:space="0"/>
              <w:right w:val="single" w:color="auto" w:sz="8" w:space="0"/>
            </w:tcBorders>
            <w:vAlign w:val="center"/>
          </w:tcPr>
          <w:p w14:paraId="2532B8A1">
            <w:pPr>
              <w:adjustRightInd w:val="0"/>
              <w:snapToGrid w:val="0"/>
              <w:spacing w:line="440" w:lineRule="atLeast"/>
              <w:jc w:val="center"/>
              <w:rPr>
                <w:rFonts w:ascii="仿宋_GB2312" w:hAnsi="华文仿宋" w:eastAsia="仿宋_GB2312"/>
                <w:sz w:val="24"/>
              </w:rPr>
            </w:pPr>
          </w:p>
        </w:tc>
      </w:tr>
      <w:tr w14:paraId="302BF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blHeader/>
          <w:jc w:val="center"/>
        </w:trPr>
        <w:tc>
          <w:tcPr>
            <w:tcW w:w="2101" w:type="dxa"/>
            <w:gridSpan w:val="2"/>
            <w:tcBorders>
              <w:left w:val="single" w:color="auto" w:sz="8" w:space="0"/>
            </w:tcBorders>
            <w:vAlign w:val="center"/>
          </w:tcPr>
          <w:p w14:paraId="6E99BC1A">
            <w:pPr>
              <w:adjustRightInd w:val="0"/>
              <w:snapToGrid w:val="0"/>
              <w:spacing w:line="440" w:lineRule="atLeast"/>
              <w:jc w:val="center"/>
              <w:rPr>
                <w:rFonts w:ascii="仿宋_GB2312" w:hAnsi="华文仿宋" w:eastAsia="仿宋_GB2312"/>
                <w:sz w:val="24"/>
              </w:rPr>
            </w:pPr>
            <w:r>
              <w:rPr>
                <w:rFonts w:hint="eastAsia" w:ascii="仿宋_GB2312" w:hAnsi="华文仿宋" w:eastAsia="仿宋_GB2312"/>
                <w:sz w:val="24"/>
              </w:rPr>
              <w:t>邮政编码</w:t>
            </w:r>
          </w:p>
        </w:tc>
        <w:tc>
          <w:tcPr>
            <w:tcW w:w="2528" w:type="dxa"/>
            <w:gridSpan w:val="2"/>
            <w:tcBorders>
              <w:top w:val="single" w:color="auto" w:sz="4" w:space="0"/>
              <w:bottom w:val="single" w:color="auto" w:sz="4" w:space="0"/>
              <w:right w:val="single" w:color="auto" w:sz="4" w:space="0"/>
            </w:tcBorders>
            <w:vAlign w:val="center"/>
          </w:tcPr>
          <w:p w14:paraId="1312EEA1">
            <w:pPr>
              <w:adjustRightInd w:val="0"/>
              <w:snapToGrid w:val="0"/>
              <w:spacing w:line="440" w:lineRule="atLeast"/>
              <w:jc w:val="center"/>
              <w:rPr>
                <w:rFonts w:ascii="仿宋_GB2312" w:hAnsi="华文仿宋" w:eastAsia="仿宋_GB2312"/>
                <w:sz w:val="24"/>
              </w:rPr>
            </w:pPr>
          </w:p>
        </w:tc>
        <w:tc>
          <w:tcPr>
            <w:tcW w:w="2126" w:type="dxa"/>
            <w:gridSpan w:val="2"/>
            <w:tcBorders>
              <w:top w:val="single" w:color="auto" w:sz="4" w:space="0"/>
              <w:bottom w:val="single" w:color="auto" w:sz="4" w:space="0"/>
              <w:right w:val="single" w:color="auto" w:sz="4" w:space="0"/>
            </w:tcBorders>
            <w:vAlign w:val="center"/>
          </w:tcPr>
          <w:p w14:paraId="73941AE6">
            <w:pPr>
              <w:adjustRightInd w:val="0"/>
              <w:snapToGrid w:val="0"/>
              <w:spacing w:line="440" w:lineRule="atLeast"/>
              <w:jc w:val="center"/>
              <w:rPr>
                <w:rFonts w:ascii="仿宋_GB2312" w:hAnsi="华文仿宋" w:eastAsia="仿宋_GB2312"/>
                <w:sz w:val="24"/>
              </w:rPr>
            </w:pPr>
            <w:r>
              <w:rPr>
                <w:rFonts w:hint="eastAsia" w:ascii="仿宋_GB2312" w:hAnsi="华文仿宋" w:eastAsia="仿宋_GB2312"/>
                <w:sz w:val="24"/>
              </w:rPr>
              <w:t>联系电话</w:t>
            </w:r>
          </w:p>
        </w:tc>
        <w:tc>
          <w:tcPr>
            <w:tcW w:w="2067" w:type="dxa"/>
            <w:gridSpan w:val="2"/>
            <w:tcBorders>
              <w:top w:val="single" w:color="auto" w:sz="4" w:space="0"/>
              <w:left w:val="single" w:color="auto" w:sz="4" w:space="0"/>
              <w:bottom w:val="single" w:color="auto" w:sz="4" w:space="0"/>
              <w:right w:val="single" w:color="auto" w:sz="8" w:space="0"/>
            </w:tcBorders>
            <w:vAlign w:val="center"/>
          </w:tcPr>
          <w:p w14:paraId="6CD20154">
            <w:pPr>
              <w:adjustRightInd w:val="0"/>
              <w:snapToGrid w:val="0"/>
              <w:spacing w:line="440" w:lineRule="atLeast"/>
              <w:jc w:val="center"/>
              <w:rPr>
                <w:rFonts w:ascii="仿宋_GB2312" w:hAnsi="华文仿宋" w:eastAsia="仿宋_GB2312"/>
                <w:sz w:val="24"/>
              </w:rPr>
            </w:pPr>
          </w:p>
        </w:tc>
      </w:tr>
      <w:tr w14:paraId="62A8D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blHeader/>
          <w:jc w:val="center"/>
        </w:trPr>
        <w:tc>
          <w:tcPr>
            <w:tcW w:w="2101" w:type="dxa"/>
            <w:gridSpan w:val="2"/>
            <w:tcBorders>
              <w:left w:val="single" w:color="auto" w:sz="8" w:space="0"/>
              <w:bottom w:val="single" w:color="auto" w:sz="4" w:space="0"/>
            </w:tcBorders>
            <w:vAlign w:val="center"/>
          </w:tcPr>
          <w:p w14:paraId="050164C8">
            <w:pPr>
              <w:adjustRightInd w:val="0"/>
              <w:snapToGrid w:val="0"/>
              <w:spacing w:line="440" w:lineRule="atLeast"/>
              <w:jc w:val="center"/>
              <w:rPr>
                <w:rFonts w:ascii="仿宋_GB2312" w:hAnsi="华文仿宋" w:eastAsia="仿宋_GB2312"/>
                <w:sz w:val="24"/>
              </w:rPr>
            </w:pPr>
            <w:r>
              <w:rPr>
                <w:rFonts w:hint="eastAsia" w:ascii="仿宋_GB2312" w:hAnsi="华文仿宋" w:eastAsia="仿宋_GB2312"/>
                <w:sz w:val="24"/>
              </w:rPr>
              <w:t>电子邮件</w:t>
            </w:r>
          </w:p>
        </w:tc>
        <w:tc>
          <w:tcPr>
            <w:tcW w:w="2528" w:type="dxa"/>
            <w:gridSpan w:val="2"/>
            <w:tcBorders>
              <w:top w:val="single" w:color="auto" w:sz="4" w:space="0"/>
              <w:bottom w:val="single" w:color="auto" w:sz="4" w:space="0"/>
            </w:tcBorders>
            <w:vAlign w:val="center"/>
          </w:tcPr>
          <w:p w14:paraId="3665E73D">
            <w:pPr>
              <w:adjustRightInd w:val="0"/>
              <w:snapToGrid w:val="0"/>
              <w:spacing w:line="440" w:lineRule="atLeast"/>
              <w:jc w:val="center"/>
              <w:rPr>
                <w:rFonts w:ascii="仿宋_GB2312" w:hAnsi="华文仿宋" w:eastAsia="仿宋_GB2312"/>
                <w:sz w:val="24"/>
              </w:rPr>
            </w:pPr>
          </w:p>
        </w:tc>
        <w:tc>
          <w:tcPr>
            <w:tcW w:w="2126" w:type="dxa"/>
            <w:gridSpan w:val="2"/>
            <w:tcBorders>
              <w:top w:val="single" w:color="auto" w:sz="4" w:space="0"/>
              <w:bottom w:val="single" w:color="auto" w:sz="4" w:space="0"/>
            </w:tcBorders>
            <w:vAlign w:val="center"/>
          </w:tcPr>
          <w:p w14:paraId="5DEC6259">
            <w:pPr>
              <w:adjustRightInd w:val="0"/>
              <w:snapToGrid w:val="0"/>
              <w:spacing w:line="440" w:lineRule="atLeast"/>
              <w:jc w:val="center"/>
              <w:rPr>
                <w:rFonts w:ascii="仿宋_GB2312" w:hAnsi="华文仿宋" w:eastAsia="仿宋_GB2312"/>
                <w:sz w:val="24"/>
              </w:rPr>
            </w:pPr>
            <w:r>
              <w:rPr>
                <w:rFonts w:hint="eastAsia" w:ascii="仿宋_GB2312" w:hAnsi="华文仿宋" w:eastAsia="仿宋_GB2312"/>
                <w:sz w:val="24"/>
              </w:rPr>
              <w:t>传　　　真</w:t>
            </w:r>
          </w:p>
        </w:tc>
        <w:tc>
          <w:tcPr>
            <w:tcW w:w="2067" w:type="dxa"/>
            <w:gridSpan w:val="2"/>
            <w:tcBorders>
              <w:top w:val="single" w:color="auto" w:sz="4" w:space="0"/>
              <w:bottom w:val="single" w:color="auto" w:sz="4" w:space="0"/>
              <w:right w:val="single" w:color="auto" w:sz="8" w:space="0"/>
            </w:tcBorders>
            <w:vAlign w:val="center"/>
          </w:tcPr>
          <w:p w14:paraId="3F0A6536">
            <w:pPr>
              <w:adjustRightInd w:val="0"/>
              <w:snapToGrid w:val="0"/>
              <w:spacing w:line="440" w:lineRule="atLeast"/>
              <w:jc w:val="center"/>
              <w:rPr>
                <w:rFonts w:ascii="仿宋_GB2312" w:hAnsi="华文仿宋" w:eastAsia="仿宋_GB2312"/>
                <w:sz w:val="24"/>
              </w:rPr>
            </w:pPr>
          </w:p>
        </w:tc>
      </w:tr>
      <w:tr w14:paraId="40005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blHeader/>
          <w:jc w:val="center"/>
        </w:trPr>
        <w:tc>
          <w:tcPr>
            <w:tcW w:w="424" w:type="dxa"/>
            <w:vMerge w:val="restart"/>
            <w:tcBorders>
              <w:left w:val="single" w:color="auto" w:sz="8" w:space="0"/>
              <w:right w:val="single" w:color="auto" w:sz="4" w:space="0"/>
            </w:tcBorders>
            <w:vAlign w:val="center"/>
          </w:tcPr>
          <w:p w14:paraId="0984DBD7">
            <w:pPr>
              <w:adjustRightInd w:val="0"/>
              <w:snapToGrid w:val="0"/>
              <w:spacing w:line="440" w:lineRule="atLeast"/>
              <w:jc w:val="center"/>
              <w:rPr>
                <w:rFonts w:ascii="仿宋_GB2312" w:hAnsi="华文仿宋" w:eastAsia="仿宋_GB2312"/>
                <w:sz w:val="24"/>
              </w:rPr>
            </w:pPr>
            <w:r>
              <w:rPr>
                <w:rFonts w:hint="eastAsia" w:ascii="仿宋_GB2312" w:hAnsi="华文仿宋" w:eastAsia="仿宋_GB2312"/>
                <w:sz w:val="24"/>
              </w:rPr>
              <w:t>主要工作经历</w:t>
            </w:r>
          </w:p>
        </w:tc>
        <w:tc>
          <w:tcPr>
            <w:tcW w:w="1677" w:type="dxa"/>
            <w:tcBorders>
              <w:left w:val="single" w:color="auto" w:sz="4" w:space="0"/>
            </w:tcBorders>
            <w:vAlign w:val="center"/>
          </w:tcPr>
          <w:p w14:paraId="2188F14B">
            <w:pPr>
              <w:adjustRightInd w:val="0"/>
              <w:snapToGrid w:val="0"/>
              <w:spacing w:line="440" w:lineRule="atLeast"/>
              <w:jc w:val="center"/>
              <w:rPr>
                <w:rFonts w:ascii="仿宋_GB2312" w:hAnsi="华文仿宋" w:eastAsia="仿宋_GB2312"/>
                <w:sz w:val="24"/>
              </w:rPr>
            </w:pPr>
            <w:r>
              <w:rPr>
                <w:rFonts w:hint="eastAsia" w:ascii="仿宋_GB2312" w:hAnsi="华文仿宋" w:eastAsia="仿宋_GB2312"/>
                <w:sz w:val="24"/>
              </w:rPr>
              <w:t>起止时间</w:t>
            </w:r>
          </w:p>
        </w:tc>
        <w:tc>
          <w:tcPr>
            <w:tcW w:w="2528" w:type="dxa"/>
            <w:gridSpan w:val="2"/>
            <w:tcBorders>
              <w:top w:val="single" w:color="auto" w:sz="4" w:space="0"/>
              <w:bottom w:val="single" w:color="auto" w:sz="4" w:space="0"/>
              <w:right w:val="single" w:color="auto" w:sz="4" w:space="0"/>
            </w:tcBorders>
            <w:vAlign w:val="center"/>
          </w:tcPr>
          <w:p w14:paraId="17FE93DC">
            <w:pPr>
              <w:adjustRightInd w:val="0"/>
              <w:snapToGrid w:val="0"/>
              <w:spacing w:line="440" w:lineRule="atLeast"/>
              <w:jc w:val="center"/>
              <w:rPr>
                <w:rFonts w:ascii="仿宋_GB2312" w:hAnsi="华文仿宋" w:eastAsia="仿宋_GB2312"/>
                <w:sz w:val="24"/>
              </w:rPr>
            </w:pPr>
            <w:r>
              <w:rPr>
                <w:rFonts w:hint="eastAsia" w:ascii="仿宋_GB2312" w:hAnsi="华文仿宋" w:eastAsia="仿宋_GB2312"/>
                <w:sz w:val="24"/>
              </w:rPr>
              <w:t>工作地点</w:t>
            </w:r>
          </w:p>
        </w:tc>
        <w:tc>
          <w:tcPr>
            <w:tcW w:w="2126" w:type="dxa"/>
            <w:gridSpan w:val="2"/>
            <w:tcBorders>
              <w:top w:val="single" w:color="auto" w:sz="4" w:space="0"/>
              <w:bottom w:val="single" w:color="auto" w:sz="4" w:space="0"/>
              <w:right w:val="single" w:color="auto" w:sz="4" w:space="0"/>
            </w:tcBorders>
            <w:vAlign w:val="center"/>
          </w:tcPr>
          <w:p w14:paraId="7FE0EC7C">
            <w:pPr>
              <w:adjustRightInd w:val="0"/>
              <w:snapToGrid w:val="0"/>
              <w:spacing w:line="440" w:lineRule="atLeast"/>
              <w:jc w:val="center"/>
              <w:rPr>
                <w:rFonts w:ascii="仿宋_GB2312" w:hAnsi="华文仿宋" w:eastAsia="仿宋_GB2312"/>
                <w:sz w:val="24"/>
              </w:rPr>
            </w:pPr>
            <w:r>
              <w:rPr>
                <w:rFonts w:hint="eastAsia" w:ascii="仿宋_GB2312" w:hAnsi="华文仿宋" w:eastAsia="仿宋_GB2312"/>
                <w:sz w:val="24"/>
              </w:rPr>
              <w:t>工作单位</w:t>
            </w:r>
          </w:p>
        </w:tc>
        <w:tc>
          <w:tcPr>
            <w:tcW w:w="2067" w:type="dxa"/>
            <w:gridSpan w:val="2"/>
            <w:tcBorders>
              <w:top w:val="single" w:color="auto" w:sz="4" w:space="0"/>
              <w:bottom w:val="single" w:color="auto" w:sz="4" w:space="0"/>
              <w:right w:val="single" w:color="auto" w:sz="8" w:space="0"/>
            </w:tcBorders>
            <w:vAlign w:val="center"/>
          </w:tcPr>
          <w:p w14:paraId="7ED343BE">
            <w:pPr>
              <w:adjustRightInd w:val="0"/>
              <w:snapToGrid w:val="0"/>
              <w:spacing w:line="440" w:lineRule="atLeast"/>
              <w:jc w:val="center"/>
              <w:rPr>
                <w:rFonts w:ascii="仿宋_GB2312" w:hAnsi="华文仿宋" w:eastAsia="仿宋_GB2312"/>
                <w:sz w:val="24"/>
              </w:rPr>
            </w:pPr>
            <w:r>
              <w:rPr>
                <w:rFonts w:hint="eastAsia" w:ascii="仿宋_GB2312" w:hAnsi="华文仿宋" w:eastAsia="仿宋_GB2312"/>
                <w:sz w:val="24"/>
              </w:rPr>
              <w:t>担任职务</w:t>
            </w:r>
          </w:p>
        </w:tc>
      </w:tr>
      <w:tr w14:paraId="5EC00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blHeader/>
          <w:jc w:val="center"/>
        </w:trPr>
        <w:tc>
          <w:tcPr>
            <w:tcW w:w="424" w:type="dxa"/>
            <w:vMerge w:val="continue"/>
            <w:tcBorders>
              <w:left w:val="single" w:color="auto" w:sz="8" w:space="0"/>
              <w:right w:val="single" w:color="auto" w:sz="4" w:space="0"/>
            </w:tcBorders>
            <w:vAlign w:val="center"/>
          </w:tcPr>
          <w:p w14:paraId="36E8EE94">
            <w:pPr>
              <w:adjustRightInd w:val="0"/>
              <w:snapToGrid w:val="0"/>
              <w:spacing w:line="440" w:lineRule="atLeast"/>
              <w:jc w:val="center"/>
              <w:rPr>
                <w:rFonts w:ascii="仿宋_GB2312" w:hAnsi="华文仿宋" w:eastAsia="仿宋_GB2312"/>
                <w:sz w:val="24"/>
              </w:rPr>
            </w:pPr>
          </w:p>
        </w:tc>
        <w:tc>
          <w:tcPr>
            <w:tcW w:w="1677" w:type="dxa"/>
            <w:tcBorders>
              <w:left w:val="single" w:color="auto" w:sz="4" w:space="0"/>
            </w:tcBorders>
            <w:vAlign w:val="center"/>
          </w:tcPr>
          <w:p w14:paraId="580C7D2B">
            <w:pPr>
              <w:adjustRightInd w:val="0"/>
              <w:snapToGrid w:val="0"/>
              <w:spacing w:line="440" w:lineRule="atLeast"/>
              <w:jc w:val="center"/>
              <w:rPr>
                <w:rFonts w:ascii="仿宋_GB2312" w:hAnsi="华文仿宋" w:eastAsia="仿宋_GB2312"/>
                <w:sz w:val="24"/>
              </w:rPr>
            </w:pPr>
          </w:p>
        </w:tc>
        <w:tc>
          <w:tcPr>
            <w:tcW w:w="2528" w:type="dxa"/>
            <w:gridSpan w:val="2"/>
            <w:tcBorders>
              <w:top w:val="single" w:color="auto" w:sz="4" w:space="0"/>
              <w:bottom w:val="single" w:color="auto" w:sz="4" w:space="0"/>
              <w:right w:val="single" w:color="auto" w:sz="4" w:space="0"/>
            </w:tcBorders>
            <w:vAlign w:val="center"/>
          </w:tcPr>
          <w:p w14:paraId="63CB392A">
            <w:pPr>
              <w:adjustRightInd w:val="0"/>
              <w:snapToGrid w:val="0"/>
              <w:spacing w:line="440" w:lineRule="atLeast"/>
              <w:jc w:val="center"/>
              <w:rPr>
                <w:rFonts w:ascii="仿宋_GB2312" w:hAnsi="华文仿宋" w:eastAsia="仿宋_GB2312"/>
                <w:sz w:val="24"/>
              </w:rPr>
            </w:pPr>
          </w:p>
        </w:tc>
        <w:tc>
          <w:tcPr>
            <w:tcW w:w="2126" w:type="dxa"/>
            <w:gridSpan w:val="2"/>
            <w:tcBorders>
              <w:top w:val="single" w:color="auto" w:sz="4" w:space="0"/>
              <w:bottom w:val="single" w:color="auto" w:sz="4" w:space="0"/>
              <w:right w:val="single" w:color="auto" w:sz="4" w:space="0"/>
            </w:tcBorders>
            <w:vAlign w:val="center"/>
          </w:tcPr>
          <w:p w14:paraId="4A0749C6">
            <w:pPr>
              <w:adjustRightInd w:val="0"/>
              <w:snapToGrid w:val="0"/>
              <w:spacing w:line="440" w:lineRule="atLeast"/>
              <w:jc w:val="center"/>
              <w:rPr>
                <w:rFonts w:ascii="仿宋_GB2312" w:hAnsi="华文仿宋" w:eastAsia="仿宋_GB2312"/>
                <w:sz w:val="24"/>
              </w:rPr>
            </w:pPr>
          </w:p>
        </w:tc>
        <w:tc>
          <w:tcPr>
            <w:tcW w:w="2067" w:type="dxa"/>
            <w:gridSpan w:val="2"/>
            <w:tcBorders>
              <w:top w:val="single" w:color="auto" w:sz="4" w:space="0"/>
              <w:bottom w:val="single" w:color="auto" w:sz="4" w:space="0"/>
              <w:right w:val="single" w:color="auto" w:sz="8" w:space="0"/>
            </w:tcBorders>
            <w:vAlign w:val="center"/>
          </w:tcPr>
          <w:p w14:paraId="2A2748D6">
            <w:pPr>
              <w:adjustRightInd w:val="0"/>
              <w:snapToGrid w:val="0"/>
              <w:spacing w:line="440" w:lineRule="atLeast"/>
              <w:jc w:val="center"/>
              <w:rPr>
                <w:rFonts w:ascii="仿宋_GB2312" w:hAnsi="华文仿宋" w:eastAsia="仿宋_GB2312"/>
                <w:sz w:val="24"/>
              </w:rPr>
            </w:pPr>
          </w:p>
        </w:tc>
      </w:tr>
      <w:tr w14:paraId="1B2B8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67" w:hRule="exact"/>
          <w:tblHeader/>
          <w:jc w:val="center"/>
        </w:trPr>
        <w:tc>
          <w:tcPr>
            <w:tcW w:w="424" w:type="dxa"/>
            <w:vMerge w:val="continue"/>
            <w:tcBorders>
              <w:left w:val="single" w:color="auto" w:sz="8" w:space="0"/>
              <w:right w:val="single" w:color="auto" w:sz="4" w:space="0"/>
            </w:tcBorders>
            <w:vAlign w:val="center"/>
          </w:tcPr>
          <w:p w14:paraId="58BC9FA5">
            <w:pPr>
              <w:adjustRightInd w:val="0"/>
              <w:snapToGrid w:val="0"/>
              <w:spacing w:line="440" w:lineRule="atLeast"/>
              <w:jc w:val="center"/>
              <w:rPr>
                <w:rFonts w:ascii="仿宋_GB2312" w:hAnsi="华文仿宋" w:eastAsia="仿宋_GB2312"/>
                <w:sz w:val="24"/>
              </w:rPr>
            </w:pPr>
          </w:p>
        </w:tc>
        <w:tc>
          <w:tcPr>
            <w:tcW w:w="1677" w:type="dxa"/>
            <w:tcBorders>
              <w:left w:val="single" w:color="auto" w:sz="4" w:space="0"/>
            </w:tcBorders>
            <w:vAlign w:val="center"/>
          </w:tcPr>
          <w:p w14:paraId="66962DD7">
            <w:pPr>
              <w:adjustRightInd w:val="0"/>
              <w:snapToGrid w:val="0"/>
              <w:spacing w:line="440" w:lineRule="atLeast"/>
              <w:jc w:val="center"/>
              <w:rPr>
                <w:rFonts w:ascii="仿宋_GB2312" w:hAnsi="华文仿宋" w:eastAsia="仿宋_GB2312"/>
                <w:sz w:val="24"/>
              </w:rPr>
            </w:pPr>
          </w:p>
        </w:tc>
        <w:tc>
          <w:tcPr>
            <w:tcW w:w="2528" w:type="dxa"/>
            <w:gridSpan w:val="2"/>
            <w:tcBorders>
              <w:top w:val="single" w:color="auto" w:sz="4" w:space="0"/>
              <w:bottom w:val="single" w:color="auto" w:sz="4" w:space="0"/>
              <w:right w:val="single" w:color="auto" w:sz="4" w:space="0"/>
            </w:tcBorders>
            <w:vAlign w:val="center"/>
          </w:tcPr>
          <w:p w14:paraId="323BCC07">
            <w:pPr>
              <w:adjustRightInd w:val="0"/>
              <w:snapToGrid w:val="0"/>
              <w:spacing w:line="440" w:lineRule="atLeast"/>
              <w:jc w:val="center"/>
              <w:rPr>
                <w:rFonts w:ascii="仿宋_GB2312" w:hAnsi="华文仿宋" w:eastAsia="仿宋_GB2312"/>
                <w:sz w:val="24"/>
              </w:rPr>
            </w:pPr>
          </w:p>
        </w:tc>
        <w:tc>
          <w:tcPr>
            <w:tcW w:w="2126" w:type="dxa"/>
            <w:gridSpan w:val="2"/>
            <w:tcBorders>
              <w:top w:val="single" w:color="auto" w:sz="4" w:space="0"/>
              <w:bottom w:val="single" w:color="auto" w:sz="4" w:space="0"/>
              <w:right w:val="single" w:color="auto" w:sz="4" w:space="0"/>
            </w:tcBorders>
            <w:vAlign w:val="center"/>
          </w:tcPr>
          <w:p w14:paraId="2BCE43C0">
            <w:pPr>
              <w:adjustRightInd w:val="0"/>
              <w:snapToGrid w:val="0"/>
              <w:spacing w:line="440" w:lineRule="atLeast"/>
              <w:jc w:val="center"/>
              <w:rPr>
                <w:rFonts w:ascii="仿宋_GB2312" w:hAnsi="华文仿宋" w:eastAsia="仿宋_GB2312"/>
                <w:sz w:val="24"/>
              </w:rPr>
            </w:pPr>
          </w:p>
        </w:tc>
        <w:tc>
          <w:tcPr>
            <w:tcW w:w="2067" w:type="dxa"/>
            <w:gridSpan w:val="2"/>
            <w:tcBorders>
              <w:top w:val="single" w:color="auto" w:sz="4" w:space="0"/>
              <w:bottom w:val="single" w:color="auto" w:sz="4" w:space="0"/>
              <w:right w:val="single" w:color="auto" w:sz="8" w:space="0"/>
            </w:tcBorders>
            <w:vAlign w:val="center"/>
          </w:tcPr>
          <w:p w14:paraId="460039A0">
            <w:pPr>
              <w:adjustRightInd w:val="0"/>
              <w:snapToGrid w:val="0"/>
              <w:spacing w:line="440" w:lineRule="atLeast"/>
              <w:jc w:val="center"/>
              <w:rPr>
                <w:rFonts w:ascii="仿宋_GB2312" w:hAnsi="华文仿宋" w:eastAsia="仿宋_GB2312"/>
                <w:sz w:val="24"/>
              </w:rPr>
            </w:pPr>
          </w:p>
        </w:tc>
      </w:tr>
      <w:tr w14:paraId="3C241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blHeader/>
          <w:jc w:val="center"/>
        </w:trPr>
        <w:tc>
          <w:tcPr>
            <w:tcW w:w="424" w:type="dxa"/>
            <w:vMerge w:val="continue"/>
            <w:tcBorders>
              <w:left w:val="single" w:color="auto" w:sz="8" w:space="0"/>
              <w:right w:val="single" w:color="auto" w:sz="4" w:space="0"/>
            </w:tcBorders>
            <w:vAlign w:val="center"/>
          </w:tcPr>
          <w:p w14:paraId="1846A574">
            <w:pPr>
              <w:adjustRightInd w:val="0"/>
              <w:snapToGrid w:val="0"/>
              <w:spacing w:line="440" w:lineRule="atLeast"/>
              <w:jc w:val="center"/>
              <w:rPr>
                <w:rFonts w:ascii="仿宋_GB2312" w:hAnsi="华文仿宋" w:eastAsia="仿宋_GB2312"/>
                <w:sz w:val="24"/>
              </w:rPr>
            </w:pPr>
          </w:p>
        </w:tc>
        <w:tc>
          <w:tcPr>
            <w:tcW w:w="1677" w:type="dxa"/>
            <w:tcBorders>
              <w:left w:val="single" w:color="auto" w:sz="4" w:space="0"/>
            </w:tcBorders>
            <w:vAlign w:val="center"/>
          </w:tcPr>
          <w:p w14:paraId="1F0DA2CC">
            <w:pPr>
              <w:adjustRightInd w:val="0"/>
              <w:snapToGrid w:val="0"/>
              <w:spacing w:line="440" w:lineRule="atLeast"/>
              <w:jc w:val="center"/>
              <w:rPr>
                <w:rFonts w:ascii="仿宋_GB2312" w:hAnsi="华文仿宋" w:eastAsia="仿宋_GB2312"/>
                <w:sz w:val="24"/>
              </w:rPr>
            </w:pPr>
          </w:p>
        </w:tc>
        <w:tc>
          <w:tcPr>
            <w:tcW w:w="2528" w:type="dxa"/>
            <w:gridSpan w:val="2"/>
            <w:tcBorders>
              <w:top w:val="single" w:color="auto" w:sz="4" w:space="0"/>
              <w:bottom w:val="single" w:color="auto" w:sz="4" w:space="0"/>
              <w:right w:val="single" w:color="auto" w:sz="4" w:space="0"/>
            </w:tcBorders>
            <w:vAlign w:val="center"/>
          </w:tcPr>
          <w:p w14:paraId="7AC4DE7F">
            <w:pPr>
              <w:adjustRightInd w:val="0"/>
              <w:snapToGrid w:val="0"/>
              <w:spacing w:line="440" w:lineRule="atLeast"/>
              <w:jc w:val="center"/>
              <w:rPr>
                <w:rFonts w:ascii="仿宋_GB2312" w:hAnsi="华文仿宋" w:eastAsia="仿宋_GB2312"/>
                <w:sz w:val="24"/>
              </w:rPr>
            </w:pPr>
          </w:p>
        </w:tc>
        <w:tc>
          <w:tcPr>
            <w:tcW w:w="2126" w:type="dxa"/>
            <w:gridSpan w:val="2"/>
            <w:tcBorders>
              <w:top w:val="single" w:color="auto" w:sz="4" w:space="0"/>
              <w:bottom w:val="single" w:color="auto" w:sz="4" w:space="0"/>
              <w:right w:val="single" w:color="auto" w:sz="4" w:space="0"/>
            </w:tcBorders>
            <w:vAlign w:val="center"/>
          </w:tcPr>
          <w:p w14:paraId="5D0705F5">
            <w:pPr>
              <w:adjustRightInd w:val="0"/>
              <w:snapToGrid w:val="0"/>
              <w:spacing w:line="440" w:lineRule="atLeast"/>
              <w:jc w:val="center"/>
              <w:rPr>
                <w:rFonts w:ascii="仿宋_GB2312" w:hAnsi="华文仿宋" w:eastAsia="仿宋_GB2312"/>
                <w:sz w:val="24"/>
              </w:rPr>
            </w:pPr>
          </w:p>
        </w:tc>
        <w:tc>
          <w:tcPr>
            <w:tcW w:w="2067" w:type="dxa"/>
            <w:gridSpan w:val="2"/>
            <w:tcBorders>
              <w:top w:val="single" w:color="auto" w:sz="4" w:space="0"/>
              <w:bottom w:val="single" w:color="auto" w:sz="4" w:space="0"/>
              <w:right w:val="single" w:color="auto" w:sz="8" w:space="0"/>
            </w:tcBorders>
            <w:vAlign w:val="center"/>
          </w:tcPr>
          <w:p w14:paraId="0AC16EF0">
            <w:pPr>
              <w:adjustRightInd w:val="0"/>
              <w:snapToGrid w:val="0"/>
              <w:spacing w:line="440" w:lineRule="atLeast"/>
              <w:jc w:val="center"/>
              <w:rPr>
                <w:rFonts w:ascii="仿宋_GB2312" w:hAnsi="华文仿宋" w:eastAsia="仿宋_GB2312"/>
                <w:sz w:val="24"/>
              </w:rPr>
            </w:pPr>
          </w:p>
        </w:tc>
      </w:tr>
      <w:tr w14:paraId="04AAF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blHeader/>
          <w:jc w:val="center"/>
        </w:trPr>
        <w:tc>
          <w:tcPr>
            <w:tcW w:w="424" w:type="dxa"/>
            <w:vMerge w:val="continue"/>
            <w:tcBorders>
              <w:left w:val="single" w:color="auto" w:sz="8" w:space="0"/>
              <w:right w:val="single" w:color="auto" w:sz="4" w:space="0"/>
            </w:tcBorders>
            <w:vAlign w:val="center"/>
          </w:tcPr>
          <w:p w14:paraId="5A66EB27">
            <w:pPr>
              <w:adjustRightInd w:val="0"/>
              <w:snapToGrid w:val="0"/>
              <w:spacing w:line="440" w:lineRule="atLeast"/>
              <w:jc w:val="center"/>
              <w:rPr>
                <w:rFonts w:ascii="仿宋_GB2312" w:hAnsi="华文仿宋" w:eastAsia="仿宋_GB2312"/>
                <w:sz w:val="24"/>
              </w:rPr>
            </w:pPr>
          </w:p>
        </w:tc>
        <w:tc>
          <w:tcPr>
            <w:tcW w:w="1677" w:type="dxa"/>
            <w:tcBorders>
              <w:left w:val="single" w:color="auto" w:sz="4" w:space="0"/>
            </w:tcBorders>
            <w:vAlign w:val="center"/>
          </w:tcPr>
          <w:p w14:paraId="6DF3A90E">
            <w:pPr>
              <w:adjustRightInd w:val="0"/>
              <w:snapToGrid w:val="0"/>
              <w:spacing w:line="440" w:lineRule="atLeast"/>
              <w:jc w:val="center"/>
              <w:rPr>
                <w:rFonts w:ascii="仿宋_GB2312" w:hAnsi="华文仿宋" w:eastAsia="仿宋_GB2312"/>
                <w:sz w:val="24"/>
              </w:rPr>
            </w:pPr>
          </w:p>
        </w:tc>
        <w:tc>
          <w:tcPr>
            <w:tcW w:w="2528" w:type="dxa"/>
            <w:gridSpan w:val="2"/>
            <w:tcBorders>
              <w:top w:val="single" w:color="auto" w:sz="4" w:space="0"/>
              <w:bottom w:val="single" w:color="auto" w:sz="4" w:space="0"/>
              <w:right w:val="single" w:color="auto" w:sz="4" w:space="0"/>
            </w:tcBorders>
            <w:vAlign w:val="center"/>
          </w:tcPr>
          <w:p w14:paraId="5E155BF8">
            <w:pPr>
              <w:adjustRightInd w:val="0"/>
              <w:snapToGrid w:val="0"/>
              <w:spacing w:line="440" w:lineRule="atLeast"/>
              <w:jc w:val="center"/>
              <w:rPr>
                <w:rFonts w:ascii="仿宋_GB2312" w:hAnsi="华文仿宋" w:eastAsia="仿宋_GB2312"/>
                <w:sz w:val="24"/>
              </w:rPr>
            </w:pPr>
          </w:p>
        </w:tc>
        <w:tc>
          <w:tcPr>
            <w:tcW w:w="2126" w:type="dxa"/>
            <w:gridSpan w:val="2"/>
            <w:tcBorders>
              <w:top w:val="single" w:color="auto" w:sz="4" w:space="0"/>
              <w:bottom w:val="single" w:color="auto" w:sz="4" w:space="0"/>
              <w:right w:val="single" w:color="auto" w:sz="4" w:space="0"/>
            </w:tcBorders>
            <w:vAlign w:val="center"/>
          </w:tcPr>
          <w:p w14:paraId="11446E9F">
            <w:pPr>
              <w:adjustRightInd w:val="0"/>
              <w:snapToGrid w:val="0"/>
              <w:spacing w:line="440" w:lineRule="atLeast"/>
              <w:jc w:val="center"/>
              <w:rPr>
                <w:rFonts w:ascii="仿宋_GB2312" w:hAnsi="华文仿宋" w:eastAsia="仿宋_GB2312"/>
                <w:sz w:val="24"/>
              </w:rPr>
            </w:pPr>
          </w:p>
        </w:tc>
        <w:tc>
          <w:tcPr>
            <w:tcW w:w="2067" w:type="dxa"/>
            <w:gridSpan w:val="2"/>
            <w:tcBorders>
              <w:top w:val="single" w:color="auto" w:sz="4" w:space="0"/>
              <w:bottom w:val="single" w:color="auto" w:sz="4" w:space="0"/>
              <w:right w:val="single" w:color="auto" w:sz="8" w:space="0"/>
            </w:tcBorders>
            <w:vAlign w:val="center"/>
          </w:tcPr>
          <w:p w14:paraId="49812658">
            <w:pPr>
              <w:adjustRightInd w:val="0"/>
              <w:snapToGrid w:val="0"/>
              <w:spacing w:line="440" w:lineRule="atLeast"/>
              <w:jc w:val="center"/>
              <w:rPr>
                <w:rFonts w:ascii="仿宋_GB2312" w:hAnsi="华文仿宋" w:eastAsia="仿宋_GB2312"/>
                <w:sz w:val="24"/>
              </w:rPr>
            </w:pPr>
          </w:p>
        </w:tc>
      </w:tr>
      <w:tr w14:paraId="4D442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67" w:hRule="exact"/>
          <w:tblHeader/>
          <w:jc w:val="center"/>
        </w:trPr>
        <w:tc>
          <w:tcPr>
            <w:tcW w:w="424" w:type="dxa"/>
            <w:vMerge w:val="continue"/>
            <w:tcBorders>
              <w:left w:val="single" w:color="auto" w:sz="8" w:space="0"/>
              <w:right w:val="single" w:color="auto" w:sz="4" w:space="0"/>
            </w:tcBorders>
            <w:vAlign w:val="center"/>
          </w:tcPr>
          <w:p w14:paraId="1A9A981D">
            <w:pPr>
              <w:adjustRightInd w:val="0"/>
              <w:snapToGrid w:val="0"/>
              <w:spacing w:line="440" w:lineRule="atLeast"/>
              <w:jc w:val="center"/>
              <w:rPr>
                <w:rFonts w:ascii="仿宋_GB2312" w:hAnsi="华文仿宋" w:eastAsia="仿宋_GB2312"/>
                <w:sz w:val="24"/>
              </w:rPr>
            </w:pPr>
          </w:p>
        </w:tc>
        <w:tc>
          <w:tcPr>
            <w:tcW w:w="1677" w:type="dxa"/>
            <w:tcBorders>
              <w:left w:val="single" w:color="auto" w:sz="4" w:space="0"/>
            </w:tcBorders>
            <w:vAlign w:val="center"/>
          </w:tcPr>
          <w:p w14:paraId="163DBE88">
            <w:pPr>
              <w:adjustRightInd w:val="0"/>
              <w:snapToGrid w:val="0"/>
              <w:spacing w:line="440" w:lineRule="atLeast"/>
              <w:jc w:val="center"/>
              <w:rPr>
                <w:rFonts w:ascii="仿宋_GB2312" w:hAnsi="华文仿宋" w:eastAsia="仿宋_GB2312"/>
                <w:sz w:val="24"/>
              </w:rPr>
            </w:pPr>
          </w:p>
        </w:tc>
        <w:tc>
          <w:tcPr>
            <w:tcW w:w="2528" w:type="dxa"/>
            <w:gridSpan w:val="2"/>
            <w:tcBorders>
              <w:top w:val="single" w:color="auto" w:sz="4" w:space="0"/>
              <w:bottom w:val="single" w:color="auto" w:sz="4" w:space="0"/>
              <w:right w:val="single" w:color="auto" w:sz="4" w:space="0"/>
            </w:tcBorders>
            <w:vAlign w:val="center"/>
          </w:tcPr>
          <w:p w14:paraId="1ABDDEFD">
            <w:pPr>
              <w:adjustRightInd w:val="0"/>
              <w:snapToGrid w:val="0"/>
              <w:spacing w:line="440" w:lineRule="atLeast"/>
              <w:jc w:val="center"/>
              <w:rPr>
                <w:rFonts w:ascii="仿宋_GB2312" w:hAnsi="华文仿宋" w:eastAsia="仿宋_GB2312"/>
                <w:sz w:val="24"/>
              </w:rPr>
            </w:pPr>
          </w:p>
        </w:tc>
        <w:tc>
          <w:tcPr>
            <w:tcW w:w="2126" w:type="dxa"/>
            <w:gridSpan w:val="2"/>
            <w:tcBorders>
              <w:top w:val="single" w:color="auto" w:sz="4" w:space="0"/>
              <w:bottom w:val="single" w:color="auto" w:sz="4" w:space="0"/>
              <w:right w:val="single" w:color="auto" w:sz="4" w:space="0"/>
            </w:tcBorders>
            <w:vAlign w:val="center"/>
          </w:tcPr>
          <w:p w14:paraId="6CCBF513">
            <w:pPr>
              <w:adjustRightInd w:val="0"/>
              <w:snapToGrid w:val="0"/>
              <w:spacing w:line="440" w:lineRule="atLeast"/>
              <w:jc w:val="center"/>
              <w:rPr>
                <w:rFonts w:ascii="仿宋_GB2312" w:hAnsi="华文仿宋" w:eastAsia="仿宋_GB2312"/>
                <w:sz w:val="24"/>
              </w:rPr>
            </w:pPr>
          </w:p>
        </w:tc>
        <w:tc>
          <w:tcPr>
            <w:tcW w:w="2067" w:type="dxa"/>
            <w:gridSpan w:val="2"/>
            <w:tcBorders>
              <w:top w:val="single" w:color="auto" w:sz="4" w:space="0"/>
              <w:bottom w:val="single" w:color="auto" w:sz="4" w:space="0"/>
              <w:right w:val="single" w:color="auto" w:sz="8" w:space="0"/>
            </w:tcBorders>
            <w:vAlign w:val="center"/>
          </w:tcPr>
          <w:p w14:paraId="546F6B1E">
            <w:pPr>
              <w:adjustRightInd w:val="0"/>
              <w:snapToGrid w:val="0"/>
              <w:spacing w:line="440" w:lineRule="atLeast"/>
              <w:jc w:val="center"/>
              <w:rPr>
                <w:rFonts w:ascii="仿宋_GB2312" w:hAnsi="华文仿宋" w:eastAsia="仿宋_GB2312"/>
                <w:sz w:val="24"/>
              </w:rPr>
            </w:pPr>
          </w:p>
        </w:tc>
      </w:tr>
      <w:tr w14:paraId="710F3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blHeader/>
          <w:jc w:val="center"/>
        </w:trPr>
        <w:tc>
          <w:tcPr>
            <w:tcW w:w="424" w:type="dxa"/>
            <w:vMerge w:val="continue"/>
            <w:tcBorders>
              <w:left w:val="single" w:color="auto" w:sz="8" w:space="0"/>
              <w:right w:val="single" w:color="auto" w:sz="4" w:space="0"/>
            </w:tcBorders>
            <w:vAlign w:val="center"/>
          </w:tcPr>
          <w:p w14:paraId="33DAE6DF">
            <w:pPr>
              <w:adjustRightInd w:val="0"/>
              <w:snapToGrid w:val="0"/>
              <w:spacing w:line="440" w:lineRule="atLeast"/>
              <w:jc w:val="center"/>
              <w:rPr>
                <w:rFonts w:ascii="仿宋_GB2312" w:hAnsi="华文仿宋" w:eastAsia="仿宋_GB2312"/>
                <w:sz w:val="24"/>
              </w:rPr>
            </w:pPr>
          </w:p>
        </w:tc>
        <w:tc>
          <w:tcPr>
            <w:tcW w:w="1677" w:type="dxa"/>
            <w:tcBorders>
              <w:left w:val="single" w:color="auto" w:sz="4" w:space="0"/>
            </w:tcBorders>
            <w:vAlign w:val="center"/>
          </w:tcPr>
          <w:p w14:paraId="3D67E445">
            <w:pPr>
              <w:adjustRightInd w:val="0"/>
              <w:snapToGrid w:val="0"/>
              <w:spacing w:line="440" w:lineRule="atLeast"/>
              <w:jc w:val="center"/>
              <w:rPr>
                <w:rFonts w:ascii="仿宋_GB2312" w:hAnsi="华文仿宋" w:eastAsia="仿宋_GB2312"/>
                <w:sz w:val="24"/>
              </w:rPr>
            </w:pPr>
          </w:p>
        </w:tc>
        <w:tc>
          <w:tcPr>
            <w:tcW w:w="2528" w:type="dxa"/>
            <w:gridSpan w:val="2"/>
            <w:tcBorders>
              <w:top w:val="single" w:color="auto" w:sz="4" w:space="0"/>
              <w:bottom w:val="single" w:color="auto" w:sz="4" w:space="0"/>
              <w:right w:val="single" w:color="auto" w:sz="4" w:space="0"/>
            </w:tcBorders>
            <w:vAlign w:val="center"/>
          </w:tcPr>
          <w:p w14:paraId="0C33ECAA">
            <w:pPr>
              <w:adjustRightInd w:val="0"/>
              <w:snapToGrid w:val="0"/>
              <w:spacing w:line="440" w:lineRule="atLeast"/>
              <w:jc w:val="center"/>
              <w:rPr>
                <w:rFonts w:ascii="仿宋_GB2312" w:hAnsi="华文仿宋" w:eastAsia="仿宋_GB2312"/>
                <w:sz w:val="24"/>
              </w:rPr>
            </w:pPr>
          </w:p>
        </w:tc>
        <w:tc>
          <w:tcPr>
            <w:tcW w:w="2126" w:type="dxa"/>
            <w:gridSpan w:val="2"/>
            <w:tcBorders>
              <w:top w:val="single" w:color="auto" w:sz="4" w:space="0"/>
              <w:bottom w:val="single" w:color="auto" w:sz="4" w:space="0"/>
              <w:right w:val="single" w:color="auto" w:sz="4" w:space="0"/>
            </w:tcBorders>
            <w:vAlign w:val="center"/>
          </w:tcPr>
          <w:p w14:paraId="5BD1B947">
            <w:pPr>
              <w:adjustRightInd w:val="0"/>
              <w:snapToGrid w:val="0"/>
              <w:spacing w:line="440" w:lineRule="atLeast"/>
              <w:jc w:val="center"/>
              <w:rPr>
                <w:rFonts w:ascii="仿宋_GB2312" w:hAnsi="华文仿宋" w:eastAsia="仿宋_GB2312"/>
                <w:sz w:val="24"/>
              </w:rPr>
            </w:pPr>
          </w:p>
        </w:tc>
        <w:tc>
          <w:tcPr>
            <w:tcW w:w="2067" w:type="dxa"/>
            <w:gridSpan w:val="2"/>
            <w:tcBorders>
              <w:top w:val="single" w:color="auto" w:sz="4" w:space="0"/>
              <w:bottom w:val="single" w:color="auto" w:sz="4" w:space="0"/>
              <w:right w:val="single" w:color="auto" w:sz="8" w:space="0"/>
            </w:tcBorders>
            <w:vAlign w:val="center"/>
          </w:tcPr>
          <w:p w14:paraId="4FE12892">
            <w:pPr>
              <w:adjustRightInd w:val="0"/>
              <w:snapToGrid w:val="0"/>
              <w:spacing w:line="440" w:lineRule="atLeast"/>
              <w:jc w:val="center"/>
              <w:rPr>
                <w:rFonts w:ascii="仿宋_GB2312" w:hAnsi="华文仿宋" w:eastAsia="仿宋_GB2312"/>
                <w:sz w:val="24"/>
              </w:rPr>
            </w:pPr>
          </w:p>
        </w:tc>
      </w:tr>
      <w:tr w14:paraId="4F234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blHeader/>
          <w:jc w:val="center"/>
        </w:trPr>
        <w:tc>
          <w:tcPr>
            <w:tcW w:w="424" w:type="dxa"/>
            <w:vMerge w:val="continue"/>
            <w:tcBorders>
              <w:left w:val="single" w:color="auto" w:sz="8" w:space="0"/>
              <w:right w:val="single" w:color="auto" w:sz="4" w:space="0"/>
            </w:tcBorders>
            <w:vAlign w:val="center"/>
          </w:tcPr>
          <w:p w14:paraId="28780FC9">
            <w:pPr>
              <w:adjustRightInd w:val="0"/>
              <w:snapToGrid w:val="0"/>
              <w:spacing w:line="440" w:lineRule="atLeast"/>
              <w:jc w:val="center"/>
              <w:rPr>
                <w:rFonts w:ascii="仿宋_GB2312" w:hAnsi="华文仿宋" w:eastAsia="仿宋_GB2312"/>
                <w:sz w:val="24"/>
              </w:rPr>
            </w:pPr>
          </w:p>
        </w:tc>
        <w:tc>
          <w:tcPr>
            <w:tcW w:w="1677" w:type="dxa"/>
            <w:tcBorders>
              <w:left w:val="single" w:color="auto" w:sz="4" w:space="0"/>
            </w:tcBorders>
            <w:vAlign w:val="center"/>
          </w:tcPr>
          <w:p w14:paraId="126F55E9">
            <w:pPr>
              <w:adjustRightInd w:val="0"/>
              <w:snapToGrid w:val="0"/>
              <w:spacing w:line="440" w:lineRule="atLeast"/>
              <w:jc w:val="center"/>
              <w:rPr>
                <w:rFonts w:ascii="仿宋_GB2312" w:hAnsi="华文仿宋" w:eastAsia="仿宋_GB2312"/>
                <w:sz w:val="24"/>
              </w:rPr>
            </w:pPr>
          </w:p>
        </w:tc>
        <w:tc>
          <w:tcPr>
            <w:tcW w:w="2528" w:type="dxa"/>
            <w:gridSpan w:val="2"/>
            <w:tcBorders>
              <w:top w:val="single" w:color="auto" w:sz="4" w:space="0"/>
              <w:bottom w:val="single" w:color="auto" w:sz="4" w:space="0"/>
              <w:right w:val="single" w:color="auto" w:sz="4" w:space="0"/>
            </w:tcBorders>
            <w:vAlign w:val="center"/>
          </w:tcPr>
          <w:p w14:paraId="0BD3DC67">
            <w:pPr>
              <w:adjustRightInd w:val="0"/>
              <w:snapToGrid w:val="0"/>
              <w:spacing w:line="440" w:lineRule="atLeast"/>
              <w:jc w:val="center"/>
              <w:rPr>
                <w:rFonts w:ascii="仿宋_GB2312" w:hAnsi="华文仿宋" w:eastAsia="仿宋_GB2312"/>
                <w:sz w:val="24"/>
              </w:rPr>
            </w:pPr>
          </w:p>
        </w:tc>
        <w:tc>
          <w:tcPr>
            <w:tcW w:w="2126" w:type="dxa"/>
            <w:gridSpan w:val="2"/>
            <w:tcBorders>
              <w:top w:val="single" w:color="auto" w:sz="4" w:space="0"/>
              <w:bottom w:val="single" w:color="auto" w:sz="4" w:space="0"/>
              <w:right w:val="single" w:color="auto" w:sz="4" w:space="0"/>
            </w:tcBorders>
            <w:vAlign w:val="center"/>
          </w:tcPr>
          <w:p w14:paraId="09A862A2">
            <w:pPr>
              <w:adjustRightInd w:val="0"/>
              <w:snapToGrid w:val="0"/>
              <w:spacing w:line="440" w:lineRule="atLeast"/>
              <w:jc w:val="center"/>
              <w:rPr>
                <w:rFonts w:ascii="仿宋_GB2312" w:hAnsi="华文仿宋" w:eastAsia="仿宋_GB2312"/>
                <w:sz w:val="24"/>
              </w:rPr>
            </w:pPr>
          </w:p>
        </w:tc>
        <w:tc>
          <w:tcPr>
            <w:tcW w:w="2067" w:type="dxa"/>
            <w:gridSpan w:val="2"/>
            <w:tcBorders>
              <w:top w:val="single" w:color="auto" w:sz="4" w:space="0"/>
              <w:bottom w:val="single" w:color="auto" w:sz="4" w:space="0"/>
              <w:right w:val="single" w:color="auto" w:sz="8" w:space="0"/>
            </w:tcBorders>
            <w:vAlign w:val="center"/>
          </w:tcPr>
          <w:p w14:paraId="74FE213C">
            <w:pPr>
              <w:adjustRightInd w:val="0"/>
              <w:snapToGrid w:val="0"/>
              <w:spacing w:line="440" w:lineRule="atLeast"/>
              <w:jc w:val="center"/>
              <w:rPr>
                <w:rFonts w:ascii="仿宋_GB2312" w:hAnsi="华文仿宋" w:eastAsia="仿宋_GB2312"/>
                <w:sz w:val="24"/>
              </w:rPr>
            </w:pPr>
          </w:p>
        </w:tc>
      </w:tr>
      <w:tr w14:paraId="3E5F8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blHeader/>
          <w:jc w:val="center"/>
        </w:trPr>
        <w:tc>
          <w:tcPr>
            <w:tcW w:w="424" w:type="dxa"/>
            <w:vMerge w:val="continue"/>
            <w:tcBorders>
              <w:left w:val="single" w:color="auto" w:sz="8" w:space="0"/>
              <w:bottom w:val="single" w:color="000000" w:sz="18" w:space="0"/>
              <w:right w:val="single" w:color="auto" w:sz="4" w:space="0"/>
            </w:tcBorders>
            <w:vAlign w:val="center"/>
          </w:tcPr>
          <w:p w14:paraId="081A4CEF">
            <w:pPr>
              <w:adjustRightInd w:val="0"/>
              <w:snapToGrid w:val="0"/>
              <w:spacing w:line="440" w:lineRule="atLeast"/>
              <w:jc w:val="center"/>
              <w:rPr>
                <w:rFonts w:ascii="仿宋_GB2312" w:hAnsi="华文仿宋" w:eastAsia="仿宋_GB2312"/>
                <w:sz w:val="24"/>
              </w:rPr>
            </w:pPr>
          </w:p>
        </w:tc>
        <w:tc>
          <w:tcPr>
            <w:tcW w:w="1677" w:type="dxa"/>
            <w:tcBorders>
              <w:left w:val="single" w:color="auto" w:sz="4" w:space="0"/>
              <w:bottom w:val="single" w:color="000000" w:sz="18" w:space="0"/>
            </w:tcBorders>
            <w:vAlign w:val="center"/>
          </w:tcPr>
          <w:p w14:paraId="577D65E1">
            <w:pPr>
              <w:adjustRightInd w:val="0"/>
              <w:snapToGrid w:val="0"/>
              <w:spacing w:line="440" w:lineRule="atLeast"/>
              <w:jc w:val="center"/>
              <w:rPr>
                <w:rFonts w:ascii="仿宋_GB2312" w:hAnsi="华文仿宋" w:eastAsia="仿宋_GB2312"/>
                <w:sz w:val="24"/>
              </w:rPr>
            </w:pPr>
          </w:p>
        </w:tc>
        <w:tc>
          <w:tcPr>
            <w:tcW w:w="2528" w:type="dxa"/>
            <w:gridSpan w:val="2"/>
            <w:tcBorders>
              <w:top w:val="single" w:color="auto" w:sz="4" w:space="0"/>
              <w:bottom w:val="single" w:color="000000" w:sz="18" w:space="0"/>
              <w:right w:val="single" w:color="auto" w:sz="4" w:space="0"/>
            </w:tcBorders>
            <w:vAlign w:val="center"/>
          </w:tcPr>
          <w:p w14:paraId="05877BBA">
            <w:pPr>
              <w:adjustRightInd w:val="0"/>
              <w:snapToGrid w:val="0"/>
              <w:spacing w:line="440" w:lineRule="atLeast"/>
              <w:jc w:val="center"/>
              <w:rPr>
                <w:rFonts w:ascii="仿宋_GB2312" w:hAnsi="华文仿宋" w:eastAsia="仿宋_GB2312"/>
                <w:sz w:val="24"/>
              </w:rPr>
            </w:pPr>
          </w:p>
        </w:tc>
        <w:tc>
          <w:tcPr>
            <w:tcW w:w="2126" w:type="dxa"/>
            <w:gridSpan w:val="2"/>
            <w:tcBorders>
              <w:top w:val="single" w:color="auto" w:sz="4" w:space="0"/>
              <w:bottom w:val="single" w:color="000000" w:sz="18" w:space="0"/>
              <w:right w:val="single" w:color="auto" w:sz="4" w:space="0"/>
            </w:tcBorders>
            <w:vAlign w:val="center"/>
          </w:tcPr>
          <w:p w14:paraId="04A03A6A">
            <w:pPr>
              <w:adjustRightInd w:val="0"/>
              <w:snapToGrid w:val="0"/>
              <w:spacing w:line="440" w:lineRule="atLeast"/>
              <w:jc w:val="center"/>
              <w:rPr>
                <w:rFonts w:ascii="仿宋_GB2312" w:hAnsi="华文仿宋" w:eastAsia="仿宋_GB2312"/>
                <w:sz w:val="24"/>
              </w:rPr>
            </w:pPr>
          </w:p>
        </w:tc>
        <w:tc>
          <w:tcPr>
            <w:tcW w:w="2067" w:type="dxa"/>
            <w:gridSpan w:val="2"/>
            <w:tcBorders>
              <w:top w:val="single" w:color="auto" w:sz="4" w:space="0"/>
              <w:bottom w:val="single" w:color="000000" w:sz="18" w:space="0"/>
              <w:right w:val="single" w:color="auto" w:sz="8" w:space="0"/>
            </w:tcBorders>
            <w:vAlign w:val="center"/>
          </w:tcPr>
          <w:p w14:paraId="2548FD40">
            <w:pPr>
              <w:adjustRightInd w:val="0"/>
              <w:snapToGrid w:val="0"/>
              <w:spacing w:line="440" w:lineRule="atLeast"/>
              <w:jc w:val="center"/>
              <w:rPr>
                <w:rFonts w:ascii="仿宋_GB2312" w:hAnsi="华文仿宋" w:eastAsia="仿宋_GB2312"/>
                <w:sz w:val="24"/>
              </w:rPr>
            </w:pPr>
          </w:p>
        </w:tc>
      </w:tr>
      <w:tr w14:paraId="5C805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6" w:hRule="exact"/>
          <w:tblHeader/>
          <w:jc w:val="center"/>
        </w:trPr>
        <w:tc>
          <w:tcPr>
            <w:tcW w:w="2101" w:type="dxa"/>
            <w:gridSpan w:val="2"/>
            <w:tcBorders>
              <w:top w:val="single" w:color="000000" w:sz="18" w:space="0"/>
              <w:left w:val="single" w:color="auto" w:sz="8" w:space="0"/>
            </w:tcBorders>
            <w:vAlign w:val="center"/>
          </w:tcPr>
          <w:p w14:paraId="06EE1A90">
            <w:pPr>
              <w:adjustRightInd w:val="0"/>
              <w:snapToGrid w:val="0"/>
              <w:spacing w:line="440" w:lineRule="atLeast"/>
              <w:jc w:val="center"/>
              <w:rPr>
                <w:rFonts w:ascii="仿宋_GB2312" w:hAnsi="华文仿宋" w:eastAsia="仿宋_GB2312"/>
                <w:sz w:val="24"/>
              </w:rPr>
            </w:pPr>
            <w:r>
              <w:rPr>
                <w:rFonts w:hint="eastAsia" w:ascii="仿宋_GB2312" w:hAnsi="华文仿宋" w:eastAsia="仿宋_GB2312"/>
                <w:sz w:val="24"/>
              </w:rPr>
              <w:t>考试档案号</w:t>
            </w:r>
          </w:p>
          <w:p w14:paraId="7EB8066B">
            <w:pPr>
              <w:adjustRightInd w:val="0"/>
              <w:snapToGrid w:val="0"/>
              <w:spacing w:line="440" w:lineRule="atLeast"/>
              <w:jc w:val="center"/>
              <w:rPr>
                <w:rFonts w:ascii="仿宋_GB2312" w:hAnsi="华文仿宋" w:eastAsia="仿宋_GB2312"/>
                <w:sz w:val="20"/>
              </w:rPr>
            </w:pPr>
            <w:r>
              <w:rPr>
                <w:rFonts w:hint="eastAsia" w:ascii="仿宋_GB2312" w:hAnsi="华文仿宋" w:eastAsia="仿宋_GB2312"/>
                <w:sz w:val="24"/>
              </w:rPr>
              <w:t>（认定批准文号）</w:t>
            </w:r>
          </w:p>
        </w:tc>
        <w:tc>
          <w:tcPr>
            <w:tcW w:w="2528" w:type="dxa"/>
            <w:gridSpan w:val="2"/>
            <w:tcBorders>
              <w:top w:val="single" w:color="000000" w:sz="18" w:space="0"/>
              <w:bottom w:val="single" w:color="auto" w:sz="4" w:space="0"/>
              <w:right w:val="single" w:color="auto" w:sz="8" w:space="0"/>
            </w:tcBorders>
            <w:vAlign w:val="center"/>
          </w:tcPr>
          <w:p w14:paraId="78FC3F2B">
            <w:pPr>
              <w:adjustRightInd w:val="0"/>
              <w:snapToGrid w:val="0"/>
              <w:spacing w:line="440" w:lineRule="atLeast"/>
              <w:jc w:val="center"/>
              <w:rPr>
                <w:rFonts w:ascii="仿宋_GB2312" w:hAnsi="华文仿宋" w:eastAsia="仿宋_GB2312"/>
                <w:sz w:val="24"/>
              </w:rPr>
            </w:pPr>
          </w:p>
        </w:tc>
        <w:tc>
          <w:tcPr>
            <w:tcW w:w="2126" w:type="dxa"/>
            <w:gridSpan w:val="2"/>
            <w:tcBorders>
              <w:top w:val="single" w:color="000000" w:sz="18" w:space="0"/>
              <w:bottom w:val="single" w:color="auto" w:sz="4" w:space="0"/>
              <w:right w:val="single" w:color="auto" w:sz="8" w:space="0"/>
            </w:tcBorders>
            <w:vAlign w:val="center"/>
          </w:tcPr>
          <w:p w14:paraId="53B744DE">
            <w:pPr>
              <w:adjustRightInd w:val="0"/>
              <w:snapToGrid w:val="0"/>
              <w:spacing w:line="440" w:lineRule="atLeast"/>
              <w:jc w:val="center"/>
              <w:rPr>
                <w:rFonts w:ascii="仿宋_GB2312" w:hAnsi="华文仿宋" w:eastAsia="仿宋_GB2312"/>
                <w:spacing w:val="-10"/>
                <w:sz w:val="24"/>
              </w:rPr>
            </w:pPr>
            <w:r>
              <w:rPr>
                <w:rFonts w:hint="eastAsia" w:ascii="仿宋_GB2312" w:hAnsi="华文仿宋" w:eastAsia="仿宋_GB2312"/>
                <w:spacing w:val="-10"/>
                <w:sz w:val="24"/>
              </w:rPr>
              <w:t>考试合格</w:t>
            </w:r>
          </w:p>
          <w:p w14:paraId="269B121A">
            <w:pPr>
              <w:adjustRightInd w:val="0"/>
              <w:snapToGrid w:val="0"/>
              <w:spacing w:line="440" w:lineRule="atLeast"/>
              <w:jc w:val="center"/>
              <w:rPr>
                <w:rFonts w:ascii="仿宋_GB2312" w:hAnsi="华文仿宋" w:eastAsia="仿宋_GB2312"/>
                <w:sz w:val="24"/>
              </w:rPr>
            </w:pPr>
            <w:r>
              <w:rPr>
                <w:rFonts w:hint="eastAsia" w:ascii="仿宋_GB2312" w:hAnsi="华文仿宋" w:eastAsia="仿宋_GB2312"/>
                <w:spacing w:val="-10"/>
                <w:sz w:val="24"/>
              </w:rPr>
              <w:t>时间</w:t>
            </w:r>
          </w:p>
        </w:tc>
        <w:tc>
          <w:tcPr>
            <w:tcW w:w="2067" w:type="dxa"/>
            <w:gridSpan w:val="2"/>
            <w:tcBorders>
              <w:top w:val="single" w:color="000000" w:sz="18" w:space="0"/>
              <w:bottom w:val="single" w:color="auto" w:sz="4" w:space="0"/>
              <w:right w:val="single" w:color="auto" w:sz="8" w:space="0"/>
            </w:tcBorders>
            <w:vAlign w:val="center"/>
          </w:tcPr>
          <w:p w14:paraId="697EEE8D">
            <w:pPr>
              <w:adjustRightInd w:val="0"/>
              <w:snapToGrid w:val="0"/>
              <w:spacing w:line="440" w:lineRule="atLeast"/>
              <w:jc w:val="center"/>
              <w:rPr>
                <w:rFonts w:ascii="仿宋_GB2312" w:hAnsi="华文仿宋" w:eastAsia="仿宋_GB2312"/>
                <w:sz w:val="24"/>
              </w:rPr>
            </w:pPr>
          </w:p>
        </w:tc>
      </w:tr>
      <w:tr w14:paraId="0B7F0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9" w:hRule="exact"/>
          <w:tblHeader/>
          <w:jc w:val="center"/>
        </w:trPr>
        <w:tc>
          <w:tcPr>
            <w:tcW w:w="2101" w:type="dxa"/>
            <w:gridSpan w:val="2"/>
            <w:tcBorders>
              <w:left w:val="single" w:color="auto" w:sz="8" w:space="0"/>
              <w:bottom w:val="single" w:color="auto" w:sz="4" w:space="0"/>
            </w:tcBorders>
            <w:vAlign w:val="center"/>
          </w:tcPr>
          <w:p w14:paraId="29A0C7BA">
            <w:pPr>
              <w:adjustRightInd w:val="0"/>
              <w:snapToGrid w:val="0"/>
              <w:spacing w:line="440" w:lineRule="atLeast"/>
              <w:jc w:val="center"/>
              <w:rPr>
                <w:rFonts w:ascii="仿宋_GB2312" w:hAnsi="华文仿宋" w:eastAsia="仿宋_GB2312"/>
                <w:sz w:val="24"/>
              </w:rPr>
            </w:pPr>
            <w:r>
              <w:rPr>
                <w:rFonts w:hint="eastAsia" w:ascii="仿宋_GB2312" w:hAnsi="华文仿宋" w:eastAsia="仿宋_GB2312"/>
                <w:sz w:val="24"/>
              </w:rPr>
              <w:t>是否重新登记</w:t>
            </w:r>
          </w:p>
        </w:tc>
        <w:tc>
          <w:tcPr>
            <w:tcW w:w="2528" w:type="dxa"/>
            <w:gridSpan w:val="2"/>
            <w:tcBorders>
              <w:top w:val="single" w:color="auto" w:sz="4" w:space="0"/>
              <w:bottom w:val="single" w:color="auto" w:sz="4" w:space="0"/>
            </w:tcBorders>
            <w:vAlign w:val="center"/>
          </w:tcPr>
          <w:p w14:paraId="6BC242BD">
            <w:pPr>
              <w:adjustRightInd w:val="0"/>
              <w:snapToGrid w:val="0"/>
              <w:spacing w:line="440" w:lineRule="atLeast"/>
              <w:jc w:val="center"/>
              <w:rPr>
                <w:rFonts w:ascii="仿宋_GB2312" w:hAnsi="华文仿宋" w:eastAsia="仿宋_GB2312"/>
                <w:sz w:val="24"/>
              </w:rPr>
            </w:pPr>
            <w:r>
              <w:rPr>
                <w:rFonts w:hint="eastAsia" w:ascii="仿宋_GB2312" w:hAnsi="华文仿宋" w:eastAsia="仿宋_GB2312"/>
                <w:sz w:val="24"/>
              </w:rPr>
              <w:t>□是　　　□否</w:t>
            </w:r>
          </w:p>
        </w:tc>
        <w:tc>
          <w:tcPr>
            <w:tcW w:w="2126" w:type="dxa"/>
            <w:gridSpan w:val="2"/>
            <w:tcBorders>
              <w:top w:val="single" w:color="auto" w:sz="4" w:space="0"/>
              <w:bottom w:val="single" w:color="auto" w:sz="4" w:space="0"/>
            </w:tcBorders>
            <w:vAlign w:val="center"/>
          </w:tcPr>
          <w:p w14:paraId="1A4FD000">
            <w:pPr>
              <w:adjustRightInd w:val="0"/>
              <w:snapToGrid w:val="0"/>
              <w:spacing w:line="440" w:lineRule="atLeast"/>
              <w:jc w:val="center"/>
              <w:rPr>
                <w:rFonts w:ascii="仿宋_GB2312" w:hAnsi="华文仿宋" w:eastAsia="仿宋_GB2312"/>
                <w:sz w:val="24"/>
              </w:rPr>
            </w:pPr>
            <w:r>
              <w:rPr>
                <w:rFonts w:hint="eastAsia" w:ascii="仿宋_GB2312" w:hAnsi="华文仿宋" w:eastAsia="仿宋_GB2312"/>
                <w:sz w:val="24"/>
              </w:rPr>
              <w:t>是否在资产评估机构工作</w:t>
            </w:r>
          </w:p>
        </w:tc>
        <w:tc>
          <w:tcPr>
            <w:tcW w:w="2067" w:type="dxa"/>
            <w:gridSpan w:val="2"/>
            <w:tcBorders>
              <w:top w:val="single" w:color="auto" w:sz="4" w:space="0"/>
              <w:bottom w:val="single" w:color="auto" w:sz="4" w:space="0"/>
              <w:right w:val="single" w:color="auto" w:sz="8" w:space="0"/>
            </w:tcBorders>
            <w:vAlign w:val="center"/>
          </w:tcPr>
          <w:p w14:paraId="648F6A38">
            <w:pPr>
              <w:adjustRightInd w:val="0"/>
              <w:snapToGrid w:val="0"/>
              <w:spacing w:line="440" w:lineRule="atLeast"/>
              <w:jc w:val="center"/>
              <w:rPr>
                <w:rFonts w:ascii="仿宋_GB2312" w:hAnsi="华文仿宋" w:eastAsia="仿宋_GB2312"/>
                <w:sz w:val="24"/>
              </w:rPr>
            </w:pPr>
            <w:r>
              <w:rPr>
                <w:rFonts w:hint="eastAsia" w:ascii="仿宋_GB2312" w:hAnsi="华文仿宋" w:eastAsia="仿宋_GB2312"/>
                <w:sz w:val="24"/>
              </w:rPr>
              <w:t>□是　　　□否</w:t>
            </w:r>
          </w:p>
        </w:tc>
      </w:tr>
      <w:tr w14:paraId="12821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4" w:hRule="exact"/>
          <w:tblHeader/>
          <w:jc w:val="center"/>
        </w:trPr>
        <w:tc>
          <w:tcPr>
            <w:tcW w:w="2101" w:type="dxa"/>
            <w:gridSpan w:val="2"/>
            <w:tcBorders>
              <w:left w:val="single" w:color="auto" w:sz="8" w:space="0"/>
              <w:bottom w:val="single" w:color="auto" w:sz="4" w:space="0"/>
            </w:tcBorders>
            <w:vAlign w:val="center"/>
          </w:tcPr>
          <w:p w14:paraId="4964CB2E">
            <w:pPr>
              <w:adjustRightInd w:val="0"/>
              <w:snapToGrid w:val="0"/>
              <w:spacing w:line="440" w:lineRule="atLeast"/>
              <w:jc w:val="center"/>
              <w:rPr>
                <w:rFonts w:ascii="仿宋_GB2312" w:hAnsi="华文仿宋" w:eastAsia="仿宋_GB2312"/>
                <w:spacing w:val="-10"/>
                <w:sz w:val="24"/>
              </w:rPr>
            </w:pPr>
            <w:r>
              <w:rPr>
                <w:rFonts w:hint="eastAsia" w:ascii="仿宋_GB2312" w:hAnsi="华文仿宋" w:eastAsia="仿宋_GB2312"/>
                <w:spacing w:val="-10"/>
                <w:sz w:val="24"/>
              </w:rPr>
              <w:t>职业资格证书</w:t>
            </w:r>
          </w:p>
          <w:p w14:paraId="3079A832">
            <w:pPr>
              <w:adjustRightInd w:val="0"/>
              <w:snapToGrid w:val="0"/>
              <w:spacing w:line="440" w:lineRule="atLeast"/>
              <w:jc w:val="center"/>
              <w:rPr>
                <w:rFonts w:ascii="仿宋_GB2312" w:hAnsi="华文仿宋" w:eastAsia="仿宋_GB2312"/>
                <w:sz w:val="24"/>
              </w:rPr>
            </w:pPr>
            <w:r>
              <w:rPr>
                <w:rFonts w:hint="eastAsia" w:ascii="仿宋_GB2312" w:hAnsi="华文仿宋" w:eastAsia="仿宋_GB2312"/>
                <w:spacing w:val="-10"/>
                <w:sz w:val="24"/>
              </w:rPr>
              <w:t>管理号</w:t>
            </w:r>
          </w:p>
        </w:tc>
        <w:tc>
          <w:tcPr>
            <w:tcW w:w="2528" w:type="dxa"/>
            <w:gridSpan w:val="2"/>
            <w:tcBorders>
              <w:top w:val="single" w:color="auto" w:sz="4" w:space="0"/>
              <w:bottom w:val="single" w:color="auto" w:sz="4" w:space="0"/>
            </w:tcBorders>
            <w:vAlign w:val="center"/>
          </w:tcPr>
          <w:p w14:paraId="2B37CDAF">
            <w:pPr>
              <w:adjustRightInd w:val="0"/>
              <w:snapToGrid w:val="0"/>
              <w:spacing w:line="440" w:lineRule="atLeast"/>
              <w:jc w:val="center"/>
              <w:rPr>
                <w:rFonts w:ascii="仿宋_GB2312" w:hAnsi="华文仿宋" w:eastAsia="仿宋_GB2312"/>
                <w:sz w:val="24"/>
              </w:rPr>
            </w:pPr>
          </w:p>
        </w:tc>
        <w:tc>
          <w:tcPr>
            <w:tcW w:w="2126" w:type="dxa"/>
            <w:gridSpan w:val="2"/>
            <w:tcBorders>
              <w:top w:val="single" w:color="auto" w:sz="4" w:space="0"/>
              <w:bottom w:val="single" w:color="auto" w:sz="4" w:space="0"/>
            </w:tcBorders>
            <w:vAlign w:val="center"/>
          </w:tcPr>
          <w:p w14:paraId="453B1E0F">
            <w:pPr>
              <w:adjustRightInd w:val="0"/>
              <w:snapToGrid w:val="0"/>
              <w:spacing w:line="440" w:lineRule="atLeast"/>
              <w:jc w:val="center"/>
              <w:rPr>
                <w:rFonts w:ascii="仿宋_GB2312" w:hAnsi="华文仿宋" w:eastAsia="仿宋_GB2312"/>
                <w:sz w:val="24"/>
              </w:rPr>
            </w:pPr>
            <w:r>
              <w:rPr>
                <w:rFonts w:hint="eastAsia" w:ascii="仿宋_GB2312" w:hAnsi="华文仿宋" w:eastAsia="仿宋_GB2312"/>
                <w:sz w:val="24"/>
              </w:rPr>
              <w:t>评估机构人员是否由所在机构为其缴纳社会保险</w:t>
            </w:r>
          </w:p>
        </w:tc>
        <w:tc>
          <w:tcPr>
            <w:tcW w:w="2067" w:type="dxa"/>
            <w:gridSpan w:val="2"/>
            <w:tcBorders>
              <w:top w:val="single" w:color="auto" w:sz="4" w:space="0"/>
              <w:bottom w:val="single" w:color="auto" w:sz="4" w:space="0"/>
              <w:right w:val="single" w:color="auto" w:sz="8" w:space="0"/>
            </w:tcBorders>
            <w:vAlign w:val="center"/>
          </w:tcPr>
          <w:p w14:paraId="6543C06B">
            <w:pPr>
              <w:adjustRightInd w:val="0"/>
              <w:snapToGrid w:val="0"/>
              <w:spacing w:line="440" w:lineRule="atLeast"/>
              <w:jc w:val="center"/>
              <w:rPr>
                <w:rFonts w:ascii="仿宋_GB2312" w:hAnsi="华文仿宋" w:eastAsia="仿宋_GB2312"/>
                <w:sz w:val="24"/>
              </w:rPr>
            </w:pPr>
            <w:r>
              <w:rPr>
                <w:rFonts w:hint="eastAsia" w:ascii="仿宋_GB2312" w:hAnsi="华文仿宋" w:eastAsia="仿宋_GB2312"/>
                <w:sz w:val="24"/>
              </w:rPr>
              <w:t>□是　　　□否</w:t>
            </w:r>
          </w:p>
        </w:tc>
      </w:tr>
      <w:tr w14:paraId="703AA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18" w:hRule="exact"/>
          <w:tblHeader/>
          <w:jc w:val="center"/>
        </w:trPr>
        <w:tc>
          <w:tcPr>
            <w:tcW w:w="2101" w:type="dxa"/>
            <w:gridSpan w:val="2"/>
            <w:tcBorders>
              <w:top w:val="single" w:color="000000" w:sz="4" w:space="0"/>
              <w:left w:val="single" w:color="auto" w:sz="8" w:space="0"/>
              <w:right w:val="single" w:color="auto" w:sz="2" w:space="0"/>
            </w:tcBorders>
            <w:vAlign w:val="center"/>
          </w:tcPr>
          <w:p w14:paraId="60472195">
            <w:pPr>
              <w:adjustRightInd w:val="0"/>
              <w:snapToGrid w:val="0"/>
              <w:spacing w:line="440" w:lineRule="atLeast"/>
              <w:jc w:val="center"/>
              <w:rPr>
                <w:rFonts w:ascii="仿宋_GB2312" w:hAnsi="华文仿宋" w:eastAsia="仿宋_GB2312"/>
                <w:b/>
                <w:spacing w:val="-10"/>
                <w:sz w:val="24"/>
              </w:rPr>
            </w:pPr>
            <w:r>
              <w:rPr>
                <w:rFonts w:hint="eastAsia" w:ascii="仿宋_GB2312" w:hAnsi="华文仿宋" w:eastAsia="仿宋_GB2312"/>
                <w:b/>
                <w:spacing w:val="-10"/>
                <w:sz w:val="24"/>
              </w:rPr>
              <w:t>郑　重</w:t>
            </w:r>
          </w:p>
          <w:p w14:paraId="50B80A1A">
            <w:pPr>
              <w:adjustRightInd w:val="0"/>
              <w:snapToGrid w:val="0"/>
              <w:spacing w:line="440" w:lineRule="atLeast"/>
              <w:jc w:val="center"/>
              <w:rPr>
                <w:rFonts w:ascii="仿宋_GB2312" w:hAnsi="华文仿宋" w:eastAsia="仿宋_GB2312"/>
                <w:b/>
                <w:spacing w:val="-10"/>
                <w:sz w:val="24"/>
              </w:rPr>
            </w:pPr>
            <w:r>
              <w:rPr>
                <w:rFonts w:hint="eastAsia" w:ascii="仿宋_GB2312" w:hAnsi="华文仿宋" w:eastAsia="仿宋_GB2312"/>
                <w:b/>
                <w:spacing w:val="-10"/>
                <w:sz w:val="24"/>
              </w:rPr>
              <w:t>承　诺</w:t>
            </w:r>
          </w:p>
        </w:tc>
        <w:tc>
          <w:tcPr>
            <w:tcW w:w="6721" w:type="dxa"/>
            <w:gridSpan w:val="6"/>
            <w:tcBorders>
              <w:top w:val="single" w:color="000000" w:sz="4" w:space="0"/>
              <w:left w:val="single" w:color="auto" w:sz="8" w:space="0"/>
              <w:right w:val="single" w:color="auto" w:sz="8" w:space="0"/>
            </w:tcBorders>
          </w:tcPr>
          <w:p w14:paraId="30E11BA0">
            <w:pPr>
              <w:spacing w:line="440" w:lineRule="atLeast"/>
              <w:rPr>
                <w:rFonts w:ascii="仿宋_GB2312" w:hAnsi="华文仿宋" w:eastAsia="仿宋_GB2312"/>
                <w:sz w:val="24"/>
              </w:rPr>
            </w:pPr>
            <w:r>
              <w:rPr>
                <w:rFonts w:hint="eastAsia" w:ascii="仿宋_GB2312" w:hAnsi="华文仿宋" w:eastAsia="仿宋_GB2312"/>
                <w:sz w:val="24"/>
              </w:rPr>
              <w:t>本人承诺（请在对应□中划√）：</w:t>
            </w:r>
          </w:p>
          <w:p w14:paraId="6A4AFCAF">
            <w:pPr>
              <w:spacing w:line="440" w:lineRule="atLeast"/>
              <w:rPr>
                <w:rFonts w:ascii="仿宋_GB2312" w:hAnsi="华文仿宋" w:eastAsia="仿宋_GB2312"/>
                <w:sz w:val="24"/>
              </w:rPr>
            </w:pPr>
            <w:r>
              <w:rPr>
                <w:rFonts w:hint="eastAsia" w:ascii="仿宋_GB2312" w:hAnsi="华文仿宋" w:eastAsia="仿宋_GB2312"/>
                <w:sz w:val="24"/>
              </w:rPr>
              <w:t>具有完全民事行为能力　　　　　　　　□是　　　□否</w:t>
            </w:r>
          </w:p>
          <w:p w14:paraId="3BDC73F9">
            <w:pPr>
              <w:spacing w:line="440" w:lineRule="atLeast"/>
              <w:rPr>
                <w:rFonts w:ascii="仿宋_GB2312" w:hAnsi="华文仿宋" w:eastAsia="仿宋_GB2312"/>
                <w:sz w:val="24"/>
              </w:rPr>
            </w:pPr>
            <w:r>
              <w:rPr>
                <w:rFonts w:hint="eastAsia" w:ascii="仿宋_GB2312" w:hAnsi="华文仿宋" w:eastAsia="仿宋_GB2312"/>
                <w:sz w:val="24"/>
              </w:rPr>
              <w:t>不存在因在资产评估相关工作中受刑事处罚，刑罚执行期满未逾5年的情形　　　　　　　　　　　　□是　　　□否</w:t>
            </w:r>
          </w:p>
          <w:p w14:paraId="74869A83">
            <w:pPr>
              <w:spacing w:line="440" w:lineRule="atLeast"/>
              <w:rPr>
                <w:rFonts w:ascii="仿宋_GB2312" w:hAnsi="华文仿宋" w:eastAsia="仿宋_GB2312"/>
                <w:sz w:val="24"/>
              </w:rPr>
            </w:pPr>
            <w:r>
              <w:rPr>
                <w:rFonts w:hint="eastAsia" w:ascii="仿宋_GB2312" w:hAnsi="华文仿宋" w:eastAsia="仿宋_GB2312"/>
                <w:sz w:val="24"/>
              </w:rPr>
              <w:t>不存在因在资产评估相关工作中违反法律、法规、规章或者职业道德被取消登记未逾5年的情形　　　□是　　　□否</w:t>
            </w:r>
          </w:p>
          <w:p w14:paraId="1FB1B82E">
            <w:pPr>
              <w:spacing w:line="440" w:lineRule="atLeast"/>
              <w:rPr>
                <w:rFonts w:ascii="仿宋_GB2312" w:hAnsi="华文仿宋" w:eastAsia="仿宋_GB2312"/>
                <w:sz w:val="24"/>
              </w:rPr>
            </w:pPr>
            <w:r>
              <w:rPr>
                <w:rFonts w:hint="eastAsia" w:ascii="仿宋_GB2312" w:hAnsi="华文仿宋" w:eastAsia="仿宋_GB2312"/>
                <w:sz w:val="24"/>
              </w:rPr>
              <w:t>不存在因在资产评估、会计、审计、税务、法律等相关工作领域中受行政处罚，自受到行政处罚之日起不满2年</w:t>
            </w:r>
          </w:p>
          <w:p w14:paraId="498CA717">
            <w:pPr>
              <w:spacing w:line="440" w:lineRule="atLeast"/>
              <w:rPr>
                <w:rFonts w:ascii="仿宋_GB2312" w:hAnsi="华文仿宋" w:eastAsia="仿宋_GB2312"/>
                <w:sz w:val="24"/>
              </w:rPr>
            </w:pPr>
            <w:r>
              <w:rPr>
                <w:rFonts w:hint="eastAsia" w:ascii="仿宋_GB2312" w:hAnsi="华文仿宋" w:eastAsia="仿宋_GB2312"/>
                <w:sz w:val="24"/>
              </w:rPr>
              <w:t>　　　　　　　　　　　　　　　　　　□是　　　□否</w:t>
            </w:r>
          </w:p>
          <w:p w14:paraId="4FFCD55F">
            <w:pPr>
              <w:spacing w:line="440" w:lineRule="atLeast"/>
              <w:rPr>
                <w:rFonts w:ascii="仿宋_GB2312" w:hAnsi="华文仿宋" w:eastAsia="仿宋_GB2312"/>
                <w:sz w:val="24"/>
              </w:rPr>
            </w:pPr>
            <w:r>
              <w:rPr>
                <w:rFonts w:hint="eastAsia" w:ascii="仿宋_GB2312" w:hAnsi="华文仿宋" w:eastAsia="仿宋_GB2312"/>
                <w:sz w:val="24"/>
              </w:rPr>
              <w:t>不存在在申报登记过程中有弄虚作假行为未予登记或者被取消登记的，自不予登记或者取消登记之日起不满3年的情形</w:t>
            </w:r>
          </w:p>
          <w:p w14:paraId="49BB396F">
            <w:pPr>
              <w:spacing w:line="440" w:lineRule="atLeast"/>
              <w:rPr>
                <w:rFonts w:ascii="仿宋_GB2312" w:hAnsi="华文仿宋" w:eastAsia="仿宋_GB2312"/>
                <w:sz w:val="24"/>
              </w:rPr>
            </w:pPr>
            <w:r>
              <w:rPr>
                <w:rFonts w:hint="eastAsia" w:ascii="仿宋_GB2312" w:hAnsi="华文仿宋" w:eastAsia="仿宋_GB2312"/>
                <w:sz w:val="24"/>
              </w:rPr>
              <w:t>　　　　　　　　　　　　　　　　　　□是　　　□否</w:t>
            </w:r>
          </w:p>
          <w:p w14:paraId="65324CDC">
            <w:pPr>
              <w:spacing w:line="440" w:lineRule="atLeast"/>
              <w:rPr>
                <w:rFonts w:ascii="仿宋_GB2312" w:hAnsi="华文仿宋" w:eastAsia="仿宋_GB2312"/>
                <w:b/>
                <w:sz w:val="24"/>
              </w:rPr>
            </w:pPr>
            <w:r>
              <w:rPr>
                <w:rFonts w:hint="eastAsia" w:ascii="仿宋_GB2312" w:hAnsi="华文仿宋" w:eastAsia="仿宋_GB2312"/>
                <w:b/>
                <w:sz w:val="24"/>
              </w:rPr>
              <w:t>本人对上述所填材料内容的真实性承担责任。</w:t>
            </w:r>
          </w:p>
          <w:p w14:paraId="5BBB6179">
            <w:pPr>
              <w:spacing w:line="440" w:lineRule="atLeast"/>
              <w:rPr>
                <w:rFonts w:ascii="仿宋_GB2312" w:hAnsi="华文仿宋" w:eastAsia="仿宋_GB2312"/>
                <w:b/>
                <w:sz w:val="24"/>
              </w:rPr>
            </w:pPr>
          </w:p>
          <w:p w14:paraId="09130963">
            <w:pPr>
              <w:spacing w:line="440" w:lineRule="atLeast"/>
              <w:rPr>
                <w:rFonts w:ascii="仿宋_GB2312" w:hAnsi="华文仿宋" w:eastAsia="仿宋_GB2312"/>
                <w:spacing w:val="-10"/>
                <w:sz w:val="24"/>
              </w:rPr>
            </w:pPr>
            <w:r>
              <w:rPr>
                <w:rFonts w:hint="eastAsia" w:ascii="仿宋_GB2312" w:hAnsi="华文仿宋" w:eastAsia="仿宋_GB2312"/>
                <w:sz w:val="24"/>
              </w:rPr>
              <w:t>承诺人签字：　　         　　　　　年　　　月　　　日</w:t>
            </w:r>
          </w:p>
        </w:tc>
      </w:tr>
      <w:tr w14:paraId="15E6F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02" w:hRule="atLeast"/>
          <w:tblHeader/>
          <w:jc w:val="center"/>
        </w:trPr>
        <w:tc>
          <w:tcPr>
            <w:tcW w:w="2101" w:type="dxa"/>
            <w:gridSpan w:val="2"/>
            <w:tcBorders>
              <w:left w:val="single" w:color="auto" w:sz="8" w:space="0"/>
              <w:right w:val="single" w:color="auto" w:sz="4" w:space="0"/>
            </w:tcBorders>
            <w:vAlign w:val="center"/>
          </w:tcPr>
          <w:p w14:paraId="444C915B">
            <w:pPr>
              <w:adjustRightInd w:val="0"/>
              <w:snapToGrid w:val="0"/>
              <w:spacing w:line="440" w:lineRule="atLeast"/>
              <w:jc w:val="center"/>
              <w:rPr>
                <w:rFonts w:ascii="仿宋_GB2312" w:hAnsi="华文仿宋" w:eastAsia="仿宋_GB2312"/>
                <w:spacing w:val="-10"/>
                <w:sz w:val="24"/>
              </w:rPr>
            </w:pPr>
            <w:r>
              <w:rPr>
                <w:rFonts w:hint="eastAsia" w:ascii="仿宋_GB2312" w:hAnsi="华文仿宋" w:eastAsia="仿宋_GB2312"/>
                <w:spacing w:val="-10"/>
                <w:sz w:val="24"/>
              </w:rPr>
              <w:t>地　方　协　会　</w:t>
            </w:r>
          </w:p>
          <w:p w14:paraId="1675BA47">
            <w:pPr>
              <w:adjustRightInd w:val="0"/>
              <w:snapToGrid w:val="0"/>
              <w:spacing w:line="440" w:lineRule="atLeast"/>
              <w:jc w:val="center"/>
              <w:rPr>
                <w:rFonts w:ascii="仿宋_GB2312" w:hAnsi="华文仿宋" w:eastAsia="仿宋_GB2312"/>
                <w:spacing w:val="20"/>
                <w:sz w:val="24"/>
              </w:rPr>
            </w:pPr>
            <w:r>
              <w:rPr>
                <w:rFonts w:hint="eastAsia" w:ascii="仿宋_GB2312" w:hAnsi="华文仿宋" w:eastAsia="仿宋_GB2312"/>
                <w:spacing w:val="-10"/>
                <w:sz w:val="24"/>
              </w:rPr>
              <w:t>审　核　意　见</w:t>
            </w:r>
          </w:p>
        </w:tc>
        <w:tc>
          <w:tcPr>
            <w:tcW w:w="6721" w:type="dxa"/>
            <w:gridSpan w:val="6"/>
            <w:tcBorders>
              <w:top w:val="single" w:color="auto" w:sz="4" w:space="0"/>
              <w:left w:val="single" w:color="auto" w:sz="4" w:space="0"/>
              <w:right w:val="single" w:color="auto" w:sz="8" w:space="0"/>
            </w:tcBorders>
            <w:vAlign w:val="center"/>
          </w:tcPr>
          <w:p w14:paraId="3252F14D">
            <w:pPr>
              <w:adjustRightInd w:val="0"/>
              <w:snapToGrid w:val="0"/>
              <w:spacing w:line="440" w:lineRule="atLeast"/>
              <w:jc w:val="center"/>
              <w:rPr>
                <w:rFonts w:ascii="仿宋_GB2312" w:hAnsi="华文仿宋" w:eastAsia="仿宋_GB2312"/>
                <w:sz w:val="24"/>
              </w:rPr>
            </w:pPr>
          </w:p>
          <w:p w14:paraId="489298B0">
            <w:pPr>
              <w:adjustRightInd w:val="0"/>
              <w:snapToGrid w:val="0"/>
              <w:spacing w:line="440" w:lineRule="atLeast"/>
              <w:rPr>
                <w:rFonts w:ascii="仿宋_GB2312" w:hAnsi="华文仿宋" w:eastAsia="仿宋_GB2312"/>
                <w:sz w:val="24"/>
              </w:rPr>
            </w:pPr>
          </w:p>
          <w:p w14:paraId="0B358CF1">
            <w:pPr>
              <w:adjustRightInd w:val="0"/>
              <w:snapToGrid w:val="0"/>
              <w:spacing w:after="93" w:line="440" w:lineRule="atLeast"/>
              <w:jc w:val="center"/>
              <w:rPr>
                <w:rFonts w:ascii="仿宋_GB2312" w:hAnsi="华文仿宋" w:eastAsia="仿宋_GB2312"/>
                <w:sz w:val="24"/>
              </w:rPr>
            </w:pPr>
            <w:r>
              <w:rPr>
                <w:rFonts w:hint="eastAsia" w:ascii="仿宋_GB2312" w:hAnsi="华文仿宋" w:eastAsia="仿宋_GB2312"/>
                <w:sz w:val="24"/>
              </w:rPr>
              <w:t>　　　　　　　　　　　　　　　　　　　　　　　　　　　　　　　　　　（公章）</w:t>
            </w:r>
          </w:p>
          <w:p w14:paraId="49BD2FBE">
            <w:pPr>
              <w:tabs>
                <w:tab w:val="left" w:pos="2772"/>
              </w:tabs>
              <w:adjustRightInd w:val="0"/>
              <w:snapToGrid w:val="0"/>
              <w:spacing w:line="440" w:lineRule="atLeast"/>
              <w:rPr>
                <w:rFonts w:ascii="仿宋_GB2312" w:hAnsi="华文仿宋" w:eastAsia="仿宋_GB2312"/>
                <w:sz w:val="24"/>
              </w:rPr>
            </w:pPr>
          </w:p>
          <w:p w14:paraId="085D7F5C">
            <w:pPr>
              <w:tabs>
                <w:tab w:val="left" w:pos="2772"/>
              </w:tabs>
              <w:adjustRightInd w:val="0"/>
              <w:snapToGrid w:val="0"/>
              <w:spacing w:line="440" w:lineRule="atLeast"/>
              <w:rPr>
                <w:rFonts w:ascii="仿宋_GB2312" w:hAnsi="华文仿宋" w:eastAsia="仿宋_GB2312"/>
                <w:sz w:val="24"/>
              </w:rPr>
            </w:pPr>
            <w:r>
              <w:rPr>
                <w:rFonts w:hint="eastAsia" w:ascii="仿宋_GB2312" w:hAnsi="华文仿宋" w:eastAsia="仿宋_GB2312"/>
                <w:sz w:val="24"/>
              </w:rPr>
              <w:t>　经办人　　　　　　        　　　　年　　　月　　　日</w:t>
            </w:r>
          </w:p>
        </w:tc>
      </w:tr>
    </w:tbl>
    <w:p w14:paraId="2981A2DB">
      <w:pPr>
        <w:spacing w:line="440" w:lineRule="atLeast"/>
        <w:jc w:val="left"/>
        <w:rPr>
          <w:rFonts w:ascii="宋体" w:hAnsi="宋体" w:eastAsia="宋体" w:cs="宋体"/>
          <w:bCs/>
          <w:sz w:val="24"/>
        </w:rPr>
      </w:pPr>
      <w:r>
        <w:rPr>
          <w:rFonts w:ascii="仿宋_GB2312" w:hAnsi="仿宋" w:eastAsia="仿宋_GB2312"/>
          <w:sz w:val="24"/>
          <w:szCs w:val="30"/>
        </w:rPr>
        <w:t>备注</w:t>
      </w:r>
      <w:r>
        <w:rPr>
          <w:rFonts w:hint="eastAsia" w:ascii="仿宋_GB2312" w:hAnsi="仿宋" w:eastAsia="仿宋_GB2312"/>
          <w:sz w:val="24"/>
          <w:szCs w:val="30"/>
        </w:rPr>
        <w:t>：</w:t>
      </w:r>
      <w:r>
        <w:rPr>
          <w:rFonts w:ascii="仿宋_GB2312" w:hAnsi="仿宋" w:eastAsia="仿宋_GB2312"/>
          <w:sz w:val="24"/>
          <w:szCs w:val="30"/>
        </w:rPr>
        <w:t>本表一式两份</w:t>
      </w:r>
      <w:r>
        <w:rPr>
          <w:rFonts w:hint="eastAsia" w:ascii="仿宋_GB2312" w:hAnsi="仿宋" w:eastAsia="仿宋_GB2312"/>
          <w:sz w:val="24"/>
          <w:szCs w:val="30"/>
        </w:rPr>
        <w:t>。</w:t>
      </w:r>
      <w:r>
        <w:rPr>
          <w:rFonts w:ascii="仿宋_GB2312" w:hAnsi="仿宋" w:eastAsia="仿宋_GB2312"/>
          <w:sz w:val="24"/>
          <w:szCs w:val="30"/>
        </w:rPr>
        <w:br w:type="page"/>
      </w:r>
      <w:r>
        <w:rPr>
          <w:rFonts w:hint="eastAsia" w:ascii="宋体" w:hAnsi="宋体" w:eastAsia="宋体" w:cs="宋体"/>
          <w:bCs/>
          <w:sz w:val="24"/>
        </w:rPr>
        <w:t>附件2</w:t>
      </w:r>
    </w:p>
    <w:p w14:paraId="24385919">
      <w:pPr>
        <w:spacing w:line="440" w:lineRule="atLeast"/>
        <w:jc w:val="center"/>
        <w:rPr>
          <w:rFonts w:ascii="华文中宋" w:hAnsi="华文中宋" w:eastAsia="华文中宋"/>
          <w:b/>
          <w:sz w:val="36"/>
          <w:szCs w:val="36"/>
        </w:rPr>
      </w:pPr>
      <w:r>
        <w:rPr>
          <w:rFonts w:ascii="华文中宋" w:hAnsi="华文中宋" w:eastAsia="华文中宋"/>
          <w:b/>
          <w:sz w:val="36"/>
          <w:szCs w:val="36"/>
        </w:rPr>
        <w:t>资产评估</w:t>
      </w:r>
      <w:r>
        <w:rPr>
          <w:rFonts w:hint="eastAsia" w:ascii="华文中宋" w:hAnsi="华文中宋" w:eastAsia="华文中宋"/>
          <w:b/>
          <w:sz w:val="36"/>
          <w:szCs w:val="36"/>
        </w:rPr>
        <w:t>师</w:t>
      </w:r>
      <w:r>
        <w:rPr>
          <w:rFonts w:ascii="华文中宋" w:hAnsi="华文中宋" w:eastAsia="华文中宋"/>
          <w:b/>
          <w:sz w:val="36"/>
          <w:szCs w:val="36"/>
        </w:rPr>
        <w:t>诚信信息申报表</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7"/>
        <w:gridCol w:w="1377"/>
        <w:gridCol w:w="1011"/>
        <w:gridCol w:w="458"/>
        <w:gridCol w:w="1424"/>
        <w:gridCol w:w="870"/>
        <w:gridCol w:w="1007"/>
        <w:gridCol w:w="2022"/>
      </w:tblGrid>
      <w:tr w14:paraId="5801C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50" w:type="pct"/>
            <w:gridSpan w:val="2"/>
            <w:shd w:val="clear" w:color="auto" w:fill="auto"/>
            <w:vAlign w:val="center"/>
          </w:tcPr>
          <w:p w14:paraId="7C11E29A">
            <w:pPr>
              <w:spacing w:line="440" w:lineRule="atLeast"/>
              <w:jc w:val="center"/>
              <w:rPr>
                <w:rFonts w:ascii="仿宋_GB2312" w:eastAsia="仿宋_GB2312"/>
              </w:rPr>
            </w:pPr>
            <w:r>
              <w:rPr>
                <w:rFonts w:hint="eastAsia" w:ascii="仿宋_GB2312" w:eastAsia="仿宋_GB2312"/>
              </w:rPr>
              <w:t>姓名</w:t>
            </w:r>
          </w:p>
        </w:tc>
        <w:tc>
          <w:tcPr>
            <w:tcW w:w="1597" w:type="pct"/>
            <w:gridSpan w:val="3"/>
            <w:shd w:val="clear" w:color="auto" w:fill="auto"/>
            <w:vAlign w:val="center"/>
          </w:tcPr>
          <w:p w14:paraId="281D263C">
            <w:pPr>
              <w:spacing w:line="440" w:lineRule="atLeast"/>
              <w:rPr>
                <w:rFonts w:ascii="仿宋_GB2312" w:eastAsia="仿宋_GB2312"/>
              </w:rPr>
            </w:pPr>
          </w:p>
        </w:tc>
        <w:tc>
          <w:tcPr>
            <w:tcW w:w="1036" w:type="pct"/>
            <w:gridSpan w:val="2"/>
            <w:shd w:val="clear" w:color="auto" w:fill="auto"/>
            <w:vAlign w:val="center"/>
          </w:tcPr>
          <w:p w14:paraId="22810E14">
            <w:pPr>
              <w:spacing w:line="440" w:lineRule="atLeast"/>
              <w:jc w:val="center"/>
              <w:rPr>
                <w:rFonts w:ascii="仿宋_GB2312" w:eastAsia="仿宋_GB2312"/>
              </w:rPr>
            </w:pPr>
            <w:r>
              <w:rPr>
                <w:rFonts w:hint="eastAsia" w:ascii="仿宋_GB2312" w:eastAsia="仿宋_GB2312"/>
              </w:rPr>
              <w:t>登记编号</w:t>
            </w:r>
          </w:p>
        </w:tc>
        <w:tc>
          <w:tcPr>
            <w:tcW w:w="1115" w:type="pct"/>
            <w:shd w:val="clear" w:color="auto" w:fill="auto"/>
            <w:vAlign w:val="center"/>
          </w:tcPr>
          <w:p w14:paraId="32A0463A">
            <w:pPr>
              <w:spacing w:line="440" w:lineRule="atLeast"/>
              <w:rPr>
                <w:rFonts w:ascii="仿宋_GB2312" w:eastAsia="仿宋_GB2312"/>
              </w:rPr>
            </w:pPr>
          </w:p>
        </w:tc>
      </w:tr>
      <w:tr w14:paraId="1C86C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90" w:type="pct"/>
            <w:vMerge w:val="restart"/>
            <w:shd w:val="clear" w:color="auto" w:fill="auto"/>
            <w:textDirection w:val="tbRlV"/>
            <w:vAlign w:val="center"/>
          </w:tcPr>
          <w:p w14:paraId="264434EC">
            <w:pPr>
              <w:spacing w:line="440" w:lineRule="atLeast"/>
              <w:jc w:val="center"/>
              <w:rPr>
                <w:rFonts w:ascii="仿宋_GB2312" w:eastAsia="仿宋_GB2312"/>
              </w:rPr>
            </w:pPr>
            <w:r>
              <w:rPr>
                <w:rFonts w:hint="eastAsia" w:ascii="仿宋_GB2312" w:eastAsia="仿宋_GB2312"/>
              </w:rPr>
              <w:t>良　好　行　为</w:t>
            </w:r>
          </w:p>
        </w:tc>
        <w:tc>
          <w:tcPr>
            <w:tcW w:w="759" w:type="pct"/>
            <w:vMerge w:val="restart"/>
            <w:shd w:val="clear" w:color="auto" w:fill="auto"/>
            <w:vAlign w:val="center"/>
          </w:tcPr>
          <w:p w14:paraId="1B5AC2B0">
            <w:pPr>
              <w:spacing w:line="440" w:lineRule="atLeast"/>
              <w:jc w:val="center"/>
              <w:rPr>
                <w:rFonts w:ascii="仿宋_GB2312" w:eastAsia="仿宋_GB2312"/>
              </w:rPr>
            </w:pPr>
            <w:r>
              <w:rPr>
                <w:rFonts w:hint="eastAsia" w:ascii="仿宋_GB2312" w:eastAsia="仿宋_GB2312"/>
              </w:rPr>
              <w:t>奖励/表彰</w:t>
            </w:r>
          </w:p>
        </w:tc>
        <w:tc>
          <w:tcPr>
            <w:tcW w:w="811" w:type="pct"/>
            <w:gridSpan w:val="2"/>
            <w:shd w:val="clear" w:color="auto" w:fill="auto"/>
            <w:vAlign w:val="center"/>
          </w:tcPr>
          <w:p w14:paraId="0BE2DDB5">
            <w:pPr>
              <w:spacing w:line="440" w:lineRule="atLeast"/>
              <w:jc w:val="center"/>
              <w:rPr>
                <w:rFonts w:ascii="仿宋_GB2312" w:eastAsia="仿宋_GB2312"/>
              </w:rPr>
            </w:pPr>
            <w:r>
              <w:rPr>
                <w:rFonts w:hint="eastAsia" w:ascii="仿宋_GB2312" w:eastAsia="仿宋_GB2312"/>
              </w:rPr>
              <w:t>奖励/表彰级别</w:t>
            </w:r>
          </w:p>
        </w:tc>
        <w:tc>
          <w:tcPr>
            <w:tcW w:w="2937" w:type="pct"/>
            <w:gridSpan w:val="4"/>
            <w:shd w:val="clear" w:color="auto" w:fill="auto"/>
            <w:vAlign w:val="center"/>
          </w:tcPr>
          <w:p w14:paraId="2091FD19">
            <w:pPr>
              <w:spacing w:line="440" w:lineRule="atLeast"/>
              <w:jc w:val="left"/>
              <w:rPr>
                <w:rFonts w:ascii="仿宋_GB2312" w:eastAsia="仿宋_GB2312"/>
              </w:rPr>
            </w:pPr>
            <w:r>
              <w:rPr>
                <w:rFonts w:hint="eastAsia" w:ascii="仿宋_GB2312" w:eastAsia="仿宋_GB2312"/>
              </w:rPr>
              <w:t>□全国　　　□省级　　　□市级　　　□县级</w:t>
            </w:r>
          </w:p>
        </w:tc>
      </w:tr>
      <w:tr w14:paraId="00EF9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90" w:type="pct"/>
            <w:vMerge w:val="continue"/>
            <w:shd w:val="clear" w:color="auto" w:fill="auto"/>
            <w:textDirection w:val="tbRlV"/>
            <w:vAlign w:val="center"/>
          </w:tcPr>
          <w:p w14:paraId="4C67ADD4">
            <w:pPr>
              <w:spacing w:line="440" w:lineRule="atLeast"/>
              <w:jc w:val="center"/>
              <w:rPr>
                <w:rFonts w:ascii="仿宋_GB2312" w:eastAsia="仿宋_GB2312"/>
              </w:rPr>
            </w:pPr>
          </w:p>
        </w:tc>
        <w:tc>
          <w:tcPr>
            <w:tcW w:w="759" w:type="pct"/>
            <w:vMerge w:val="continue"/>
            <w:shd w:val="clear" w:color="auto" w:fill="auto"/>
            <w:vAlign w:val="center"/>
          </w:tcPr>
          <w:p w14:paraId="48BFF64A">
            <w:pPr>
              <w:spacing w:line="440" w:lineRule="atLeast"/>
              <w:jc w:val="center"/>
              <w:rPr>
                <w:rFonts w:ascii="仿宋_GB2312" w:eastAsia="仿宋_GB2312"/>
              </w:rPr>
            </w:pPr>
          </w:p>
        </w:tc>
        <w:tc>
          <w:tcPr>
            <w:tcW w:w="811" w:type="pct"/>
            <w:gridSpan w:val="2"/>
            <w:shd w:val="clear" w:color="auto" w:fill="auto"/>
            <w:vAlign w:val="center"/>
          </w:tcPr>
          <w:p w14:paraId="21D59572">
            <w:pPr>
              <w:spacing w:line="440" w:lineRule="atLeast"/>
              <w:jc w:val="center"/>
              <w:rPr>
                <w:rFonts w:ascii="仿宋_GB2312" w:eastAsia="仿宋_GB2312"/>
              </w:rPr>
            </w:pPr>
            <w:r>
              <w:rPr>
                <w:rFonts w:hint="eastAsia" w:ascii="仿宋_GB2312" w:eastAsia="仿宋_GB2312"/>
              </w:rPr>
              <w:t>奖励/表彰名称</w:t>
            </w:r>
          </w:p>
        </w:tc>
        <w:tc>
          <w:tcPr>
            <w:tcW w:w="785" w:type="pct"/>
            <w:shd w:val="clear" w:color="auto" w:fill="auto"/>
            <w:vAlign w:val="center"/>
          </w:tcPr>
          <w:p w14:paraId="7EDEE459">
            <w:pPr>
              <w:spacing w:line="440" w:lineRule="atLeast"/>
              <w:jc w:val="center"/>
              <w:rPr>
                <w:rFonts w:ascii="仿宋_GB2312" w:eastAsia="仿宋_GB2312"/>
              </w:rPr>
            </w:pPr>
          </w:p>
        </w:tc>
        <w:tc>
          <w:tcPr>
            <w:tcW w:w="1036" w:type="pct"/>
            <w:gridSpan w:val="2"/>
            <w:shd w:val="clear" w:color="auto" w:fill="auto"/>
            <w:vAlign w:val="center"/>
          </w:tcPr>
          <w:p w14:paraId="6AE28FED">
            <w:pPr>
              <w:spacing w:line="440" w:lineRule="atLeast"/>
              <w:jc w:val="center"/>
              <w:rPr>
                <w:rFonts w:ascii="仿宋_GB2312" w:eastAsia="仿宋_GB2312"/>
              </w:rPr>
            </w:pPr>
            <w:r>
              <w:rPr>
                <w:rFonts w:hint="eastAsia" w:ascii="仿宋_GB2312" w:eastAsia="仿宋_GB2312"/>
              </w:rPr>
              <w:t>奖励/表彰时间</w:t>
            </w:r>
          </w:p>
        </w:tc>
        <w:tc>
          <w:tcPr>
            <w:tcW w:w="1115" w:type="pct"/>
            <w:shd w:val="clear" w:color="auto" w:fill="auto"/>
            <w:vAlign w:val="center"/>
          </w:tcPr>
          <w:p w14:paraId="3E0EB35D">
            <w:pPr>
              <w:spacing w:line="440" w:lineRule="atLeast"/>
              <w:jc w:val="center"/>
              <w:rPr>
                <w:rFonts w:ascii="仿宋_GB2312" w:eastAsia="仿宋_GB2312"/>
              </w:rPr>
            </w:pPr>
          </w:p>
        </w:tc>
      </w:tr>
      <w:tr w14:paraId="635A1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90" w:type="pct"/>
            <w:vMerge w:val="continue"/>
            <w:shd w:val="clear" w:color="auto" w:fill="auto"/>
          </w:tcPr>
          <w:p w14:paraId="76500497">
            <w:pPr>
              <w:spacing w:line="440" w:lineRule="atLeast"/>
              <w:jc w:val="center"/>
              <w:rPr>
                <w:rFonts w:ascii="仿宋_GB2312" w:eastAsia="仿宋_GB2312"/>
              </w:rPr>
            </w:pPr>
          </w:p>
        </w:tc>
        <w:tc>
          <w:tcPr>
            <w:tcW w:w="759" w:type="pct"/>
            <w:vMerge w:val="continue"/>
            <w:shd w:val="clear" w:color="auto" w:fill="auto"/>
            <w:vAlign w:val="center"/>
          </w:tcPr>
          <w:p w14:paraId="06861A69">
            <w:pPr>
              <w:spacing w:line="440" w:lineRule="atLeast"/>
              <w:jc w:val="center"/>
              <w:rPr>
                <w:rFonts w:ascii="仿宋_GB2312" w:eastAsia="仿宋_GB2312"/>
              </w:rPr>
            </w:pPr>
          </w:p>
        </w:tc>
        <w:tc>
          <w:tcPr>
            <w:tcW w:w="811" w:type="pct"/>
            <w:gridSpan w:val="2"/>
            <w:shd w:val="clear" w:color="auto" w:fill="auto"/>
            <w:vAlign w:val="center"/>
          </w:tcPr>
          <w:p w14:paraId="2B2C31E3">
            <w:pPr>
              <w:spacing w:line="440" w:lineRule="atLeast"/>
              <w:jc w:val="center"/>
              <w:rPr>
                <w:rFonts w:ascii="仿宋_GB2312" w:eastAsia="仿宋_GB2312"/>
              </w:rPr>
            </w:pPr>
            <w:r>
              <w:rPr>
                <w:rFonts w:hint="eastAsia" w:ascii="仿宋_GB2312" w:eastAsia="仿宋_GB2312"/>
              </w:rPr>
              <w:t>颁奖单位</w:t>
            </w:r>
          </w:p>
        </w:tc>
        <w:tc>
          <w:tcPr>
            <w:tcW w:w="785" w:type="pct"/>
            <w:shd w:val="clear" w:color="auto" w:fill="auto"/>
            <w:vAlign w:val="center"/>
          </w:tcPr>
          <w:p w14:paraId="493B71CE">
            <w:pPr>
              <w:spacing w:line="440" w:lineRule="atLeast"/>
              <w:jc w:val="center"/>
              <w:rPr>
                <w:rFonts w:ascii="仿宋_GB2312" w:eastAsia="仿宋_GB2312"/>
              </w:rPr>
            </w:pPr>
          </w:p>
        </w:tc>
        <w:tc>
          <w:tcPr>
            <w:tcW w:w="1036" w:type="pct"/>
            <w:gridSpan w:val="2"/>
            <w:shd w:val="clear" w:color="auto" w:fill="auto"/>
            <w:vAlign w:val="center"/>
          </w:tcPr>
          <w:p w14:paraId="06D015E9">
            <w:pPr>
              <w:spacing w:line="440" w:lineRule="atLeast"/>
              <w:jc w:val="center"/>
              <w:rPr>
                <w:rFonts w:ascii="仿宋_GB2312" w:eastAsia="仿宋_GB2312"/>
              </w:rPr>
            </w:pPr>
            <w:r>
              <w:rPr>
                <w:rFonts w:hint="eastAsia" w:ascii="仿宋_GB2312" w:eastAsia="仿宋_GB2312"/>
              </w:rPr>
              <w:t>获奖证书号/文号</w:t>
            </w:r>
          </w:p>
        </w:tc>
        <w:tc>
          <w:tcPr>
            <w:tcW w:w="1115" w:type="pct"/>
            <w:shd w:val="clear" w:color="auto" w:fill="auto"/>
            <w:vAlign w:val="center"/>
          </w:tcPr>
          <w:p w14:paraId="563D91FC">
            <w:pPr>
              <w:spacing w:line="440" w:lineRule="atLeast"/>
              <w:jc w:val="center"/>
              <w:rPr>
                <w:rFonts w:ascii="仿宋_GB2312" w:eastAsia="仿宋_GB2312"/>
              </w:rPr>
            </w:pPr>
          </w:p>
        </w:tc>
      </w:tr>
      <w:tr w14:paraId="5BCA5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8" w:hRule="exact"/>
          <w:jc w:val="center"/>
        </w:trPr>
        <w:tc>
          <w:tcPr>
            <w:tcW w:w="490" w:type="pct"/>
            <w:vMerge w:val="continue"/>
            <w:shd w:val="clear" w:color="auto" w:fill="auto"/>
          </w:tcPr>
          <w:p w14:paraId="6966D702">
            <w:pPr>
              <w:spacing w:line="440" w:lineRule="atLeast"/>
              <w:jc w:val="center"/>
              <w:rPr>
                <w:rFonts w:ascii="仿宋_GB2312" w:eastAsia="仿宋_GB2312"/>
              </w:rPr>
            </w:pPr>
          </w:p>
        </w:tc>
        <w:tc>
          <w:tcPr>
            <w:tcW w:w="759" w:type="pct"/>
            <w:vMerge w:val="restart"/>
            <w:shd w:val="clear" w:color="auto" w:fill="auto"/>
            <w:vAlign w:val="center"/>
          </w:tcPr>
          <w:p w14:paraId="0CF78E00">
            <w:pPr>
              <w:spacing w:line="440" w:lineRule="atLeast"/>
              <w:jc w:val="center"/>
              <w:rPr>
                <w:rFonts w:ascii="仿宋_GB2312" w:eastAsia="仿宋_GB2312"/>
              </w:rPr>
            </w:pPr>
            <w:r>
              <w:rPr>
                <w:rFonts w:hint="eastAsia" w:ascii="仿宋_GB2312" w:eastAsia="仿宋_GB2312"/>
              </w:rPr>
              <w:t>社会任职</w:t>
            </w:r>
          </w:p>
          <w:p w14:paraId="70B7AC3C">
            <w:pPr>
              <w:spacing w:line="440" w:lineRule="atLeast"/>
              <w:jc w:val="center"/>
              <w:rPr>
                <w:rFonts w:ascii="仿宋_GB2312" w:eastAsia="仿宋_GB2312"/>
              </w:rPr>
            </w:pPr>
            <w:r>
              <w:rPr>
                <w:rFonts w:hint="eastAsia" w:ascii="仿宋_GB2312" w:eastAsia="仿宋_GB2312"/>
              </w:rPr>
              <w:t>（请在相符的选项方框内划√）</w:t>
            </w:r>
          </w:p>
        </w:tc>
        <w:tc>
          <w:tcPr>
            <w:tcW w:w="3749" w:type="pct"/>
            <w:gridSpan w:val="6"/>
            <w:shd w:val="clear" w:color="auto" w:fill="auto"/>
            <w:vAlign w:val="center"/>
          </w:tcPr>
          <w:p w14:paraId="320CEC3C">
            <w:pPr>
              <w:spacing w:line="440" w:lineRule="atLeast"/>
              <w:jc w:val="left"/>
              <w:rPr>
                <w:rFonts w:ascii="仿宋_GB2312" w:eastAsia="仿宋_GB2312"/>
              </w:rPr>
            </w:pPr>
            <w:r>
              <w:rPr>
                <w:rFonts w:hint="eastAsia" w:ascii="仿宋_GB2312" w:eastAsia="仿宋_GB2312"/>
              </w:rPr>
              <w:t>□全国　　　□省级　　　□市级　　　□县级</w:t>
            </w:r>
          </w:p>
          <w:p w14:paraId="414BDC7E">
            <w:pPr>
              <w:spacing w:line="440" w:lineRule="atLeast"/>
              <w:jc w:val="left"/>
              <w:rPr>
                <w:rFonts w:ascii="仿宋_GB2312" w:eastAsia="仿宋_GB2312"/>
              </w:rPr>
            </w:pPr>
            <w:r>
              <w:rPr>
                <w:rFonts w:hint="eastAsia" w:ascii="仿宋_GB2312" w:eastAsia="仿宋_GB2312"/>
              </w:rPr>
              <w:t>第　　届　　　□人大代表　　　　□政协委员</w:t>
            </w:r>
          </w:p>
        </w:tc>
      </w:tr>
      <w:tr w14:paraId="4470C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90" w:type="pct"/>
            <w:vMerge w:val="continue"/>
            <w:shd w:val="clear" w:color="auto" w:fill="auto"/>
          </w:tcPr>
          <w:p w14:paraId="2B9514FE">
            <w:pPr>
              <w:spacing w:line="440" w:lineRule="atLeast"/>
              <w:jc w:val="center"/>
              <w:rPr>
                <w:rFonts w:ascii="仿宋_GB2312" w:eastAsia="仿宋_GB2312"/>
              </w:rPr>
            </w:pPr>
          </w:p>
        </w:tc>
        <w:tc>
          <w:tcPr>
            <w:tcW w:w="759" w:type="pct"/>
            <w:vMerge w:val="continue"/>
            <w:shd w:val="clear" w:color="auto" w:fill="auto"/>
            <w:vAlign w:val="center"/>
          </w:tcPr>
          <w:p w14:paraId="680718B0">
            <w:pPr>
              <w:spacing w:line="440" w:lineRule="atLeast"/>
              <w:jc w:val="center"/>
              <w:rPr>
                <w:rFonts w:ascii="仿宋_GB2312" w:eastAsia="仿宋_GB2312"/>
              </w:rPr>
            </w:pPr>
          </w:p>
        </w:tc>
        <w:tc>
          <w:tcPr>
            <w:tcW w:w="811" w:type="pct"/>
            <w:gridSpan w:val="2"/>
            <w:shd w:val="clear" w:color="auto" w:fill="auto"/>
            <w:vAlign w:val="center"/>
          </w:tcPr>
          <w:p w14:paraId="06C66BA8">
            <w:pPr>
              <w:spacing w:line="440" w:lineRule="atLeast"/>
              <w:jc w:val="center"/>
              <w:rPr>
                <w:rFonts w:ascii="仿宋_GB2312" w:eastAsia="仿宋_GB2312"/>
              </w:rPr>
            </w:pPr>
            <w:r>
              <w:rPr>
                <w:rFonts w:hint="eastAsia" w:ascii="仿宋_GB2312" w:eastAsia="仿宋_GB2312"/>
              </w:rPr>
              <w:t>政府部门名称</w:t>
            </w:r>
          </w:p>
        </w:tc>
        <w:tc>
          <w:tcPr>
            <w:tcW w:w="785" w:type="pct"/>
            <w:shd w:val="clear" w:color="auto" w:fill="auto"/>
            <w:vAlign w:val="center"/>
          </w:tcPr>
          <w:p w14:paraId="4BC33DC6">
            <w:pPr>
              <w:spacing w:line="440" w:lineRule="atLeast"/>
              <w:jc w:val="center"/>
              <w:rPr>
                <w:rFonts w:ascii="仿宋_GB2312" w:eastAsia="仿宋_GB2312"/>
              </w:rPr>
            </w:pPr>
          </w:p>
        </w:tc>
        <w:tc>
          <w:tcPr>
            <w:tcW w:w="1036" w:type="pct"/>
            <w:gridSpan w:val="2"/>
            <w:shd w:val="clear" w:color="auto" w:fill="auto"/>
            <w:vAlign w:val="center"/>
          </w:tcPr>
          <w:p w14:paraId="31451BF4">
            <w:pPr>
              <w:spacing w:line="440" w:lineRule="atLeast"/>
              <w:jc w:val="center"/>
              <w:rPr>
                <w:rFonts w:ascii="仿宋_GB2312" w:eastAsia="仿宋_GB2312"/>
              </w:rPr>
            </w:pPr>
            <w:r>
              <w:rPr>
                <w:rFonts w:hint="eastAsia" w:ascii="仿宋_GB2312" w:eastAsia="仿宋_GB2312"/>
              </w:rPr>
              <w:t>担任职务</w:t>
            </w:r>
          </w:p>
        </w:tc>
        <w:tc>
          <w:tcPr>
            <w:tcW w:w="1115" w:type="pct"/>
            <w:shd w:val="clear" w:color="auto" w:fill="auto"/>
            <w:vAlign w:val="center"/>
          </w:tcPr>
          <w:p w14:paraId="524E7C81">
            <w:pPr>
              <w:spacing w:line="440" w:lineRule="atLeast"/>
              <w:jc w:val="center"/>
              <w:rPr>
                <w:rFonts w:ascii="仿宋_GB2312" w:eastAsia="仿宋_GB2312"/>
              </w:rPr>
            </w:pPr>
          </w:p>
        </w:tc>
      </w:tr>
      <w:tr w14:paraId="7565B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90" w:type="pct"/>
            <w:vMerge w:val="continue"/>
            <w:shd w:val="clear" w:color="auto" w:fill="auto"/>
          </w:tcPr>
          <w:p w14:paraId="67EA66B9">
            <w:pPr>
              <w:spacing w:line="440" w:lineRule="atLeast"/>
              <w:jc w:val="center"/>
              <w:rPr>
                <w:rFonts w:ascii="仿宋_GB2312" w:eastAsia="仿宋_GB2312"/>
              </w:rPr>
            </w:pPr>
          </w:p>
        </w:tc>
        <w:tc>
          <w:tcPr>
            <w:tcW w:w="759" w:type="pct"/>
            <w:vMerge w:val="continue"/>
            <w:shd w:val="clear" w:color="auto" w:fill="auto"/>
            <w:vAlign w:val="center"/>
          </w:tcPr>
          <w:p w14:paraId="495ED7CE">
            <w:pPr>
              <w:spacing w:line="440" w:lineRule="atLeast"/>
              <w:jc w:val="center"/>
              <w:rPr>
                <w:rFonts w:ascii="仿宋_GB2312" w:eastAsia="仿宋_GB2312"/>
              </w:rPr>
            </w:pPr>
          </w:p>
        </w:tc>
        <w:tc>
          <w:tcPr>
            <w:tcW w:w="811" w:type="pct"/>
            <w:gridSpan w:val="2"/>
            <w:shd w:val="clear" w:color="auto" w:fill="auto"/>
            <w:vAlign w:val="center"/>
          </w:tcPr>
          <w:p w14:paraId="381B1B9F">
            <w:pPr>
              <w:spacing w:line="440" w:lineRule="atLeast"/>
              <w:jc w:val="center"/>
              <w:rPr>
                <w:rFonts w:ascii="仿宋_GB2312" w:eastAsia="仿宋_GB2312"/>
              </w:rPr>
            </w:pPr>
            <w:r>
              <w:rPr>
                <w:rFonts w:hint="eastAsia" w:ascii="仿宋_GB2312" w:eastAsia="仿宋_GB2312"/>
              </w:rPr>
              <w:t>社会组织名称</w:t>
            </w:r>
          </w:p>
        </w:tc>
        <w:tc>
          <w:tcPr>
            <w:tcW w:w="785" w:type="pct"/>
            <w:shd w:val="clear" w:color="auto" w:fill="auto"/>
            <w:vAlign w:val="center"/>
          </w:tcPr>
          <w:p w14:paraId="22E15FA7">
            <w:pPr>
              <w:spacing w:line="440" w:lineRule="atLeast"/>
              <w:jc w:val="center"/>
              <w:rPr>
                <w:rFonts w:ascii="仿宋_GB2312" w:eastAsia="仿宋_GB2312"/>
              </w:rPr>
            </w:pPr>
          </w:p>
        </w:tc>
        <w:tc>
          <w:tcPr>
            <w:tcW w:w="1036" w:type="pct"/>
            <w:gridSpan w:val="2"/>
            <w:shd w:val="clear" w:color="auto" w:fill="auto"/>
            <w:vAlign w:val="center"/>
          </w:tcPr>
          <w:p w14:paraId="621FC841">
            <w:pPr>
              <w:spacing w:line="440" w:lineRule="atLeast"/>
              <w:jc w:val="center"/>
              <w:rPr>
                <w:rFonts w:ascii="仿宋_GB2312" w:eastAsia="仿宋_GB2312"/>
              </w:rPr>
            </w:pPr>
            <w:r>
              <w:rPr>
                <w:rFonts w:hint="eastAsia" w:ascii="仿宋_GB2312" w:eastAsia="仿宋_GB2312"/>
              </w:rPr>
              <w:t>担任职务</w:t>
            </w:r>
          </w:p>
        </w:tc>
        <w:tc>
          <w:tcPr>
            <w:tcW w:w="1115" w:type="pct"/>
            <w:shd w:val="clear" w:color="auto" w:fill="auto"/>
            <w:vAlign w:val="center"/>
          </w:tcPr>
          <w:p w14:paraId="7861908E">
            <w:pPr>
              <w:spacing w:line="440" w:lineRule="atLeast"/>
              <w:jc w:val="center"/>
              <w:rPr>
                <w:rFonts w:ascii="仿宋_GB2312" w:eastAsia="仿宋_GB2312"/>
              </w:rPr>
            </w:pPr>
          </w:p>
        </w:tc>
      </w:tr>
      <w:tr w14:paraId="52A1D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90" w:type="pct"/>
            <w:vMerge w:val="continue"/>
            <w:shd w:val="clear" w:color="auto" w:fill="auto"/>
          </w:tcPr>
          <w:p w14:paraId="0DB3E29C">
            <w:pPr>
              <w:spacing w:line="440" w:lineRule="atLeast"/>
              <w:jc w:val="center"/>
              <w:rPr>
                <w:rFonts w:ascii="仿宋_GB2312" w:eastAsia="仿宋_GB2312"/>
              </w:rPr>
            </w:pPr>
          </w:p>
        </w:tc>
        <w:tc>
          <w:tcPr>
            <w:tcW w:w="759" w:type="pct"/>
            <w:vMerge w:val="restart"/>
            <w:shd w:val="clear" w:color="auto" w:fill="auto"/>
            <w:vAlign w:val="center"/>
          </w:tcPr>
          <w:p w14:paraId="5016FF3A">
            <w:pPr>
              <w:spacing w:line="440" w:lineRule="atLeast"/>
              <w:jc w:val="center"/>
              <w:rPr>
                <w:rFonts w:ascii="仿宋_GB2312" w:eastAsia="仿宋_GB2312"/>
              </w:rPr>
            </w:pPr>
            <w:r>
              <w:rPr>
                <w:rFonts w:hint="eastAsia" w:ascii="仿宋_GB2312" w:eastAsia="仿宋_GB2312"/>
              </w:rPr>
              <w:t>热心公益事业</w:t>
            </w:r>
          </w:p>
        </w:tc>
        <w:tc>
          <w:tcPr>
            <w:tcW w:w="811" w:type="pct"/>
            <w:gridSpan w:val="2"/>
            <w:shd w:val="clear" w:color="auto" w:fill="auto"/>
            <w:vAlign w:val="center"/>
          </w:tcPr>
          <w:p w14:paraId="58195A1A">
            <w:pPr>
              <w:spacing w:line="440" w:lineRule="atLeast"/>
              <w:jc w:val="center"/>
              <w:rPr>
                <w:rFonts w:ascii="仿宋_GB2312" w:eastAsia="仿宋_GB2312"/>
              </w:rPr>
            </w:pPr>
            <w:r>
              <w:rPr>
                <w:rFonts w:hint="eastAsia" w:ascii="仿宋_GB2312" w:eastAsia="仿宋_GB2312"/>
              </w:rPr>
              <w:t>资助单位/个人</w:t>
            </w:r>
          </w:p>
        </w:tc>
        <w:tc>
          <w:tcPr>
            <w:tcW w:w="785" w:type="pct"/>
            <w:shd w:val="clear" w:color="auto" w:fill="auto"/>
            <w:vAlign w:val="center"/>
          </w:tcPr>
          <w:p w14:paraId="0DA97769">
            <w:pPr>
              <w:spacing w:line="440" w:lineRule="atLeast"/>
              <w:jc w:val="center"/>
              <w:rPr>
                <w:rFonts w:ascii="仿宋_GB2312" w:eastAsia="仿宋_GB2312"/>
              </w:rPr>
            </w:pPr>
          </w:p>
        </w:tc>
        <w:tc>
          <w:tcPr>
            <w:tcW w:w="1036" w:type="pct"/>
            <w:gridSpan w:val="2"/>
            <w:shd w:val="clear" w:color="auto" w:fill="auto"/>
            <w:vAlign w:val="center"/>
          </w:tcPr>
          <w:p w14:paraId="01A02A39">
            <w:pPr>
              <w:spacing w:line="440" w:lineRule="atLeast"/>
              <w:jc w:val="center"/>
              <w:rPr>
                <w:rFonts w:ascii="仿宋_GB2312" w:eastAsia="仿宋_GB2312"/>
              </w:rPr>
            </w:pPr>
            <w:r>
              <w:rPr>
                <w:rFonts w:hint="eastAsia" w:ascii="仿宋_GB2312" w:eastAsia="仿宋_GB2312"/>
              </w:rPr>
              <w:t>资助时间</w:t>
            </w:r>
          </w:p>
        </w:tc>
        <w:tc>
          <w:tcPr>
            <w:tcW w:w="1115" w:type="pct"/>
            <w:shd w:val="clear" w:color="auto" w:fill="auto"/>
            <w:vAlign w:val="center"/>
          </w:tcPr>
          <w:p w14:paraId="1A92C0EC">
            <w:pPr>
              <w:spacing w:line="440" w:lineRule="atLeast"/>
              <w:jc w:val="center"/>
              <w:rPr>
                <w:rFonts w:ascii="仿宋_GB2312" w:eastAsia="仿宋_GB2312"/>
              </w:rPr>
            </w:pPr>
          </w:p>
        </w:tc>
      </w:tr>
      <w:tr w14:paraId="22F32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90" w:type="pct"/>
            <w:vMerge w:val="continue"/>
            <w:shd w:val="clear" w:color="auto" w:fill="auto"/>
          </w:tcPr>
          <w:p w14:paraId="251E66BB">
            <w:pPr>
              <w:spacing w:line="440" w:lineRule="atLeast"/>
              <w:jc w:val="center"/>
              <w:rPr>
                <w:rFonts w:ascii="仿宋_GB2312" w:eastAsia="仿宋_GB2312"/>
              </w:rPr>
            </w:pPr>
          </w:p>
        </w:tc>
        <w:tc>
          <w:tcPr>
            <w:tcW w:w="759" w:type="pct"/>
            <w:vMerge w:val="continue"/>
            <w:shd w:val="clear" w:color="auto" w:fill="auto"/>
            <w:vAlign w:val="center"/>
          </w:tcPr>
          <w:p w14:paraId="32B21015">
            <w:pPr>
              <w:spacing w:line="440" w:lineRule="atLeast"/>
              <w:jc w:val="center"/>
              <w:rPr>
                <w:rFonts w:ascii="仿宋_GB2312" w:eastAsia="仿宋_GB2312"/>
              </w:rPr>
            </w:pPr>
          </w:p>
        </w:tc>
        <w:tc>
          <w:tcPr>
            <w:tcW w:w="811" w:type="pct"/>
            <w:gridSpan w:val="2"/>
            <w:shd w:val="clear" w:color="auto" w:fill="auto"/>
            <w:vAlign w:val="center"/>
          </w:tcPr>
          <w:p w14:paraId="4BA11504">
            <w:pPr>
              <w:spacing w:line="440" w:lineRule="atLeast"/>
              <w:jc w:val="center"/>
              <w:rPr>
                <w:rFonts w:ascii="仿宋_GB2312" w:eastAsia="仿宋_GB2312"/>
              </w:rPr>
            </w:pPr>
            <w:r>
              <w:rPr>
                <w:rFonts w:hint="eastAsia" w:ascii="仿宋_GB2312" w:eastAsia="仿宋_GB2312"/>
              </w:rPr>
              <w:t>资助方式</w:t>
            </w:r>
          </w:p>
        </w:tc>
        <w:tc>
          <w:tcPr>
            <w:tcW w:w="785" w:type="pct"/>
            <w:shd w:val="clear" w:color="auto" w:fill="auto"/>
            <w:vAlign w:val="center"/>
          </w:tcPr>
          <w:p w14:paraId="65E6DB3F">
            <w:pPr>
              <w:spacing w:line="440" w:lineRule="atLeast"/>
              <w:jc w:val="center"/>
              <w:rPr>
                <w:rFonts w:ascii="仿宋_GB2312" w:eastAsia="仿宋_GB2312"/>
              </w:rPr>
            </w:pPr>
          </w:p>
        </w:tc>
        <w:tc>
          <w:tcPr>
            <w:tcW w:w="1036" w:type="pct"/>
            <w:gridSpan w:val="2"/>
            <w:shd w:val="clear" w:color="auto" w:fill="auto"/>
            <w:vAlign w:val="center"/>
          </w:tcPr>
          <w:p w14:paraId="35120C10">
            <w:pPr>
              <w:spacing w:line="440" w:lineRule="atLeast"/>
              <w:jc w:val="center"/>
              <w:rPr>
                <w:rFonts w:ascii="仿宋_GB2312" w:eastAsia="仿宋_GB2312"/>
              </w:rPr>
            </w:pPr>
            <w:r>
              <w:rPr>
                <w:rFonts w:hint="eastAsia" w:ascii="仿宋_GB2312" w:eastAsia="仿宋_GB2312"/>
              </w:rPr>
              <w:t>资助数量/数额</w:t>
            </w:r>
          </w:p>
        </w:tc>
        <w:tc>
          <w:tcPr>
            <w:tcW w:w="1115" w:type="pct"/>
            <w:shd w:val="clear" w:color="auto" w:fill="auto"/>
            <w:vAlign w:val="center"/>
          </w:tcPr>
          <w:p w14:paraId="78018B35">
            <w:pPr>
              <w:spacing w:line="440" w:lineRule="atLeast"/>
              <w:jc w:val="center"/>
              <w:rPr>
                <w:rFonts w:ascii="仿宋_GB2312" w:eastAsia="仿宋_GB2312"/>
              </w:rPr>
            </w:pPr>
          </w:p>
        </w:tc>
      </w:tr>
      <w:tr w14:paraId="7E6F5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90" w:type="pct"/>
            <w:vMerge w:val="continue"/>
            <w:shd w:val="clear" w:color="auto" w:fill="auto"/>
          </w:tcPr>
          <w:p w14:paraId="32A92555">
            <w:pPr>
              <w:spacing w:line="440" w:lineRule="atLeast"/>
              <w:jc w:val="center"/>
              <w:rPr>
                <w:rFonts w:ascii="仿宋_GB2312" w:eastAsia="仿宋_GB2312"/>
              </w:rPr>
            </w:pPr>
          </w:p>
        </w:tc>
        <w:tc>
          <w:tcPr>
            <w:tcW w:w="759" w:type="pct"/>
            <w:shd w:val="clear" w:color="auto" w:fill="auto"/>
            <w:vAlign w:val="center"/>
          </w:tcPr>
          <w:p w14:paraId="42FC7EBC">
            <w:pPr>
              <w:spacing w:line="440" w:lineRule="atLeast"/>
              <w:jc w:val="center"/>
              <w:rPr>
                <w:rFonts w:ascii="仿宋_GB2312" w:eastAsia="仿宋_GB2312"/>
              </w:rPr>
            </w:pPr>
            <w:r>
              <w:rPr>
                <w:rFonts w:hint="eastAsia" w:ascii="仿宋_GB2312" w:eastAsia="仿宋_GB2312"/>
              </w:rPr>
              <w:t>其他良好行为</w:t>
            </w:r>
          </w:p>
        </w:tc>
        <w:tc>
          <w:tcPr>
            <w:tcW w:w="3749" w:type="pct"/>
            <w:gridSpan w:val="6"/>
            <w:shd w:val="clear" w:color="auto" w:fill="auto"/>
            <w:vAlign w:val="center"/>
          </w:tcPr>
          <w:p w14:paraId="63A3755C">
            <w:pPr>
              <w:spacing w:line="440" w:lineRule="atLeast"/>
              <w:jc w:val="center"/>
              <w:rPr>
                <w:rFonts w:ascii="仿宋_GB2312" w:eastAsia="仿宋_GB2312"/>
              </w:rPr>
            </w:pPr>
          </w:p>
        </w:tc>
      </w:tr>
      <w:tr w14:paraId="1BA6C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4" w:hRule="exact"/>
          <w:jc w:val="center"/>
        </w:trPr>
        <w:tc>
          <w:tcPr>
            <w:tcW w:w="490" w:type="pct"/>
            <w:vMerge w:val="restart"/>
            <w:shd w:val="clear" w:color="auto" w:fill="auto"/>
            <w:textDirection w:val="tbRlV"/>
            <w:vAlign w:val="center"/>
          </w:tcPr>
          <w:p w14:paraId="63C55740">
            <w:pPr>
              <w:spacing w:line="440" w:lineRule="atLeast"/>
              <w:jc w:val="center"/>
              <w:rPr>
                <w:rFonts w:ascii="仿宋_GB2312" w:eastAsia="仿宋_GB2312"/>
              </w:rPr>
            </w:pPr>
            <w:r>
              <w:rPr>
                <w:rFonts w:hint="eastAsia" w:ascii="仿宋_GB2312" w:eastAsia="仿宋_GB2312"/>
              </w:rPr>
              <w:t>提　示　信　息</w:t>
            </w:r>
          </w:p>
        </w:tc>
        <w:tc>
          <w:tcPr>
            <w:tcW w:w="759" w:type="pct"/>
            <w:vMerge w:val="restart"/>
            <w:shd w:val="clear" w:color="auto" w:fill="auto"/>
            <w:vAlign w:val="center"/>
          </w:tcPr>
          <w:p w14:paraId="6E76E598">
            <w:pPr>
              <w:spacing w:line="440" w:lineRule="atLeast"/>
              <w:jc w:val="center"/>
              <w:rPr>
                <w:rFonts w:ascii="仿宋_GB2312" w:eastAsia="仿宋_GB2312"/>
              </w:rPr>
            </w:pPr>
            <w:r>
              <w:rPr>
                <w:rFonts w:hint="eastAsia" w:ascii="仿宋_GB2312" w:eastAsia="仿宋_GB2312"/>
              </w:rPr>
              <w:t>政府部门非行政处罚情况</w:t>
            </w:r>
          </w:p>
        </w:tc>
        <w:tc>
          <w:tcPr>
            <w:tcW w:w="558" w:type="pct"/>
            <w:shd w:val="clear" w:color="auto" w:fill="auto"/>
            <w:vAlign w:val="center"/>
          </w:tcPr>
          <w:p w14:paraId="43F56CE9">
            <w:pPr>
              <w:spacing w:line="440" w:lineRule="atLeast"/>
              <w:jc w:val="center"/>
              <w:rPr>
                <w:rFonts w:ascii="仿宋_GB2312" w:eastAsia="仿宋_GB2312"/>
              </w:rPr>
            </w:pPr>
            <w:r>
              <w:rPr>
                <w:rFonts w:hint="eastAsia" w:ascii="仿宋_GB2312" w:eastAsia="仿宋_GB2312"/>
              </w:rPr>
              <w:t>监管内容</w:t>
            </w:r>
          </w:p>
        </w:tc>
        <w:tc>
          <w:tcPr>
            <w:tcW w:w="1519" w:type="pct"/>
            <w:gridSpan w:val="3"/>
            <w:shd w:val="clear" w:color="auto" w:fill="auto"/>
            <w:vAlign w:val="center"/>
          </w:tcPr>
          <w:p w14:paraId="57C58D0B">
            <w:pPr>
              <w:spacing w:line="440" w:lineRule="atLeast"/>
              <w:jc w:val="left"/>
              <w:rPr>
                <w:rFonts w:ascii="仿宋_GB2312" w:eastAsia="仿宋_GB2312"/>
              </w:rPr>
            </w:pPr>
          </w:p>
        </w:tc>
        <w:tc>
          <w:tcPr>
            <w:tcW w:w="556" w:type="pct"/>
            <w:shd w:val="clear" w:color="auto" w:fill="auto"/>
            <w:vAlign w:val="center"/>
          </w:tcPr>
          <w:p w14:paraId="29A18A12">
            <w:pPr>
              <w:spacing w:line="440" w:lineRule="atLeast"/>
              <w:jc w:val="center"/>
              <w:rPr>
                <w:rFonts w:ascii="仿宋_GB2312" w:eastAsia="仿宋_GB2312"/>
              </w:rPr>
            </w:pPr>
            <w:r>
              <w:rPr>
                <w:rFonts w:hint="eastAsia" w:ascii="仿宋_GB2312" w:eastAsia="仿宋_GB2312"/>
              </w:rPr>
              <w:t>时间</w:t>
            </w:r>
          </w:p>
        </w:tc>
        <w:tc>
          <w:tcPr>
            <w:tcW w:w="1115" w:type="pct"/>
            <w:shd w:val="clear" w:color="auto" w:fill="auto"/>
            <w:vAlign w:val="center"/>
          </w:tcPr>
          <w:p w14:paraId="291D8BD0">
            <w:pPr>
              <w:spacing w:line="440" w:lineRule="atLeast"/>
              <w:jc w:val="center"/>
              <w:rPr>
                <w:rFonts w:ascii="仿宋_GB2312" w:eastAsia="仿宋_GB2312"/>
              </w:rPr>
            </w:pPr>
          </w:p>
        </w:tc>
      </w:tr>
      <w:tr w14:paraId="48EDA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4" w:hRule="exact"/>
          <w:jc w:val="center"/>
        </w:trPr>
        <w:tc>
          <w:tcPr>
            <w:tcW w:w="490" w:type="pct"/>
            <w:vMerge w:val="continue"/>
            <w:shd w:val="clear" w:color="auto" w:fill="auto"/>
            <w:textDirection w:val="tbRlV"/>
            <w:vAlign w:val="center"/>
          </w:tcPr>
          <w:p w14:paraId="159E1DD6">
            <w:pPr>
              <w:spacing w:line="440" w:lineRule="atLeast"/>
              <w:jc w:val="center"/>
              <w:rPr>
                <w:rFonts w:ascii="仿宋_GB2312" w:eastAsia="仿宋_GB2312"/>
              </w:rPr>
            </w:pPr>
          </w:p>
        </w:tc>
        <w:tc>
          <w:tcPr>
            <w:tcW w:w="759" w:type="pct"/>
            <w:vMerge w:val="continue"/>
            <w:shd w:val="clear" w:color="auto" w:fill="auto"/>
            <w:vAlign w:val="center"/>
          </w:tcPr>
          <w:p w14:paraId="2FAB8F5B">
            <w:pPr>
              <w:spacing w:line="440" w:lineRule="atLeast"/>
              <w:jc w:val="center"/>
              <w:rPr>
                <w:rFonts w:ascii="仿宋_GB2312" w:eastAsia="仿宋_GB2312"/>
              </w:rPr>
            </w:pPr>
          </w:p>
        </w:tc>
        <w:tc>
          <w:tcPr>
            <w:tcW w:w="558" w:type="pct"/>
            <w:shd w:val="clear" w:color="auto" w:fill="auto"/>
            <w:vAlign w:val="center"/>
          </w:tcPr>
          <w:p w14:paraId="36ED9E11">
            <w:pPr>
              <w:spacing w:line="440" w:lineRule="atLeast"/>
              <w:jc w:val="center"/>
              <w:rPr>
                <w:rFonts w:ascii="仿宋_GB2312" w:eastAsia="仿宋_GB2312"/>
              </w:rPr>
            </w:pPr>
            <w:r>
              <w:rPr>
                <w:rFonts w:hint="eastAsia" w:ascii="仿宋_GB2312" w:eastAsia="仿宋_GB2312"/>
              </w:rPr>
              <w:t>监管形式</w:t>
            </w:r>
          </w:p>
        </w:tc>
        <w:tc>
          <w:tcPr>
            <w:tcW w:w="1519" w:type="pct"/>
            <w:gridSpan w:val="3"/>
            <w:shd w:val="clear" w:color="auto" w:fill="auto"/>
            <w:vAlign w:val="center"/>
          </w:tcPr>
          <w:p w14:paraId="6C324BD7">
            <w:pPr>
              <w:spacing w:line="440" w:lineRule="atLeast"/>
              <w:jc w:val="left"/>
              <w:rPr>
                <w:rFonts w:ascii="仿宋_GB2312" w:eastAsia="仿宋_GB2312"/>
              </w:rPr>
            </w:pPr>
            <w:r>
              <w:rPr>
                <w:rFonts w:hint="eastAsia" w:ascii="仿宋_GB2312" w:eastAsia="仿宋_GB2312"/>
              </w:rPr>
              <w:t>□关注函　　　□谈话提醒　　　</w:t>
            </w:r>
          </w:p>
          <w:p w14:paraId="56C8E910">
            <w:pPr>
              <w:spacing w:line="440" w:lineRule="atLeast"/>
              <w:jc w:val="left"/>
              <w:rPr>
                <w:rFonts w:ascii="宋体" w:hAnsi="宋体"/>
              </w:rPr>
            </w:pPr>
            <w:r>
              <w:rPr>
                <w:rFonts w:hint="eastAsia" w:ascii="仿宋_GB2312" w:eastAsia="仿宋_GB2312"/>
              </w:rPr>
              <w:t>□其他（请具体说明）：</w:t>
            </w:r>
            <w:r>
              <w:rPr>
                <w:rFonts w:hint="eastAsia" w:ascii="宋体" w:hAnsi="宋体"/>
              </w:rPr>
              <w:t>________</w:t>
            </w:r>
          </w:p>
        </w:tc>
        <w:tc>
          <w:tcPr>
            <w:tcW w:w="556" w:type="pct"/>
            <w:shd w:val="clear" w:color="auto" w:fill="auto"/>
            <w:vAlign w:val="center"/>
          </w:tcPr>
          <w:p w14:paraId="249D8943">
            <w:pPr>
              <w:spacing w:line="440" w:lineRule="atLeast"/>
              <w:jc w:val="center"/>
              <w:rPr>
                <w:rFonts w:ascii="仿宋_GB2312" w:eastAsia="仿宋_GB2312"/>
              </w:rPr>
            </w:pPr>
            <w:r>
              <w:rPr>
                <w:rFonts w:hint="eastAsia" w:ascii="仿宋_GB2312" w:eastAsia="仿宋_GB2312"/>
              </w:rPr>
              <w:t>监管部门</w:t>
            </w:r>
          </w:p>
        </w:tc>
        <w:tc>
          <w:tcPr>
            <w:tcW w:w="1115" w:type="pct"/>
            <w:shd w:val="clear" w:color="auto" w:fill="auto"/>
            <w:vAlign w:val="center"/>
          </w:tcPr>
          <w:p w14:paraId="32A74B07">
            <w:pPr>
              <w:spacing w:line="440" w:lineRule="atLeast"/>
              <w:jc w:val="center"/>
              <w:rPr>
                <w:rFonts w:ascii="仿宋_GB2312" w:eastAsia="仿宋_GB2312"/>
              </w:rPr>
            </w:pPr>
          </w:p>
        </w:tc>
      </w:tr>
      <w:tr w14:paraId="14635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490" w:type="pct"/>
            <w:vMerge w:val="continue"/>
            <w:shd w:val="clear" w:color="auto" w:fill="auto"/>
            <w:textDirection w:val="tbRlV"/>
            <w:vAlign w:val="center"/>
          </w:tcPr>
          <w:p w14:paraId="24314297">
            <w:pPr>
              <w:spacing w:line="440" w:lineRule="atLeast"/>
              <w:jc w:val="center"/>
              <w:rPr>
                <w:rFonts w:ascii="仿宋_GB2312" w:eastAsia="仿宋_GB2312"/>
              </w:rPr>
            </w:pPr>
          </w:p>
        </w:tc>
        <w:tc>
          <w:tcPr>
            <w:tcW w:w="759" w:type="pct"/>
            <w:vMerge w:val="restart"/>
            <w:shd w:val="clear" w:color="auto" w:fill="auto"/>
            <w:vAlign w:val="center"/>
          </w:tcPr>
          <w:p w14:paraId="2466B6EE">
            <w:pPr>
              <w:spacing w:line="440" w:lineRule="atLeast"/>
              <w:jc w:val="center"/>
              <w:rPr>
                <w:rFonts w:ascii="仿宋_GB2312" w:eastAsia="仿宋_GB2312"/>
              </w:rPr>
            </w:pPr>
            <w:r>
              <w:rPr>
                <w:rFonts w:hint="eastAsia" w:ascii="仿宋_GB2312" w:eastAsia="仿宋_GB2312"/>
              </w:rPr>
              <w:t>行业协会</w:t>
            </w:r>
          </w:p>
          <w:p w14:paraId="03525230">
            <w:pPr>
              <w:spacing w:line="440" w:lineRule="atLeast"/>
              <w:jc w:val="center"/>
              <w:rPr>
                <w:rFonts w:ascii="仿宋_GB2312" w:eastAsia="仿宋_GB2312"/>
              </w:rPr>
            </w:pPr>
            <w:r>
              <w:rPr>
                <w:rFonts w:hint="eastAsia" w:ascii="仿宋_GB2312" w:eastAsia="仿宋_GB2312"/>
              </w:rPr>
              <w:t>自律监管</w:t>
            </w:r>
          </w:p>
        </w:tc>
        <w:tc>
          <w:tcPr>
            <w:tcW w:w="558" w:type="pct"/>
            <w:shd w:val="clear" w:color="auto" w:fill="auto"/>
            <w:vAlign w:val="center"/>
          </w:tcPr>
          <w:p w14:paraId="7FA73534">
            <w:pPr>
              <w:spacing w:line="440" w:lineRule="atLeast"/>
              <w:jc w:val="center"/>
              <w:rPr>
                <w:rFonts w:ascii="仿宋_GB2312" w:eastAsia="仿宋_GB2312"/>
              </w:rPr>
            </w:pPr>
            <w:r>
              <w:rPr>
                <w:rFonts w:hint="eastAsia" w:ascii="仿宋_GB2312" w:eastAsia="仿宋_GB2312"/>
              </w:rPr>
              <w:t>自律监管内容</w:t>
            </w:r>
          </w:p>
        </w:tc>
        <w:tc>
          <w:tcPr>
            <w:tcW w:w="1519" w:type="pct"/>
            <w:gridSpan w:val="3"/>
            <w:shd w:val="clear" w:color="auto" w:fill="auto"/>
            <w:vAlign w:val="center"/>
          </w:tcPr>
          <w:p w14:paraId="0759EFDC">
            <w:pPr>
              <w:spacing w:line="440" w:lineRule="atLeast"/>
              <w:jc w:val="left"/>
              <w:rPr>
                <w:rFonts w:ascii="仿宋_GB2312" w:eastAsia="仿宋_GB2312"/>
              </w:rPr>
            </w:pPr>
          </w:p>
        </w:tc>
        <w:tc>
          <w:tcPr>
            <w:tcW w:w="556" w:type="pct"/>
            <w:shd w:val="clear" w:color="auto" w:fill="auto"/>
            <w:vAlign w:val="center"/>
          </w:tcPr>
          <w:p w14:paraId="48B12937">
            <w:pPr>
              <w:spacing w:line="440" w:lineRule="atLeast"/>
              <w:jc w:val="center"/>
              <w:rPr>
                <w:rFonts w:ascii="仿宋_GB2312" w:eastAsia="仿宋_GB2312"/>
              </w:rPr>
            </w:pPr>
            <w:r>
              <w:rPr>
                <w:rFonts w:hint="eastAsia" w:ascii="仿宋_GB2312" w:eastAsia="仿宋_GB2312"/>
              </w:rPr>
              <w:t>时间</w:t>
            </w:r>
          </w:p>
        </w:tc>
        <w:tc>
          <w:tcPr>
            <w:tcW w:w="1115" w:type="pct"/>
            <w:shd w:val="clear" w:color="auto" w:fill="auto"/>
            <w:vAlign w:val="center"/>
          </w:tcPr>
          <w:p w14:paraId="677C3D1F">
            <w:pPr>
              <w:spacing w:line="440" w:lineRule="atLeast"/>
              <w:jc w:val="center"/>
              <w:rPr>
                <w:rFonts w:ascii="仿宋_GB2312" w:eastAsia="仿宋_GB2312"/>
              </w:rPr>
            </w:pPr>
          </w:p>
        </w:tc>
      </w:tr>
      <w:tr w14:paraId="7FBCE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490" w:type="pct"/>
            <w:vMerge w:val="continue"/>
            <w:shd w:val="clear" w:color="auto" w:fill="auto"/>
            <w:textDirection w:val="tbRlV"/>
            <w:vAlign w:val="center"/>
          </w:tcPr>
          <w:p w14:paraId="3CBEEE9B">
            <w:pPr>
              <w:spacing w:line="440" w:lineRule="atLeast"/>
              <w:jc w:val="center"/>
              <w:rPr>
                <w:rFonts w:ascii="仿宋_GB2312" w:eastAsia="仿宋_GB2312"/>
              </w:rPr>
            </w:pPr>
          </w:p>
        </w:tc>
        <w:tc>
          <w:tcPr>
            <w:tcW w:w="759" w:type="pct"/>
            <w:vMerge w:val="continue"/>
            <w:shd w:val="clear" w:color="auto" w:fill="auto"/>
            <w:vAlign w:val="center"/>
          </w:tcPr>
          <w:p w14:paraId="30229E1C">
            <w:pPr>
              <w:spacing w:line="440" w:lineRule="atLeast"/>
              <w:jc w:val="center"/>
              <w:rPr>
                <w:rFonts w:ascii="仿宋_GB2312" w:eastAsia="仿宋_GB2312"/>
              </w:rPr>
            </w:pPr>
          </w:p>
        </w:tc>
        <w:tc>
          <w:tcPr>
            <w:tcW w:w="558" w:type="pct"/>
            <w:shd w:val="clear" w:color="auto" w:fill="auto"/>
            <w:vAlign w:val="center"/>
          </w:tcPr>
          <w:p w14:paraId="2255B412">
            <w:pPr>
              <w:spacing w:line="440" w:lineRule="atLeast"/>
              <w:jc w:val="center"/>
              <w:rPr>
                <w:rFonts w:ascii="仿宋_GB2312" w:eastAsia="仿宋_GB2312"/>
              </w:rPr>
            </w:pPr>
            <w:r>
              <w:rPr>
                <w:rFonts w:hint="eastAsia" w:ascii="仿宋_GB2312" w:eastAsia="仿宋_GB2312"/>
              </w:rPr>
              <w:t>自律监管形式</w:t>
            </w:r>
          </w:p>
        </w:tc>
        <w:tc>
          <w:tcPr>
            <w:tcW w:w="1519" w:type="pct"/>
            <w:gridSpan w:val="3"/>
            <w:shd w:val="clear" w:color="auto" w:fill="auto"/>
            <w:vAlign w:val="center"/>
          </w:tcPr>
          <w:p w14:paraId="548F4CF6">
            <w:pPr>
              <w:spacing w:line="440" w:lineRule="atLeast"/>
              <w:jc w:val="left"/>
              <w:rPr>
                <w:rFonts w:ascii="仿宋_GB2312" w:eastAsia="仿宋_GB2312"/>
              </w:rPr>
            </w:pPr>
            <w:r>
              <w:rPr>
                <w:rFonts w:hint="eastAsia" w:ascii="仿宋_GB2312" w:eastAsia="仿宋_GB2312"/>
              </w:rPr>
              <w:t>□关注函　　　□谈话提醒　　　</w:t>
            </w:r>
          </w:p>
          <w:p w14:paraId="2C759F6F">
            <w:pPr>
              <w:spacing w:line="440" w:lineRule="atLeast"/>
              <w:jc w:val="left"/>
              <w:rPr>
                <w:rFonts w:ascii="仿宋_GB2312" w:eastAsia="仿宋_GB2312"/>
              </w:rPr>
            </w:pPr>
            <w:r>
              <w:rPr>
                <w:rFonts w:hint="eastAsia" w:ascii="仿宋_GB2312" w:eastAsia="仿宋_GB2312"/>
              </w:rPr>
              <w:t>□其他（请具体说明）：</w:t>
            </w:r>
            <w:r>
              <w:rPr>
                <w:rFonts w:hint="eastAsia" w:ascii="宋体" w:hAnsi="宋体"/>
              </w:rPr>
              <w:t>________</w:t>
            </w:r>
          </w:p>
        </w:tc>
        <w:tc>
          <w:tcPr>
            <w:tcW w:w="556" w:type="pct"/>
            <w:shd w:val="clear" w:color="auto" w:fill="auto"/>
            <w:vAlign w:val="center"/>
          </w:tcPr>
          <w:p w14:paraId="518D78D1">
            <w:pPr>
              <w:spacing w:line="440" w:lineRule="atLeast"/>
              <w:jc w:val="center"/>
              <w:rPr>
                <w:rFonts w:ascii="仿宋_GB2312" w:eastAsia="仿宋_GB2312"/>
              </w:rPr>
            </w:pPr>
            <w:r>
              <w:rPr>
                <w:rFonts w:hint="eastAsia" w:ascii="仿宋_GB2312" w:eastAsia="仿宋_GB2312"/>
              </w:rPr>
              <w:t>行业协会名称</w:t>
            </w:r>
          </w:p>
        </w:tc>
        <w:tc>
          <w:tcPr>
            <w:tcW w:w="1115" w:type="pct"/>
            <w:shd w:val="clear" w:color="auto" w:fill="auto"/>
            <w:vAlign w:val="center"/>
          </w:tcPr>
          <w:p w14:paraId="6645B726">
            <w:pPr>
              <w:spacing w:line="440" w:lineRule="atLeast"/>
              <w:jc w:val="center"/>
              <w:rPr>
                <w:rFonts w:ascii="仿宋_GB2312" w:eastAsia="仿宋_GB2312"/>
              </w:rPr>
            </w:pPr>
          </w:p>
        </w:tc>
      </w:tr>
      <w:tr w14:paraId="069A3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490" w:type="pct"/>
            <w:vMerge w:val="restart"/>
            <w:shd w:val="clear" w:color="auto" w:fill="auto"/>
            <w:textDirection w:val="tbRlV"/>
            <w:vAlign w:val="center"/>
          </w:tcPr>
          <w:p w14:paraId="253B9A8C">
            <w:pPr>
              <w:spacing w:line="440" w:lineRule="atLeast"/>
              <w:jc w:val="center"/>
              <w:rPr>
                <w:rFonts w:ascii="仿宋_GB2312" w:eastAsia="仿宋_GB2312"/>
              </w:rPr>
            </w:pPr>
            <w:r>
              <w:rPr>
                <w:rFonts w:hint="eastAsia" w:ascii="仿宋_GB2312" w:eastAsia="仿宋_GB2312"/>
              </w:rPr>
              <w:t>不　良　行　为</w:t>
            </w:r>
          </w:p>
        </w:tc>
        <w:tc>
          <w:tcPr>
            <w:tcW w:w="759" w:type="pct"/>
            <w:vMerge w:val="restart"/>
            <w:shd w:val="clear" w:color="auto" w:fill="auto"/>
            <w:vAlign w:val="center"/>
          </w:tcPr>
          <w:p w14:paraId="7739A32E">
            <w:pPr>
              <w:spacing w:line="440" w:lineRule="atLeast"/>
              <w:jc w:val="center"/>
              <w:rPr>
                <w:rFonts w:ascii="仿宋_GB2312" w:eastAsia="仿宋_GB2312"/>
              </w:rPr>
            </w:pPr>
            <w:r>
              <w:rPr>
                <w:rFonts w:hint="eastAsia" w:ascii="仿宋_GB2312" w:eastAsia="仿宋_GB2312"/>
              </w:rPr>
              <w:t>刑事行政处罚</w:t>
            </w:r>
          </w:p>
        </w:tc>
        <w:tc>
          <w:tcPr>
            <w:tcW w:w="558" w:type="pct"/>
            <w:shd w:val="clear" w:color="auto" w:fill="auto"/>
            <w:vAlign w:val="center"/>
          </w:tcPr>
          <w:p w14:paraId="44DB000D">
            <w:pPr>
              <w:spacing w:line="440" w:lineRule="atLeast"/>
              <w:jc w:val="center"/>
              <w:rPr>
                <w:rFonts w:ascii="仿宋_GB2312" w:eastAsia="仿宋_GB2312"/>
              </w:rPr>
            </w:pPr>
            <w:r>
              <w:rPr>
                <w:rFonts w:hint="eastAsia" w:ascii="仿宋_GB2312" w:eastAsia="仿宋_GB2312"/>
              </w:rPr>
              <w:t>处罚原因</w:t>
            </w:r>
          </w:p>
        </w:tc>
        <w:tc>
          <w:tcPr>
            <w:tcW w:w="1519" w:type="pct"/>
            <w:gridSpan w:val="3"/>
            <w:shd w:val="clear" w:color="auto" w:fill="auto"/>
            <w:vAlign w:val="center"/>
          </w:tcPr>
          <w:p w14:paraId="4DA5D697">
            <w:pPr>
              <w:spacing w:line="440" w:lineRule="atLeast"/>
              <w:jc w:val="center"/>
              <w:rPr>
                <w:rFonts w:ascii="仿宋_GB2312" w:eastAsia="仿宋_GB2312"/>
              </w:rPr>
            </w:pPr>
          </w:p>
        </w:tc>
        <w:tc>
          <w:tcPr>
            <w:tcW w:w="556" w:type="pct"/>
            <w:shd w:val="clear" w:color="auto" w:fill="auto"/>
            <w:vAlign w:val="center"/>
          </w:tcPr>
          <w:p w14:paraId="7F6ABE30">
            <w:pPr>
              <w:spacing w:line="440" w:lineRule="atLeast"/>
              <w:jc w:val="center"/>
              <w:rPr>
                <w:rFonts w:ascii="仿宋_GB2312" w:eastAsia="仿宋_GB2312"/>
              </w:rPr>
            </w:pPr>
            <w:r>
              <w:rPr>
                <w:rFonts w:hint="eastAsia" w:ascii="仿宋_GB2312" w:eastAsia="仿宋_GB2312"/>
              </w:rPr>
              <w:t>处罚时间</w:t>
            </w:r>
          </w:p>
        </w:tc>
        <w:tc>
          <w:tcPr>
            <w:tcW w:w="1115" w:type="pct"/>
            <w:shd w:val="clear" w:color="auto" w:fill="auto"/>
            <w:vAlign w:val="center"/>
          </w:tcPr>
          <w:p w14:paraId="4A0E0E41">
            <w:pPr>
              <w:spacing w:line="440" w:lineRule="atLeast"/>
              <w:jc w:val="center"/>
              <w:rPr>
                <w:rFonts w:ascii="仿宋_GB2312" w:eastAsia="仿宋_GB2312"/>
              </w:rPr>
            </w:pPr>
          </w:p>
        </w:tc>
      </w:tr>
      <w:tr w14:paraId="422D4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490" w:type="pct"/>
            <w:vMerge w:val="continue"/>
            <w:shd w:val="clear" w:color="auto" w:fill="auto"/>
            <w:textDirection w:val="tbRlV"/>
            <w:vAlign w:val="center"/>
          </w:tcPr>
          <w:p w14:paraId="5C34D38E">
            <w:pPr>
              <w:spacing w:line="440" w:lineRule="atLeast"/>
              <w:jc w:val="center"/>
              <w:rPr>
                <w:rFonts w:ascii="仿宋_GB2312" w:eastAsia="仿宋_GB2312"/>
              </w:rPr>
            </w:pPr>
          </w:p>
        </w:tc>
        <w:tc>
          <w:tcPr>
            <w:tcW w:w="759" w:type="pct"/>
            <w:vMerge w:val="continue"/>
            <w:shd w:val="clear" w:color="auto" w:fill="auto"/>
            <w:vAlign w:val="center"/>
          </w:tcPr>
          <w:p w14:paraId="7072B1F2">
            <w:pPr>
              <w:spacing w:line="440" w:lineRule="atLeast"/>
              <w:jc w:val="center"/>
              <w:rPr>
                <w:rFonts w:ascii="仿宋_GB2312" w:eastAsia="仿宋_GB2312"/>
              </w:rPr>
            </w:pPr>
          </w:p>
        </w:tc>
        <w:tc>
          <w:tcPr>
            <w:tcW w:w="558" w:type="pct"/>
            <w:shd w:val="clear" w:color="auto" w:fill="auto"/>
            <w:vAlign w:val="center"/>
          </w:tcPr>
          <w:p w14:paraId="47DB2D38">
            <w:pPr>
              <w:spacing w:line="440" w:lineRule="atLeast"/>
              <w:jc w:val="center"/>
              <w:rPr>
                <w:rFonts w:ascii="仿宋_GB2312" w:eastAsia="仿宋_GB2312"/>
              </w:rPr>
            </w:pPr>
            <w:r>
              <w:rPr>
                <w:rFonts w:hint="eastAsia" w:ascii="仿宋_GB2312" w:eastAsia="仿宋_GB2312"/>
              </w:rPr>
              <w:t>处罚类型</w:t>
            </w:r>
          </w:p>
        </w:tc>
        <w:tc>
          <w:tcPr>
            <w:tcW w:w="1519" w:type="pct"/>
            <w:gridSpan w:val="3"/>
            <w:shd w:val="clear" w:color="auto" w:fill="auto"/>
            <w:vAlign w:val="center"/>
          </w:tcPr>
          <w:p w14:paraId="0A84F97B">
            <w:pPr>
              <w:spacing w:line="440" w:lineRule="atLeast"/>
              <w:jc w:val="center"/>
              <w:rPr>
                <w:rFonts w:ascii="仿宋_GB2312" w:eastAsia="仿宋_GB2312"/>
              </w:rPr>
            </w:pPr>
          </w:p>
        </w:tc>
        <w:tc>
          <w:tcPr>
            <w:tcW w:w="556" w:type="pct"/>
            <w:shd w:val="clear" w:color="auto" w:fill="auto"/>
            <w:vAlign w:val="center"/>
          </w:tcPr>
          <w:p w14:paraId="749ED231">
            <w:pPr>
              <w:spacing w:line="440" w:lineRule="atLeast"/>
              <w:jc w:val="center"/>
              <w:rPr>
                <w:rFonts w:ascii="仿宋_GB2312" w:eastAsia="仿宋_GB2312"/>
              </w:rPr>
            </w:pPr>
            <w:r>
              <w:rPr>
                <w:rFonts w:hint="eastAsia" w:ascii="仿宋_GB2312" w:eastAsia="仿宋_GB2312"/>
              </w:rPr>
              <w:t>处罚机关</w:t>
            </w:r>
          </w:p>
        </w:tc>
        <w:tc>
          <w:tcPr>
            <w:tcW w:w="1115" w:type="pct"/>
            <w:shd w:val="clear" w:color="auto" w:fill="auto"/>
            <w:vAlign w:val="center"/>
          </w:tcPr>
          <w:p w14:paraId="28E78097">
            <w:pPr>
              <w:spacing w:line="440" w:lineRule="atLeast"/>
              <w:jc w:val="center"/>
              <w:rPr>
                <w:rFonts w:ascii="仿宋_GB2312" w:eastAsia="仿宋_GB2312"/>
              </w:rPr>
            </w:pPr>
          </w:p>
        </w:tc>
      </w:tr>
      <w:tr w14:paraId="69A28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490" w:type="pct"/>
            <w:vMerge w:val="continue"/>
            <w:shd w:val="clear" w:color="auto" w:fill="auto"/>
            <w:textDirection w:val="tbRlV"/>
            <w:vAlign w:val="center"/>
          </w:tcPr>
          <w:p w14:paraId="058CC576">
            <w:pPr>
              <w:spacing w:line="440" w:lineRule="atLeast"/>
              <w:jc w:val="center"/>
              <w:rPr>
                <w:rFonts w:ascii="仿宋_GB2312" w:eastAsia="仿宋_GB2312"/>
              </w:rPr>
            </w:pPr>
          </w:p>
        </w:tc>
        <w:tc>
          <w:tcPr>
            <w:tcW w:w="759" w:type="pct"/>
            <w:shd w:val="clear" w:color="auto" w:fill="auto"/>
            <w:vAlign w:val="center"/>
          </w:tcPr>
          <w:p w14:paraId="0F26E072">
            <w:pPr>
              <w:spacing w:line="440" w:lineRule="atLeast"/>
              <w:jc w:val="center"/>
              <w:rPr>
                <w:rFonts w:ascii="仿宋_GB2312" w:eastAsia="仿宋_GB2312"/>
              </w:rPr>
            </w:pPr>
            <w:r>
              <w:rPr>
                <w:rFonts w:hint="eastAsia" w:ascii="仿宋_GB2312" w:eastAsia="仿宋_GB2312"/>
              </w:rPr>
              <w:t>其他不良行为</w:t>
            </w:r>
          </w:p>
        </w:tc>
        <w:tc>
          <w:tcPr>
            <w:tcW w:w="3749" w:type="pct"/>
            <w:gridSpan w:val="6"/>
            <w:shd w:val="clear" w:color="auto" w:fill="auto"/>
            <w:vAlign w:val="center"/>
          </w:tcPr>
          <w:p w14:paraId="52C21CEE">
            <w:pPr>
              <w:spacing w:line="440" w:lineRule="atLeast"/>
              <w:jc w:val="center"/>
              <w:rPr>
                <w:rFonts w:ascii="仿宋_GB2312" w:eastAsia="仿宋_GB2312"/>
              </w:rPr>
            </w:pPr>
          </w:p>
        </w:tc>
      </w:tr>
      <w:tr w14:paraId="18303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1" w:hRule="exact"/>
          <w:jc w:val="center"/>
        </w:trPr>
        <w:tc>
          <w:tcPr>
            <w:tcW w:w="490" w:type="pct"/>
            <w:shd w:val="clear" w:color="auto" w:fill="auto"/>
            <w:vAlign w:val="center"/>
          </w:tcPr>
          <w:p w14:paraId="4B07E9DC">
            <w:pPr>
              <w:spacing w:line="440" w:lineRule="atLeast"/>
              <w:jc w:val="center"/>
              <w:rPr>
                <w:rFonts w:ascii="仿宋_GB2312" w:eastAsia="仿宋_GB2312"/>
              </w:rPr>
            </w:pPr>
            <w:r>
              <w:rPr>
                <w:rFonts w:hint="eastAsia" w:ascii="仿宋_GB2312" w:eastAsia="仿宋_GB2312"/>
              </w:rPr>
              <w:t>申　报</w:t>
            </w:r>
          </w:p>
          <w:p w14:paraId="23D1051F">
            <w:pPr>
              <w:spacing w:line="440" w:lineRule="atLeast"/>
              <w:jc w:val="center"/>
              <w:rPr>
                <w:rFonts w:ascii="仿宋_GB2312" w:eastAsia="仿宋_GB2312"/>
              </w:rPr>
            </w:pPr>
            <w:r>
              <w:rPr>
                <w:rFonts w:hint="eastAsia" w:ascii="仿宋_GB2312" w:eastAsia="仿宋_GB2312"/>
              </w:rPr>
              <w:t>个　人</w:t>
            </w:r>
          </w:p>
          <w:p w14:paraId="3C8C960C">
            <w:pPr>
              <w:spacing w:line="440" w:lineRule="atLeast"/>
              <w:jc w:val="center"/>
              <w:rPr>
                <w:rFonts w:ascii="仿宋_GB2312" w:eastAsia="仿宋_GB2312"/>
              </w:rPr>
            </w:pPr>
            <w:r>
              <w:rPr>
                <w:rFonts w:hint="eastAsia" w:ascii="仿宋_GB2312" w:eastAsia="仿宋_GB2312"/>
              </w:rPr>
              <w:t>意　见</w:t>
            </w:r>
          </w:p>
        </w:tc>
        <w:tc>
          <w:tcPr>
            <w:tcW w:w="4509" w:type="pct"/>
            <w:gridSpan w:val="7"/>
            <w:shd w:val="clear" w:color="auto" w:fill="auto"/>
            <w:vAlign w:val="bottom"/>
          </w:tcPr>
          <w:p w14:paraId="77D7DD7E">
            <w:pPr>
              <w:spacing w:line="440" w:lineRule="atLeast"/>
              <w:rPr>
                <w:rFonts w:ascii="仿宋_GB2312" w:eastAsia="仿宋_GB2312"/>
              </w:rPr>
            </w:pPr>
            <w:r>
              <w:rPr>
                <w:rFonts w:hint="eastAsia" w:ascii="仿宋_GB2312" w:eastAsia="仿宋_GB2312"/>
              </w:rPr>
              <w:t>本人承诺上述申报材料真实、有效，特此申报。</w:t>
            </w:r>
          </w:p>
          <w:p w14:paraId="5CE60DD1">
            <w:pPr>
              <w:spacing w:line="440" w:lineRule="atLeast"/>
              <w:rPr>
                <w:rFonts w:ascii="仿宋_GB2312" w:eastAsia="仿宋_GB2312"/>
              </w:rPr>
            </w:pPr>
            <w:r>
              <w:rPr>
                <w:rFonts w:hint="eastAsia" w:ascii="仿宋_GB2312" w:eastAsia="仿宋_GB2312"/>
              </w:rPr>
              <w:t>申报人签字：　　　　　　　　　　　　　　　　　　　　年　　　　月　　　　日</w:t>
            </w:r>
          </w:p>
        </w:tc>
      </w:tr>
      <w:tr w14:paraId="0A025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1" w:hRule="exact"/>
          <w:jc w:val="center"/>
        </w:trPr>
        <w:tc>
          <w:tcPr>
            <w:tcW w:w="490" w:type="pct"/>
            <w:shd w:val="clear" w:color="auto" w:fill="auto"/>
            <w:vAlign w:val="center"/>
          </w:tcPr>
          <w:p w14:paraId="268B109F">
            <w:pPr>
              <w:spacing w:line="440" w:lineRule="atLeast"/>
              <w:jc w:val="center"/>
              <w:rPr>
                <w:rFonts w:ascii="仿宋_GB2312" w:eastAsia="仿宋_GB2312"/>
              </w:rPr>
            </w:pPr>
            <w:r>
              <w:rPr>
                <w:rFonts w:hint="eastAsia" w:ascii="仿宋_GB2312" w:eastAsia="仿宋_GB2312"/>
              </w:rPr>
              <w:t>协　会</w:t>
            </w:r>
          </w:p>
          <w:p w14:paraId="0FAC1204">
            <w:pPr>
              <w:spacing w:line="440" w:lineRule="atLeast"/>
              <w:jc w:val="center"/>
              <w:rPr>
                <w:rFonts w:ascii="仿宋_GB2312" w:eastAsia="仿宋_GB2312"/>
              </w:rPr>
            </w:pPr>
            <w:r>
              <w:rPr>
                <w:rFonts w:hint="eastAsia" w:ascii="仿宋_GB2312" w:eastAsia="仿宋_GB2312"/>
              </w:rPr>
              <w:t>复　核</w:t>
            </w:r>
          </w:p>
          <w:p w14:paraId="4F4A5E76">
            <w:pPr>
              <w:spacing w:line="440" w:lineRule="atLeast"/>
              <w:jc w:val="center"/>
              <w:rPr>
                <w:rFonts w:ascii="仿宋_GB2312" w:eastAsia="仿宋_GB2312"/>
              </w:rPr>
            </w:pPr>
            <w:r>
              <w:rPr>
                <w:rFonts w:hint="eastAsia" w:ascii="仿宋_GB2312" w:eastAsia="仿宋_GB2312"/>
              </w:rPr>
              <w:t>意　见</w:t>
            </w:r>
          </w:p>
        </w:tc>
        <w:tc>
          <w:tcPr>
            <w:tcW w:w="4509" w:type="pct"/>
            <w:gridSpan w:val="7"/>
            <w:shd w:val="clear" w:color="auto" w:fill="auto"/>
            <w:vAlign w:val="bottom"/>
          </w:tcPr>
          <w:p w14:paraId="3506AFDB">
            <w:pPr>
              <w:spacing w:line="440" w:lineRule="atLeast"/>
              <w:rPr>
                <w:rFonts w:ascii="仿宋_GB2312" w:eastAsia="仿宋_GB2312"/>
              </w:rPr>
            </w:pPr>
            <w:r>
              <w:rPr>
                <w:rFonts w:hint="eastAsia" w:ascii="仿宋_GB2312" w:eastAsia="仿宋_GB2312"/>
              </w:rPr>
              <w:t>经办人：　　　　　　　　　　　　　　　　　　　　　　年　　　　月　　　　日</w:t>
            </w:r>
          </w:p>
        </w:tc>
      </w:tr>
      <w:tr w14:paraId="2DFA4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1" w:hRule="exact"/>
          <w:jc w:val="center"/>
        </w:trPr>
        <w:tc>
          <w:tcPr>
            <w:tcW w:w="490" w:type="pct"/>
            <w:shd w:val="clear" w:color="auto" w:fill="auto"/>
            <w:vAlign w:val="center"/>
          </w:tcPr>
          <w:p w14:paraId="0E70DBB0">
            <w:pPr>
              <w:spacing w:line="440" w:lineRule="atLeast"/>
              <w:jc w:val="center"/>
              <w:rPr>
                <w:rFonts w:ascii="仿宋_GB2312" w:eastAsia="仿宋_GB2312"/>
              </w:rPr>
            </w:pPr>
            <w:r>
              <w:rPr>
                <w:rFonts w:hint="eastAsia" w:ascii="仿宋_GB2312" w:eastAsia="仿宋_GB2312"/>
              </w:rPr>
              <w:t>协　会</w:t>
            </w:r>
          </w:p>
          <w:p w14:paraId="57A32D96">
            <w:pPr>
              <w:spacing w:line="440" w:lineRule="atLeast"/>
              <w:jc w:val="center"/>
              <w:rPr>
                <w:rFonts w:ascii="仿宋_GB2312" w:eastAsia="仿宋_GB2312"/>
              </w:rPr>
            </w:pPr>
            <w:r>
              <w:rPr>
                <w:rFonts w:hint="eastAsia" w:ascii="仿宋_GB2312" w:eastAsia="仿宋_GB2312"/>
              </w:rPr>
              <w:t>审　核</w:t>
            </w:r>
          </w:p>
          <w:p w14:paraId="2E98D9BC">
            <w:pPr>
              <w:spacing w:line="440" w:lineRule="atLeast"/>
              <w:jc w:val="center"/>
              <w:rPr>
                <w:rFonts w:ascii="仿宋_GB2312" w:eastAsia="仿宋_GB2312"/>
              </w:rPr>
            </w:pPr>
            <w:r>
              <w:rPr>
                <w:rFonts w:hint="eastAsia" w:ascii="仿宋_GB2312" w:eastAsia="仿宋_GB2312"/>
              </w:rPr>
              <w:t>意　见</w:t>
            </w:r>
          </w:p>
        </w:tc>
        <w:tc>
          <w:tcPr>
            <w:tcW w:w="4509" w:type="pct"/>
            <w:gridSpan w:val="7"/>
            <w:shd w:val="clear" w:color="auto" w:fill="auto"/>
            <w:vAlign w:val="bottom"/>
          </w:tcPr>
          <w:p w14:paraId="4EBF877C">
            <w:pPr>
              <w:spacing w:line="440" w:lineRule="atLeast"/>
              <w:rPr>
                <w:rFonts w:ascii="仿宋_GB2312" w:eastAsia="仿宋_GB2312"/>
              </w:rPr>
            </w:pPr>
            <w:r>
              <w:rPr>
                <w:rFonts w:hint="eastAsia" w:ascii="仿宋_GB2312" w:eastAsia="仿宋_GB2312"/>
              </w:rPr>
              <w:t>审核人签字：　　　　　　　　　　　　　　　　　　　　年　　　　月　　　　日</w:t>
            </w:r>
          </w:p>
        </w:tc>
      </w:tr>
    </w:tbl>
    <w:p w14:paraId="0DAF9A60">
      <w:pPr>
        <w:rPr>
          <w:sz w:val="32"/>
          <w:szCs w:val="32"/>
        </w:rPr>
      </w:pPr>
      <w:r>
        <w:rPr>
          <w:sz w:val="32"/>
          <w:szCs w:val="32"/>
        </w:rPr>
        <w:br w:type="page"/>
      </w:r>
    </w:p>
    <w:p w14:paraId="71E49675">
      <w:pPr>
        <w:pStyle w:val="5"/>
        <w:spacing w:line="440" w:lineRule="atLeast"/>
        <w:jc w:val="center"/>
        <w:rPr>
          <w:rFonts w:ascii="宋体" w:hAnsi="宋体" w:eastAsia="宋体" w:cs="宋体"/>
          <w:lang w:val="zh-TW" w:eastAsia="zh-TW"/>
        </w:rPr>
      </w:pPr>
      <w:bookmarkStart w:id="96" w:name="_Toc31287"/>
      <w:r>
        <w:rPr>
          <w:rFonts w:hint="eastAsia" w:ascii="宋体" w:hAnsi="宋体" w:eastAsia="宋体" w:cs="宋体"/>
          <w:lang w:val="zh-TW" w:eastAsia="zh-TW"/>
        </w:rPr>
        <w:t>中国资产评估协会执业会员管理办法（试行）</w:t>
      </w:r>
      <w:bookmarkEnd w:id="96"/>
    </w:p>
    <w:p w14:paraId="4494A72C">
      <w:pPr>
        <w:shd w:val="clear" w:color="auto" w:fill="FFFFFF"/>
        <w:spacing w:line="440" w:lineRule="atLeast"/>
        <w:jc w:val="center"/>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2016年2月3日中国资产评估协会发布　中评协〔2016〕5号</w:t>
      </w:r>
    </w:p>
    <w:p w14:paraId="7EC308A6">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第一章　总则</w:t>
      </w:r>
    </w:p>
    <w:p w14:paraId="3E0C7AD2">
      <w:pPr>
        <w:shd w:val="clear" w:color="auto" w:fill="FFFFFF"/>
        <w:spacing w:line="440" w:lineRule="atLeast"/>
        <w:ind w:firstLine="482"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b/>
          <w:color w:val="000000"/>
          <w:kern w:val="0"/>
          <w:sz w:val="24"/>
          <w:shd w:val="clear" w:color="auto" w:fill="FFFFFF"/>
        </w:rPr>
        <w:t>第一条</w:t>
      </w:r>
      <w:r>
        <w:rPr>
          <w:rFonts w:hint="eastAsia" w:ascii="宋体" w:hAnsi="宋体" w:eastAsia="宋体" w:cs="宋体"/>
          <w:color w:val="000000"/>
          <w:kern w:val="0"/>
          <w:sz w:val="24"/>
          <w:shd w:val="clear" w:color="auto" w:fill="FFFFFF"/>
          <w:lang w:val="zh-TW"/>
        </w:rPr>
        <w:t>　</w:t>
      </w:r>
      <w:r>
        <w:rPr>
          <w:rFonts w:hint="eastAsia" w:ascii="宋体" w:hAnsi="宋体" w:eastAsia="宋体" w:cs="宋体"/>
          <w:color w:val="000000"/>
          <w:kern w:val="0"/>
          <w:sz w:val="24"/>
          <w:shd w:val="clear" w:color="auto" w:fill="FFFFFF"/>
          <w:lang w:val="zh-TW" w:eastAsia="zh-TW"/>
        </w:rPr>
        <w:t>为做好执业会员管理工作，强化中国资产评估协会（以下简称中评协）自律管理职能，根据《中国资产评估协会章程》（以下简称《章程》）有关规定，制定本办法。</w:t>
      </w:r>
    </w:p>
    <w:p w14:paraId="18087B27">
      <w:pPr>
        <w:shd w:val="clear" w:color="auto" w:fill="FFFFFF"/>
        <w:spacing w:line="440" w:lineRule="atLeast"/>
        <w:ind w:firstLine="482"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b/>
          <w:color w:val="000000"/>
          <w:kern w:val="0"/>
          <w:sz w:val="24"/>
          <w:shd w:val="clear" w:color="auto" w:fill="FFFFFF"/>
          <w:lang w:val="zh-TW"/>
        </w:rPr>
        <w:t>第二条</w:t>
      </w:r>
      <w:r>
        <w:rPr>
          <w:rFonts w:hint="eastAsia" w:ascii="宋体" w:hAnsi="宋体" w:eastAsia="宋体" w:cs="宋体"/>
          <w:color w:val="000000"/>
          <w:kern w:val="0"/>
          <w:sz w:val="24"/>
          <w:shd w:val="clear" w:color="auto" w:fill="FFFFFF"/>
          <w:lang w:val="zh-TW"/>
        </w:rPr>
        <w:t>　</w:t>
      </w:r>
      <w:r>
        <w:rPr>
          <w:rFonts w:hint="eastAsia" w:ascii="宋体" w:hAnsi="宋体" w:eastAsia="宋体" w:cs="宋体"/>
          <w:color w:val="000000"/>
          <w:kern w:val="0"/>
          <w:sz w:val="24"/>
          <w:shd w:val="clear" w:color="auto" w:fill="FFFFFF"/>
          <w:lang w:val="zh-TW" w:eastAsia="zh-TW"/>
        </w:rPr>
        <w:t>本办法所称执业会员，是指通过考试或者依法认定取得资产评估师职业资格，根据《资产评估师职业资格证书登记办法》（以下简称《登记办法》）登记为在资产评估机构工作，承认《章程》并加入中评协的资产评估师。</w:t>
      </w:r>
    </w:p>
    <w:p w14:paraId="72BD2D6A">
      <w:pPr>
        <w:shd w:val="clear" w:color="auto" w:fill="FFFFFF"/>
        <w:spacing w:line="440" w:lineRule="atLeast"/>
        <w:ind w:firstLine="482"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b/>
          <w:color w:val="000000"/>
          <w:kern w:val="0"/>
          <w:sz w:val="24"/>
          <w:shd w:val="clear" w:color="auto" w:fill="FFFFFF"/>
          <w:lang w:val="zh-TW"/>
        </w:rPr>
        <w:t>第三条</w:t>
      </w:r>
      <w:r>
        <w:rPr>
          <w:rFonts w:hint="eastAsia" w:ascii="宋体" w:hAnsi="宋体" w:eastAsia="宋体" w:cs="宋体"/>
          <w:color w:val="000000"/>
          <w:kern w:val="0"/>
          <w:sz w:val="24"/>
          <w:shd w:val="clear" w:color="auto" w:fill="FFFFFF"/>
          <w:lang w:val="zh-TW"/>
        </w:rPr>
        <w:t>　</w:t>
      </w:r>
      <w:r>
        <w:rPr>
          <w:rFonts w:hint="eastAsia" w:ascii="宋体" w:hAnsi="宋体" w:eastAsia="宋体" w:cs="宋体"/>
          <w:color w:val="000000"/>
          <w:kern w:val="0"/>
          <w:sz w:val="24"/>
          <w:shd w:val="clear" w:color="auto" w:fill="FFFFFF"/>
          <w:lang w:val="zh-TW" w:eastAsia="zh-TW"/>
        </w:rPr>
        <w:t>执业会员享有《章程》赋予的权利，并履行相应的义务。</w:t>
      </w:r>
    </w:p>
    <w:p w14:paraId="1FADAE4B">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第二章　会籍管理</w:t>
      </w:r>
    </w:p>
    <w:p w14:paraId="641A8C6E">
      <w:pPr>
        <w:shd w:val="clear" w:color="auto" w:fill="FFFFFF"/>
        <w:spacing w:line="440" w:lineRule="atLeast"/>
        <w:ind w:firstLine="482"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b/>
          <w:color w:val="000000"/>
          <w:kern w:val="0"/>
          <w:sz w:val="24"/>
          <w:shd w:val="clear" w:color="auto" w:fill="FFFFFF"/>
        </w:rPr>
        <w:t>第四条</w:t>
      </w:r>
      <w:r>
        <w:rPr>
          <w:rFonts w:hint="eastAsia" w:ascii="宋体" w:hAnsi="宋体" w:eastAsia="宋体" w:cs="宋体"/>
          <w:color w:val="000000"/>
          <w:kern w:val="0"/>
          <w:sz w:val="24"/>
          <w:shd w:val="clear" w:color="auto" w:fill="FFFFFF"/>
          <w:lang w:val="zh-TW"/>
        </w:rPr>
        <w:t>　</w:t>
      </w:r>
      <w:r>
        <w:rPr>
          <w:rFonts w:hint="eastAsia" w:ascii="宋体" w:hAnsi="宋体" w:eastAsia="宋体" w:cs="宋体"/>
          <w:color w:val="000000"/>
          <w:kern w:val="0"/>
          <w:sz w:val="24"/>
          <w:shd w:val="clear" w:color="auto" w:fill="FFFFFF"/>
          <w:lang w:val="zh-TW" w:eastAsia="zh-TW"/>
        </w:rPr>
        <w:t>中评协负责全国执业会员的管理，并授权各省、自治区、直辖市及计划单列市资产评估协会（以下简称地方协会）负责本地区执业会员的会籍管理。</w:t>
      </w:r>
    </w:p>
    <w:p w14:paraId="7F35D0E9">
      <w:pPr>
        <w:shd w:val="clear" w:color="auto" w:fill="FFFFFF"/>
        <w:spacing w:line="440" w:lineRule="atLeast"/>
        <w:ind w:firstLine="482"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b/>
          <w:color w:val="000000"/>
          <w:kern w:val="0"/>
          <w:sz w:val="24"/>
          <w:shd w:val="clear" w:color="auto" w:fill="FFFFFF"/>
          <w:lang w:val="zh-TW"/>
        </w:rPr>
        <w:t>第五条</w:t>
      </w:r>
      <w:r>
        <w:rPr>
          <w:rFonts w:hint="eastAsia" w:ascii="宋体" w:hAnsi="宋体" w:eastAsia="宋体" w:cs="宋体"/>
          <w:color w:val="000000"/>
          <w:kern w:val="0"/>
          <w:sz w:val="24"/>
          <w:shd w:val="clear" w:color="auto" w:fill="FFFFFF"/>
          <w:lang w:val="zh-TW"/>
        </w:rPr>
        <w:t>　</w:t>
      </w:r>
      <w:r>
        <w:rPr>
          <w:rFonts w:hint="eastAsia" w:ascii="宋体" w:hAnsi="宋体" w:eastAsia="宋体" w:cs="宋体"/>
          <w:color w:val="000000"/>
          <w:kern w:val="0"/>
          <w:sz w:val="24"/>
          <w:shd w:val="clear" w:color="auto" w:fill="FFFFFF"/>
          <w:lang w:val="zh-TW" w:eastAsia="zh-TW"/>
        </w:rPr>
        <w:t>申请人应当向资产评估机构（分支机构）所在地地方协会提出成为中评协执业会员的申请，并提交《中国资产评估协会执业会员申请表》（附件1）。</w:t>
      </w:r>
    </w:p>
    <w:p w14:paraId="341190A0">
      <w:pPr>
        <w:shd w:val="clear" w:color="auto" w:fill="FFFFFF"/>
        <w:spacing w:line="440" w:lineRule="atLeast"/>
        <w:ind w:firstLine="482"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b/>
          <w:color w:val="000000"/>
          <w:kern w:val="0"/>
          <w:sz w:val="24"/>
          <w:shd w:val="clear" w:color="auto" w:fill="FFFFFF"/>
          <w:lang w:val="zh-TW"/>
        </w:rPr>
        <w:t>第六条</w:t>
      </w:r>
      <w:r>
        <w:rPr>
          <w:rFonts w:hint="eastAsia" w:ascii="宋体" w:hAnsi="宋体" w:eastAsia="宋体" w:cs="宋体"/>
          <w:color w:val="000000"/>
          <w:kern w:val="0"/>
          <w:sz w:val="24"/>
          <w:shd w:val="clear" w:color="auto" w:fill="FFFFFF"/>
          <w:lang w:val="zh-TW"/>
        </w:rPr>
        <w:t>　</w:t>
      </w:r>
      <w:r>
        <w:rPr>
          <w:rFonts w:hint="eastAsia" w:ascii="宋体" w:hAnsi="宋体" w:eastAsia="宋体" w:cs="宋体"/>
          <w:color w:val="000000"/>
          <w:kern w:val="0"/>
          <w:sz w:val="24"/>
          <w:shd w:val="clear" w:color="auto" w:fill="FFFFFF"/>
          <w:lang w:val="zh-TW" w:eastAsia="zh-TW"/>
        </w:rPr>
        <w:t>地方协会应当在7个工作日内完成申请人的入会材料审核，并将申请人信息及材料报送中评协。</w:t>
      </w:r>
    </w:p>
    <w:p w14:paraId="4D0A8EF7">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中评协自收到材料之日起7个工作日内对相关材料进行复核，通过中国资产评估协会执业会员管理系统（以下简称执业会员管理系统）予以确认。</w:t>
      </w:r>
    </w:p>
    <w:p w14:paraId="157919BD">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申请成为执业会员可以与资产评估师职业资格证书登记合并办理。</w:t>
      </w:r>
    </w:p>
    <w:p w14:paraId="4C1E32F0">
      <w:pPr>
        <w:shd w:val="clear" w:color="auto" w:fill="FFFFFF"/>
        <w:spacing w:line="440" w:lineRule="atLeast"/>
        <w:ind w:firstLine="482"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b/>
          <w:color w:val="000000"/>
          <w:kern w:val="0"/>
          <w:sz w:val="24"/>
          <w:shd w:val="clear" w:color="auto" w:fill="FFFFFF"/>
          <w:lang w:val="zh-TW"/>
        </w:rPr>
        <w:t>第七条</w:t>
      </w:r>
      <w:r>
        <w:rPr>
          <w:rFonts w:hint="eastAsia" w:ascii="宋体" w:hAnsi="宋体" w:eastAsia="宋体" w:cs="宋体"/>
          <w:color w:val="000000"/>
          <w:kern w:val="0"/>
          <w:sz w:val="24"/>
          <w:shd w:val="clear" w:color="auto" w:fill="FFFFFF"/>
          <w:lang w:val="zh-TW"/>
        </w:rPr>
        <w:t>　</w:t>
      </w:r>
      <w:r>
        <w:rPr>
          <w:rFonts w:hint="eastAsia" w:ascii="宋体" w:hAnsi="宋体" w:eastAsia="宋体" w:cs="宋体"/>
          <w:color w:val="000000"/>
          <w:kern w:val="0"/>
          <w:sz w:val="24"/>
          <w:shd w:val="clear" w:color="auto" w:fill="FFFFFF"/>
          <w:lang w:val="zh-TW" w:eastAsia="zh-TW"/>
        </w:rPr>
        <w:t>执业会员有下列情形之一的，由中评协取消其执业会员资格：</w:t>
      </w:r>
    </w:p>
    <w:p w14:paraId="2B652B18">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（一）自愿申请退出中评协；</w:t>
      </w:r>
    </w:p>
    <w:p w14:paraId="70541EFB">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（二）不履行《章程》规定的义务；</w:t>
      </w:r>
    </w:p>
    <w:p w14:paraId="0E718348">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（三）不具有完全民事行为能力；</w:t>
      </w:r>
    </w:p>
    <w:p w14:paraId="1D11C829">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（四）资产评估师职业资格被注销或者取消登记；</w:t>
      </w:r>
    </w:p>
    <w:p w14:paraId="7B8433FF">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（五）不在资产评估机构工作；</w:t>
      </w:r>
    </w:p>
    <w:p w14:paraId="692B7B8F">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（六）地方协会代管的执业会员代管期限连续满12个月；</w:t>
      </w:r>
    </w:p>
    <w:p w14:paraId="41D242EB">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（七）因受行政处罚、处分，情节严重；</w:t>
      </w:r>
    </w:p>
    <w:p w14:paraId="5FAA8641">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（八）受到刑事处罚；</w:t>
      </w:r>
    </w:p>
    <w:p w14:paraId="2E4487B3">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（九）中评协规定的其他情形。</w:t>
      </w:r>
    </w:p>
    <w:p w14:paraId="665FBE0E">
      <w:pPr>
        <w:shd w:val="clear" w:color="auto" w:fill="FFFFFF"/>
        <w:spacing w:line="440" w:lineRule="atLeast"/>
        <w:ind w:firstLine="482"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b/>
          <w:color w:val="000000"/>
          <w:kern w:val="0"/>
          <w:sz w:val="24"/>
          <w:shd w:val="clear" w:color="auto" w:fill="FFFFFF"/>
          <w:lang w:val="zh-TW"/>
        </w:rPr>
        <w:t>第八条</w:t>
      </w:r>
      <w:r>
        <w:rPr>
          <w:rFonts w:hint="eastAsia" w:ascii="宋体" w:hAnsi="宋体" w:eastAsia="宋体" w:cs="宋体"/>
          <w:color w:val="000000"/>
          <w:kern w:val="0"/>
          <w:sz w:val="24"/>
          <w:shd w:val="clear" w:color="auto" w:fill="FFFFFF"/>
          <w:lang w:val="zh-TW"/>
        </w:rPr>
        <w:t>　</w:t>
      </w:r>
      <w:r>
        <w:rPr>
          <w:rFonts w:hint="eastAsia" w:ascii="宋体" w:hAnsi="宋体" w:eastAsia="宋体" w:cs="宋体"/>
          <w:color w:val="000000"/>
          <w:kern w:val="0"/>
          <w:sz w:val="24"/>
          <w:shd w:val="clear" w:color="auto" w:fill="FFFFFF"/>
          <w:lang w:val="zh-TW" w:eastAsia="zh-TW"/>
        </w:rPr>
        <w:t>取消执业会员资格应当按下列程序办理：</w:t>
      </w:r>
    </w:p>
    <w:p w14:paraId="4EF04BD5">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（一）有符合取消执业会员资格情形的，由地方协会进行调查，并将调查情况及相关证明材料上报中评协；</w:t>
      </w:r>
    </w:p>
    <w:p w14:paraId="692750D6">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（二）中评协对地方协会上报材料核实后，取消执业会员资格，在中评协网站予以公告，并由地方协会通知本人；</w:t>
      </w:r>
    </w:p>
    <w:p w14:paraId="630EC438">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（三）被取消执业会员资格的人员，对中评协决定不服的，可以在公告之日起30日内向中评协申诉委员会提出申诉。</w:t>
      </w:r>
    </w:p>
    <w:p w14:paraId="18FD5742">
      <w:pPr>
        <w:shd w:val="clear" w:color="auto" w:fill="FFFFFF"/>
        <w:spacing w:line="440" w:lineRule="atLeast"/>
        <w:ind w:firstLine="482"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b/>
          <w:color w:val="000000"/>
          <w:kern w:val="0"/>
          <w:sz w:val="24"/>
          <w:shd w:val="clear" w:color="auto" w:fill="FFFFFF"/>
          <w:lang w:val="zh-TW"/>
        </w:rPr>
        <w:t>第九条</w:t>
      </w:r>
      <w:r>
        <w:rPr>
          <w:rFonts w:hint="eastAsia" w:ascii="宋体" w:hAnsi="宋体" w:eastAsia="宋体" w:cs="宋体"/>
          <w:color w:val="000000"/>
          <w:kern w:val="0"/>
          <w:sz w:val="24"/>
          <w:shd w:val="clear" w:color="auto" w:fill="FFFFFF"/>
          <w:lang w:val="zh-TW"/>
        </w:rPr>
        <w:t>　</w:t>
      </w:r>
      <w:r>
        <w:rPr>
          <w:rFonts w:hint="eastAsia" w:ascii="宋体" w:hAnsi="宋体" w:eastAsia="宋体" w:cs="宋体"/>
          <w:color w:val="000000"/>
          <w:kern w:val="0"/>
          <w:sz w:val="24"/>
          <w:shd w:val="clear" w:color="auto" w:fill="FFFFFF"/>
          <w:lang w:val="zh-TW" w:eastAsia="zh-TW"/>
        </w:rPr>
        <w:t>执业会员个人信息发生变更的应当按《登记办法》相关要求办理变更。</w:t>
      </w:r>
    </w:p>
    <w:p w14:paraId="0AC109B6">
      <w:pPr>
        <w:shd w:val="clear" w:color="auto" w:fill="FFFFFF"/>
        <w:spacing w:line="440" w:lineRule="atLeast"/>
        <w:ind w:firstLine="482"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b/>
          <w:color w:val="000000"/>
          <w:kern w:val="0"/>
          <w:sz w:val="24"/>
          <w:shd w:val="clear" w:color="auto" w:fill="FFFFFF"/>
          <w:lang w:val="zh-TW"/>
        </w:rPr>
        <w:t>第十条</w:t>
      </w:r>
      <w:r>
        <w:rPr>
          <w:rFonts w:hint="eastAsia" w:ascii="宋体" w:hAnsi="宋体" w:eastAsia="宋体" w:cs="宋体"/>
          <w:color w:val="000000"/>
          <w:kern w:val="0"/>
          <w:sz w:val="24"/>
          <w:shd w:val="clear" w:color="auto" w:fill="FFFFFF"/>
          <w:lang w:val="zh-TW"/>
        </w:rPr>
        <w:t>　</w:t>
      </w:r>
      <w:r>
        <w:rPr>
          <w:rFonts w:hint="eastAsia" w:ascii="宋体" w:hAnsi="宋体" w:eastAsia="宋体" w:cs="宋体"/>
          <w:color w:val="000000"/>
          <w:kern w:val="0"/>
          <w:sz w:val="24"/>
          <w:shd w:val="clear" w:color="auto" w:fill="FFFFFF"/>
          <w:lang w:val="zh-TW" w:eastAsia="zh-TW"/>
        </w:rPr>
        <w:t>执业会员不再在资产评估机构执业，可以向所在地地方协会申请，转为非执业会员。</w:t>
      </w:r>
    </w:p>
    <w:p w14:paraId="2BF301DE">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第三章　转所</w:t>
      </w:r>
    </w:p>
    <w:p w14:paraId="1389D2D0">
      <w:pPr>
        <w:shd w:val="clear" w:color="auto" w:fill="FFFFFF"/>
        <w:spacing w:line="440" w:lineRule="atLeast"/>
        <w:ind w:firstLine="482"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b/>
          <w:color w:val="000000"/>
          <w:kern w:val="0"/>
          <w:sz w:val="24"/>
          <w:shd w:val="clear" w:color="auto" w:fill="FFFFFF"/>
        </w:rPr>
        <w:t>第十一条</w:t>
      </w:r>
      <w:r>
        <w:rPr>
          <w:rFonts w:hint="eastAsia" w:ascii="宋体" w:hAnsi="宋体" w:eastAsia="宋体" w:cs="宋体"/>
          <w:color w:val="000000"/>
          <w:kern w:val="0"/>
          <w:sz w:val="24"/>
          <w:shd w:val="clear" w:color="auto" w:fill="FFFFFF"/>
          <w:lang w:val="zh-TW"/>
        </w:rPr>
        <w:t>　</w:t>
      </w:r>
      <w:r>
        <w:rPr>
          <w:rFonts w:hint="eastAsia" w:ascii="宋体" w:hAnsi="宋体" w:eastAsia="宋体" w:cs="宋体"/>
          <w:color w:val="000000"/>
          <w:kern w:val="0"/>
          <w:sz w:val="24"/>
          <w:shd w:val="clear" w:color="auto" w:fill="FFFFFF"/>
          <w:lang w:val="zh-TW" w:eastAsia="zh-TW"/>
        </w:rPr>
        <w:t>执业会员离开原资产评估机构加入其他资产评估机构，应当办理资产评估师转所手续。</w:t>
      </w:r>
    </w:p>
    <w:p w14:paraId="440C8806">
      <w:pPr>
        <w:shd w:val="clear" w:color="auto" w:fill="FFFFFF"/>
        <w:spacing w:line="440" w:lineRule="atLeast"/>
        <w:ind w:firstLine="482"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b/>
          <w:color w:val="000000"/>
          <w:kern w:val="0"/>
          <w:sz w:val="24"/>
          <w:shd w:val="clear" w:color="auto" w:fill="FFFFFF"/>
          <w:lang w:val="zh-TW"/>
        </w:rPr>
        <w:t>第十二条</w:t>
      </w:r>
      <w:r>
        <w:rPr>
          <w:rFonts w:hint="eastAsia" w:ascii="宋体" w:hAnsi="宋体" w:eastAsia="宋体" w:cs="宋体"/>
          <w:color w:val="000000"/>
          <w:kern w:val="0"/>
          <w:sz w:val="24"/>
          <w:shd w:val="clear" w:color="auto" w:fill="FFFFFF"/>
          <w:lang w:val="zh-TW"/>
        </w:rPr>
        <w:t>　</w:t>
      </w:r>
      <w:r>
        <w:rPr>
          <w:rFonts w:hint="eastAsia" w:ascii="宋体" w:hAnsi="宋体" w:eastAsia="宋体" w:cs="宋体"/>
          <w:color w:val="000000"/>
          <w:kern w:val="0"/>
          <w:sz w:val="24"/>
          <w:shd w:val="clear" w:color="auto" w:fill="FFFFFF"/>
          <w:lang w:val="zh-TW" w:eastAsia="zh-TW"/>
        </w:rPr>
        <w:t>执业会员办理转所应当具备下列条件：</w:t>
      </w:r>
    </w:p>
    <w:p w14:paraId="3269FC3F">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（一）执业会员与资产评估机构签订的劳动合同已经终止或者与资产评估机构协商同意解除劳动合同；</w:t>
      </w:r>
    </w:p>
    <w:p w14:paraId="5F5ADB2B">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（二）担任资产评估机构合伙人或者股东的，已完成退伙或者财产份额（出资）转让手续，或者签订财产份额（出资）转让协议或者退伙协议；</w:t>
      </w:r>
    </w:p>
    <w:p w14:paraId="27125328">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（三）未被要求接受司法机关、行政机关和行业协会调查（调查一年未结束的除外）。</w:t>
      </w:r>
    </w:p>
    <w:p w14:paraId="461F40BB">
      <w:pPr>
        <w:shd w:val="clear" w:color="auto" w:fill="FFFFFF"/>
        <w:spacing w:line="440" w:lineRule="atLeast"/>
        <w:ind w:firstLine="482"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b/>
          <w:color w:val="000000"/>
          <w:kern w:val="0"/>
          <w:sz w:val="24"/>
          <w:shd w:val="clear" w:color="auto" w:fill="FFFFFF"/>
          <w:lang w:val="zh-TW"/>
        </w:rPr>
        <w:t>第十三条</w:t>
      </w:r>
      <w:r>
        <w:rPr>
          <w:rFonts w:hint="eastAsia" w:ascii="宋体" w:hAnsi="宋体" w:eastAsia="宋体" w:cs="宋体"/>
          <w:color w:val="000000"/>
          <w:kern w:val="0"/>
          <w:sz w:val="24"/>
          <w:shd w:val="clear" w:color="auto" w:fill="FFFFFF"/>
          <w:lang w:val="zh-TW"/>
        </w:rPr>
        <w:t>　</w:t>
      </w:r>
      <w:r>
        <w:rPr>
          <w:rFonts w:hint="eastAsia" w:ascii="宋体" w:hAnsi="宋体" w:eastAsia="宋体" w:cs="宋体"/>
          <w:color w:val="000000"/>
          <w:kern w:val="0"/>
          <w:sz w:val="24"/>
          <w:shd w:val="clear" w:color="auto" w:fill="FFFFFF"/>
          <w:lang w:val="zh-TW" w:eastAsia="zh-TW"/>
        </w:rPr>
        <w:t>执业会员转所应当到转出资产评估机构所在地地方协会（以下简称转出地方协会）办理手续，并提交转所申请、《资产评估师转所申请表》（附件2）、转入机构签订的劳动合同复印件。</w:t>
      </w:r>
    </w:p>
    <w:p w14:paraId="1106237E">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担任转出机构合伙人或者股东的，还应当提交合伙人会议（股东会）决议、财产份额（出资）转让协议书或者退伙协议书、工商行政管理部门备案的变更后合伙人或者股东名单。</w:t>
      </w:r>
    </w:p>
    <w:p w14:paraId="3992EFB9">
      <w:pPr>
        <w:shd w:val="clear" w:color="auto" w:fill="FFFFFF"/>
        <w:spacing w:line="440" w:lineRule="atLeast"/>
        <w:ind w:firstLine="482"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b/>
          <w:color w:val="000000"/>
          <w:kern w:val="0"/>
          <w:sz w:val="24"/>
          <w:shd w:val="clear" w:color="auto" w:fill="FFFFFF"/>
          <w:lang w:val="zh-TW"/>
        </w:rPr>
        <w:t>第十四条</w:t>
      </w:r>
      <w:r>
        <w:rPr>
          <w:rFonts w:hint="eastAsia" w:ascii="宋体" w:hAnsi="宋体" w:eastAsia="宋体" w:cs="宋体"/>
          <w:color w:val="000000"/>
          <w:kern w:val="0"/>
          <w:sz w:val="24"/>
          <w:shd w:val="clear" w:color="auto" w:fill="FFFFFF"/>
          <w:lang w:val="zh-TW"/>
        </w:rPr>
        <w:t>　</w:t>
      </w:r>
      <w:r>
        <w:rPr>
          <w:rFonts w:hint="eastAsia" w:ascii="宋体" w:hAnsi="宋体" w:eastAsia="宋体" w:cs="宋体"/>
          <w:color w:val="000000"/>
          <w:kern w:val="0"/>
          <w:sz w:val="24"/>
          <w:shd w:val="clear" w:color="auto" w:fill="FFFFFF"/>
          <w:lang w:val="zh-TW" w:eastAsia="zh-TW"/>
        </w:rPr>
        <w:t>执业会员办理转所应当按照《资产评估师转所程序》（附件3）办理。转入地方协会应当在《资产评估师转所申请表》中签署意见。</w:t>
      </w:r>
    </w:p>
    <w:p w14:paraId="16C6885F">
      <w:pPr>
        <w:shd w:val="clear" w:color="auto" w:fill="FFFFFF"/>
        <w:spacing w:line="440" w:lineRule="atLeast"/>
        <w:ind w:firstLine="482"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b/>
          <w:color w:val="000000"/>
          <w:kern w:val="0"/>
          <w:sz w:val="24"/>
          <w:shd w:val="clear" w:color="auto" w:fill="FFFFFF"/>
          <w:lang w:val="zh-TW"/>
        </w:rPr>
        <w:t>第十五条</w:t>
      </w:r>
      <w:r>
        <w:rPr>
          <w:rFonts w:hint="eastAsia" w:ascii="宋体" w:hAnsi="宋体" w:eastAsia="宋体" w:cs="宋体"/>
          <w:color w:val="000000"/>
          <w:kern w:val="0"/>
          <w:sz w:val="24"/>
          <w:shd w:val="clear" w:color="auto" w:fill="FFFFFF"/>
          <w:lang w:val="zh-TW" w:eastAsia="zh-TW"/>
        </w:rPr>
        <w:t>《资产评估师转所申请表》自转出地方协会盖章之日起12个月内有效。</w:t>
      </w:r>
    </w:p>
    <w:p w14:paraId="489F420D">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跨区转所的执业会员在未完成转所手续之前由转出地方协会管理。</w:t>
      </w:r>
    </w:p>
    <w:p w14:paraId="0AF14B55">
      <w:pPr>
        <w:shd w:val="clear" w:color="auto" w:fill="FFFFFF"/>
        <w:spacing w:line="440" w:lineRule="atLeast"/>
        <w:ind w:firstLine="482"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b/>
          <w:color w:val="000000"/>
          <w:kern w:val="0"/>
          <w:sz w:val="24"/>
          <w:shd w:val="clear" w:color="auto" w:fill="FFFFFF"/>
          <w:lang w:val="zh-TW"/>
        </w:rPr>
        <w:t>第十六条</w:t>
      </w:r>
      <w:r>
        <w:rPr>
          <w:rFonts w:hint="eastAsia" w:ascii="宋体" w:hAnsi="宋体" w:eastAsia="宋体" w:cs="宋体"/>
          <w:color w:val="000000"/>
          <w:kern w:val="0"/>
          <w:sz w:val="24"/>
          <w:shd w:val="clear" w:color="auto" w:fill="FFFFFF"/>
          <w:lang w:val="zh-TW"/>
        </w:rPr>
        <w:t>　</w:t>
      </w:r>
      <w:r>
        <w:rPr>
          <w:rFonts w:hint="eastAsia" w:ascii="宋体" w:hAnsi="宋体" w:eastAsia="宋体" w:cs="宋体"/>
          <w:color w:val="000000"/>
          <w:kern w:val="0"/>
          <w:sz w:val="24"/>
          <w:shd w:val="clear" w:color="auto" w:fill="FFFFFF"/>
          <w:lang w:val="zh-TW" w:eastAsia="zh-TW"/>
        </w:rPr>
        <w:t>执业会员与资产评估机构签订的劳动合同终止且未转入另外一家资产评估机构执业的，资产评估机构应当在30日内报所在地地方协会备案；所在资产评估机构被依法注销的，执业会员应当在30日内报所在地地方协会备案。</w:t>
      </w:r>
    </w:p>
    <w:p w14:paraId="3223F2BF">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发生前款规定的情形，执业会员应当在30日内办理转出手续。地方协会应当在执业会员管理系统中将其转入地方协会代管节点，代管期限为12个月，代管期间有符合取消执业会员资格情形的，按本办法</w:t>
      </w:r>
      <w:r>
        <w:rPr>
          <w:rFonts w:hint="eastAsia" w:ascii="宋体" w:hAnsi="宋体" w:eastAsia="宋体" w:cs="宋体"/>
          <w:color w:val="000000"/>
          <w:kern w:val="0"/>
          <w:sz w:val="24"/>
          <w:shd w:val="clear" w:color="auto" w:fill="FFFFFF"/>
          <w:lang w:val="zh-TW"/>
        </w:rPr>
        <w:t>第八条</w:t>
      </w:r>
      <w:r>
        <w:rPr>
          <w:rFonts w:hint="eastAsia" w:ascii="宋体" w:hAnsi="宋体" w:eastAsia="宋体" w:cs="宋体"/>
          <w:color w:val="000000"/>
          <w:kern w:val="0"/>
          <w:sz w:val="24"/>
          <w:shd w:val="clear" w:color="auto" w:fill="FFFFFF"/>
          <w:lang w:val="zh-TW" w:eastAsia="zh-TW"/>
        </w:rPr>
        <w:t>规定执行。</w:t>
      </w:r>
    </w:p>
    <w:p w14:paraId="21204716">
      <w:pPr>
        <w:shd w:val="clear" w:color="auto" w:fill="FFFFFF"/>
        <w:spacing w:line="440" w:lineRule="atLeast"/>
        <w:ind w:firstLine="482"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b/>
          <w:color w:val="000000"/>
          <w:kern w:val="0"/>
          <w:sz w:val="24"/>
          <w:shd w:val="clear" w:color="auto" w:fill="FFFFFF"/>
          <w:lang w:val="zh-TW"/>
        </w:rPr>
        <w:t>第十七条</w:t>
      </w:r>
      <w:r>
        <w:rPr>
          <w:rFonts w:hint="eastAsia" w:ascii="宋体" w:hAnsi="宋体" w:eastAsia="宋体" w:cs="宋体"/>
          <w:color w:val="000000"/>
          <w:kern w:val="0"/>
          <w:sz w:val="24"/>
          <w:shd w:val="clear" w:color="auto" w:fill="FFFFFF"/>
        </w:rPr>
        <w:t>　</w:t>
      </w:r>
      <w:r>
        <w:rPr>
          <w:rFonts w:hint="eastAsia" w:ascii="宋体" w:hAnsi="宋体" w:eastAsia="宋体" w:cs="宋体"/>
          <w:color w:val="000000"/>
          <w:kern w:val="0"/>
          <w:sz w:val="24"/>
          <w:shd w:val="clear" w:color="auto" w:fill="FFFFFF"/>
          <w:lang w:val="zh-TW" w:eastAsia="zh-TW"/>
        </w:rPr>
        <w:t>地方协会代管的执业会员加入其他资产评估机构执业，应当及时办理转所手续。辞职或者被解聘的执业会员，申请加入其他资产评估机构执业的，原资产评估机构应当按有关规定向执业会员和地方协会出具转所所需的有关材料和证明。</w:t>
      </w:r>
    </w:p>
    <w:p w14:paraId="7CFEC431">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所在资产评估机构被注销，其执业会员申请加入其他资产评估机构执业，不能提供原资产评估机构出具的有关证明材料的，被注销的资产评估机构所在地地方协会应当在转出机构盖章处说明并盖章。</w:t>
      </w:r>
    </w:p>
    <w:p w14:paraId="50346442">
      <w:pPr>
        <w:shd w:val="clear" w:color="auto" w:fill="FFFFFF"/>
        <w:spacing w:line="440" w:lineRule="atLeast"/>
        <w:ind w:firstLine="482"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b/>
          <w:color w:val="000000"/>
          <w:kern w:val="0"/>
          <w:sz w:val="24"/>
          <w:shd w:val="clear" w:color="auto" w:fill="FFFFFF"/>
          <w:lang w:val="zh-TW"/>
        </w:rPr>
        <w:t>第十八条</w:t>
      </w:r>
      <w:r>
        <w:rPr>
          <w:rFonts w:hint="eastAsia" w:ascii="宋体" w:hAnsi="宋体" w:eastAsia="宋体" w:cs="宋体"/>
          <w:color w:val="000000"/>
          <w:kern w:val="0"/>
          <w:sz w:val="24"/>
          <w:shd w:val="clear" w:color="auto" w:fill="FFFFFF"/>
        </w:rPr>
        <w:t>　</w:t>
      </w:r>
      <w:r>
        <w:rPr>
          <w:rFonts w:hint="eastAsia" w:ascii="宋体" w:hAnsi="宋体" w:eastAsia="宋体" w:cs="宋体"/>
          <w:color w:val="000000"/>
          <w:kern w:val="0"/>
          <w:sz w:val="24"/>
          <w:shd w:val="clear" w:color="auto" w:fill="FFFFFF"/>
          <w:lang w:val="zh-TW" w:eastAsia="zh-TW"/>
        </w:rPr>
        <w:t>符合转所条件，提出转所要求的执业会员，其所在资产评估机构无正当理由，拒绝提供有关转所材料和证明的，执业会员有权向地方协会申诉；跨区转所的，向转出地方协会申诉。</w:t>
      </w:r>
    </w:p>
    <w:p w14:paraId="05E04571">
      <w:pPr>
        <w:shd w:val="clear" w:color="auto" w:fill="FFFFFF"/>
        <w:spacing w:line="440" w:lineRule="atLeast"/>
        <w:ind w:firstLine="482"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b/>
          <w:color w:val="000000"/>
          <w:kern w:val="0"/>
          <w:sz w:val="24"/>
          <w:shd w:val="clear" w:color="auto" w:fill="FFFFFF"/>
          <w:lang w:val="zh-TW"/>
        </w:rPr>
        <w:t>第十九条</w:t>
      </w:r>
      <w:r>
        <w:rPr>
          <w:rFonts w:hint="eastAsia" w:ascii="宋体" w:hAnsi="宋体" w:eastAsia="宋体" w:cs="宋体"/>
          <w:color w:val="000000"/>
          <w:kern w:val="0"/>
          <w:sz w:val="24"/>
          <w:shd w:val="clear" w:color="auto" w:fill="FFFFFF"/>
        </w:rPr>
        <w:t>　</w:t>
      </w:r>
      <w:r>
        <w:rPr>
          <w:rFonts w:hint="eastAsia" w:ascii="宋体" w:hAnsi="宋体" w:eastAsia="宋体" w:cs="宋体"/>
          <w:color w:val="000000"/>
          <w:kern w:val="0"/>
          <w:sz w:val="24"/>
          <w:shd w:val="clear" w:color="auto" w:fill="FFFFFF"/>
          <w:lang w:val="zh-TW" w:eastAsia="zh-TW"/>
        </w:rPr>
        <w:t>地方协会收到执业会员申诉后，应当向资产评估机构书面征询原因。</w:t>
      </w:r>
    </w:p>
    <w:p w14:paraId="7FC9CAB5">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资产评估机构在收到地方协会征询函之日起10个工作日内应当向地方协会递交书面答复，说明拒绝提供有关转所材料和证明的理由并提供执业会员不符合本办法</w:t>
      </w:r>
      <w:r>
        <w:rPr>
          <w:rFonts w:hint="eastAsia" w:ascii="宋体" w:hAnsi="宋体" w:eastAsia="宋体" w:cs="宋体"/>
          <w:color w:val="000000"/>
          <w:kern w:val="0"/>
          <w:sz w:val="24"/>
          <w:shd w:val="clear" w:color="auto" w:fill="FFFFFF"/>
          <w:lang w:val="zh-TW"/>
        </w:rPr>
        <w:t>第十二条</w:t>
      </w:r>
      <w:r>
        <w:rPr>
          <w:rFonts w:hint="eastAsia" w:ascii="宋体" w:hAnsi="宋体" w:eastAsia="宋体" w:cs="宋体"/>
          <w:color w:val="000000"/>
          <w:kern w:val="0"/>
          <w:sz w:val="24"/>
          <w:shd w:val="clear" w:color="auto" w:fill="FFFFFF"/>
          <w:lang w:val="zh-TW" w:eastAsia="zh-TW"/>
        </w:rPr>
        <w:t>规定情形的相关证明材料。</w:t>
      </w:r>
    </w:p>
    <w:p w14:paraId="2BE5BB10">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资产评估机构在规定期限内未向地方协会递交书面答复或者提供相关材料的，地方协会可以直接为执业会员办理转出手续，并在《资产评估师转所申请表》转出地方协会意见栏中注明原因。</w:t>
      </w:r>
    </w:p>
    <w:p w14:paraId="104A3A32">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第四章　年检</w:t>
      </w:r>
    </w:p>
    <w:p w14:paraId="41DC4EC9">
      <w:pPr>
        <w:shd w:val="clear" w:color="auto" w:fill="FFFFFF"/>
        <w:spacing w:line="440" w:lineRule="atLeast"/>
        <w:ind w:firstLine="482"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b/>
          <w:color w:val="000000"/>
          <w:kern w:val="0"/>
          <w:sz w:val="24"/>
          <w:shd w:val="clear" w:color="auto" w:fill="FFFFFF"/>
        </w:rPr>
        <w:t>第二十条</w:t>
      </w:r>
      <w:r>
        <w:rPr>
          <w:rFonts w:hint="eastAsia" w:ascii="宋体" w:hAnsi="宋体" w:eastAsia="宋体" w:cs="宋体"/>
          <w:color w:val="000000"/>
          <w:kern w:val="0"/>
          <w:sz w:val="24"/>
          <w:shd w:val="clear" w:color="auto" w:fill="FFFFFF"/>
        </w:rPr>
        <w:t>　</w:t>
      </w:r>
      <w:r>
        <w:rPr>
          <w:rFonts w:hint="eastAsia" w:ascii="宋体" w:hAnsi="宋体" w:eastAsia="宋体" w:cs="宋体"/>
          <w:color w:val="000000"/>
          <w:kern w:val="0"/>
          <w:sz w:val="24"/>
          <w:shd w:val="clear" w:color="auto" w:fill="FFFFFF"/>
          <w:lang w:val="zh-TW" w:eastAsia="zh-TW"/>
        </w:rPr>
        <w:t>中评协负责监督和指导地方协会对执业会员的年检工作，并授权地方协会负责本地区执业会员的年检工作。</w:t>
      </w:r>
    </w:p>
    <w:p w14:paraId="19E40940">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中评协可以根据需要对地方协会的年检工作进行抽查。</w:t>
      </w:r>
    </w:p>
    <w:p w14:paraId="0D113033">
      <w:pPr>
        <w:shd w:val="clear" w:color="auto" w:fill="FFFFFF"/>
        <w:spacing w:line="440" w:lineRule="atLeast"/>
        <w:ind w:firstLine="482"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b/>
          <w:color w:val="000000"/>
          <w:kern w:val="0"/>
          <w:sz w:val="24"/>
          <w:shd w:val="clear" w:color="auto" w:fill="FFFFFF"/>
          <w:lang w:val="zh-TW"/>
        </w:rPr>
        <w:t>第二十一条</w:t>
      </w:r>
      <w:r>
        <w:rPr>
          <w:rFonts w:hint="eastAsia" w:ascii="宋体" w:hAnsi="宋体" w:eastAsia="宋体" w:cs="宋体"/>
          <w:color w:val="000000"/>
          <w:kern w:val="0"/>
          <w:sz w:val="24"/>
          <w:shd w:val="clear" w:color="auto" w:fill="FFFFFF"/>
        </w:rPr>
        <w:t>　</w:t>
      </w:r>
      <w:r>
        <w:rPr>
          <w:rFonts w:hint="eastAsia" w:ascii="宋体" w:hAnsi="宋体" w:eastAsia="宋体" w:cs="宋体"/>
          <w:color w:val="000000"/>
          <w:kern w:val="0"/>
          <w:sz w:val="24"/>
          <w:shd w:val="clear" w:color="auto" w:fill="FFFFFF"/>
          <w:lang w:val="zh-TW" w:eastAsia="zh-TW"/>
        </w:rPr>
        <w:t>执业会员年检基准日为前一年12月31日，执业会员均应当参加年检。</w:t>
      </w:r>
    </w:p>
    <w:p w14:paraId="485BDC65">
      <w:pPr>
        <w:shd w:val="clear" w:color="auto" w:fill="FFFFFF"/>
        <w:spacing w:line="440" w:lineRule="atLeast"/>
        <w:ind w:firstLine="482"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b/>
          <w:color w:val="000000"/>
          <w:kern w:val="0"/>
          <w:sz w:val="24"/>
          <w:shd w:val="clear" w:color="auto" w:fill="FFFFFF"/>
          <w:lang w:val="zh-TW"/>
        </w:rPr>
        <w:t>第二十二条</w:t>
      </w:r>
      <w:r>
        <w:rPr>
          <w:rFonts w:hint="eastAsia" w:ascii="宋体" w:hAnsi="宋体" w:eastAsia="宋体" w:cs="宋体"/>
          <w:color w:val="000000"/>
          <w:kern w:val="0"/>
          <w:sz w:val="24"/>
          <w:shd w:val="clear" w:color="auto" w:fill="FFFFFF"/>
          <w:lang w:val="zh-TW"/>
        </w:rPr>
        <w:t>　</w:t>
      </w:r>
      <w:r>
        <w:rPr>
          <w:rFonts w:hint="eastAsia" w:ascii="宋体" w:hAnsi="宋体" w:eastAsia="宋体" w:cs="宋体"/>
          <w:color w:val="000000"/>
          <w:kern w:val="0"/>
          <w:sz w:val="24"/>
          <w:shd w:val="clear" w:color="auto" w:fill="FFFFFF"/>
          <w:lang w:val="zh-TW" w:eastAsia="zh-TW"/>
        </w:rPr>
        <w:t>执业会员年检工作的主要内容包括：</w:t>
      </w:r>
    </w:p>
    <w:p w14:paraId="7EE75DA8">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（一）是否按规定接受继续教育；</w:t>
      </w:r>
    </w:p>
    <w:p w14:paraId="4A96438F">
      <w:pPr>
        <w:shd w:val="clear" w:color="auto" w:fill="FFFFFF"/>
        <w:spacing w:line="440" w:lineRule="atLeast"/>
        <w:ind w:firstLine="480" w:firstLineChars="200"/>
        <w:rPr>
          <w:rFonts w:ascii="宋体" w:hAnsi="宋体" w:eastAsia="宋体" w:cs="宋体"/>
          <w:color w:val="000000"/>
          <w:kern w:val="0"/>
          <w:sz w:val="24"/>
          <w:shd w:val="clear" w:color="auto" w:fill="FFFFFF"/>
          <w:lang w:val="zh-TW"/>
        </w:rPr>
      </w:pPr>
      <w:r>
        <w:rPr>
          <w:rFonts w:hint="eastAsia" w:ascii="宋体" w:hAnsi="宋体" w:eastAsia="宋体" w:cs="宋体"/>
          <w:color w:val="000000"/>
          <w:kern w:val="0"/>
          <w:sz w:val="24"/>
          <w:shd w:val="clear" w:color="auto" w:fill="FFFFFF"/>
          <w:lang w:val="zh-TW" w:eastAsia="zh-TW"/>
        </w:rPr>
        <w:t>（二）是否按规定履行《章程》规定的义务</w:t>
      </w:r>
      <w:r>
        <w:rPr>
          <w:rFonts w:hint="eastAsia" w:ascii="宋体" w:hAnsi="宋体" w:eastAsia="宋体" w:cs="宋体"/>
          <w:color w:val="000000"/>
          <w:kern w:val="0"/>
          <w:sz w:val="24"/>
          <w:shd w:val="clear" w:color="auto" w:fill="FFFFFF"/>
          <w:lang w:val="zh-TW"/>
        </w:rPr>
        <w:t>；</w:t>
      </w:r>
    </w:p>
    <w:p w14:paraId="200C928C">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（三）是否停止执行资产评估业务满12个月；</w:t>
      </w:r>
    </w:p>
    <w:p w14:paraId="55028409">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（四）是否按规定办理变更备案及离所备案手续；</w:t>
      </w:r>
    </w:p>
    <w:p w14:paraId="671654F3">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（五）是否在资产评估机构工作；</w:t>
      </w:r>
    </w:p>
    <w:p w14:paraId="20A67287">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（六）是否具有完全民事行为能力；</w:t>
      </w:r>
    </w:p>
    <w:p w14:paraId="4BF2530E">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（七）是否存在受到行业自律惩戒、行政处罚或者刑事处罚的情况；</w:t>
      </w:r>
    </w:p>
    <w:p w14:paraId="50AC12C2">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（八）中评协及地方协会规定的其他内容。</w:t>
      </w:r>
    </w:p>
    <w:p w14:paraId="361CFFD8">
      <w:pPr>
        <w:shd w:val="clear" w:color="auto" w:fill="FFFFFF"/>
        <w:spacing w:line="440" w:lineRule="atLeast"/>
        <w:ind w:firstLine="482"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b/>
          <w:color w:val="000000"/>
          <w:kern w:val="0"/>
          <w:sz w:val="24"/>
          <w:shd w:val="clear" w:color="auto" w:fill="FFFFFF"/>
          <w:lang w:val="zh-TW"/>
        </w:rPr>
        <w:t>第二十三条</w:t>
      </w:r>
      <w:r>
        <w:rPr>
          <w:rFonts w:hint="eastAsia" w:ascii="宋体" w:hAnsi="宋体" w:eastAsia="宋体" w:cs="宋体"/>
          <w:color w:val="000000"/>
          <w:kern w:val="0"/>
          <w:sz w:val="24"/>
          <w:shd w:val="clear" w:color="auto" w:fill="FFFFFF"/>
        </w:rPr>
        <w:t>　</w:t>
      </w:r>
      <w:r>
        <w:rPr>
          <w:rFonts w:hint="eastAsia" w:ascii="宋体" w:hAnsi="宋体" w:eastAsia="宋体" w:cs="宋体"/>
          <w:color w:val="000000"/>
          <w:kern w:val="0"/>
          <w:sz w:val="24"/>
          <w:shd w:val="clear" w:color="auto" w:fill="FFFFFF"/>
          <w:lang w:val="zh-TW" w:eastAsia="zh-TW"/>
        </w:rPr>
        <w:t>执业会员应当在规定的时间内，以所在资产评估机构为单位向地方协会提交下列材料：</w:t>
      </w:r>
    </w:p>
    <w:p w14:paraId="7E731EBA">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（一）《资产评估师一览表》（附件4）；</w:t>
      </w:r>
    </w:p>
    <w:p w14:paraId="14B65B98">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（二）《资产评估师年检表》（附件5）；</w:t>
      </w:r>
    </w:p>
    <w:p w14:paraId="736BECA4">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（三）资产评估师在资产评估机构工作情况的有关材料；</w:t>
      </w:r>
    </w:p>
    <w:p w14:paraId="3B782235">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（四）中评协及地方协会要求的其他材料。</w:t>
      </w:r>
    </w:p>
    <w:p w14:paraId="73317F07">
      <w:pPr>
        <w:shd w:val="clear" w:color="auto" w:fill="FFFFFF"/>
        <w:spacing w:line="440" w:lineRule="atLeast"/>
        <w:ind w:firstLine="482"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b/>
          <w:color w:val="000000"/>
          <w:kern w:val="0"/>
          <w:sz w:val="24"/>
          <w:shd w:val="clear" w:color="auto" w:fill="FFFFFF"/>
          <w:lang w:val="zh-TW"/>
        </w:rPr>
        <w:t>第二十四条</w:t>
      </w:r>
      <w:r>
        <w:rPr>
          <w:rFonts w:hint="eastAsia" w:ascii="宋体" w:hAnsi="宋体" w:eastAsia="宋体" w:cs="宋体"/>
          <w:color w:val="000000"/>
          <w:kern w:val="0"/>
          <w:sz w:val="24"/>
          <w:shd w:val="clear" w:color="auto" w:fill="FFFFFF"/>
        </w:rPr>
        <w:t>　</w:t>
      </w:r>
      <w:r>
        <w:rPr>
          <w:rFonts w:hint="eastAsia" w:ascii="宋体" w:hAnsi="宋体" w:eastAsia="宋体" w:cs="宋体"/>
          <w:color w:val="000000"/>
          <w:kern w:val="0"/>
          <w:sz w:val="24"/>
          <w:shd w:val="clear" w:color="auto" w:fill="FFFFFF"/>
          <w:lang w:val="zh-TW" w:eastAsia="zh-TW"/>
        </w:rPr>
        <w:t>地方协会应当对资产评估机构上报的年检材料和《资产评估机构基本情况表》（附件6）进行审查，在《资产评估师年检表》中签署审核意见并加盖资产评估师年检专用章（附件7）。</w:t>
      </w:r>
    </w:p>
    <w:p w14:paraId="3B42D25F">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第五章　罚则</w:t>
      </w:r>
    </w:p>
    <w:p w14:paraId="350CEC9B">
      <w:pPr>
        <w:shd w:val="clear" w:color="auto" w:fill="FFFFFF"/>
        <w:spacing w:line="440" w:lineRule="atLeast"/>
        <w:ind w:firstLine="482"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b/>
          <w:color w:val="000000"/>
          <w:kern w:val="0"/>
          <w:sz w:val="24"/>
          <w:shd w:val="clear" w:color="auto" w:fill="FFFFFF"/>
        </w:rPr>
        <w:t>第二十五条</w:t>
      </w:r>
      <w:r>
        <w:rPr>
          <w:rFonts w:hint="eastAsia" w:ascii="宋体" w:hAnsi="宋体" w:eastAsia="宋体" w:cs="宋体"/>
          <w:color w:val="000000"/>
          <w:kern w:val="0"/>
          <w:sz w:val="24"/>
          <w:shd w:val="clear" w:color="auto" w:fill="FFFFFF"/>
        </w:rPr>
        <w:t>　</w:t>
      </w:r>
      <w:r>
        <w:rPr>
          <w:rFonts w:hint="eastAsia" w:ascii="宋体" w:hAnsi="宋体" w:eastAsia="宋体" w:cs="宋体"/>
          <w:color w:val="000000"/>
          <w:kern w:val="0"/>
          <w:sz w:val="24"/>
          <w:shd w:val="clear" w:color="auto" w:fill="FFFFFF"/>
          <w:lang w:val="zh-TW" w:eastAsia="zh-TW"/>
        </w:rPr>
        <w:t>申请人入会有弄虚作假行为的，地方协会在12个月内不再受理其有关执业会员申请入会事宜。</w:t>
      </w:r>
    </w:p>
    <w:p w14:paraId="57EA9CA2">
      <w:pPr>
        <w:shd w:val="clear" w:color="auto" w:fill="FFFFFF"/>
        <w:spacing w:line="440" w:lineRule="atLeast"/>
        <w:ind w:firstLine="482"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b/>
          <w:color w:val="000000"/>
          <w:kern w:val="0"/>
          <w:sz w:val="24"/>
          <w:shd w:val="clear" w:color="auto" w:fill="FFFFFF"/>
          <w:lang w:val="zh-TW"/>
        </w:rPr>
        <w:t>第二十六条</w:t>
      </w:r>
      <w:r>
        <w:rPr>
          <w:rFonts w:hint="eastAsia" w:ascii="宋体" w:hAnsi="宋体" w:eastAsia="宋体" w:cs="宋体"/>
          <w:color w:val="000000"/>
          <w:kern w:val="0"/>
          <w:sz w:val="24"/>
          <w:shd w:val="clear" w:color="auto" w:fill="FFFFFF"/>
        </w:rPr>
        <w:t>　</w:t>
      </w:r>
      <w:r>
        <w:rPr>
          <w:rFonts w:hint="eastAsia" w:ascii="宋体" w:hAnsi="宋体" w:eastAsia="宋体" w:cs="宋体"/>
          <w:color w:val="000000"/>
          <w:kern w:val="0"/>
          <w:sz w:val="24"/>
          <w:shd w:val="clear" w:color="auto" w:fill="FFFFFF"/>
          <w:lang w:val="zh-TW" w:eastAsia="zh-TW"/>
        </w:rPr>
        <w:t>执业会员未按本办法规定办理年检、变更及备案手续的，由地方协会责令其改正；情节严重的，由地方协会记入诚信档案并按有关规定给予惩戒。</w:t>
      </w:r>
    </w:p>
    <w:p w14:paraId="0100684E">
      <w:pPr>
        <w:shd w:val="clear" w:color="auto" w:fill="FFFFFF"/>
        <w:spacing w:line="440" w:lineRule="atLeast"/>
        <w:ind w:firstLine="482"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b/>
          <w:color w:val="000000"/>
          <w:kern w:val="0"/>
          <w:sz w:val="24"/>
          <w:shd w:val="clear" w:color="auto" w:fill="FFFFFF"/>
          <w:lang w:val="zh-TW"/>
        </w:rPr>
        <w:t>第二十七条</w:t>
      </w:r>
      <w:r>
        <w:rPr>
          <w:rFonts w:hint="eastAsia" w:ascii="宋体" w:hAnsi="宋体" w:eastAsia="宋体" w:cs="宋体"/>
          <w:color w:val="000000"/>
          <w:kern w:val="0"/>
          <w:sz w:val="24"/>
          <w:shd w:val="clear" w:color="auto" w:fill="FFFFFF"/>
        </w:rPr>
        <w:t>　</w:t>
      </w:r>
      <w:r>
        <w:rPr>
          <w:rFonts w:hint="eastAsia" w:ascii="宋体" w:hAnsi="宋体" w:eastAsia="宋体" w:cs="宋体"/>
          <w:color w:val="000000"/>
          <w:kern w:val="0"/>
          <w:sz w:val="24"/>
          <w:shd w:val="clear" w:color="auto" w:fill="FFFFFF"/>
          <w:lang w:val="zh-TW" w:eastAsia="zh-TW"/>
        </w:rPr>
        <w:t>中评协或者地方协会的工作人员在管理工作中违反规定的，按有关规定给予处分。</w:t>
      </w:r>
    </w:p>
    <w:p w14:paraId="28C17082">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第六章　证书和印鉴</w:t>
      </w:r>
    </w:p>
    <w:p w14:paraId="44D5F5D7">
      <w:pPr>
        <w:shd w:val="clear" w:color="auto" w:fill="FFFFFF"/>
        <w:spacing w:line="440" w:lineRule="atLeast"/>
        <w:ind w:firstLine="482"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b/>
          <w:color w:val="000000"/>
          <w:kern w:val="0"/>
          <w:sz w:val="24"/>
          <w:shd w:val="clear" w:color="auto" w:fill="FFFFFF"/>
        </w:rPr>
        <w:t>第二十八条</w:t>
      </w:r>
      <w:r>
        <w:rPr>
          <w:rFonts w:hint="eastAsia" w:ascii="宋体" w:hAnsi="宋体" w:eastAsia="宋体" w:cs="宋体"/>
          <w:color w:val="000000"/>
          <w:kern w:val="0"/>
          <w:sz w:val="24"/>
          <w:shd w:val="clear" w:color="auto" w:fill="FFFFFF"/>
        </w:rPr>
        <w:t>　</w:t>
      </w:r>
      <w:r>
        <w:rPr>
          <w:rFonts w:hint="eastAsia" w:ascii="宋体" w:hAnsi="宋体" w:eastAsia="宋体" w:cs="宋体"/>
          <w:color w:val="000000"/>
          <w:kern w:val="0"/>
          <w:sz w:val="24"/>
          <w:shd w:val="clear" w:color="auto" w:fill="FFFFFF"/>
          <w:lang w:val="zh-TW" w:eastAsia="zh-TW"/>
        </w:rPr>
        <w:t>执业会员证书由中评协统一规定规格、式样并统一编号。</w:t>
      </w:r>
    </w:p>
    <w:p w14:paraId="4A69C9BD">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执业会员证书由中评协印制、管理，地方协会发放。</w:t>
      </w:r>
    </w:p>
    <w:p w14:paraId="0744D58B">
      <w:pPr>
        <w:shd w:val="clear" w:color="auto" w:fill="FFFFFF"/>
        <w:spacing w:line="440" w:lineRule="atLeast"/>
        <w:ind w:firstLine="482"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b/>
          <w:color w:val="000000"/>
          <w:kern w:val="0"/>
          <w:sz w:val="24"/>
          <w:shd w:val="clear" w:color="auto" w:fill="FFFFFF"/>
          <w:lang w:val="zh-TW"/>
        </w:rPr>
        <w:t>第二十九条</w:t>
      </w:r>
      <w:r>
        <w:rPr>
          <w:rFonts w:hint="eastAsia" w:ascii="宋体" w:hAnsi="宋体" w:eastAsia="宋体" w:cs="宋体"/>
          <w:color w:val="000000"/>
          <w:kern w:val="0"/>
          <w:sz w:val="24"/>
          <w:shd w:val="clear" w:color="auto" w:fill="FFFFFF"/>
        </w:rPr>
        <w:t>　</w:t>
      </w:r>
      <w:r>
        <w:rPr>
          <w:rFonts w:hint="eastAsia" w:ascii="宋体" w:hAnsi="宋体" w:eastAsia="宋体" w:cs="宋体"/>
          <w:color w:val="000000"/>
          <w:kern w:val="0"/>
          <w:sz w:val="24"/>
          <w:shd w:val="clear" w:color="auto" w:fill="FFFFFF"/>
          <w:lang w:val="zh-TW" w:eastAsia="zh-TW"/>
        </w:rPr>
        <w:t>资产评估师印鉴由中评协统一规定规格和式样，并由地方协会制作、发放（附件7）。</w:t>
      </w:r>
    </w:p>
    <w:p w14:paraId="14520B9E">
      <w:pPr>
        <w:shd w:val="clear" w:color="auto" w:fill="FFFFFF"/>
        <w:spacing w:line="440" w:lineRule="atLeast"/>
        <w:ind w:firstLine="482"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b/>
          <w:color w:val="000000"/>
          <w:kern w:val="0"/>
          <w:sz w:val="24"/>
          <w:shd w:val="clear" w:color="auto" w:fill="FFFFFF"/>
          <w:lang w:val="zh-TW"/>
        </w:rPr>
        <w:t>第三十条</w:t>
      </w:r>
      <w:r>
        <w:rPr>
          <w:rFonts w:hint="eastAsia" w:ascii="宋体" w:hAnsi="宋体" w:eastAsia="宋体" w:cs="宋体"/>
          <w:color w:val="000000"/>
          <w:kern w:val="0"/>
          <w:sz w:val="24"/>
          <w:shd w:val="clear" w:color="auto" w:fill="FFFFFF"/>
        </w:rPr>
        <w:t>　</w:t>
      </w:r>
      <w:r>
        <w:rPr>
          <w:rFonts w:hint="eastAsia" w:ascii="宋体" w:hAnsi="宋体" w:eastAsia="宋体" w:cs="宋体"/>
          <w:color w:val="000000"/>
          <w:kern w:val="0"/>
          <w:sz w:val="24"/>
          <w:shd w:val="clear" w:color="auto" w:fill="FFFFFF"/>
          <w:lang w:val="zh-TW" w:eastAsia="zh-TW"/>
        </w:rPr>
        <w:t>资产评估师印鉴仅限本人使用，不得转让或者授权他人使用。</w:t>
      </w:r>
    </w:p>
    <w:p w14:paraId="3228F87A">
      <w:pPr>
        <w:shd w:val="clear" w:color="auto" w:fill="FFFFFF"/>
        <w:spacing w:line="440" w:lineRule="atLeast"/>
        <w:ind w:firstLine="482"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b/>
          <w:color w:val="000000"/>
          <w:kern w:val="0"/>
          <w:sz w:val="24"/>
          <w:shd w:val="clear" w:color="auto" w:fill="FFFFFF"/>
          <w:lang w:val="zh-TW"/>
        </w:rPr>
        <w:t>第三十一条</w:t>
      </w:r>
      <w:r>
        <w:rPr>
          <w:rFonts w:hint="eastAsia" w:ascii="宋体" w:hAnsi="宋体" w:eastAsia="宋体" w:cs="宋体"/>
          <w:color w:val="000000"/>
          <w:kern w:val="0"/>
          <w:sz w:val="24"/>
          <w:shd w:val="clear" w:color="auto" w:fill="FFFFFF"/>
        </w:rPr>
        <w:t>　</w:t>
      </w:r>
      <w:r>
        <w:rPr>
          <w:rFonts w:hint="eastAsia" w:ascii="宋体" w:hAnsi="宋体" w:eastAsia="宋体" w:cs="宋体"/>
          <w:color w:val="000000"/>
          <w:kern w:val="0"/>
          <w:sz w:val="24"/>
          <w:shd w:val="clear" w:color="auto" w:fill="FFFFFF"/>
          <w:lang w:val="zh-TW" w:eastAsia="zh-TW"/>
        </w:rPr>
        <w:t>资产评估师应当在其完成的资产评估报告中加盖本人印鉴，不得在未参与的资产评估报告中使用。</w:t>
      </w:r>
    </w:p>
    <w:p w14:paraId="49FFFE8C">
      <w:pPr>
        <w:shd w:val="clear" w:color="auto" w:fill="FFFFFF"/>
        <w:spacing w:line="440" w:lineRule="atLeast"/>
        <w:ind w:firstLine="482"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b/>
          <w:color w:val="000000"/>
          <w:kern w:val="0"/>
          <w:sz w:val="24"/>
          <w:shd w:val="clear" w:color="auto" w:fill="FFFFFF"/>
          <w:lang w:val="zh-TW"/>
        </w:rPr>
        <w:t>第三十二条</w:t>
      </w:r>
      <w:r>
        <w:rPr>
          <w:rFonts w:hint="eastAsia" w:ascii="宋体" w:hAnsi="宋体" w:eastAsia="宋体" w:cs="宋体"/>
          <w:color w:val="000000"/>
          <w:kern w:val="0"/>
          <w:sz w:val="24"/>
          <w:shd w:val="clear" w:color="auto" w:fill="FFFFFF"/>
        </w:rPr>
        <w:t>　</w:t>
      </w:r>
      <w:r>
        <w:rPr>
          <w:rFonts w:hint="eastAsia" w:ascii="宋体" w:hAnsi="宋体" w:eastAsia="宋体" w:cs="宋体"/>
          <w:color w:val="000000"/>
          <w:kern w:val="0"/>
          <w:sz w:val="24"/>
          <w:shd w:val="clear" w:color="auto" w:fill="FFFFFF"/>
          <w:lang w:val="zh-TW" w:eastAsia="zh-TW"/>
        </w:rPr>
        <w:t>资产评估师签署资产评估报告时使用的本人签名和印鉴应当与其《资产评估师职业资格证书登记卡》上记载的签名和印鉴一致。</w:t>
      </w:r>
    </w:p>
    <w:p w14:paraId="6424DDCA">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第七章　　附则</w:t>
      </w:r>
    </w:p>
    <w:p w14:paraId="0E25373B">
      <w:pPr>
        <w:shd w:val="clear" w:color="auto" w:fill="FFFFFF"/>
        <w:spacing w:line="440" w:lineRule="atLeast"/>
        <w:ind w:firstLine="482"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b/>
          <w:color w:val="000000"/>
          <w:kern w:val="0"/>
          <w:sz w:val="24"/>
          <w:shd w:val="clear" w:color="auto" w:fill="FFFFFF"/>
        </w:rPr>
        <w:t>第三十三条</w:t>
      </w:r>
      <w:r>
        <w:rPr>
          <w:rFonts w:hint="eastAsia" w:ascii="宋体" w:hAnsi="宋体" w:eastAsia="宋体" w:cs="宋体"/>
          <w:color w:val="000000"/>
          <w:kern w:val="0"/>
          <w:sz w:val="24"/>
          <w:shd w:val="clear" w:color="auto" w:fill="FFFFFF"/>
        </w:rPr>
        <w:t>　</w:t>
      </w:r>
      <w:r>
        <w:rPr>
          <w:rFonts w:hint="eastAsia" w:ascii="宋体" w:hAnsi="宋体" w:eastAsia="宋体" w:cs="宋体"/>
          <w:color w:val="000000"/>
          <w:kern w:val="0"/>
          <w:sz w:val="24"/>
          <w:shd w:val="clear" w:color="auto" w:fill="FFFFFF"/>
          <w:lang w:val="zh-TW" w:eastAsia="zh-TW"/>
        </w:rPr>
        <w:t>资产评估机构分支机构的执业会员办理相关手续参照本办法，并在分支机构所在地参加年检。</w:t>
      </w:r>
    </w:p>
    <w:p w14:paraId="2D0253B6">
      <w:pPr>
        <w:shd w:val="clear" w:color="auto" w:fill="FFFFFF"/>
        <w:spacing w:line="440" w:lineRule="atLeast"/>
        <w:ind w:firstLine="482"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b/>
          <w:color w:val="000000"/>
          <w:kern w:val="0"/>
          <w:sz w:val="24"/>
          <w:shd w:val="clear" w:color="auto" w:fill="FFFFFF"/>
          <w:lang w:val="zh-TW"/>
        </w:rPr>
        <w:t>第三十四条</w:t>
      </w:r>
      <w:r>
        <w:rPr>
          <w:rFonts w:hint="eastAsia" w:ascii="宋体" w:hAnsi="宋体" w:eastAsia="宋体" w:cs="宋体"/>
          <w:color w:val="000000"/>
          <w:kern w:val="0"/>
          <w:sz w:val="24"/>
          <w:shd w:val="clear" w:color="auto" w:fill="FFFFFF"/>
        </w:rPr>
        <w:t>　</w:t>
      </w:r>
      <w:r>
        <w:rPr>
          <w:rFonts w:hint="eastAsia" w:ascii="宋体" w:hAnsi="宋体" w:eastAsia="宋体" w:cs="宋体"/>
          <w:color w:val="000000"/>
          <w:kern w:val="0"/>
          <w:sz w:val="24"/>
          <w:shd w:val="clear" w:color="auto" w:fill="FFFFFF"/>
          <w:lang w:val="zh-TW" w:eastAsia="zh-TW"/>
        </w:rPr>
        <w:t>中评协直接受理执业会员（珠宝类）入会事宜。资产评估机构的非资产评估师合伙人或者股东，视同执业会员管理。</w:t>
      </w:r>
    </w:p>
    <w:p w14:paraId="0D97C585">
      <w:pPr>
        <w:shd w:val="clear" w:color="auto" w:fill="FFFFFF"/>
        <w:spacing w:line="440" w:lineRule="atLeast"/>
        <w:ind w:firstLine="482"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b/>
          <w:color w:val="000000"/>
          <w:kern w:val="0"/>
          <w:sz w:val="24"/>
          <w:shd w:val="clear" w:color="auto" w:fill="FFFFFF"/>
          <w:lang w:val="zh-TW"/>
        </w:rPr>
        <w:t>第三十五条</w:t>
      </w:r>
      <w:r>
        <w:rPr>
          <w:rFonts w:hint="eastAsia" w:ascii="宋体" w:hAnsi="宋体" w:eastAsia="宋体" w:cs="宋体"/>
          <w:color w:val="000000"/>
          <w:kern w:val="0"/>
          <w:sz w:val="24"/>
          <w:shd w:val="clear" w:color="auto" w:fill="FFFFFF"/>
        </w:rPr>
        <w:t>　</w:t>
      </w:r>
      <w:r>
        <w:rPr>
          <w:rFonts w:hint="eastAsia" w:ascii="宋体" w:hAnsi="宋体" w:eastAsia="宋体" w:cs="宋体"/>
          <w:color w:val="000000"/>
          <w:kern w:val="0"/>
          <w:sz w:val="24"/>
          <w:shd w:val="clear" w:color="auto" w:fill="FFFFFF"/>
          <w:lang w:val="zh-TW" w:eastAsia="zh-TW"/>
        </w:rPr>
        <w:t>持有原《注册资产评估师证书》的人员视同本办法所称执业会员,其原印鉴自本办法发布之日起继续有效一年。</w:t>
      </w:r>
    </w:p>
    <w:p w14:paraId="1F592174">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lang w:val="zh-TW"/>
        </w:rPr>
        <w:t>第三十六条</w:t>
      </w:r>
      <w:r>
        <w:rPr>
          <w:rFonts w:hint="eastAsia" w:ascii="宋体" w:hAnsi="宋体" w:eastAsia="宋体" w:cs="宋体"/>
          <w:color w:val="000000"/>
          <w:kern w:val="0"/>
          <w:sz w:val="24"/>
          <w:shd w:val="clear" w:color="auto" w:fill="FFFFFF"/>
        </w:rPr>
        <w:t>　</w:t>
      </w:r>
      <w:r>
        <w:rPr>
          <w:rFonts w:hint="eastAsia" w:ascii="宋体" w:hAnsi="宋体" w:eastAsia="宋体" w:cs="宋体"/>
          <w:color w:val="000000"/>
          <w:kern w:val="0"/>
          <w:sz w:val="24"/>
          <w:shd w:val="clear" w:color="auto" w:fill="FFFFFF"/>
          <w:lang w:val="zh-TW" w:eastAsia="zh-TW"/>
        </w:rPr>
        <w:t>本办法自发布之日起施行。</w:t>
      </w:r>
      <w:r>
        <w:rPr>
          <w:rFonts w:hint="eastAsia" w:ascii="宋体" w:hAnsi="宋体" w:eastAsia="宋体" w:cs="宋体"/>
          <w:color w:val="000000"/>
          <w:kern w:val="0"/>
          <w:sz w:val="24"/>
          <w:shd w:val="clear" w:color="auto" w:fill="FFFFFF"/>
        </w:rPr>
        <w:br w:type="page"/>
      </w:r>
    </w:p>
    <w:p w14:paraId="28077314">
      <w:pPr>
        <w:spacing w:line="440" w:lineRule="atLeast"/>
        <w:rPr>
          <w:rFonts w:ascii="宋体" w:hAnsi="宋体" w:eastAsia="宋体" w:cs="宋体"/>
          <w:bCs/>
          <w:sz w:val="24"/>
        </w:rPr>
      </w:pPr>
      <w:r>
        <w:rPr>
          <w:rFonts w:hint="eastAsia" w:ascii="宋体" w:hAnsi="宋体" w:eastAsia="宋体" w:cs="宋体"/>
          <w:bCs/>
          <w:sz w:val="24"/>
        </w:rPr>
        <w:t>附件1</w:t>
      </w:r>
    </w:p>
    <w:p w14:paraId="2AF26755">
      <w:pPr>
        <w:spacing w:line="440" w:lineRule="atLeast"/>
        <w:jc w:val="center"/>
        <w:rPr>
          <w:rFonts w:ascii="华文中宋" w:hAnsi="华文中宋" w:eastAsia="华文中宋"/>
          <w:b/>
          <w:spacing w:val="20"/>
          <w:sz w:val="36"/>
        </w:rPr>
      </w:pPr>
      <w:r>
        <w:rPr>
          <w:rFonts w:hint="eastAsia" w:ascii="华文中宋" w:hAnsi="华文中宋" w:eastAsia="华文中宋"/>
          <w:b/>
          <w:spacing w:val="20"/>
          <w:sz w:val="36"/>
        </w:rPr>
        <w:t>中国资产评估协会执业会员申请表</w:t>
      </w:r>
    </w:p>
    <w:tbl>
      <w:tblPr>
        <w:tblStyle w:val="24"/>
        <w:tblW w:w="88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4"/>
        <w:gridCol w:w="1677"/>
        <w:gridCol w:w="1701"/>
        <w:gridCol w:w="827"/>
        <w:gridCol w:w="1016"/>
        <w:gridCol w:w="1110"/>
        <w:gridCol w:w="425"/>
        <w:gridCol w:w="1642"/>
      </w:tblGrid>
      <w:tr w14:paraId="2CC3A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blHeader/>
          <w:jc w:val="center"/>
        </w:trPr>
        <w:tc>
          <w:tcPr>
            <w:tcW w:w="2101" w:type="dxa"/>
            <w:gridSpan w:val="2"/>
            <w:tcBorders>
              <w:top w:val="single" w:color="auto" w:sz="8" w:space="0"/>
              <w:left w:val="single" w:color="auto" w:sz="8" w:space="0"/>
            </w:tcBorders>
            <w:vAlign w:val="center"/>
          </w:tcPr>
          <w:p w14:paraId="614279F6">
            <w:pPr>
              <w:adjustRightInd w:val="0"/>
              <w:snapToGrid w:val="0"/>
              <w:spacing w:line="440" w:lineRule="atLeast"/>
              <w:jc w:val="center"/>
              <w:rPr>
                <w:rFonts w:ascii="华文仿宋" w:hAnsi="华文仿宋" w:eastAsia="华文仿宋"/>
                <w:sz w:val="24"/>
              </w:rPr>
            </w:pPr>
            <w:r>
              <w:rPr>
                <w:rFonts w:hint="eastAsia" w:ascii="华文仿宋" w:hAnsi="华文仿宋" w:eastAsia="华文仿宋"/>
                <w:sz w:val="24"/>
              </w:rPr>
              <w:t>姓　　　名</w:t>
            </w:r>
          </w:p>
        </w:tc>
        <w:tc>
          <w:tcPr>
            <w:tcW w:w="1701" w:type="dxa"/>
            <w:tcBorders>
              <w:top w:val="single" w:color="auto" w:sz="8" w:space="0"/>
              <w:bottom w:val="single" w:color="auto" w:sz="4" w:space="0"/>
            </w:tcBorders>
            <w:vAlign w:val="center"/>
          </w:tcPr>
          <w:p w14:paraId="6514CA74">
            <w:pPr>
              <w:adjustRightInd w:val="0"/>
              <w:snapToGrid w:val="0"/>
              <w:spacing w:line="440" w:lineRule="atLeast"/>
              <w:jc w:val="center"/>
              <w:rPr>
                <w:rFonts w:ascii="华文仿宋" w:hAnsi="华文仿宋" w:eastAsia="华文仿宋"/>
                <w:sz w:val="24"/>
              </w:rPr>
            </w:pPr>
          </w:p>
        </w:tc>
        <w:tc>
          <w:tcPr>
            <w:tcW w:w="1843" w:type="dxa"/>
            <w:gridSpan w:val="2"/>
            <w:tcBorders>
              <w:top w:val="single" w:color="auto" w:sz="8" w:space="0"/>
              <w:bottom w:val="single" w:color="auto" w:sz="4" w:space="0"/>
            </w:tcBorders>
            <w:vAlign w:val="center"/>
          </w:tcPr>
          <w:p w14:paraId="6FFD5830">
            <w:pPr>
              <w:adjustRightInd w:val="0"/>
              <w:snapToGrid w:val="0"/>
              <w:spacing w:line="440" w:lineRule="atLeast"/>
              <w:jc w:val="center"/>
              <w:rPr>
                <w:rFonts w:ascii="华文仿宋" w:hAnsi="华文仿宋" w:eastAsia="华文仿宋"/>
                <w:sz w:val="24"/>
              </w:rPr>
            </w:pPr>
            <w:r>
              <w:rPr>
                <w:rFonts w:hint="eastAsia" w:ascii="华文仿宋" w:hAnsi="华文仿宋" w:eastAsia="华文仿宋"/>
                <w:sz w:val="24"/>
              </w:rPr>
              <w:t>性　　　别</w:t>
            </w:r>
          </w:p>
        </w:tc>
        <w:tc>
          <w:tcPr>
            <w:tcW w:w="1535" w:type="dxa"/>
            <w:gridSpan w:val="2"/>
            <w:tcBorders>
              <w:top w:val="single" w:color="auto" w:sz="8" w:space="0"/>
              <w:bottom w:val="single" w:color="auto" w:sz="4" w:space="0"/>
            </w:tcBorders>
            <w:vAlign w:val="center"/>
          </w:tcPr>
          <w:p w14:paraId="59C583CE">
            <w:pPr>
              <w:adjustRightInd w:val="0"/>
              <w:snapToGrid w:val="0"/>
              <w:spacing w:line="440" w:lineRule="atLeast"/>
              <w:jc w:val="center"/>
              <w:rPr>
                <w:rFonts w:ascii="华文仿宋" w:hAnsi="华文仿宋" w:eastAsia="华文仿宋"/>
                <w:sz w:val="24"/>
              </w:rPr>
            </w:pPr>
          </w:p>
        </w:tc>
        <w:tc>
          <w:tcPr>
            <w:tcW w:w="1642" w:type="dxa"/>
            <w:vMerge w:val="restart"/>
            <w:tcBorders>
              <w:top w:val="single" w:color="auto" w:sz="8" w:space="0"/>
              <w:right w:val="single" w:color="auto" w:sz="8" w:space="0"/>
            </w:tcBorders>
            <w:vAlign w:val="center"/>
          </w:tcPr>
          <w:p w14:paraId="391D0D2F">
            <w:pPr>
              <w:adjustRightInd w:val="0"/>
              <w:snapToGrid w:val="0"/>
              <w:spacing w:line="440" w:lineRule="atLeast"/>
              <w:jc w:val="center"/>
              <w:rPr>
                <w:rFonts w:ascii="华文仿宋" w:hAnsi="华文仿宋" w:eastAsia="华文仿宋"/>
                <w:sz w:val="24"/>
              </w:rPr>
            </w:pPr>
            <w:r>
              <w:rPr>
                <w:rFonts w:hint="eastAsia" w:ascii="华文仿宋" w:hAnsi="华文仿宋" w:eastAsia="华文仿宋"/>
                <w:sz w:val="24"/>
              </w:rPr>
              <w:t>照　　片</w:t>
            </w:r>
          </w:p>
          <w:p w14:paraId="6F3AEF62">
            <w:pPr>
              <w:adjustRightInd w:val="0"/>
              <w:snapToGrid w:val="0"/>
              <w:spacing w:line="440" w:lineRule="atLeast"/>
              <w:jc w:val="center"/>
              <w:rPr>
                <w:rFonts w:ascii="华文仿宋" w:hAnsi="华文仿宋" w:eastAsia="华文仿宋"/>
                <w:sz w:val="24"/>
              </w:rPr>
            </w:pPr>
            <w:r>
              <w:rPr>
                <w:rFonts w:hint="eastAsia" w:ascii="华文仿宋" w:hAnsi="华文仿宋" w:eastAsia="华文仿宋"/>
                <w:sz w:val="24"/>
              </w:rPr>
              <w:t>（二寸免冠蓝底近照）</w:t>
            </w:r>
          </w:p>
        </w:tc>
      </w:tr>
      <w:tr w14:paraId="1621E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blHeader/>
          <w:jc w:val="center"/>
        </w:trPr>
        <w:tc>
          <w:tcPr>
            <w:tcW w:w="2101" w:type="dxa"/>
            <w:gridSpan w:val="2"/>
            <w:tcBorders>
              <w:top w:val="single" w:color="auto" w:sz="4" w:space="0"/>
              <w:left w:val="single" w:color="auto" w:sz="8" w:space="0"/>
            </w:tcBorders>
            <w:vAlign w:val="center"/>
          </w:tcPr>
          <w:p w14:paraId="7B4C2C64">
            <w:pPr>
              <w:adjustRightInd w:val="0"/>
              <w:snapToGrid w:val="0"/>
              <w:spacing w:line="440" w:lineRule="atLeast"/>
              <w:jc w:val="center"/>
              <w:rPr>
                <w:rFonts w:ascii="华文仿宋" w:hAnsi="华文仿宋" w:eastAsia="华文仿宋"/>
                <w:sz w:val="24"/>
              </w:rPr>
            </w:pPr>
            <w:r>
              <w:rPr>
                <w:rFonts w:hint="eastAsia" w:ascii="华文仿宋" w:hAnsi="华文仿宋" w:eastAsia="华文仿宋"/>
                <w:sz w:val="24"/>
              </w:rPr>
              <w:t>出生年月</w:t>
            </w:r>
          </w:p>
        </w:tc>
        <w:tc>
          <w:tcPr>
            <w:tcW w:w="1701" w:type="dxa"/>
            <w:tcBorders>
              <w:top w:val="single" w:color="auto" w:sz="4" w:space="0"/>
              <w:bottom w:val="single" w:color="auto" w:sz="4" w:space="0"/>
            </w:tcBorders>
            <w:vAlign w:val="center"/>
          </w:tcPr>
          <w:p w14:paraId="2B953A95">
            <w:pPr>
              <w:adjustRightInd w:val="0"/>
              <w:snapToGrid w:val="0"/>
              <w:spacing w:line="440" w:lineRule="atLeast"/>
              <w:jc w:val="center"/>
              <w:rPr>
                <w:rFonts w:ascii="华文仿宋" w:hAnsi="华文仿宋" w:eastAsia="华文仿宋"/>
                <w:sz w:val="24"/>
              </w:rPr>
            </w:pPr>
          </w:p>
        </w:tc>
        <w:tc>
          <w:tcPr>
            <w:tcW w:w="1843" w:type="dxa"/>
            <w:gridSpan w:val="2"/>
            <w:tcBorders>
              <w:top w:val="single" w:color="auto" w:sz="4" w:space="0"/>
              <w:bottom w:val="single" w:color="auto" w:sz="4" w:space="0"/>
            </w:tcBorders>
            <w:vAlign w:val="center"/>
          </w:tcPr>
          <w:p w14:paraId="6CD5F563">
            <w:pPr>
              <w:adjustRightInd w:val="0"/>
              <w:snapToGrid w:val="0"/>
              <w:spacing w:line="440" w:lineRule="atLeast"/>
              <w:jc w:val="center"/>
              <w:rPr>
                <w:rFonts w:ascii="华文仿宋" w:hAnsi="华文仿宋" w:eastAsia="华文仿宋"/>
                <w:sz w:val="24"/>
              </w:rPr>
            </w:pPr>
            <w:r>
              <w:rPr>
                <w:rFonts w:hint="eastAsia" w:ascii="华文仿宋" w:hAnsi="华文仿宋" w:eastAsia="华文仿宋"/>
                <w:sz w:val="24"/>
              </w:rPr>
              <w:t>民　　　族</w:t>
            </w:r>
          </w:p>
        </w:tc>
        <w:tc>
          <w:tcPr>
            <w:tcW w:w="1535" w:type="dxa"/>
            <w:gridSpan w:val="2"/>
            <w:tcBorders>
              <w:top w:val="single" w:color="auto" w:sz="4" w:space="0"/>
              <w:bottom w:val="single" w:color="auto" w:sz="4" w:space="0"/>
            </w:tcBorders>
            <w:vAlign w:val="center"/>
          </w:tcPr>
          <w:p w14:paraId="7D33190A">
            <w:pPr>
              <w:adjustRightInd w:val="0"/>
              <w:snapToGrid w:val="0"/>
              <w:spacing w:line="440" w:lineRule="atLeast"/>
              <w:jc w:val="center"/>
              <w:rPr>
                <w:rFonts w:ascii="华文仿宋" w:hAnsi="华文仿宋" w:eastAsia="华文仿宋"/>
                <w:sz w:val="24"/>
              </w:rPr>
            </w:pPr>
          </w:p>
        </w:tc>
        <w:tc>
          <w:tcPr>
            <w:tcW w:w="1642" w:type="dxa"/>
            <w:vMerge w:val="continue"/>
            <w:tcBorders>
              <w:top w:val="nil"/>
              <w:right w:val="single" w:color="auto" w:sz="8" w:space="0"/>
            </w:tcBorders>
            <w:vAlign w:val="center"/>
          </w:tcPr>
          <w:p w14:paraId="43301CA2">
            <w:pPr>
              <w:adjustRightInd w:val="0"/>
              <w:snapToGrid w:val="0"/>
              <w:spacing w:line="440" w:lineRule="atLeast"/>
              <w:jc w:val="center"/>
              <w:rPr>
                <w:rFonts w:ascii="华文仿宋" w:hAnsi="华文仿宋" w:eastAsia="华文仿宋"/>
                <w:sz w:val="24"/>
              </w:rPr>
            </w:pPr>
          </w:p>
        </w:tc>
      </w:tr>
      <w:tr w14:paraId="07294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blHeader/>
          <w:jc w:val="center"/>
        </w:trPr>
        <w:tc>
          <w:tcPr>
            <w:tcW w:w="2101" w:type="dxa"/>
            <w:gridSpan w:val="2"/>
            <w:tcBorders>
              <w:top w:val="single" w:color="auto" w:sz="4" w:space="0"/>
              <w:left w:val="single" w:color="auto" w:sz="8" w:space="0"/>
            </w:tcBorders>
            <w:vAlign w:val="center"/>
          </w:tcPr>
          <w:p w14:paraId="5122A7EF">
            <w:pPr>
              <w:adjustRightInd w:val="0"/>
              <w:snapToGrid w:val="0"/>
              <w:spacing w:line="440" w:lineRule="atLeast"/>
              <w:jc w:val="center"/>
              <w:rPr>
                <w:rFonts w:ascii="华文仿宋" w:hAnsi="华文仿宋" w:eastAsia="华文仿宋"/>
                <w:sz w:val="24"/>
              </w:rPr>
            </w:pPr>
            <w:r>
              <w:rPr>
                <w:rFonts w:ascii="华文仿宋" w:hAnsi="华文仿宋" w:eastAsia="华文仿宋"/>
                <w:sz w:val="24"/>
              </w:rPr>
              <w:t>国籍地区</w:t>
            </w:r>
          </w:p>
        </w:tc>
        <w:tc>
          <w:tcPr>
            <w:tcW w:w="1701" w:type="dxa"/>
            <w:tcBorders>
              <w:top w:val="single" w:color="auto" w:sz="4" w:space="0"/>
              <w:bottom w:val="single" w:color="auto" w:sz="4" w:space="0"/>
            </w:tcBorders>
            <w:vAlign w:val="center"/>
          </w:tcPr>
          <w:p w14:paraId="7F4D5F1D">
            <w:pPr>
              <w:adjustRightInd w:val="0"/>
              <w:snapToGrid w:val="0"/>
              <w:spacing w:line="440" w:lineRule="atLeast"/>
              <w:jc w:val="center"/>
              <w:rPr>
                <w:rFonts w:ascii="华文仿宋" w:hAnsi="华文仿宋" w:eastAsia="华文仿宋"/>
                <w:sz w:val="24"/>
              </w:rPr>
            </w:pPr>
          </w:p>
        </w:tc>
        <w:tc>
          <w:tcPr>
            <w:tcW w:w="1843" w:type="dxa"/>
            <w:gridSpan w:val="2"/>
            <w:tcBorders>
              <w:top w:val="single" w:color="auto" w:sz="4" w:space="0"/>
              <w:bottom w:val="single" w:color="auto" w:sz="4" w:space="0"/>
            </w:tcBorders>
            <w:vAlign w:val="center"/>
          </w:tcPr>
          <w:p w14:paraId="4938E19E">
            <w:pPr>
              <w:adjustRightInd w:val="0"/>
              <w:snapToGrid w:val="0"/>
              <w:spacing w:line="440" w:lineRule="atLeast"/>
              <w:jc w:val="center"/>
              <w:rPr>
                <w:rFonts w:ascii="华文仿宋" w:hAnsi="华文仿宋" w:eastAsia="华文仿宋"/>
                <w:sz w:val="24"/>
              </w:rPr>
            </w:pPr>
            <w:r>
              <w:rPr>
                <w:rFonts w:hint="eastAsia" w:ascii="华文仿宋" w:hAnsi="华文仿宋" w:eastAsia="华文仿宋"/>
                <w:spacing w:val="-10"/>
                <w:sz w:val="24"/>
              </w:rPr>
              <w:t>政治面貌</w:t>
            </w:r>
          </w:p>
        </w:tc>
        <w:tc>
          <w:tcPr>
            <w:tcW w:w="1535" w:type="dxa"/>
            <w:gridSpan w:val="2"/>
            <w:tcBorders>
              <w:top w:val="single" w:color="auto" w:sz="4" w:space="0"/>
              <w:bottom w:val="single" w:color="auto" w:sz="4" w:space="0"/>
            </w:tcBorders>
            <w:vAlign w:val="center"/>
          </w:tcPr>
          <w:p w14:paraId="5E04D34C">
            <w:pPr>
              <w:adjustRightInd w:val="0"/>
              <w:snapToGrid w:val="0"/>
              <w:spacing w:line="440" w:lineRule="atLeast"/>
              <w:jc w:val="center"/>
              <w:rPr>
                <w:rFonts w:ascii="华文仿宋" w:hAnsi="华文仿宋" w:eastAsia="华文仿宋"/>
                <w:sz w:val="24"/>
              </w:rPr>
            </w:pPr>
          </w:p>
        </w:tc>
        <w:tc>
          <w:tcPr>
            <w:tcW w:w="1642" w:type="dxa"/>
            <w:vMerge w:val="continue"/>
            <w:tcBorders>
              <w:top w:val="nil"/>
              <w:right w:val="single" w:color="auto" w:sz="8" w:space="0"/>
            </w:tcBorders>
            <w:vAlign w:val="center"/>
          </w:tcPr>
          <w:p w14:paraId="176123AA">
            <w:pPr>
              <w:adjustRightInd w:val="0"/>
              <w:snapToGrid w:val="0"/>
              <w:spacing w:line="440" w:lineRule="atLeast"/>
              <w:jc w:val="center"/>
              <w:rPr>
                <w:rFonts w:ascii="华文仿宋" w:hAnsi="华文仿宋" w:eastAsia="华文仿宋"/>
                <w:sz w:val="24"/>
              </w:rPr>
            </w:pPr>
          </w:p>
        </w:tc>
      </w:tr>
      <w:tr w14:paraId="27E0A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blHeader/>
          <w:jc w:val="center"/>
        </w:trPr>
        <w:tc>
          <w:tcPr>
            <w:tcW w:w="2101" w:type="dxa"/>
            <w:gridSpan w:val="2"/>
            <w:tcBorders>
              <w:left w:val="single" w:color="auto" w:sz="8" w:space="0"/>
            </w:tcBorders>
            <w:vAlign w:val="center"/>
          </w:tcPr>
          <w:p w14:paraId="2073A159">
            <w:pPr>
              <w:adjustRightInd w:val="0"/>
              <w:snapToGrid w:val="0"/>
              <w:spacing w:line="440" w:lineRule="atLeast"/>
              <w:jc w:val="center"/>
              <w:rPr>
                <w:rFonts w:ascii="华文仿宋" w:hAnsi="华文仿宋" w:eastAsia="华文仿宋"/>
                <w:sz w:val="24"/>
              </w:rPr>
            </w:pPr>
            <w:r>
              <w:rPr>
                <w:rFonts w:hint="eastAsia" w:ascii="华文仿宋" w:hAnsi="华文仿宋" w:eastAsia="华文仿宋"/>
                <w:sz w:val="24"/>
              </w:rPr>
              <w:t>身份证号码</w:t>
            </w:r>
          </w:p>
        </w:tc>
        <w:tc>
          <w:tcPr>
            <w:tcW w:w="5079" w:type="dxa"/>
            <w:gridSpan w:val="5"/>
            <w:tcBorders>
              <w:top w:val="single" w:color="auto" w:sz="4" w:space="0"/>
              <w:bottom w:val="single" w:color="auto" w:sz="4" w:space="0"/>
            </w:tcBorders>
            <w:vAlign w:val="center"/>
          </w:tcPr>
          <w:p w14:paraId="2AF63767">
            <w:pPr>
              <w:adjustRightInd w:val="0"/>
              <w:snapToGrid w:val="0"/>
              <w:spacing w:line="440" w:lineRule="atLeast"/>
              <w:jc w:val="center"/>
              <w:rPr>
                <w:rFonts w:ascii="华文仿宋" w:hAnsi="华文仿宋" w:eastAsia="华文仿宋"/>
                <w:sz w:val="24"/>
              </w:rPr>
            </w:pPr>
          </w:p>
        </w:tc>
        <w:tc>
          <w:tcPr>
            <w:tcW w:w="1642" w:type="dxa"/>
            <w:vMerge w:val="continue"/>
            <w:tcBorders>
              <w:top w:val="nil"/>
              <w:right w:val="single" w:color="auto" w:sz="8" w:space="0"/>
            </w:tcBorders>
            <w:vAlign w:val="center"/>
          </w:tcPr>
          <w:p w14:paraId="4B29072D">
            <w:pPr>
              <w:adjustRightInd w:val="0"/>
              <w:snapToGrid w:val="0"/>
              <w:spacing w:line="440" w:lineRule="atLeast"/>
              <w:jc w:val="center"/>
              <w:rPr>
                <w:rFonts w:ascii="华文仿宋" w:hAnsi="华文仿宋" w:eastAsia="华文仿宋"/>
                <w:sz w:val="24"/>
              </w:rPr>
            </w:pPr>
          </w:p>
        </w:tc>
      </w:tr>
      <w:tr w14:paraId="5F269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67" w:hRule="exact"/>
          <w:tblHeader/>
          <w:jc w:val="center"/>
        </w:trPr>
        <w:tc>
          <w:tcPr>
            <w:tcW w:w="2101" w:type="dxa"/>
            <w:gridSpan w:val="2"/>
            <w:tcBorders>
              <w:left w:val="single" w:color="auto" w:sz="8" w:space="0"/>
            </w:tcBorders>
            <w:vAlign w:val="center"/>
          </w:tcPr>
          <w:p w14:paraId="59484279">
            <w:pPr>
              <w:adjustRightInd w:val="0"/>
              <w:snapToGrid w:val="0"/>
              <w:spacing w:line="440" w:lineRule="atLeast"/>
              <w:jc w:val="center"/>
              <w:rPr>
                <w:rFonts w:ascii="华文仿宋" w:hAnsi="华文仿宋" w:eastAsia="华文仿宋"/>
                <w:sz w:val="24"/>
              </w:rPr>
            </w:pPr>
            <w:r>
              <w:rPr>
                <w:rFonts w:hint="eastAsia" w:ascii="华文仿宋" w:hAnsi="华文仿宋" w:eastAsia="华文仿宋"/>
                <w:sz w:val="24"/>
              </w:rPr>
              <w:t>省（市）</w:t>
            </w:r>
          </w:p>
        </w:tc>
        <w:tc>
          <w:tcPr>
            <w:tcW w:w="2528" w:type="dxa"/>
            <w:gridSpan w:val="2"/>
            <w:tcBorders>
              <w:top w:val="single" w:color="auto" w:sz="4" w:space="0"/>
              <w:bottom w:val="single" w:color="auto" w:sz="4" w:space="0"/>
            </w:tcBorders>
            <w:vAlign w:val="center"/>
          </w:tcPr>
          <w:p w14:paraId="63114719">
            <w:pPr>
              <w:adjustRightInd w:val="0"/>
              <w:snapToGrid w:val="0"/>
              <w:spacing w:line="440" w:lineRule="atLeast"/>
              <w:jc w:val="center"/>
              <w:rPr>
                <w:rFonts w:ascii="华文仿宋" w:hAnsi="华文仿宋" w:eastAsia="华文仿宋"/>
                <w:sz w:val="24"/>
              </w:rPr>
            </w:pPr>
          </w:p>
        </w:tc>
        <w:tc>
          <w:tcPr>
            <w:tcW w:w="2126" w:type="dxa"/>
            <w:gridSpan w:val="2"/>
            <w:tcBorders>
              <w:top w:val="single" w:color="auto" w:sz="4" w:space="0"/>
              <w:bottom w:val="single" w:color="auto" w:sz="4" w:space="0"/>
              <w:right w:val="single" w:color="auto" w:sz="8" w:space="0"/>
            </w:tcBorders>
            <w:vAlign w:val="center"/>
          </w:tcPr>
          <w:p w14:paraId="3B05FE8C">
            <w:pPr>
              <w:adjustRightInd w:val="0"/>
              <w:snapToGrid w:val="0"/>
              <w:spacing w:line="440" w:lineRule="atLeast"/>
              <w:jc w:val="center"/>
              <w:rPr>
                <w:rFonts w:ascii="华文仿宋" w:hAnsi="华文仿宋" w:eastAsia="华文仿宋"/>
                <w:sz w:val="24"/>
              </w:rPr>
            </w:pPr>
            <w:r>
              <w:rPr>
                <w:rFonts w:hint="eastAsia" w:ascii="华文仿宋" w:hAnsi="华文仿宋" w:eastAsia="华文仿宋"/>
                <w:sz w:val="24"/>
              </w:rPr>
              <w:t>地（市）</w:t>
            </w:r>
          </w:p>
        </w:tc>
        <w:tc>
          <w:tcPr>
            <w:tcW w:w="2067" w:type="dxa"/>
            <w:gridSpan w:val="2"/>
            <w:tcBorders>
              <w:top w:val="single" w:color="auto" w:sz="4" w:space="0"/>
              <w:bottom w:val="single" w:color="auto" w:sz="4" w:space="0"/>
              <w:right w:val="single" w:color="auto" w:sz="8" w:space="0"/>
            </w:tcBorders>
            <w:vAlign w:val="center"/>
          </w:tcPr>
          <w:p w14:paraId="3502A639">
            <w:pPr>
              <w:adjustRightInd w:val="0"/>
              <w:snapToGrid w:val="0"/>
              <w:spacing w:line="440" w:lineRule="atLeast"/>
              <w:jc w:val="center"/>
              <w:rPr>
                <w:rFonts w:ascii="华文仿宋" w:hAnsi="华文仿宋" w:eastAsia="华文仿宋"/>
                <w:sz w:val="24"/>
              </w:rPr>
            </w:pPr>
          </w:p>
        </w:tc>
      </w:tr>
      <w:tr w14:paraId="0D24A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67" w:hRule="exact"/>
          <w:tblHeader/>
          <w:jc w:val="center"/>
        </w:trPr>
        <w:tc>
          <w:tcPr>
            <w:tcW w:w="2101" w:type="dxa"/>
            <w:gridSpan w:val="2"/>
            <w:tcBorders>
              <w:left w:val="single" w:color="auto" w:sz="8" w:space="0"/>
            </w:tcBorders>
            <w:vAlign w:val="center"/>
          </w:tcPr>
          <w:p w14:paraId="6ABCD536">
            <w:pPr>
              <w:adjustRightInd w:val="0"/>
              <w:snapToGrid w:val="0"/>
              <w:spacing w:line="440" w:lineRule="atLeast"/>
              <w:jc w:val="center"/>
              <w:rPr>
                <w:rFonts w:ascii="华文仿宋" w:hAnsi="华文仿宋" w:eastAsia="华文仿宋"/>
                <w:sz w:val="24"/>
              </w:rPr>
            </w:pPr>
            <w:r>
              <w:rPr>
                <w:rFonts w:ascii="华文仿宋" w:hAnsi="华文仿宋" w:eastAsia="华文仿宋"/>
                <w:sz w:val="24"/>
              </w:rPr>
              <w:t>毕业学校</w:t>
            </w:r>
          </w:p>
        </w:tc>
        <w:tc>
          <w:tcPr>
            <w:tcW w:w="2528" w:type="dxa"/>
            <w:gridSpan w:val="2"/>
            <w:tcBorders>
              <w:top w:val="single" w:color="auto" w:sz="4" w:space="0"/>
              <w:bottom w:val="single" w:color="auto" w:sz="4" w:space="0"/>
              <w:right w:val="single" w:color="auto" w:sz="4" w:space="0"/>
            </w:tcBorders>
            <w:vAlign w:val="center"/>
          </w:tcPr>
          <w:p w14:paraId="03174CBB">
            <w:pPr>
              <w:adjustRightInd w:val="0"/>
              <w:snapToGrid w:val="0"/>
              <w:spacing w:line="440" w:lineRule="atLeast"/>
              <w:jc w:val="center"/>
              <w:rPr>
                <w:rFonts w:ascii="华文仿宋" w:hAnsi="华文仿宋" w:eastAsia="华文仿宋"/>
                <w:sz w:val="24"/>
              </w:rPr>
            </w:pPr>
          </w:p>
        </w:tc>
        <w:tc>
          <w:tcPr>
            <w:tcW w:w="2126" w:type="dxa"/>
            <w:gridSpan w:val="2"/>
            <w:tcBorders>
              <w:top w:val="single" w:color="auto" w:sz="4" w:space="0"/>
              <w:bottom w:val="single" w:color="auto" w:sz="4" w:space="0"/>
              <w:right w:val="single" w:color="auto" w:sz="4" w:space="0"/>
            </w:tcBorders>
            <w:vAlign w:val="center"/>
          </w:tcPr>
          <w:p w14:paraId="33B40B4D">
            <w:pPr>
              <w:adjustRightInd w:val="0"/>
              <w:snapToGrid w:val="0"/>
              <w:spacing w:line="440" w:lineRule="atLeast"/>
              <w:jc w:val="center"/>
              <w:rPr>
                <w:rFonts w:ascii="华文仿宋" w:hAnsi="华文仿宋" w:eastAsia="华文仿宋"/>
                <w:sz w:val="24"/>
              </w:rPr>
            </w:pPr>
            <w:r>
              <w:rPr>
                <w:rFonts w:ascii="华文仿宋" w:hAnsi="华文仿宋" w:eastAsia="华文仿宋"/>
                <w:sz w:val="24"/>
              </w:rPr>
              <w:t>毕业日期</w:t>
            </w:r>
          </w:p>
        </w:tc>
        <w:tc>
          <w:tcPr>
            <w:tcW w:w="2067" w:type="dxa"/>
            <w:gridSpan w:val="2"/>
            <w:tcBorders>
              <w:top w:val="single" w:color="auto" w:sz="4" w:space="0"/>
              <w:bottom w:val="single" w:color="auto" w:sz="4" w:space="0"/>
              <w:right w:val="single" w:color="auto" w:sz="8" w:space="0"/>
            </w:tcBorders>
            <w:vAlign w:val="center"/>
          </w:tcPr>
          <w:p w14:paraId="1A049564">
            <w:pPr>
              <w:adjustRightInd w:val="0"/>
              <w:snapToGrid w:val="0"/>
              <w:spacing w:line="440" w:lineRule="atLeast"/>
              <w:jc w:val="center"/>
              <w:rPr>
                <w:rFonts w:ascii="华文仿宋" w:hAnsi="华文仿宋" w:eastAsia="华文仿宋"/>
                <w:sz w:val="24"/>
              </w:rPr>
            </w:pPr>
          </w:p>
        </w:tc>
      </w:tr>
      <w:tr w14:paraId="70F4F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67" w:hRule="exact"/>
          <w:tblHeader/>
          <w:jc w:val="center"/>
        </w:trPr>
        <w:tc>
          <w:tcPr>
            <w:tcW w:w="2101" w:type="dxa"/>
            <w:gridSpan w:val="2"/>
            <w:tcBorders>
              <w:left w:val="single" w:color="auto" w:sz="8" w:space="0"/>
            </w:tcBorders>
            <w:vAlign w:val="center"/>
          </w:tcPr>
          <w:p w14:paraId="0305BE0D">
            <w:pPr>
              <w:adjustRightInd w:val="0"/>
              <w:snapToGrid w:val="0"/>
              <w:spacing w:line="440" w:lineRule="atLeast"/>
              <w:jc w:val="center"/>
              <w:rPr>
                <w:rFonts w:ascii="华文仿宋" w:hAnsi="华文仿宋" w:eastAsia="华文仿宋"/>
                <w:sz w:val="24"/>
              </w:rPr>
            </w:pPr>
            <w:r>
              <w:rPr>
                <w:rFonts w:hint="eastAsia" w:ascii="华文仿宋" w:hAnsi="华文仿宋" w:eastAsia="华文仿宋"/>
                <w:sz w:val="24"/>
              </w:rPr>
              <w:t>所学专业</w:t>
            </w:r>
          </w:p>
        </w:tc>
        <w:tc>
          <w:tcPr>
            <w:tcW w:w="2528" w:type="dxa"/>
            <w:gridSpan w:val="2"/>
            <w:tcBorders>
              <w:top w:val="single" w:color="auto" w:sz="4" w:space="0"/>
              <w:bottom w:val="single" w:color="auto" w:sz="4" w:space="0"/>
              <w:right w:val="single" w:color="auto" w:sz="4" w:space="0"/>
            </w:tcBorders>
            <w:vAlign w:val="center"/>
          </w:tcPr>
          <w:p w14:paraId="67570986">
            <w:pPr>
              <w:adjustRightInd w:val="0"/>
              <w:snapToGrid w:val="0"/>
              <w:spacing w:line="440" w:lineRule="atLeast"/>
              <w:jc w:val="center"/>
              <w:rPr>
                <w:rFonts w:ascii="华文仿宋" w:hAnsi="华文仿宋" w:eastAsia="华文仿宋"/>
                <w:sz w:val="24"/>
              </w:rPr>
            </w:pPr>
          </w:p>
        </w:tc>
        <w:tc>
          <w:tcPr>
            <w:tcW w:w="2126" w:type="dxa"/>
            <w:gridSpan w:val="2"/>
            <w:tcBorders>
              <w:top w:val="single" w:color="auto" w:sz="4" w:space="0"/>
              <w:bottom w:val="single" w:color="auto" w:sz="4" w:space="0"/>
              <w:right w:val="single" w:color="auto" w:sz="4" w:space="0"/>
            </w:tcBorders>
            <w:vAlign w:val="center"/>
          </w:tcPr>
          <w:p w14:paraId="3382852E">
            <w:pPr>
              <w:adjustRightInd w:val="0"/>
              <w:snapToGrid w:val="0"/>
              <w:spacing w:line="440" w:lineRule="atLeast"/>
              <w:jc w:val="center"/>
              <w:rPr>
                <w:rFonts w:ascii="华文仿宋" w:hAnsi="华文仿宋" w:eastAsia="华文仿宋"/>
                <w:sz w:val="22"/>
              </w:rPr>
            </w:pPr>
            <w:r>
              <w:rPr>
                <w:rFonts w:hint="eastAsia" w:ascii="华文仿宋" w:hAnsi="华文仿宋" w:eastAsia="华文仿宋"/>
                <w:sz w:val="22"/>
              </w:rPr>
              <w:t>最高学历、学位</w:t>
            </w:r>
          </w:p>
        </w:tc>
        <w:tc>
          <w:tcPr>
            <w:tcW w:w="2067" w:type="dxa"/>
            <w:gridSpan w:val="2"/>
            <w:tcBorders>
              <w:top w:val="single" w:color="auto" w:sz="4" w:space="0"/>
              <w:bottom w:val="single" w:color="auto" w:sz="4" w:space="0"/>
              <w:right w:val="single" w:color="auto" w:sz="8" w:space="0"/>
            </w:tcBorders>
            <w:vAlign w:val="center"/>
          </w:tcPr>
          <w:p w14:paraId="4317D522">
            <w:pPr>
              <w:adjustRightInd w:val="0"/>
              <w:snapToGrid w:val="0"/>
              <w:spacing w:line="440" w:lineRule="atLeast"/>
              <w:jc w:val="center"/>
              <w:rPr>
                <w:rFonts w:ascii="华文仿宋" w:hAnsi="华文仿宋" w:eastAsia="华文仿宋"/>
                <w:sz w:val="24"/>
              </w:rPr>
            </w:pPr>
          </w:p>
        </w:tc>
      </w:tr>
      <w:tr w14:paraId="79C6A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2" w:hRule="exact"/>
          <w:tblHeader/>
          <w:jc w:val="center"/>
        </w:trPr>
        <w:tc>
          <w:tcPr>
            <w:tcW w:w="2101" w:type="dxa"/>
            <w:gridSpan w:val="2"/>
            <w:tcBorders>
              <w:top w:val="single" w:color="auto" w:sz="4" w:space="0"/>
              <w:left w:val="single" w:color="auto" w:sz="8" w:space="0"/>
              <w:bottom w:val="single" w:color="auto" w:sz="4" w:space="0"/>
              <w:right w:val="single" w:color="auto" w:sz="4" w:space="0"/>
            </w:tcBorders>
            <w:vAlign w:val="center"/>
          </w:tcPr>
          <w:p w14:paraId="40EE22CA">
            <w:pPr>
              <w:adjustRightInd w:val="0"/>
              <w:snapToGrid w:val="0"/>
              <w:spacing w:line="440" w:lineRule="atLeast"/>
              <w:jc w:val="center"/>
              <w:rPr>
                <w:rFonts w:ascii="华文仿宋" w:hAnsi="华文仿宋" w:eastAsia="华文仿宋"/>
                <w:sz w:val="24"/>
              </w:rPr>
            </w:pPr>
            <w:r>
              <w:rPr>
                <w:rFonts w:hint="eastAsia" w:ascii="华文仿宋" w:hAnsi="华文仿宋" w:eastAsia="华文仿宋"/>
                <w:sz w:val="24"/>
              </w:rPr>
              <w:t>现工作单位</w:t>
            </w:r>
          </w:p>
        </w:tc>
        <w:tc>
          <w:tcPr>
            <w:tcW w:w="2528" w:type="dxa"/>
            <w:gridSpan w:val="2"/>
            <w:tcBorders>
              <w:top w:val="single" w:color="auto" w:sz="4" w:space="0"/>
              <w:left w:val="single" w:color="auto" w:sz="4" w:space="0"/>
              <w:bottom w:val="single" w:color="auto" w:sz="4" w:space="0"/>
              <w:right w:val="single" w:color="auto" w:sz="4" w:space="0"/>
            </w:tcBorders>
            <w:vAlign w:val="center"/>
          </w:tcPr>
          <w:p w14:paraId="5E262B5C">
            <w:pPr>
              <w:adjustRightInd w:val="0"/>
              <w:snapToGrid w:val="0"/>
              <w:spacing w:line="440" w:lineRule="atLeast"/>
              <w:jc w:val="center"/>
              <w:rPr>
                <w:rFonts w:ascii="华文仿宋" w:hAnsi="华文仿宋" w:eastAsia="华文仿宋"/>
                <w:sz w:val="24"/>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14:paraId="0D5DBEA9">
            <w:pPr>
              <w:adjustRightInd w:val="0"/>
              <w:snapToGrid w:val="0"/>
              <w:spacing w:line="440" w:lineRule="atLeast"/>
              <w:jc w:val="center"/>
              <w:rPr>
                <w:rFonts w:ascii="华文仿宋" w:hAnsi="华文仿宋" w:eastAsia="华文仿宋"/>
                <w:sz w:val="24"/>
              </w:rPr>
            </w:pPr>
            <w:r>
              <w:rPr>
                <w:rFonts w:hint="eastAsia" w:ascii="华文仿宋" w:hAnsi="华文仿宋" w:eastAsia="华文仿宋"/>
                <w:sz w:val="24"/>
              </w:rPr>
              <w:t>参加工作时间</w:t>
            </w:r>
          </w:p>
        </w:tc>
        <w:tc>
          <w:tcPr>
            <w:tcW w:w="2067" w:type="dxa"/>
            <w:gridSpan w:val="2"/>
            <w:tcBorders>
              <w:top w:val="single" w:color="auto" w:sz="4" w:space="0"/>
              <w:left w:val="single" w:color="auto" w:sz="4" w:space="0"/>
              <w:bottom w:val="single" w:color="auto" w:sz="4" w:space="0"/>
              <w:right w:val="single" w:color="auto" w:sz="8" w:space="0"/>
            </w:tcBorders>
            <w:vAlign w:val="center"/>
          </w:tcPr>
          <w:p w14:paraId="3BF68C05">
            <w:pPr>
              <w:adjustRightInd w:val="0"/>
              <w:snapToGrid w:val="0"/>
              <w:spacing w:line="440" w:lineRule="atLeast"/>
              <w:jc w:val="center"/>
              <w:rPr>
                <w:rFonts w:ascii="华文仿宋" w:hAnsi="华文仿宋" w:eastAsia="华文仿宋"/>
                <w:sz w:val="24"/>
              </w:rPr>
            </w:pPr>
          </w:p>
        </w:tc>
      </w:tr>
      <w:tr w14:paraId="52464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blHeader/>
          <w:jc w:val="center"/>
        </w:trPr>
        <w:tc>
          <w:tcPr>
            <w:tcW w:w="2101" w:type="dxa"/>
            <w:gridSpan w:val="2"/>
            <w:tcBorders>
              <w:left w:val="single" w:color="auto" w:sz="8" w:space="0"/>
            </w:tcBorders>
            <w:vAlign w:val="center"/>
          </w:tcPr>
          <w:p w14:paraId="29EB47E6">
            <w:pPr>
              <w:adjustRightInd w:val="0"/>
              <w:snapToGrid w:val="0"/>
              <w:spacing w:line="440" w:lineRule="atLeast"/>
              <w:jc w:val="center"/>
              <w:rPr>
                <w:rFonts w:ascii="华文仿宋" w:hAnsi="华文仿宋" w:eastAsia="华文仿宋"/>
                <w:sz w:val="24"/>
              </w:rPr>
            </w:pPr>
            <w:r>
              <w:rPr>
                <w:rFonts w:hint="eastAsia" w:ascii="华文仿宋" w:hAnsi="华文仿宋" w:eastAsia="华文仿宋"/>
                <w:sz w:val="24"/>
              </w:rPr>
              <w:t>职称</w:t>
            </w:r>
          </w:p>
        </w:tc>
        <w:tc>
          <w:tcPr>
            <w:tcW w:w="2528" w:type="dxa"/>
            <w:gridSpan w:val="2"/>
            <w:tcBorders>
              <w:top w:val="single" w:color="auto" w:sz="4" w:space="0"/>
              <w:bottom w:val="single" w:color="auto" w:sz="4" w:space="0"/>
              <w:right w:val="single" w:color="auto" w:sz="4" w:space="0"/>
            </w:tcBorders>
            <w:vAlign w:val="center"/>
          </w:tcPr>
          <w:p w14:paraId="67967B1C">
            <w:pPr>
              <w:adjustRightInd w:val="0"/>
              <w:snapToGrid w:val="0"/>
              <w:spacing w:line="440" w:lineRule="atLeast"/>
              <w:jc w:val="center"/>
              <w:rPr>
                <w:rFonts w:ascii="华文仿宋" w:hAnsi="华文仿宋" w:eastAsia="华文仿宋"/>
                <w:sz w:val="24"/>
              </w:rPr>
            </w:pPr>
          </w:p>
        </w:tc>
        <w:tc>
          <w:tcPr>
            <w:tcW w:w="2126" w:type="dxa"/>
            <w:gridSpan w:val="2"/>
            <w:tcBorders>
              <w:top w:val="single" w:color="auto" w:sz="4" w:space="0"/>
              <w:bottom w:val="single" w:color="auto" w:sz="4" w:space="0"/>
              <w:right w:val="single" w:color="auto" w:sz="4" w:space="0"/>
            </w:tcBorders>
            <w:vAlign w:val="center"/>
          </w:tcPr>
          <w:p w14:paraId="179778DB">
            <w:pPr>
              <w:adjustRightInd w:val="0"/>
              <w:snapToGrid w:val="0"/>
              <w:spacing w:line="440" w:lineRule="atLeast"/>
              <w:jc w:val="center"/>
              <w:rPr>
                <w:rFonts w:ascii="华文仿宋" w:hAnsi="华文仿宋" w:eastAsia="华文仿宋"/>
                <w:sz w:val="24"/>
              </w:rPr>
            </w:pPr>
            <w:r>
              <w:rPr>
                <w:rFonts w:hint="eastAsia" w:ascii="华文仿宋" w:hAnsi="华文仿宋" w:eastAsia="华文仿宋"/>
                <w:sz w:val="24"/>
              </w:rPr>
              <w:t>职务</w:t>
            </w:r>
          </w:p>
        </w:tc>
        <w:tc>
          <w:tcPr>
            <w:tcW w:w="2067" w:type="dxa"/>
            <w:gridSpan w:val="2"/>
            <w:tcBorders>
              <w:top w:val="single" w:color="auto" w:sz="4" w:space="0"/>
              <w:bottom w:val="single" w:color="auto" w:sz="4" w:space="0"/>
              <w:right w:val="single" w:color="auto" w:sz="8" w:space="0"/>
            </w:tcBorders>
            <w:vAlign w:val="center"/>
          </w:tcPr>
          <w:p w14:paraId="1793267E">
            <w:pPr>
              <w:adjustRightInd w:val="0"/>
              <w:snapToGrid w:val="0"/>
              <w:spacing w:line="440" w:lineRule="atLeast"/>
              <w:jc w:val="center"/>
              <w:rPr>
                <w:rFonts w:ascii="华文仿宋" w:hAnsi="华文仿宋" w:eastAsia="华文仿宋"/>
                <w:sz w:val="24"/>
              </w:rPr>
            </w:pPr>
          </w:p>
        </w:tc>
      </w:tr>
      <w:tr w14:paraId="1D131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blHeader/>
          <w:jc w:val="center"/>
        </w:trPr>
        <w:tc>
          <w:tcPr>
            <w:tcW w:w="2101" w:type="dxa"/>
            <w:gridSpan w:val="2"/>
            <w:tcBorders>
              <w:left w:val="single" w:color="auto" w:sz="8" w:space="0"/>
            </w:tcBorders>
            <w:vAlign w:val="center"/>
          </w:tcPr>
          <w:p w14:paraId="71CF4BDA">
            <w:pPr>
              <w:adjustRightInd w:val="0"/>
              <w:snapToGrid w:val="0"/>
              <w:spacing w:line="440" w:lineRule="atLeast"/>
              <w:jc w:val="center"/>
              <w:rPr>
                <w:rFonts w:ascii="华文仿宋" w:hAnsi="华文仿宋" w:eastAsia="华文仿宋"/>
                <w:sz w:val="24"/>
              </w:rPr>
            </w:pPr>
            <w:r>
              <w:rPr>
                <w:rFonts w:hint="eastAsia" w:ascii="华文仿宋" w:hAnsi="华文仿宋" w:eastAsia="华文仿宋"/>
                <w:sz w:val="24"/>
              </w:rPr>
              <w:t>通讯地址</w:t>
            </w:r>
          </w:p>
        </w:tc>
        <w:tc>
          <w:tcPr>
            <w:tcW w:w="6721" w:type="dxa"/>
            <w:gridSpan w:val="6"/>
            <w:tcBorders>
              <w:top w:val="single" w:color="auto" w:sz="4" w:space="0"/>
              <w:bottom w:val="single" w:color="auto" w:sz="4" w:space="0"/>
              <w:right w:val="single" w:color="auto" w:sz="8" w:space="0"/>
            </w:tcBorders>
            <w:vAlign w:val="center"/>
          </w:tcPr>
          <w:p w14:paraId="289DFFF7">
            <w:pPr>
              <w:adjustRightInd w:val="0"/>
              <w:snapToGrid w:val="0"/>
              <w:spacing w:line="440" w:lineRule="atLeast"/>
              <w:jc w:val="center"/>
              <w:rPr>
                <w:rFonts w:ascii="华文仿宋" w:hAnsi="华文仿宋" w:eastAsia="华文仿宋"/>
                <w:sz w:val="24"/>
              </w:rPr>
            </w:pPr>
          </w:p>
        </w:tc>
      </w:tr>
      <w:tr w14:paraId="47071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67" w:hRule="exact"/>
          <w:tblHeader/>
          <w:jc w:val="center"/>
        </w:trPr>
        <w:tc>
          <w:tcPr>
            <w:tcW w:w="2101" w:type="dxa"/>
            <w:gridSpan w:val="2"/>
            <w:tcBorders>
              <w:left w:val="single" w:color="auto" w:sz="8" w:space="0"/>
            </w:tcBorders>
            <w:vAlign w:val="center"/>
          </w:tcPr>
          <w:p w14:paraId="6A2912B8">
            <w:pPr>
              <w:adjustRightInd w:val="0"/>
              <w:snapToGrid w:val="0"/>
              <w:spacing w:line="440" w:lineRule="atLeast"/>
              <w:jc w:val="center"/>
              <w:rPr>
                <w:rFonts w:ascii="华文仿宋" w:hAnsi="华文仿宋" w:eastAsia="华文仿宋"/>
                <w:sz w:val="24"/>
              </w:rPr>
            </w:pPr>
            <w:r>
              <w:rPr>
                <w:rFonts w:hint="eastAsia" w:ascii="华文仿宋" w:hAnsi="华文仿宋" w:eastAsia="华文仿宋"/>
                <w:sz w:val="24"/>
              </w:rPr>
              <w:t>邮政编码</w:t>
            </w:r>
          </w:p>
        </w:tc>
        <w:tc>
          <w:tcPr>
            <w:tcW w:w="2528" w:type="dxa"/>
            <w:gridSpan w:val="2"/>
            <w:tcBorders>
              <w:top w:val="single" w:color="auto" w:sz="4" w:space="0"/>
              <w:bottom w:val="single" w:color="auto" w:sz="4" w:space="0"/>
              <w:right w:val="single" w:color="auto" w:sz="4" w:space="0"/>
            </w:tcBorders>
            <w:vAlign w:val="center"/>
          </w:tcPr>
          <w:p w14:paraId="587EC82F">
            <w:pPr>
              <w:adjustRightInd w:val="0"/>
              <w:snapToGrid w:val="0"/>
              <w:spacing w:line="440" w:lineRule="atLeast"/>
              <w:jc w:val="center"/>
              <w:rPr>
                <w:rFonts w:ascii="华文仿宋" w:hAnsi="华文仿宋" w:eastAsia="华文仿宋"/>
                <w:sz w:val="24"/>
              </w:rPr>
            </w:pPr>
          </w:p>
        </w:tc>
        <w:tc>
          <w:tcPr>
            <w:tcW w:w="2126" w:type="dxa"/>
            <w:gridSpan w:val="2"/>
            <w:tcBorders>
              <w:top w:val="single" w:color="auto" w:sz="4" w:space="0"/>
              <w:bottom w:val="single" w:color="auto" w:sz="4" w:space="0"/>
              <w:right w:val="single" w:color="auto" w:sz="4" w:space="0"/>
            </w:tcBorders>
            <w:vAlign w:val="center"/>
          </w:tcPr>
          <w:p w14:paraId="52380FA4">
            <w:pPr>
              <w:adjustRightInd w:val="0"/>
              <w:snapToGrid w:val="0"/>
              <w:spacing w:line="440" w:lineRule="atLeast"/>
              <w:jc w:val="center"/>
              <w:rPr>
                <w:rFonts w:ascii="华文仿宋" w:hAnsi="华文仿宋" w:eastAsia="华文仿宋"/>
                <w:sz w:val="24"/>
              </w:rPr>
            </w:pPr>
            <w:r>
              <w:rPr>
                <w:rFonts w:hint="eastAsia" w:ascii="华文仿宋" w:hAnsi="华文仿宋" w:eastAsia="华文仿宋"/>
                <w:sz w:val="24"/>
              </w:rPr>
              <w:t>联系电话</w:t>
            </w:r>
          </w:p>
        </w:tc>
        <w:tc>
          <w:tcPr>
            <w:tcW w:w="2067" w:type="dxa"/>
            <w:gridSpan w:val="2"/>
            <w:tcBorders>
              <w:top w:val="single" w:color="auto" w:sz="4" w:space="0"/>
              <w:left w:val="single" w:color="auto" w:sz="4" w:space="0"/>
              <w:bottom w:val="single" w:color="auto" w:sz="4" w:space="0"/>
              <w:right w:val="single" w:color="auto" w:sz="8" w:space="0"/>
            </w:tcBorders>
            <w:vAlign w:val="center"/>
          </w:tcPr>
          <w:p w14:paraId="4B317FEC">
            <w:pPr>
              <w:adjustRightInd w:val="0"/>
              <w:snapToGrid w:val="0"/>
              <w:spacing w:line="440" w:lineRule="atLeast"/>
              <w:jc w:val="center"/>
              <w:rPr>
                <w:rFonts w:ascii="华文仿宋" w:hAnsi="华文仿宋" w:eastAsia="华文仿宋"/>
                <w:sz w:val="24"/>
              </w:rPr>
            </w:pPr>
          </w:p>
        </w:tc>
      </w:tr>
      <w:tr w14:paraId="4FBB6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blHeader/>
          <w:jc w:val="center"/>
        </w:trPr>
        <w:tc>
          <w:tcPr>
            <w:tcW w:w="2101" w:type="dxa"/>
            <w:gridSpan w:val="2"/>
            <w:tcBorders>
              <w:left w:val="single" w:color="auto" w:sz="8" w:space="0"/>
              <w:bottom w:val="single" w:color="auto" w:sz="4" w:space="0"/>
            </w:tcBorders>
            <w:vAlign w:val="center"/>
          </w:tcPr>
          <w:p w14:paraId="4DD45EEB">
            <w:pPr>
              <w:adjustRightInd w:val="0"/>
              <w:snapToGrid w:val="0"/>
              <w:spacing w:line="440" w:lineRule="atLeast"/>
              <w:jc w:val="center"/>
              <w:rPr>
                <w:rFonts w:ascii="华文仿宋" w:hAnsi="华文仿宋" w:eastAsia="华文仿宋"/>
                <w:sz w:val="24"/>
              </w:rPr>
            </w:pPr>
            <w:r>
              <w:rPr>
                <w:rFonts w:hint="eastAsia" w:ascii="华文仿宋" w:hAnsi="华文仿宋" w:eastAsia="华文仿宋"/>
                <w:sz w:val="24"/>
              </w:rPr>
              <w:t>电子邮件</w:t>
            </w:r>
          </w:p>
        </w:tc>
        <w:tc>
          <w:tcPr>
            <w:tcW w:w="2528" w:type="dxa"/>
            <w:gridSpan w:val="2"/>
            <w:tcBorders>
              <w:top w:val="single" w:color="auto" w:sz="4" w:space="0"/>
              <w:bottom w:val="single" w:color="auto" w:sz="4" w:space="0"/>
            </w:tcBorders>
            <w:vAlign w:val="center"/>
          </w:tcPr>
          <w:p w14:paraId="5F7AEF48">
            <w:pPr>
              <w:adjustRightInd w:val="0"/>
              <w:snapToGrid w:val="0"/>
              <w:spacing w:line="440" w:lineRule="atLeast"/>
              <w:jc w:val="center"/>
              <w:rPr>
                <w:rFonts w:ascii="华文仿宋" w:hAnsi="华文仿宋" w:eastAsia="华文仿宋"/>
                <w:sz w:val="24"/>
              </w:rPr>
            </w:pPr>
          </w:p>
        </w:tc>
        <w:tc>
          <w:tcPr>
            <w:tcW w:w="2126" w:type="dxa"/>
            <w:gridSpan w:val="2"/>
            <w:tcBorders>
              <w:top w:val="single" w:color="auto" w:sz="4" w:space="0"/>
              <w:bottom w:val="single" w:color="auto" w:sz="4" w:space="0"/>
            </w:tcBorders>
            <w:vAlign w:val="center"/>
          </w:tcPr>
          <w:p w14:paraId="51603613">
            <w:pPr>
              <w:adjustRightInd w:val="0"/>
              <w:snapToGrid w:val="0"/>
              <w:spacing w:line="440" w:lineRule="atLeast"/>
              <w:jc w:val="center"/>
              <w:rPr>
                <w:rFonts w:ascii="华文仿宋" w:hAnsi="华文仿宋" w:eastAsia="华文仿宋"/>
                <w:sz w:val="24"/>
              </w:rPr>
            </w:pPr>
            <w:r>
              <w:rPr>
                <w:rFonts w:hint="eastAsia" w:ascii="华文仿宋" w:hAnsi="华文仿宋" w:eastAsia="华文仿宋"/>
                <w:sz w:val="24"/>
              </w:rPr>
              <w:t>传　　　真</w:t>
            </w:r>
          </w:p>
        </w:tc>
        <w:tc>
          <w:tcPr>
            <w:tcW w:w="2067" w:type="dxa"/>
            <w:gridSpan w:val="2"/>
            <w:tcBorders>
              <w:top w:val="single" w:color="auto" w:sz="4" w:space="0"/>
              <w:bottom w:val="single" w:color="auto" w:sz="4" w:space="0"/>
              <w:right w:val="single" w:color="auto" w:sz="8" w:space="0"/>
            </w:tcBorders>
            <w:vAlign w:val="center"/>
          </w:tcPr>
          <w:p w14:paraId="20C5FBC5">
            <w:pPr>
              <w:adjustRightInd w:val="0"/>
              <w:snapToGrid w:val="0"/>
              <w:spacing w:line="440" w:lineRule="atLeast"/>
              <w:jc w:val="center"/>
              <w:rPr>
                <w:rFonts w:ascii="华文仿宋" w:hAnsi="华文仿宋" w:eastAsia="华文仿宋"/>
                <w:sz w:val="24"/>
              </w:rPr>
            </w:pPr>
          </w:p>
        </w:tc>
      </w:tr>
      <w:tr w14:paraId="0B0BB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blHeader/>
          <w:jc w:val="center"/>
        </w:trPr>
        <w:tc>
          <w:tcPr>
            <w:tcW w:w="424" w:type="dxa"/>
            <w:vMerge w:val="restart"/>
            <w:tcBorders>
              <w:left w:val="single" w:color="auto" w:sz="8" w:space="0"/>
              <w:right w:val="single" w:color="auto" w:sz="4" w:space="0"/>
            </w:tcBorders>
            <w:vAlign w:val="center"/>
          </w:tcPr>
          <w:p w14:paraId="4E88FAD6">
            <w:pPr>
              <w:adjustRightInd w:val="0"/>
              <w:snapToGrid w:val="0"/>
              <w:spacing w:line="440" w:lineRule="atLeast"/>
              <w:jc w:val="center"/>
              <w:rPr>
                <w:rFonts w:ascii="华文仿宋" w:hAnsi="华文仿宋" w:eastAsia="华文仿宋"/>
                <w:sz w:val="24"/>
              </w:rPr>
            </w:pPr>
            <w:r>
              <w:rPr>
                <w:rFonts w:ascii="华文仿宋" w:hAnsi="华文仿宋" w:eastAsia="华文仿宋"/>
                <w:sz w:val="24"/>
              </w:rPr>
              <w:t>主要工作经历</w:t>
            </w:r>
          </w:p>
        </w:tc>
        <w:tc>
          <w:tcPr>
            <w:tcW w:w="1677" w:type="dxa"/>
            <w:tcBorders>
              <w:left w:val="single" w:color="auto" w:sz="4" w:space="0"/>
            </w:tcBorders>
            <w:vAlign w:val="center"/>
          </w:tcPr>
          <w:p w14:paraId="63F5DB65">
            <w:pPr>
              <w:adjustRightInd w:val="0"/>
              <w:snapToGrid w:val="0"/>
              <w:spacing w:line="440" w:lineRule="atLeast"/>
              <w:jc w:val="center"/>
              <w:rPr>
                <w:rFonts w:ascii="华文仿宋" w:hAnsi="华文仿宋" w:eastAsia="华文仿宋"/>
                <w:sz w:val="24"/>
              </w:rPr>
            </w:pPr>
            <w:r>
              <w:rPr>
                <w:rFonts w:ascii="华文仿宋" w:hAnsi="华文仿宋" w:eastAsia="华文仿宋"/>
                <w:sz w:val="24"/>
              </w:rPr>
              <w:t>起止时间</w:t>
            </w:r>
          </w:p>
        </w:tc>
        <w:tc>
          <w:tcPr>
            <w:tcW w:w="2528" w:type="dxa"/>
            <w:gridSpan w:val="2"/>
            <w:tcBorders>
              <w:top w:val="single" w:color="auto" w:sz="4" w:space="0"/>
              <w:bottom w:val="single" w:color="auto" w:sz="4" w:space="0"/>
              <w:right w:val="single" w:color="auto" w:sz="4" w:space="0"/>
            </w:tcBorders>
            <w:vAlign w:val="center"/>
          </w:tcPr>
          <w:p w14:paraId="5D9B07E4">
            <w:pPr>
              <w:adjustRightInd w:val="0"/>
              <w:snapToGrid w:val="0"/>
              <w:spacing w:line="440" w:lineRule="atLeast"/>
              <w:jc w:val="center"/>
              <w:rPr>
                <w:rFonts w:ascii="华文仿宋" w:hAnsi="华文仿宋" w:eastAsia="华文仿宋"/>
                <w:sz w:val="24"/>
              </w:rPr>
            </w:pPr>
            <w:r>
              <w:rPr>
                <w:rFonts w:ascii="华文仿宋" w:hAnsi="华文仿宋" w:eastAsia="华文仿宋"/>
                <w:sz w:val="24"/>
              </w:rPr>
              <w:t>工作地点</w:t>
            </w:r>
          </w:p>
        </w:tc>
        <w:tc>
          <w:tcPr>
            <w:tcW w:w="2126" w:type="dxa"/>
            <w:gridSpan w:val="2"/>
            <w:tcBorders>
              <w:top w:val="single" w:color="auto" w:sz="4" w:space="0"/>
              <w:bottom w:val="single" w:color="auto" w:sz="4" w:space="0"/>
              <w:right w:val="single" w:color="auto" w:sz="4" w:space="0"/>
            </w:tcBorders>
            <w:vAlign w:val="center"/>
          </w:tcPr>
          <w:p w14:paraId="2B702BA8">
            <w:pPr>
              <w:adjustRightInd w:val="0"/>
              <w:snapToGrid w:val="0"/>
              <w:spacing w:line="440" w:lineRule="atLeast"/>
              <w:jc w:val="center"/>
              <w:rPr>
                <w:rFonts w:ascii="华文仿宋" w:hAnsi="华文仿宋" w:eastAsia="华文仿宋"/>
                <w:sz w:val="24"/>
              </w:rPr>
            </w:pPr>
            <w:r>
              <w:rPr>
                <w:rFonts w:ascii="华文仿宋" w:hAnsi="华文仿宋" w:eastAsia="华文仿宋"/>
                <w:sz w:val="24"/>
              </w:rPr>
              <w:t>工作单位</w:t>
            </w:r>
          </w:p>
        </w:tc>
        <w:tc>
          <w:tcPr>
            <w:tcW w:w="2067" w:type="dxa"/>
            <w:gridSpan w:val="2"/>
            <w:tcBorders>
              <w:top w:val="single" w:color="auto" w:sz="4" w:space="0"/>
              <w:bottom w:val="single" w:color="auto" w:sz="4" w:space="0"/>
              <w:right w:val="single" w:color="auto" w:sz="8" w:space="0"/>
            </w:tcBorders>
            <w:vAlign w:val="center"/>
          </w:tcPr>
          <w:p w14:paraId="7D5E9939">
            <w:pPr>
              <w:adjustRightInd w:val="0"/>
              <w:snapToGrid w:val="0"/>
              <w:spacing w:line="440" w:lineRule="atLeast"/>
              <w:jc w:val="center"/>
              <w:rPr>
                <w:rFonts w:ascii="华文仿宋" w:hAnsi="华文仿宋" w:eastAsia="华文仿宋"/>
                <w:sz w:val="24"/>
              </w:rPr>
            </w:pPr>
            <w:r>
              <w:rPr>
                <w:rFonts w:ascii="华文仿宋" w:hAnsi="华文仿宋" w:eastAsia="华文仿宋"/>
                <w:sz w:val="24"/>
              </w:rPr>
              <w:t>担任职务</w:t>
            </w:r>
          </w:p>
        </w:tc>
      </w:tr>
      <w:tr w14:paraId="10C49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blHeader/>
          <w:jc w:val="center"/>
        </w:trPr>
        <w:tc>
          <w:tcPr>
            <w:tcW w:w="424" w:type="dxa"/>
            <w:vMerge w:val="continue"/>
            <w:tcBorders>
              <w:left w:val="single" w:color="auto" w:sz="8" w:space="0"/>
              <w:right w:val="single" w:color="auto" w:sz="4" w:space="0"/>
            </w:tcBorders>
            <w:vAlign w:val="center"/>
          </w:tcPr>
          <w:p w14:paraId="368D5CA2">
            <w:pPr>
              <w:adjustRightInd w:val="0"/>
              <w:snapToGrid w:val="0"/>
              <w:spacing w:line="440" w:lineRule="atLeast"/>
              <w:jc w:val="center"/>
              <w:rPr>
                <w:rFonts w:ascii="华文仿宋" w:hAnsi="华文仿宋" w:eastAsia="华文仿宋"/>
                <w:sz w:val="24"/>
              </w:rPr>
            </w:pPr>
          </w:p>
        </w:tc>
        <w:tc>
          <w:tcPr>
            <w:tcW w:w="1677" w:type="dxa"/>
            <w:tcBorders>
              <w:left w:val="single" w:color="auto" w:sz="4" w:space="0"/>
            </w:tcBorders>
            <w:vAlign w:val="center"/>
          </w:tcPr>
          <w:p w14:paraId="0F4CEC97">
            <w:pPr>
              <w:adjustRightInd w:val="0"/>
              <w:snapToGrid w:val="0"/>
              <w:spacing w:line="440" w:lineRule="atLeast"/>
              <w:jc w:val="center"/>
              <w:rPr>
                <w:rFonts w:ascii="华文仿宋" w:hAnsi="华文仿宋" w:eastAsia="华文仿宋"/>
                <w:sz w:val="24"/>
              </w:rPr>
            </w:pPr>
          </w:p>
        </w:tc>
        <w:tc>
          <w:tcPr>
            <w:tcW w:w="2528" w:type="dxa"/>
            <w:gridSpan w:val="2"/>
            <w:tcBorders>
              <w:top w:val="single" w:color="auto" w:sz="4" w:space="0"/>
              <w:bottom w:val="single" w:color="auto" w:sz="4" w:space="0"/>
              <w:right w:val="single" w:color="auto" w:sz="4" w:space="0"/>
            </w:tcBorders>
            <w:vAlign w:val="center"/>
          </w:tcPr>
          <w:p w14:paraId="2DC9C87A">
            <w:pPr>
              <w:adjustRightInd w:val="0"/>
              <w:snapToGrid w:val="0"/>
              <w:spacing w:line="440" w:lineRule="atLeast"/>
              <w:jc w:val="center"/>
              <w:rPr>
                <w:rFonts w:ascii="华文仿宋" w:hAnsi="华文仿宋" w:eastAsia="华文仿宋"/>
                <w:sz w:val="24"/>
              </w:rPr>
            </w:pPr>
          </w:p>
        </w:tc>
        <w:tc>
          <w:tcPr>
            <w:tcW w:w="2126" w:type="dxa"/>
            <w:gridSpan w:val="2"/>
            <w:tcBorders>
              <w:top w:val="single" w:color="auto" w:sz="4" w:space="0"/>
              <w:bottom w:val="single" w:color="auto" w:sz="4" w:space="0"/>
              <w:right w:val="single" w:color="auto" w:sz="4" w:space="0"/>
            </w:tcBorders>
            <w:vAlign w:val="center"/>
          </w:tcPr>
          <w:p w14:paraId="1E38C385">
            <w:pPr>
              <w:adjustRightInd w:val="0"/>
              <w:snapToGrid w:val="0"/>
              <w:spacing w:line="440" w:lineRule="atLeast"/>
              <w:jc w:val="center"/>
              <w:rPr>
                <w:rFonts w:ascii="华文仿宋" w:hAnsi="华文仿宋" w:eastAsia="华文仿宋"/>
                <w:sz w:val="24"/>
              </w:rPr>
            </w:pPr>
          </w:p>
        </w:tc>
        <w:tc>
          <w:tcPr>
            <w:tcW w:w="2067" w:type="dxa"/>
            <w:gridSpan w:val="2"/>
            <w:tcBorders>
              <w:top w:val="single" w:color="auto" w:sz="4" w:space="0"/>
              <w:bottom w:val="single" w:color="auto" w:sz="4" w:space="0"/>
              <w:right w:val="single" w:color="auto" w:sz="8" w:space="0"/>
            </w:tcBorders>
            <w:vAlign w:val="center"/>
          </w:tcPr>
          <w:p w14:paraId="2C71286B">
            <w:pPr>
              <w:adjustRightInd w:val="0"/>
              <w:snapToGrid w:val="0"/>
              <w:spacing w:line="440" w:lineRule="atLeast"/>
              <w:jc w:val="center"/>
              <w:rPr>
                <w:rFonts w:ascii="华文仿宋" w:hAnsi="华文仿宋" w:eastAsia="华文仿宋"/>
                <w:sz w:val="24"/>
              </w:rPr>
            </w:pPr>
          </w:p>
        </w:tc>
      </w:tr>
      <w:tr w14:paraId="0FC46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67" w:hRule="exact"/>
          <w:tblHeader/>
          <w:jc w:val="center"/>
        </w:trPr>
        <w:tc>
          <w:tcPr>
            <w:tcW w:w="424" w:type="dxa"/>
            <w:vMerge w:val="continue"/>
            <w:tcBorders>
              <w:left w:val="single" w:color="auto" w:sz="8" w:space="0"/>
              <w:right w:val="single" w:color="auto" w:sz="4" w:space="0"/>
            </w:tcBorders>
            <w:vAlign w:val="center"/>
          </w:tcPr>
          <w:p w14:paraId="765EE331">
            <w:pPr>
              <w:adjustRightInd w:val="0"/>
              <w:snapToGrid w:val="0"/>
              <w:spacing w:line="440" w:lineRule="atLeast"/>
              <w:jc w:val="center"/>
              <w:rPr>
                <w:rFonts w:ascii="华文仿宋" w:hAnsi="华文仿宋" w:eastAsia="华文仿宋"/>
                <w:sz w:val="24"/>
              </w:rPr>
            </w:pPr>
          </w:p>
        </w:tc>
        <w:tc>
          <w:tcPr>
            <w:tcW w:w="1677" w:type="dxa"/>
            <w:tcBorders>
              <w:left w:val="single" w:color="auto" w:sz="4" w:space="0"/>
            </w:tcBorders>
            <w:vAlign w:val="center"/>
          </w:tcPr>
          <w:p w14:paraId="55E136F3">
            <w:pPr>
              <w:adjustRightInd w:val="0"/>
              <w:snapToGrid w:val="0"/>
              <w:spacing w:line="440" w:lineRule="atLeast"/>
              <w:jc w:val="center"/>
              <w:rPr>
                <w:rFonts w:ascii="华文仿宋" w:hAnsi="华文仿宋" w:eastAsia="华文仿宋"/>
                <w:sz w:val="24"/>
              </w:rPr>
            </w:pPr>
          </w:p>
        </w:tc>
        <w:tc>
          <w:tcPr>
            <w:tcW w:w="2528" w:type="dxa"/>
            <w:gridSpan w:val="2"/>
            <w:tcBorders>
              <w:top w:val="single" w:color="auto" w:sz="4" w:space="0"/>
              <w:bottom w:val="single" w:color="auto" w:sz="4" w:space="0"/>
              <w:right w:val="single" w:color="auto" w:sz="4" w:space="0"/>
            </w:tcBorders>
            <w:vAlign w:val="center"/>
          </w:tcPr>
          <w:p w14:paraId="7EABAB21">
            <w:pPr>
              <w:adjustRightInd w:val="0"/>
              <w:snapToGrid w:val="0"/>
              <w:spacing w:line="440" w:lineRule="atLeast"/>
              <w:jc w:val="center"/>
              <w:rPr>
                <w:rFonts w:ascii="华文仿宋" w:hAnsi="华文仿宋" w:eastAsia="华文仿宋"/>
                <w:sz w:val="24"/>
              </w:rPr>
            </w:pPr>
          </w:p>
        </w:tc>
        <w:tc>
          <w:tcPr>
            <w:tcW w:w="2126" w:type="dxa"/>
            <w:gridSpan w:val="2"/>
            <w:tcBorders>
              <w:top w:val="single" w:color="auto" w:sz="4" w:space="0"/>
              <w:bottom w:val="single" w:color="auto" w:sz="4" w:space="0"/>
              <w:right w:val="single" w:color="auto" w:sz="4" w:space="0"/>
            </w:tcBorders>
            <w:vAlign w:val="center"/>
          </w:tcPr>
          <w:p w14:paraId="7A2C7F14">
            <w:pPr>
              <w:adjustRightInd w:val="0"/>
              <w:snapToGrid w:val="0"/>
              <w:spacing w:line="440" w:lineRule="atLeast"/>
              <w:jc w:val="center"/>
              <w:rPr>
                <w:rFonts w:ascii="华文仿宋" w:hAnsi="华文仿宋" w:eastAsia="华文仿宋"/>
                <w:sz w:val="24"/>
              </w:rPr>
            </w:pPr>
          </w:p>
        </w:tc>
        <w:tc>
          <w:tcPr>
            <w:tcW w:w="2067" w:type="dxa"/>
            <w:gridSpan w:val="2"/>
            <w:tcBorders>
              <w:top w:val="single" w:color="auto" w:sz="4" w:space="0"/>
              <w:bottom w:val="single" w:color="auto" w:sz="4" w:space="0"/>
              <w:right w:val="single" w:color="auto" w:sz="8" w:space="0"/>
            </w:tcBorders>
            <w:vAlign w:val="center"/>
          </w:tcPr>
          <w:p w14:paraId="5196449B">
            <w:pPr>
              <w:adjustRightInd w:val="0"/>
              <w:snapToGrid w:val="0"/>
              <w:spacing w:line="440" w:lineRule="atLeast"/>
              <w:jc w:val="center"/>
              <w:rPr>
                <w:rFonts w:ascii="华文仿宋" w:hAnsi="华文仿宋" w:eastAsia="华文仿宋"/>
                <w:sz w:val="24"/>
              </w:rPr>
            </w:pPr>
          </w:p>
        </w:tc>
      </w:tr>
      <w:tr w14:paraId="4AE9A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67" w:hRule="exact"/>
          <w:tblHeader/>
          <w:jc w:val="center"/>
        </w:trPr>
        <w:tc>
          <w:tcPr>
            <w:tcW w:w="424" w:type="dxa"/>
            <w:vMerge w:val="continue"/>
            <w:tcBorders>
              <w:left w:val="single" w:color="auto" w:sz="8" w:space="0"/>
              <w:right w:val="single" w:color="auto" w:sz="4" w:space="0"/>
            </w:tcBorders>
            <w:vAlign w:val="center"/>
          </w:tcPr>
          <w:p w14:paraId="70040725">
            <w:pPr>
              <w:adjustRightInd w:val="0"/>
              <w:snapToGrid w:val="0"/>
              <w:spacing w:line="440" w:lineRule="atLeast"/>
              <w:jc w:val="center"/>
              <w:rPr>
                <w:rFonts w:ascii="华文仿宋" w:hAnsi="华文仿宋" w:eastAsia="华文仿宋"/>
                <w:sz w:val="24"/>
              </w:rPr>
            </w:pPr>
          </w:p>
        </w:tc>
        <w:tc>
          <w:tcPr>
            <w:tcW w:w="1677" w:type="dxa"/>
            <w:tcBorders>
              <w:left w:val="single" w:color="auto" w:sz="4" w:space="0"/>
            </w:tcBorders>
            <w:vAlign w:val="center"/>
          </w:tcPr>
          <w:p w14:paraId="0AEB38BE">
            <w:pPr>
              <w:adjustRightInd w:val="0"/>
              <w:snapToGrid w:val="0"/>
              <w:spacing w:line="440" w:lineRule="atLeast"/>
              <w:jc w:val="center"/>
              <w:rPr>
                <w:rFonts w:ascii="华文仿宋" w:hAnsi="华文仿宋" w:eastAsia="华文仿宋"/>
                <w:sz w:val="24"/>
              </w:rPr>
            </w:pPr>
          </w:p>
        </w:tc>
        <w:tc>
          <w:tcPr>
            <w:tcW w:w="2528" w:type="dxa"/>
            <w:gridSpan w:val="2"/>
            <w:tcBorders>
              <w:top w:val="single" w:color="auto" w:sz="4" w:space="0"/>
              <w:bottom w:val="single" w:color="auto" w:sz="4" w:space="0"/>
              <w:right w:val="single" w:color="auto" w:sz="4" w:space="0"/>
            </w:tcBorders>
            <w:vAlign w:val="center"/>
          </w:tcPr>
          <w:p w14:paraId="293D6F40">
            <w:pPr>
              <w:adjustRightInd w:val="0"/>
              <w:snapToGrid w:val="0"/>
              <w:spacing w:line="440" w:lineRule="atLeast"/>
              <w:jc w:val="center"/>
              <w:rPr>
                <w:rFonts w:ascii="华文仿宋" w:hAnsi="华文仿宋" w:eastAsia="华文仿宋"/>
                <w:sz w:val="24"/>
              </w:rPr>
            </w:pPr>
          </w:p>
        </w:tc>
        <w:tc>
          <w:tcPr>
            <w:tcW w:w="2126" w:type="dxa"/>
            <w:gridSpan w:val="2"/>
            <w:tcBorders>
              <w:top w:val="single" w:color="auto" w:sz="4" w:space="0"/>
              <w:bottom w:val="single" w:color="auto" w:sz="4" w:space="0"/>
              <w:right w:val="single" w:color="auto" w:sz="4" w:space="0"/>
            </w:tcBorders>
            <w:vAlign w:val="center"/>
          </w:tcPr>
          <w:p w14:paraId="5FF7B2F3">
            <w:pPr>
              <w:adjustRightInd w:val="0"/>
              <w:snapToGrid w:val="0"/>
              <w:spacing w:line="440" w:lineRule="atLeast"/>
              <w:jc w:val="center"/>
              <w:rPr>
                <w:rFonts w:ascii="华文仿宋" w:hAnsi="华文仿宋" w:eastAsia="华文仿宋"/>
                <w:sz w:val="24"/>
              </w:rPr>
            </w:pPr>
          </w:p>
        </w:tc>
        <w:tc>
          <w:tcPr>
            <w:tcW w:w="2067" w:type="dxa"/>
            <w:gridSpan w:val="2"/>
            <w:tcBorders>
              <w:top w:val="single" w:color="auto" w:sz="4" w:space="0"/>
              <w:bottom w:val="single" w:color="auto" w:sz="4" w:space="0"/>
              <w:right w:val="single" w:color="auto" w:sz="8" w:space="0"/>
            </w:tcBorders>
            <w:vAlign w:val="center"/>
          </w:tcPr>
          <w:p w14:paraId="290DDACC">
            <w:pPr>
              <w:adjustRightInd w:val="0"/>
              <w:snapToGrid w:val="0"/>
              <w:spacing w:line="440" w:lineRule="atLeast"/>
              <w:jc w:val="center"/>
              <w:rPr>
                <w:rFonts w:ascii="华文仿宋" w:hAnsi="华文仿宋" w:eastAsia="华文仿宋"/>
                <w:sz w:val="24"/>
              </w:rPr>
            </w:pPr>
          </w:p>
        </w:tc>
      </w:tr>
      <w:tr w14:paraId="5A6EE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67" w:hRule="exact"/>
          <w:tblHeader/>
          <w:jc w:val="center"/>
        </w:trPr>
        <w:tc>
          <w:tcPr>
            <w:tcW w:w="424" w:type="dxa"/>
            <w:vMerge w:val="continue"/>
            <w:tcBorders>
              <w:left w:val="single" w:color="auto" w:sz="8" w:space="0"/>
              <w:right w:val="single" w:color="auto" w:sz="4" w:space="0"/>
            </w:tcBorders>
            <w:vAlign w:val="center"/>
          </w:tcPr>
          <w:p w14:paraId="19E09582">
            <w:pPr>
              <w:adjustRightInd w:val="0"/>
              <w:snapToGrid w:val="0"/>
              <w:spacing w:line="440" w:lineRule="atLeast"/>
              <w:jc w:val="center"/>
              <w:rPr>
                <w:rFonts w:ascii="华文仿宋" w:hAnsi="华文仿宋" w:eastAsia="华文仿宋"/>
                <w:sz w:val="24"/>
              </w:rPr>
            </w:pPr>
          </w:p>
        </w:tc>
        <w:tc>
          <w:tcPr>
            <w:tcW w:w="1677" w:type="dxa"/>
            <w:tcBorders>
              <w:left w:val="single" w:color="auto" w:sz="4" w:space="0"/>
            </w:tcBorders>
            <w:vAlign w:val="center"/>
          </w:tcPr>
          <w:p w14:paraId="45FA8DB0">
            <w:pPr>
              <w:adjustRightInd w:val="0"/>
              <w:snapToGrid w:val="0"/>
              <w:spacing w:line="440" w:lineRule="atLeast"/>
              <w:jc w:val="center"/>
              <w:rPr>
                <w:rFonts w:ascii="华文仿宋" w:hAnsi="华文仿宋" w:eastAsia="华文仿宋"/>
                <w:sz w:val="24"/>
              </w:rPr>
            </w:pPr>
          </w:p>
        </w:tc>
        <w:tc>
          <w:tcPr>
            <w:tcW w:w="2528" w:type="dxa"/>
            <w:gridSpan w:val="2"/>
            <w:tcBorders>
              <w:top w:val="single" w:color="auto" w:sz="4" w:space="0"/>
              <w:bottom w:val="single" w:color="auto" w:sz="4" w:space="0"/>
              <w:right w:val="single" w:color="auto" w:sz="4" w:space="0"/>
            </w:tcBorders>
            <w:vAlign w:val="center"/>
          </w:tcPr>
          <w:p w14:paraId="252CE762">
            <w:pPr>
              <w:adjustRightInd w:val="0"/>
              <w:snapToGrid w:val="0"/>
              <w:spacing w:line="440" w:lineRule="atLeast"/>
              <w:jc w:val="center"/>
              <w:rPr>
                <w:rFonts w:ascii="华文仿宋" w:hAnsi="华文仿宋" w:eastAsia="华文仿宋"/>
                <w:sz w:val="24"/>
              </w:rPr>
            </w:pPr>
          </w:p>
        </w:tc>
        <w:tc>
          <w:tcPr>
            <w:tcW w:w="2126" w:type="dxa"/>
            <w:gridSpan w:val="2"/>
            <w:tcBorders>
              <w:top w:val="single" w:color="auto" w:sz="4" w:space="0"/>
              <w:bottom w:val="single" w:color="auto" w:sz="4" w:space="0"/>
              <w:right w:val="single" w:color="auto" w:sz="4" w:space="0"/>
            </w:tcBorders>
            <w:vAlign w:val="center"/>
          </w:tcPr>
          <w:p w14:paraId="7412B43D">
            <w:pPr>
              <w:adjustRightInd w:val="0"/>
              <w:snapToGrid w:val="0"/>
              <w:spacing w:line="440" w:lineRule="atLeast"/>
              <w:jc w:val="center"/>
              <w:rPr>
                <w:rFonts w:ascii="华文仿宋" w:hAnsi="华文仿宋" w:eastAsia="华文仿宋"/>
                <w:sz w:val="24"/>
              </w:rPr>
            </w:pPr>
          </w:p>
        </w:tc>
        <w:tc>
          <w:tcPr>
            <w:tcW w:w="2067" w:type="dxa"/>
            <w:gridSpan w:val="2"/>
            <w:tcBorders>
              <w:top w:val="single" w:color="auto" w:sz="4" w:space="0"/>
              <w:bottom w:val="single" w:color="auto" w:sz="4" w:space="0"/>
              <w:right w:val="single" w:color="auto" w:sz="8" w:space="0"/>
            </w:tcBorders>
            <w:vAlign w:val="center"/>
          </w:tcPr>
          <w:p w14:paraId="50CCB9E1">
            <w:pPr>
              <w:adjustRightInd w:val="0"/>
              <w:snapToGrid w:val="0"/>
              <w:spacing w:line="440" w:lineRule="atLeast"/>
              <w:jc w:val="center"/>
              <w:rPr>
                <w:rFonts w:ascii="华文仿宋" w:hAnsi="华文仿宋" w:eastAsia="华文仿宋"/>
                <w:sz w:val="24"/>
              </w:rPr>
            </w:pPr>
          </w:p>
        </w:tc>
      </w:tr>
      <w:tr w14:paraId="1B7EC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896" w:hRule="exact"/>
          <w:tblHeader/>
          <w:jc w:val="center"/>
        </w:trPr>
        <w:tc>
          <w:tcPr>
            <w:tcW w:w="2101" w:type="dxa"/>
            <w:gridSpan w:val="2"/>
            <w:tcBorders>
              <w:top w:val="single" w:color="000000" w:sz="18" w:space="0"/>
              <w:left w:val="single" w:color="auto" w:sz="8" w:space="0"/>
            </w:tcBorders>
            <w:vAlign w:val="center"/>
          </w:tcPr>
          <w:p w14:paraId="61F14D86">
            <w:pPr>
              <w:adjustRightInd w:val="0"/>
              <w:snapToGrid w:val="0"/>
              <w:spacing w:line="440" w:lineRule="atLeast"/>
              <w:jc w:val="center"/>
              <w:rPr>
                <w:rFonts w:ascii="华文仿宋" w:hAnsi="华文仿宋" w:eastAsia="华文仿宋"/>
                <w:sz w:val="22"/>
              </w:rPr>
            </w:pPr>
            <w:r>
              <w:rPr>
                <w:rFonts w:hint="eastAsia" w:ascii="华文仿宋" w:hAnsi="华文仿宋" w:eastAsia="华文仿宋"/>
                <w:sz w:val="22"/>
              </w:rPr>
              <w:t>考试档案号</w:t>
            </w:r>
          </w:p>
          <w:p w14:paraId="0DC223C9">
            <w:pPr>
              <w:adjustRightInd w:val="0"/>
              <w:snapToGrid w:val="0"/>
              <w:spacing w:line="440" w:lineRule="atLeast"/>
              <w:jc w:val="center"/>
              <w:rPr>
                <w:rFonts w:ascii="华文仿宋" w:hAnsi="华文仿宋" w:eastAsia="华文仿宋"/>
                <w:sz w:val="20"/>
              </w:rPr>
            </w:pPr>
            <w:r>
              <w:rPr>
                <w:rFonts w:hint="eastAsia" w:ascii="华文仿宋" w:hAnsi="华文仿宋" w:eastAsia="华文仿宋"/>
                <w:sz w:val="20"/>
              </w:rPr>
              <w:t>（认定批准文号）</w:t>
            </w:r>
          </w:p>
        </w:tc>
        <w:tc>
          <w:tcPr>
            <w:tcW w:w="2528" w:type="dxa"/>
            <w:gridSpan w:val="2"/>
            <w:tcBorders>
              <w:top w:val="single" w:color="000000" w:sz="18" w:space="0"/>
              <w:bottom w:val="single" w:color="auto" w:sz="4" w:space="0"/>
              <w:right w:val="single" w:color="auto" w:sz="8" w:space="0"/>
            </w:tcBorders>
            <w:vAlign w:val="center"/>
          </w:tcPr>
          <w:p w14:paraId="4ECBC7E0">
            <w:pPr>
              <w:adjustRightInd w:val="0"/>
              <w:snapToGrid w:val="0"/>
              <w:spacing w:line="440" w:lineRule="atLeast"/>
              <w:jc w:val="center"/>
              <w:rPr>
                <w:rFonts w:ascii="华文仿宋" w:hAnsi="华文仿宋" w:eastAsia="华文仿宋"/>
                <w:sz w:val="24"/>
              </w:rPr>
            </w:pPr>
          </w:p>
        </w:tc>
        <w:tc>
          <w:tcPr>
            <w:tcW w:w="2126" w:type="dxa"/>
            <w:gridSpan w:val="2"/>
            <w:tcBorders>
              <w:top w:val="single" w:color="000000" w:sz="18" w:space="0"/>
              <w:bottom w:val="single" w:color="auto" w:sz="4" w:space="0"/>
              <w:right w:val="single" w:color="auto" w:sz="8" w:space="0"/>
            </w:tcBorders>
            <w:vAlign w:val="center"/>
          </w:tcPr>
          <w:p w14:paraId="164FC0BD">
            <w:pPr>
              <w:adjustRightInd w:val="0"/>
              <w:snapToGrid w:val="0"/>
              <w:spacing w:line="440" w:lineRule="atLeast"/>
              <w:jc w:val="center"/>
              <w:rPr>
                <w:rFonts w:ascii="华文仿宋" w:hAnsi="华文仿宋" w:eastAsia="华文仿宋"/>
                <w:spacing w:val="-10"/>
                <w:sz w:val="24"/>
              </w:rPr>
            </w:pPr>
            <w:r>
              <w:rPr>
                <w:rFonts w:hint="eastAsia" w:ascii="华文仿宋" w:hAnsi="华文仿宋" w:eastAsia="华文仿宋"/>
                <w:spacing w:val="-10"/>
                <w:sz w:val="24"/>
              </w:rPr>
              <w:t>考试合格</w:t>
            </w:r>
          </w:p>
          <w:p w14:paraId="22D6BFA9">
            <w:pPr>
              <w:adjustRightInd w:val="0"/>
              <w:snapToGrid w:val="0"/>
              <w:spacing w:line="440" w:lineRule="atLeast"/>
              <w:jc w:val="center"/>
              <w:rPr>
                <w:rFonts w:ascii="华文仿宋" w:hAnsi="华文仿宋" w:eastAsia="华文仿宋"/>
                <w:sz w:val="24"/>
              </w:rPr>
            </w:pPr>
            <w:r>
              <w:rPr>
                <w:rFonts w:hint="eastAsia" w:ascii="华文仿宋" w:hAnsi="华文仿宋" w:eastAsia="华文仿宋"/>
                <w:spacing w:val="-10"/>
                <w:sz w:val="24"/>
              </w:rPr>
              <w:t>时间</w:t>
            </w:r>
          </w:p>
        </w:tc>
        <w:tc>
          <w:tcPr>
            <w:tcW w:w="2067" w:type="dxa"/>
            <w:gridSpan w:val="2"/>
            <w:tcBorders>
              <w:top w:val="single" w:color="000000" w:sz="18" w:space="0"/>
              <w:bottom w:val="single" w:color="auto" w:sz="4" w:space="0"/>
              <w:right w:val="single" w:color="auto" w:sz="8" w:space="0"/>
            </w:tcBorders>
            <w:vAlign w:val="center"/>
          </w:tcPr>
          <w:p w14:paraId="580DA798">
            <w:pPr>
              <w:adjustRightInd w:val="0"/>
              <w:snapToGrid w:val="0"/>
              <w:spacing w:line="440" w:lineRule="atLeast"/>
              <w:jc w:val="center"/>
              <w:rPr>
                <w:rFonts w:ascii="华文仿宋" w:hAnsi="华文仿宋" w:eastAsia="华文仿宋"/>
                <w:sz w:val="24"/>
              </w:rPr>
            </w:pPr>
          </w:p>
        </w:tc>
      </w:tr>
      <w:tr w14:paraId="2C380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134" w:hRule="exact"/>
          <w:tblHeader/>
          <w:jc w:val="center"/>
        </w:trPr>
        <w:tc>
          <w:tcPr>
            <w:tcW w:w="2101" w:type="dxa"/>
            <w:gridSpan w:val="2"/>
            <w:tcBorders>
              <w:left w:val="single" w:color="auto" w:sz="8" w:space="0"/>
              <w:bottom w:val="single" w:color="auto" w:sz="4" w:space="0"/>
            </w:tcBorders>
            <w:vAlign w:val="center"/>
          </w:tcPr>
          <w:p w14:paraId="4DE03F71">
            <w:pPr>
              <w:adjustRightInd w:val="0"/>
              <w:snapToGrid w:val="0"/>
              <w:spacing w:line="440" w:lineRule="atLeast"/>
              <w:jc w:val="center"/>
              <w:rPr>
                <w:rFonts w:ascii="华文仿宋" w:hAnsi="华文仿宋" w:eastAsia="华文仿宋"/>
                <w:sz w:val="24"/>
              </w:rPr>
            </w:pPr>
            <w:r>
              <w:rPr>
                <w:rFonts w:hint="eastAsia" w:ascii="华文仿宋" w:hAnsi="华文仿宋" w:eastAsia="华文仿宋"/>
                <w:sz w:val="24"/>
              </w:rPr>
              <w:t>是否重新登记</w:t>
            </w:r>
          </w:p>
        </w:tc>
        <w:tc>
          <w:tcPr>
            <w:tcW w:w="2528" w:type="dxa"/>
            <w:gridSpan w:val="2"/>
            <w:tcBorders>
              <w:top w:val="single" w:color="auto" w:sz="4" w:space="0"/>
              <w:bottom w:val="single" w:color="auto" w:sz="4" w:space="0"/>
            </w:tcBorders>
            <w:vAlign w:val="center"/>
          </w:tcPr>
          <w:p w14:paraId="077B7F20">
            <w:pPr>
              <w:adjustRightInd w:val="0"/>
              <w:snapToGrid w:val="0"/>
              <w:spacing w:line="440" w:lineRule="atLeast"/>
              <w:jc w:val="center"/>
              <w:rPr>
                <w:rFonts w:ascii="华文仿宋" w:hAnsi="华文仿宋" w:eastAsia="华文仿宋"/>
                <w:sz w:val="24"/>
              </w:rPr>
            </w:pPr>
            <w:r>
              <w:rPr>
                <w:rFonts w:hint="eastAsia" w:ascii="华文仿宋" w:hAnsi="华文仿宋" w:eastAsia="华文仿宋"/>
                <w:sz w:val="24"/>
              </w:rPr>
              <w:t>□是　　　□否</w:t>
            </w:r>
          </w:p>
        </w:tc>
        <w:tc>
          <w:tcPr>
            <w:tcW w:w="2126" w:type="dxa"/>
            <w:gridSpan w:val="2"/>
            <w:tcBorders>
              <w:top w:val="single" w:color="auto" w:sz="4" w:space="0"/>
              <w:bottom w:val="single" w:color="auto" w:sz="4" w:space="0"/>
            </w:tcBorders>
            <w:vAlign w:val="center"/>
          </w:tcPr>
          <w:p w14:paraId="0D578527">
            <w:pPr>
              <w:adjustRightInd w:val="0"/>
              <w:snapToGrid w:val="0"/>
              <w:spacing w:line="440" w:lineRule="atLeast"/>
              <w:jc w:val="center"/>
              <w:rPr>
                <w:rFonts w:ascii="华文仿宋" w:hAnsi="华文仿宋" w:eastAsia="华文仿宋"/>
                <w:sz w:val="24"/>
              </w:rPr>
            </w:pPr>
            <w:r>
              <w:rPr>
                <w:rFonts w:hint="eastAsia" w:ascii="华文仿宋" w:hAnsi="华文仿宋" w:eastAsia="华文仿宋"/>
                <w:sz w:val="24"/>
              </w:rPr>
              <w:t>是否在资产评估机构工作</w:t>
            </w:r>
          </w:p>
        </w:tc>
        <w:tc>
          <w:tcPr>
            <w:tcW w:w="2067" w:type="dxa"/>
            <w:gridSpan w:val="2"/>
            <w:tcBorders>
              <w:top w:val="single" w:color="auto" w:sz="4" w:space="0"/>
              <w:bottom w:val="single" w:color="auto" w:sz="4" w:space="0"/>
              <w:right w:val="single" w:color="auto" w:sz="8" w:space="0"/>
            </w:tcBorders>
            <w:vAlign w:val="center"/>
          </w:tcPr>
          <w:p w14:paraId="2D484268">
            <w:pPr>
              <w:adjustRightInd w:val="0"/>
              <w:snapToGrid w:val="0"/>
              <w:spacing w:line="440" w:lineRule="atLeast"/>
              <w:jc w:val="center"/>
              <w:rPr>
                <w:rFonts w:ascii="华文仿宋" w:hAnsi="华文仿宋" w:eastAsia="华文仿宋"/>
                <w:sz w:val="24"/>
              </w:rPr>
            </w:pPr>
            <w:r>
              <w:rPr>
                <w:rFonts w:hint="eastAsia" w:ascii="华文仿宋" w:hAnsi="华文仿宋" w:eastAsia="华文仿宋"/>
                <w:sz w:val="24"/>
              </w:rPr>
              <w:t>□是　　　□否</w:t>
            </w:r>
          </w:p>
        </w:tc>
      </w:tr>
      <w:tr w14:paraId="1B48F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61" w:hRule="exact"/>
          <w:tblHeader/>
          <w:jc w:val="center"/>
        </w:trPr>
        <w:tc>
          <w:tcPr>
            <w:tcW w:w="2101" w:type="dxa"/>
            <w:gridSpan w:val="2"/>
            <w:tcBorders>
              <w:left w:val="single" w:color="auto" w:sz="8" w:space="0"/>
              <w:bottom w:val="single" w:color="auto" w:sz="4" w:space="0"/>
            </w:tcBorders>
            <w:vAlign w:val="center"/>
          </w:tcPr>
          <w:p w14:paraId="3E9CB3BE">
            <w:pPr>
              <w:adjustRightInd w:val="0"/>
              <w:snapToGrid w:val="0"/>
              <w:spacing w:line="440" w:lineRule="atLeast"/>
              <w:jc w:val="center"/>
              <w:rPr>
                <w:rFonts w:ascii="华文仿宋" w:hAnsi="华文仿宋" w:eastAsia="华文仿宋"/>
                <w:spacing w:val="-10"/>
                <w:sz w:val="24"/>
              </w:rPr>
            </w:pPr>
            <w:r>
              <w:rPr>
                <w:rFonts w:hint="eastAsia" w:ascii="华文仿宋" w:hAnsi="华文仿宋" w:eastAsia="华文仿宋"/>
                <w:spacing w:val="-10"/>
                <w:sz w:val="24"/>
              </w:rPr>
              <w:t>职业资格证书</w:t>
            </w:r>
          </w:p>
          <w:p w14:paraId="40D5EF68">
            <w:pPr>
              <w:adjustRightInd w:val="0"/>
              <w:snapToGrid w:val="0"/>
              <w:spacing w:line="440" w:lineRule="atLeast"/>
              <w:jc w:val="center"/>
              <w:rPr>
                <w:rFonts w:ascii="华文仿宋" w:hAnsi="华文仿宋" w:eastAsia="华文仿宋"/>
                <w:sz w:val="24"/>
              </w:rPr>
            </w:pPr>
            <w:r>
              <w:rPr>
                <w:rFonts w:hint="eastAsia" w:ascii="华文仿宋" w:hAnsi="华文仿宋" w:eastAsia="华文仿宋"/>
                <w:spacing w:val="-10"/>
                <w:sz w:val="24"/>
              </w:rPr>
              <w:t>管理号</w:t>
            </w:r>
          </w:p>
        </w:tc>
        <w:tc>
          <w:tcPr>
            <w:tcW w:w="2528" w:type="dxa"/>
            <w:gridSpan w:val="2"/>
            <w:tcBorders>
              <w:top w:val="single" w:color="auto" w:sz="4" w:space="0"/>
              <w:bottom w:val="single" w:color="auto" w:sz="4" w:space="0"/>
            </w:tcBorders>
            <w:vAlign w:val="center"/>
          </w:tcPr>
          <w:p w14:paraId="6F35C17A">
            <w:pPr>
              <w:adjustRightInd w:val="0"/>
              <w:snapToGrid w:val="0"/>
              <w:spacing w:line="440" w:lineRule="atLeast"/>
              <w:jc w:val="center"/>
              <w:rPr>
                <w:rFonts w:ascii="华文仿宋" w:hAnsi="华文仿宋" w:eastAsia="华文仿宋"/>
                <w:sz w:val="24"/>
              </w:rPr>
            </w:pPr>
          </w:p>
        </w:tc>
        <w:tc>
          <w:tcPr>
            <w:tcW w:w="2126" w:type="dxa"/>
            <w:gridSpan w:val="2"/>
            <w:tcBorders>
              <w:top w:val="single" w:color="auto" w:sz="4" w:space="0"/>
              <w:bottom w:val="single" w:color="auto" w:sz="4" w:space="0"/>
            </w:tcBorders>
            <w:vAlign w:val="center"/>
          </w:tcPr>
          <w:p w14:paraId="565F6875">
            <w:pPr>
              <w:adjustRightInd w:val="0"/>
              <w:snapToGrid w:val="0"/>
              <w:spacing w:line="440" w:lineRule="atLeast"/>
              <w:jc w:val="center"/>
              <w:rPr>
                <w:rFonts w:ascii="华文仿宋" w:hAnsi="华文仿宋" w:eastAsia="华文仿宋"/>
                <w:sz w:val="24"/>
              </w:rPr>
            </w:pPr>
            <w:r>
              <w:rPr>
                <w:rFonts w:hint="eastAsia" w:ascii="华文仿宋" w:hAnsi="华文仿宋" w:eastAsia="华文仿宋"/>
                <w:sz w:val="24"/>
              </w:rPr>
              <w:t>评估机构人员是否由所在机构为其缴纳社会保险</w:t>
            </w:r>
          </w:p>
        </w:tc>
        <w:tc>
          <w:tcPr>
            <w:tcW w:w="2067" w:type="dxa"/>
            <w:gridSpan w:val="2"/>
            <w:tcBorders>
              <w:top w:val="single" w:color="auto" w:sz="4" w:space="0"/>
              <w:bottom w:val="single" w:color="auto" w:sz="4" w:space="0"/>
              <w:right w:val="single" w:color="auto" w:sz="8" w:space="0"/>
            </w:tcBorders>
            <w:vAlign w:val="center"/>
          </w:tcPr>
          <w:p w14:paraId="218C890C">
            <w:pPr>
              <w:adjustRightInd w:val="0"/>
              <w:snapToGrid w:val="0"/>
              <w:spacing w:line="440" w:lineRule="atLeast"/>
              <w:jc w:val="center"/>
              <w:rPr>
                <w:rFonts w:ascii="华文仿宋" w:hAnsi="华文仿宋" w:eastAsia="华文仿宋"/>
                <w:sz w:val="24"/>
              </w:rPr>
            </w:pPr>
            <w:r>
              <w:rPr>
                <w:rFonts w:hint="eastAsia" w:ascii="华文仿宋" w:hAnsi="华文仿宋" w:eastAsia="华文仿宋"/>
                <w:sz w:val="24"/>
              </w:rPr>
              <w:t>□是　　　□否</w:t>
            </w:r>
          </w:p>
        </w:tc>
      </w:tr>
      <w:tr w14:paraId="23DC4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87" w:hRule="atLeast"/>
          <w:tblHeader/>
          <w:jc w:val="center"/>
        </w:trPr>
        <w:tc>
          <w:tcPr>
            <w:tcW w:w="8822" w:type="dxa"/>
            <w:gridSpan w:val="8"/>
            <w:tcBorders>
              <w:left w:val="single" w:color="auto" w:sz="8" w:space="0"/>
              <w:right w:val="single" w:color="auto" w:sz="8" w:space="0"/>
            </w:tcBorders>
            <w:vAlign w:val="center"/>
          </w:tcPr>
          <w:p w14:paraId="11C01812">
            <w:pPr>
              <w:spacing w:line="440" w:lineRule="atLeast"/>
              <w:jc w:val="left"/>
              <w:rPr>
                <w:rFonts w:ascii="仿宋_GB2312" w:hAnsi="Times New Roman" w:eastAsia="仿宋_GB2312"/>
                <w:b/>
                <w:sz w:val="24"/>
              </w:rPr>
            </w:pPr>
            <w:r>
              <w:rPr>
                <w:rFonts w:hint="eastAsia" w:ascii="仿宋_GB2312" w:hAnsi="Times New Roman" w:eastAsia="仿宋_GB2312"/>
                <w:b/>
                <w:sz w:val="24"/>
              </w:rPr>
              <w:t>本人自愿申请加入中国资产评估协会，成为执业会员，并承诺遵守《中国资产评估协会章程》及相关规定。</w:t>
            </w:r>
          </w:p>
          <w:p w14:paraId="477D132C">
            <w:pPr>
              <w:spacing w:line="440" w:lineRule="atLeast"/>
              <w:jc w:val="left"/>
              <w:rPr>
                <w:rFonts w:ascii="仿宋_GB2312" w:hAnsi="Times New Roman" w:eastAsia="仿宋_GB2312"/>
                <w:sz w:val="24"/>
              </w:rPr>
            </w:pPr>
          </w:p>
          <w:p w14:paraId="03DBED57">
            <w:pPr>
              <w:adjustRightInd w:val="0"/>
              <w:snapToGrid w:val="0"/>
              <w:spacing w:line="440" w:lineRule="atLeast"/>
              <w:jc w:val="center"/>
              <w:rPr>
                <w:rFonts w:ascii="华文仿宋" w:hAnsi="华文仿宋" w:eastAsia="华文仿宋"/>
                <w:sz w:val="24"/>
              </w:rPr>
            </w:pPr>
            <w:r>
              <w:rPr>
                <w:rFonts w:hint="eastAsia" w:ascii="仿宋_GB2312" w:hAnsi="Times New Roman" w:eastAsia="仿宋_GB2312"/>
                <w:sz w:val="24"/>
              </w:rPr>
              <w:t>申请人签字：　　　　　　　　　　　　　　　　　　年　　　　月　　　　日</w:t>
            </w:r>
          </w:p>
        </w:tc>
      </w:tr>
      <w:tr w14:paraId="02647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87" w:hRule="atLeast"/>
          <w:tblHeader/>
          <w:jc w:val="center"/>
        </w:trPr>
        <w:tc>
          <w:tcPr>
            <w:tcW w:w="2101" w:type="dxa"/>
            <w:gridSpan w:val="2"/>
            <w:tcBorders>
              <w:left w:val="single" w:color="auto" w:sz="8" w:space="0"/>
              <w:right w:val="single" w:color="auto" w:sz="4" w:space="0"/>
            </w:tcBorders>
            <w:vAlign w:val="center"/>
          </w:tcPr>
          <w:p w14:paraId="0A4BE00C">
            <w:pPr>
              <w:adjustRightInd w:val="0"/>
              <w:snapToGrid w:val="0"/>
              <w:spacing w:line="440" w:lineRule="atLeast"/>
              <w:jc w:val="center"/>
              <w:rPr>
                <w:rFonts w:ascii="华文仿宋" w:hAnsi="华文仿宋" w:eastAsia="华文仿宋"/>
                <w:spacing w:val="-10"/>
                <w:sz w:val="24"/>
              </w:rPr>
            </w:pPr>
            <w:r>
              <w:rPr>
                <w:rFonts w:hint="eastAsia" w:ascii="华文仿宋" w:hAnsi="华文仿宋" w:eastAsia="华文仿宋"/>
                <w:spacing w:val="-10"/>
                <w:sz w:val="24"/>
              </w:rPr>
              <w:t>地　方　协　会　</w:t>
            </w:r>
          </w:p>
          <w:p w14:paraId="0B263399">
            <w:pPr>
              <w:adjustRightInd w:val="0"/>
              <w:snapToGrid w:val="0"/>
              <w:spacing w:line="440" w:lineRule="atLeast"/>
              <w:jc w:val="center"/>
              <w:rPr>
                <w:rFonts w:ascii="仿宋_GB2312" w:hAnsi="华文仿宋" w:eastAsia="仿宋_GB2312"/>
                <w:spacing w:val="20"/>
                <w:sz w:val="24"/>
              </w:rPr>
            </w:pPr>
            <w:r>
              <w:rPr>
                <w:rFonts w:hint="eastAsia" w:ascii="华文仿宋" w:hAnsi="华文仿宋" w:eastAsia="华文仿宋"/>
                <w:spacing w:val="-10"/>
                <w:sz w:val="24"/>
              </w:rPr>
              <w:t>审　核　意　见</w:t>
            </w:r>
          </w:p>
        </w:tc>
        <w:tc>
          <w:tcPr>
            <w:tcW w:w="6721" w:type="dxa"/>
            <w:gridSpan w:val="6"/>
            <w:tcBorders>
              <w:top w:val="single" w:color="auto" w:sz="4" w:space="0"/>
              <w:left w:val="single" w:color="auto" w:sz="4" w:space="0"/>
              <w:right w:val="single" w:color="auto" w:sz="8" w:space="0"/>
            </w:tcBorders>
            <w:vAlign w:val="center"/>
          </w:tcPr>
          <w:p w14:paraId="0F409B5D">
            <w:pPr>
              <w:adjustRightInd w:val="0"/>
              <w:snapToGrid w:val="0"/>
              <w:spacing w:line="440" w:lineRule="atLeast"/>
              <w:jc w:val="center"/>
              <w:rPr>
                <w:rFonts w:ascii="华文仿宋" w:hAnsi="华文仿宋" w:eastAsia="华文仿宋"/>
                <w:sz w:val="24"/>
              </w:rPr>
            </w:pPr>
          </w:p>
          <w:p w14:paraId="2A44C751">
            <w:pPr>
              <w:adjustRightInd w:val="0"/>
              <w:snapToGrid w:val="0"/>
              <w:spacing w:line="440" w:lineRule="atLeast"/>
              <w:rPr>
                <w:rFonts w:ascii="华文仿宋" w:hAnsi="华文仿宋" w:eastAsia="华文仿宋"/>
                <w:sz w:val="24"/>
              </w:rPr>
            </w:pPr>
          </w:p>
          <w:p w14:paraId="60012B62">
            <w:pPr>
              <w:adjustRightInd w:val="0"/>
              <w:snapToGrid w:val="0"/>
              <w:spacing w:after="93" w:line="440" w:lineRule="atLeast"/>
              <w:jc w:val="center"/>
              <w:rPr>
                <w:rFonts w:ascii="华文仿宋" w:hAnsi="华文仿宋" w:eastAsia="华文仿宋"/>
                <w:sz w:val="24"/>
              </w:rPr>
            </w:pPr>
            <w:r>
              <w:rPr>
                <w:rFonts w:hint="eastAsia" w:ascii="华文仿宋" w:hAnsi="华文仿宋" w:eastAsia="华文仿宋"/>
                <w:sz w:val="24"/>
              </w:rPr>
              <w:t>　　　　　　　　　　　　　　　　　　　　　　　　　　　　　　　　　　（公章）</w:t>
            </w:r>
          </w:p>
          <w:p w14:paraId="13F336C3">
            <w:pPr>
              <w:tabs>
                <w:tab w:val="left" w:pos="2772"/>
              </w:tabs>
              <w:adjustRightInd w:val="0"/>
              <w:snapToGrid w:val="0"/>
              <w:spacing w:line="440" w:lineRule="atLeast"/>
              <w:rPr>
                <w:rFonts w:ascii="华文仿宋" w:hAnsi="华文仿宋" w:eastAsia="华文仿宋"/>
                <w:sz w:val="24"/>
              </w:rPr>
            </w:pPr>
          </w:p>
          <w:p w14:paraId="126748F1">
            <w:pPr>
              <w:tabs>
                <w:tab w:val="left" w:pos="2772"/>
              </w:tabs>
              <w:adjustRightInd w:val="0"/>
              <w:snapToGrid w:val="0"/>
              <w:spacing w:line="440" w:lineRule="atLeast"/>
              <w:rPr>
                <w:rFonts w:ascii="华文仿宋" w:hAnsi="华文仿宋" w:eastAsia="华文仿宋"/>
                <w:sz w:val="24"/>
              </w:rPr>
            </w:pPr>
            <w:r>
              <w:rPr>
                <w:rFonts w:hint="eastAsia" w:ascii="华文仿宋" w:hAnsi="华文仿宋" w:eastAsia="华文仿宋"/>
                <w:sz w:val="24"/>
              </w:rPr>
              <w:t>经办人　　　　　　　　　　　年　　　　　月　　　　　日</w:t>
            </w:r>
          </w:p>
        </w:tc>
      </w:tr>
    </w:tbl>
    <w:p w14:paraId="086B7F57">
      <w:pPr>
        <w:spacing w:line="440" w:lineRule="atLeast"/>
        <w:rPr>
          <w:rFonts w:ascii="宋体" w:hAnsi="宋体"/>
          <w:sz w:val="28"/>
        </w:rPr>
        <w:sectPr>
          <w:footerReference r:id="rId24" w:type="default"/>
          <w:pgSz w:w="11906" w:h="16838"/>
          <w:pgMar w:top="1440" w:right="1531" w:bottom="1440" w:left="1531" w:header="851" w:footer="992" w:gutter="0"/>
          <w:cols w:space="720" w:num="1"/>
          <w:docGrid w:type="lines" w:linePitch="312" w:charSpace="0"/>
        </w:sectPr>
      </w:pPr>
    </w:p>
    <w:p w14:paraId="5701BD32">
      <w:pPr>
        <w:spacing w:line="440" w:lineRule="atLeast"/>
        <w:jc w:val="left"/>
        <w:rPr>
          <w:rFonts w:ascii="宋体" w:hAnsi="宋体" w:eastAsia="宋体" w:cs="宋体"/>
          <w:sz w:val="24"/>
        </w:rPr>
      </w:pPr>
      <w:r>
        <w:rPr>
          <w:rFonts w:hint="eastAsia" w:ascii="宋体" w:hAnsi="宋体" w:eastAsia="宋体" w:cs="宋体"/>
          <w:sz w:val="24"/>
        </w:rPr>
        <w:t>附件2</w:t>
      </w:r>
    </w:p>
    <w:p w14:paraId="38904390">
      <w:pPr>
        <w:spacing w:line="440" w:lineRule="atLeast"/>
        <w:jc w:val="center"/>
        <w:rPr>
          <w:rFonts w:ascii="Times New Roman" w:hAnsi="Times New Roman"/>
          <w:b/>
          <w:bCs/>
          <w:sz w:val="44"/>
        </w:rPr>
      </w:pPr>
      <w:r>
        <w:rPr>
          <w:rFonts w:hint="eastAsia" w:ascii="华文中宋" w:hAnsi="华文中宋" w:eastAsia="华文中宋"/>
          <w:b/>
          <w:sz w:val="36"/>
          <w:szCs w:val="36"/>
        </w:rPr>
        <w:t>资产评估师转所申请表</w:t>
      </w:r>
    </w:p>
    <w:p w14:paraId="657CFCF1">
      <w:pPr>
        <w:spacing w:line="440" w:lineRule="atLeast"/>
        <w:rPr>
          <w:rFonts w:ascii="Times New Roman" w:hAnsi="Times New Roman"/>
          <w:sz w:val="11"/>
          <w:szCs w:val="11"/>
        </w:rPr>
      </w:pP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7"/>
        <w:gridCol w:w="286"/>
        <w:gridCol w:w="385"/>
        <w:gridCol w:w="386"/>
        <w:gridCol w:w="385"/>
        <w:gridCol w:w="386"/>
        <w:gridCol w:w="385"/>
        <w:gridCol w:w="386"/>
        <w:gridCol w:w="385"/>
        <w:gridCol w:w="227"/>
        <w:gridCol w:w="159"/>
        <w:gridCol w:w="385"/>
        <w:gridCol w:w="216"/>
        <w:gridCol w:w="169"/>
        <w:gridCol w:w="396"/>
        <w:gridCol w:w="375"/>
        <w:gridCol w:w="386"/>
        <w:gridCol w:w="385"/>
        <w:gridCol w:w="390"/>
        <w:gridCol w:w="385"/>
        <w:gridCol w:w="387"/>
      </w:tblGrid>
      <w:tr w14:paraId="332CA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377" w:type="dxa"/>
            <w:vAlign w:val="center"/>
          </w:tcPr>
          <w:p w14:paraId="4873F823">
            <w:pPr>
              <w:spacing w:line="440" w:lineRule="atLeast"/>
              <w:jc w:val="center"/>
              <w:rPr>
                <w:rFonts w:ascii="仿宋_GB2312" w:hAnsi="Times New Roman" w:eastAsia="仿宋_GB2312"/>
                <w:sz w:val="24"/>
              </w:rPr>
            </w:pPr>
            <w:r>
              <w:rPr>
                <w:rFonts w:hint="eastAsia" w:ascii="仿宋_GB2312" w:hAnsi="Times New Roman" w:eastAsia="仿宋_GB2312"/>
                <w:sz w:val="24"/>
              </w:rPr>
              <w:t>姓名</w:t>
            </w:r>
          </w:p>
        </w:tc>
        <w:tc>
          <w:tcPr>
            <w:tcW w:w="3211" w:type="dxa"/>
            <w:gridSpan w:val="9"/>
            <w:vAlign w:val="center"/>
          </w:tcPr>
          <w:p w14:paraId="08451D05">
            <w:pPr>
              <w:spacing w:line="440" w:lineRule="atLeast"/>
              <w:jc w:val="center"/>
              <w:rPr>
                <w:rFonts w:ascii="仿宋_GB2312" w:hAnsi="宋体" w:eastAsia="仿宋_GB2312"/>
                <w:sz w:val="28"/>
                <w:szCs w:val="28"/>
              </w:rPr>
            </w:pPr>
          </w:p>
        </w:tc>
        <w:tc>
          <w:tcPr>
            <w:tcW w:w="1325" w:type="dxa"/>
            <w:gridSpan w:val="5"/>
            <w:vAlign w:val="center"/>
          </w:tcPr>
          <w:p w14:paraId="43390DE1">
            <w:pPr>
              <w:spacing w:line="440" w:lineRule="atLeast"/>
              <w:jc w:val="center"/>
              <w:rPr>
                <w:rFonts w:ascii="仿宋_GB2312" w:hAnsi="宋体" w:eastAsia="仿宋_GB2312"/>
                <w:sz w:val="28"/>
                <w:szCs w:val="28"/>
              </w:rPr>
            </w:pPr>
            <w:r>
              <w:rPr>
                <w:rFonts w:hint="eastAsia" w:ascii="仿宋_GB2312" w:hAnsi="Times New Roman" w:eastAsia="仿宋_GB2312"/>
                <w:sz w:val="24"/>
              </w:rPr>
              <w:t>性别</w:t>
            </w:r>
          </w:p>
        </w:tc>
        <w:tc>
          <w:tcPr>
            <w:tcW w:w="2308" w:type="dxa"/>
            <w:gridSpan w:val="6"/>
            <w:vAlign w:val="center"/>
          </w:tcPr>
          <w:p w14:paraId="498B05EB">
            <w:pPr>
              <w:spacing w:line="440" w:lineRule="atLeast"/>
              <w:jc w:val="center"/>
              <w:rPr>
                <w:rFonts w:ascii="仿宋_GB2312" w:hAnsi="宋体" w:eastAsia="仿宋_GB2312"/>
                <w:sz w:val="28"/>
                <w:szCs w:val="28"/>
              </w:rPr>
            </w:pPr>
          </w:p>
        </w:tc>
      </w:tr>
      <w:tr w14:paraId="66D0D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377" w:type="dxa"/>
            <w:vAlign w:val="center"/>
          </w:tcPr>
          <w:p w14:paraId="64995EA3">
            <w:pPr>
              <w:spacing w:line="440" w:lineRule="atLeast"/>
              <w:jc w:val="center"/>
              <w:rPr>
                <w:rFonts w:ascii="仿宋_GB2312" w:hAnsi="Times New Roman" w:eastAsia="仿宋_GB2312"/>
                <w:sz w:val="24"/>
              </w:rPr>
            </w:pPr>
            <w:r>
              <w:rPr>
                <w:rFonts w:hint="eastAsia" w:ascii="仿宋_GB2312" w:hAnsi="宋体" w:eastAsia="仿宋_GB2312"/>
                <w:sz w:val="24"/>
              </w:rPr>
              <w:t>职业资格证书登记编号</w:t>
            </w:r>
          </w:p>
        </w:tc>
        <w:tc>
          <w:tcPr>
            <w:tcW w:w="3211" w:type="dxa"/>
            <w:gridSpan w:val="9"/>
            <w:vAlign w:val="center"/>
          </w:tcPr>
          <w:p w14:paraId="7835A4F8">
            <w:pPr>
              <w:spacing w:line="440" w:lineRule="atLeast"/>
              <w:jc w:val="center"/>
              <w:rPr>
                <w:rFonts w:ascii="仿宋_GB2312" w:hAnsi="宋体" w:eastAsia="仿宋_GB2312"/>
                <w:sz w:val="28"/>
                <w:szCs w:val="28"/>
              </w:rPr>
            </w:pPr>
          </w:p>
        </w:tc>
        <w:tc>
          <w:tcPr>
            <w:tcW w:w="1325" w:type="dxa"/>
            <w:gridSpan w:val="5"/>
            <w:vAlign w:val="center"/>
          </w:tcPr>
          <w:p w14:paraId="2132FDC2">
            <w:pPr>
              <w:spacing w:line="440" w:lineRule="atLeast"/>
              <w:jc w:val="center"/>
              <w:rPr>
                <w:rFonts w:ascii="仿宋_GB2312" w:hAnsi="宋体" w:eastAsia="仿宋_GB2312"/>
                <w:sz w:val="24"/>
              </w:rPr>
            </w:pPr>
            <w:r>
              <w:rPr>
                <w:rFonts w:hint="eastAsia" w:ascii="仿宋_GB2312" w:hAnsi="宋体" w:eastAsia="仿宋_GB2312"/>
                <w:sz w:val="24"/>
              </w:rPr>
              <w:t>联系电话</w:t>
            </w:r>
          </w:p>
        </w:tc>
        <w:tc>
          <w:tcPr>
            <w:tcW w:w="2308" w:type="dxa"/>
            <w:gridSpan w:val="6"/>
            <w:vAlign w:val="center"/>
          </w:tcPr>
          <w:p w14:paraId="12621F7B">
            <w:pPr>
              <w:spacing w:line="440" w:lineRule="atLeast"/>
              <w:jc w:val="center"/>
              <w:rPr>
                <w:rFonts w:ascii="仿宋_GB2312" w:hAnsi="宋体" w:eastAsia="仿宋_GB2312"/>
                <w:sz w:val="28"/>
                <w:szCs w:val="28"/>
              </w:rPr>
            </w:pPr>
          </w:p>
        </w:tc>
      </w:tr>
      <w:tr w14:paraId="3EFAA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377" w:type="dxa"/>
            <w:vAlign w:val="center"/>
          </w:tcPr>
          <w:p w14:paraId="4C9576B5">
            <w:pPr>
              <w:spacing w:line="440" w:lineRule="atLeast"/>
              <w:jc w:val="center"/>
              <w:rPr>
                <w:rFonts w:ascii="仿宋_GB2312" w:hAnsi="宋体" w:eastAsia="仿宋_GB2312"/>
                <w:sz w:val="24"/>
              </w:rPr>
            </w:pPr>
            <w:r>
              <w:rPr>
                <w:rFonts w:hint="eastAsia" w:ascii="仿宋_GB2312" w:hAnsi="宋体" w:eastAsia="仿宋_GB2312"/>
                <w:sz w:val="24"/>
              </w:rPr>
              <w:t>身份证</w:t>
            </w:r>
          </w:p>
          <w:p w14:paraId="613BD82E">
            <w:pPr>
              <w:spacing w:line="440" w:lineRule="atLeast"/>
              <w:jc w:val="center"/>
              <w:rPr>
                <w:rFonts w:ascii="仿宋_GB2312" w:hAnsi="Times New Roman" w:eastAsia="仿宋_GB2312"/>
                <w:sz w:val="24"/>
              </w:rPr>
            </w:pPr>
            <w:r>
              <w:rPr>
                <w:rFonts w:hint="eastAsia" w:ascii="仿宋_GB2312" w:hAnsi="宋体" w:eastAsia="仿宋_GB2312"/>
                <w:sz w:val="24"/>
              </w:rPr>
              <w:t>号码</w:t>
            </w:r>
          </w:p>
        </w:tc>
        <w:tc>
          <w:tcPr>
            <w:tcW w:w="286" w:type="dxa"/>
            <w:vAlign w:val="center"/>
          </w:tcPr>
          <w:p w14:paraId="3EA2FB05">
            <w:pPr>
              <w:spacing w:line="440" w:lineRule="atLeast"/>
              <w:rPr>
                <w:rFonts w:ascii="仿宋_GB2312" w:hAnsi="宋体" w:eastAsia="仿宋_GB2312"/>
                <w:sz w:val="28"/>
                <w:szCs w:val="28"/>
              </w:rPr>
            </w:pPr>
          </w:p>
        </w:tc>
        <w:tc>
          <w:tcPr>
            <w:tcW w:w="385" w:type="dxa"/>
            <w:vAlign w:val="center"/>
          </w:tcPr>
          <w:p w14:paraId="09B54E54">
            <w:pPr>
              <w:spacing w:line="440" w:lineRule="atLeast"/>
              <w:rPr>
                <w:rFonts w:ascii="仿宋_GB2312" w:hAnsi="宋体" w:eastAsia="仿宋_GB2312"/>
                <w:sz w:val="28"/>
                <w:szCs w:val="28"/>
              </w:rPr>
            </w:pPr>
          </w:p>
        </w:tc>
        <w:tc>
          <w:tcPr>
            <w:tcW w:w="386" w:type="dxa"/>
            <w:vAlign w:val="center"/>
          </w:tcPr>
          <w:p w14:paraId="73754834">
            <w:pPr>
              <w:spacing w:line="440" w:lineRule="atLeast"/>
              <w:rPr>
                <w:rFonts w:ascii="仿宋_GB2312" w:hAnsi="宋体" w:eastAsia="仿宋_GB2312"/>
                <w:sz w:val="28"/>
                <w:szCs w:val="28"/>
              </w:rPr>
            </w:pPr>
          </w:p>
        </w:tc>
        <w:tc>
          <w:tcPr>
            <w:tcW w:w="385" w:type="dxa"/>
            <w:vAlign w:val="center"/>
          </w:tcPr>
          <w:p w14:paraId="6A189A51">
            <w:pPr>
              <w:spacing w:line="440" w:lineRule="atLeast"/>
              <w:rPr>
                <w:rFonts w:ascii="仿宋_GB2312" w:hAnsi="宋体" w:eastAsia="仿宋_GB2312"/>
                <w:sz w:val="28"/>
                <w:szCs w:val="28"/>
              </w:rPr>
            </w:pPr>
          </w:p>
        </w:tc>
        <w:tc>
          <w:tcPr>
            <w:tcW w:w="386" w:type="dxa"/>
            <w:vAlign w:val="center"/>
          </w:tcPr>
          <w:p w14:paraId="24B4A3ED">
            <w:pPr>
              <w:spacing w:line="440" w:lineRule="atLeast"/>
              <w:rPr>
                <w:rFonts w:ascii="仿宋_GB2312" w:hAnsi="宋体" w:eastAsia="仿宋_GB2312"/>
                <w:sz w:val="28"/>
                <w:szCs w:val="28"/>
              </w:rPr>
            </w:pPr>
          </w:p>
        </w:tc>
        <w:tc>
          <w:tcPr>
            <w:tcW w:w="385" w:type="dxa"/>
            <w:vAlign w:val="center"/>
          </w:tcPr>
          <w:p w14:paraId="0C7C14CF">
            <w:pPr>
              <w:spacing w:line="440" w:lineRule="atLeast"/>
              <w:rPr>
                <w:rFonts w:ascii="仿宋_GB2312" w:hAnsi="宋体" w:eastAsia="仿宋_GB2312"/>
                <w:sz w:val="28"/>
                <w:szCs w:val="28"/>
              </w:rPr>
            </w:pPr>
          </w:p>
        </w:tc>
        <w:tc>
          <w:tcPr>
            <w:tcW w:w="386" w:type="dxa"/>
            <w:vAlign w:val="center"/>
          </w:tcPr>
          <w:p w14:paraId="1752D031">
            <w:pPr>
              <w:spacing w:line="440" w:lineRule="atLeast"/>
              <w:rPr>
                <w:rFonts w:ascii="仿宋_GB2312" w:hAnsi="宋体" w:eastAsia="仿宋_GB2312"/>
                <w:sz w:val="28"/>
                <w:szCs w:val="28"/>
              </w:rPr>
            </w:pPr>
          </w:p>
        </w:tc>
        <w:tc>
          <w:tcPr>
            <w:tcW w:w="385" w:type="dxa"/>
            <w:vAlign w:val="center"/>
          </w:tcPr>
          <w:p w14:paraId="27A8C0CF">
            <w:pPr>
              <w:spacing w:line="440" w:lineRule="atLeast"/>
              <w:rPr>
                <w:rFonts w:ascii="仿宋_GB2312" w:hAnsi="宋体" w:eastAsia="仿宋_GB2312"/>
                <w:sz w:val="28"/>
                <w:szCs w:val="28"/>
              </w:rPr>
            </w:pPr>
          </w:p>
        </w:tc>
        <w:tc>
          <w:tcPr>
            <w:tcW w:w="386" w:type="dxa"/>
            <w:gridSpan w:val="2"/>
            <w:vAlign w:val="center"/>
          </w:tcPr>
          <w:p w14:paraId="0E5D4AE7">
            <w:pPr>
              <w:spacing w:line="440" w:lineRule="atLeast"/>
              <w:rPr>
                <w:rFonts w:ascii="仿宋_GB2312" w:hAnsi="宋体" w:eastAsia="仿宋_GB2312"/>
                <w:sz w:val="28"/>
                <w:szCs w:val="28"/>
              </w:rPr>
            </w:pPr>
          </w:p>
        </w:tc>
        <w:tc>
          <w:tcPr>
            <w:tcW w:w="385" w:type="dxa"/>
            <w:vAlign w:val="center"/>
          </w:tcPr>
          <w:p w14:paraId="77DB459E">
            <w:pPr>
              <w:spacing w:line="440" w:lineRule="atLeast"/>
              <w:rPr>
                <w:rFonts w:ascii="仿宋_GB2312" w:hAnsi="宋体" w:eastAsia="仿宋_GB2312"/>
                <w:sz w:val="28"/>
                <w:szCs w:val="28"/>
              </w:rPr>
            </w:pPr>
          </w:p>
        </w:tc>
        <w:tc>
          <w:tcPr>
            <w:tcW w:w="385" w:type="dxa"/>
            <w:gridSpan w:val="2"/>
            <w:vAlign w:val="center"/>
          </w:tcPr>
          <w:p w14:paraId="7299AC7B">
            <w:pPr>
              <w:spacing w:line="440" w:lineRule="atLeast"/>
              <w:rPr>
                <w:rFonts w:ascii="仿宋_GB2312" w:hAnsi="宋体" w:eastAsia="仿宋_GB2312"/>
                <w:sz w:val="28"/>
                <w:szCs w:val="28"/>
              </w:rPr>
            </w:pPr>
          </w:p>
        </w:tc>
        <w:tc>
          <w:tcPr>
            <w:tcW w:w="396" w:type="dxa"/>
            <w:vAlign w:val="center"/>
          </w:tcPr>
          <w:p w14:paraId="1579BC9D">
            <w:pPr>
              <w:spacing w:line="440" w:lineRule="atLeast"/>
              <w:rPr>
                <w:rFonts w:ascii="仿宋_GB2312" w:hAnsi="宋体" w:eastAsia="仿宋_GB2312"/>
                <w:sz w:val="28"/>
                <w:szCs w:val="28"/>
              </w:rPr>
            </w:pPr>
          </w:p>
        </w:tc>
        <w:tc>
          <w:tcPr>
            <w:tcW w:w="375" w:type="dxa"/>
            <w:vAlign w:val="center"/>
          </w:tcPr>
          <w:p w14:paraId="1D756E62">
            <w:pPr>
              <w:spacing w:line="440" w:lineRule="atLeast"/>
              <w:rPr>
                <w:rFonts w:ascii="仿宋_GB2312" w:hAnsi="宋体" w:eastAsia="仿宋_GB2312"/>
                <w:sz w:val="28"/>
                <w:szCs w:val="28"/>
              </w:rPr>
            </w:pPr>
          </w:p>
        </w:tc>
        <w:tc>
          <w:tcPr>
            <w:tcW w:w="386" w:type="dxa"/>
            <w:vAlign w:val="center"/>
          </w:tcPr>
          <w:p w14:paraId="59C694F8">
            <w:pPr>
              <w:spacing w:line="440" w:lineRule="atLeast"/>
              <w:rPr>
                <w:rFonts w:ascii="仿宋_GB2312" w:hAnsi="宋体" w:eastAsia="仿宋_GB2312"/>
                <w:sz w:val="28"/>
                <w:szCs w:val="28"/>
              </w:rPr>
            </w:pPr>
          </w:p>
        </w:tc>
        <w:tc>
          <w:tcPr>
            <w:tcW w:w="385" w:type="dxa"/>
            <w:vAlign w:val="center"/>
          </w:tcPr>
          <w:p w14:paraId="270DA007">
            <w:pPr>
              <w:spacing w:line="440" w:lineRule="atLeast"/>
              <w:rPr>
                <w:rFonts w:ascii="仿宋_GB2312" w:hAnsi="宋体" w:eastAsia="仿宋_GB2312"/>
                <w:sz w:val="28"/>
                <w:szCs w:val="28"/>
              </w:rPr>
            </w:pPr>
          </w:p>
        </w:tc>
        <w:tc>
          <w:tcPr>
            <w:tcW w:w="390" w:type="dxa"/>
            <w:vAlign w:val="center"/>
          </w:tcPr>
          <w:p w14:paraId="5593D950">
            <w:pPr>
              <w:spacing w:line="440" w:lineRule="atLeast"/>
              <w:rPr>
                <w:rFonts w:ascii="仿宋_GB2312" w:hAnsi="宋体" w:eastAsia="仿宋_GB2312"/>
                <w:sz w:val="28"/>
                <w:szCs w:val="28"/>
              </w:rPr>
            </w:pPr>
          </w:p>
        </w:tc>
        <w:tc>
          <w:tcPr>
            <w:tcW w:w="385" w:type="dxa"/>
            <w:vAlign w:val="center"/>
          </w:tcPr>
          <w:p w14:paraId="3C103AD1">
            <w:pPr>
              <w:spacing w:line="440" w:lineRule="atLeast"/>
              <w:rPr>
                <w:rFonts w:ascii="仿宋_GB2312" w:hAnsi="宋体" w:eastAsia="仿宋_GB2312"/>
                <w:sz w:val="28"/>
                <w:szCs w:val="28"/>
              </w:rPr>
            </w:pPr>
          </w:p>
        </w:tc>
        <w:tc>
          <w:tcPr>
            <w:tcW w:w="387" w:type="dxa"/>
            <w:vAlign w:val="center"/>
          </w:tcPr>
          <w:p w14:paraId="6E7F50A0">
            <w:pPr>
              <w:spacing w:line="440" w:lineRule="atLeast"/>
              <w:rPr>
                <w:rFonts w:ascii="仿宋_GB2312" w:hAnsi="宋体" w:eastAsia="仿宋_GB2312"/>
                <w:sz w:val="28"/>
                <w:szCs w:val="28"/>
              </w:rPr>
            </w:pPr>
          </w:p>
        </w:tc>
      </w:tr>
      <w:tr w14:paraId="773EB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8221" w:type="dxa"/>
            <w:gridSpan w:val="21"/>
            <w:vAlign w:val="center"/>
          </w:tcPr>
          <w:p w14:paraId="1AD74D46">
            <w:pPr>
              <w:spacing w:line="440" w:lineRule="atLeast"/>
              <w:jc w:val="center"/>
              <w:rPr>
                <w:rFonts w:ascii="仿宋_GB2312" w:hAnsi="宋体" w:eastAsia="仿宋_GB2312"/>
                <w:sz w:val="28"/>
                <w:szCs w:val="28"/>
              </w:rPr>
            </w:pPr>
            <w:r>
              <w:rPr>
                <w:rFonts w:hint="eastAsia" w:ascii="仿宋_GB2312" w:hAnsi="宋体" w:eastAsia="仿宋_GB2312"/>
                <w:sz w:val="24"/>
              </w:rPr>
              <w:t>本人是否为合伙人或者股东　　　　</w:t>
            </w:r>
            <w:r>
              <w:rPr>
                <w:rFonts w:hint="eastAsia" w:ascii="仿宋_GB2312" w:hAnsi="Times New Roman" w:eastAsia="仿宋_GB2312"/>
                <w:sz w:val="24"/>
              </w:rPr>
              <w:t>□是　　　　□否</w:t>
            </w:r>
          </w:p>
        </w:tc>
      </w:tr>
      <w:tr w14:paraId="04BD4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377" w:type="dxa"/>
            <w:vAlign w:val="center"/>
          </w:tcPr>
          <w:p w14:paraId="04E2A0BB">
            <w:pPr>
              <w:spacing w:line="440" w:lineRule="atLeast"/>
              <w:jc w:val="distribute"/>
              <w:rPr>
                <w:rFonts w:ascii="仿宋_GB2312" w:hAnsi="宋体" w:eastAsia="仿宋_GB2312"/>
                <w:sz w:val="24"/>
              </w:rPr>
            </w:pPr>
            <w:r>
              <w:rPr>
                <w:rFonts w:hint="eastAsia" w:ascii="仿宋_GB2312" w:hAnsi="宋体" w:eastAsia="仿宋_GB2312"/>
                <w:sz w:val="24"/>
              </w:rPr>
              <w:t>转出机构</w:t>
            </w:r>
          </w:p>
        </w:tc>
        <w:tc>
          <w:tcPr>
            <w:tcW w:w="2599" w:type="dxa"/>
            <w:gridSpan w:val="7"/>
            <w:vAlign w:val="center"/>
          </w:tcPr>
          <w:p w14:paraId="22F32FC9">
            <w:pPr>
              <w:spacing w:line="440" w:lineRule="atLeast"/>
              <w:jc w:val="distribute"/>
              <w:rPr>
                <w:rFonts w:ascii="仿宋_GB2312" w:hAnsi="宋体" w:eastAsia="仿宋_GB2312"/>
                <w:sz w:val="24"/>
              </w:rPr>
            </w:pPr>
          </w:p>
        </w:tc>
        <w:tc>
          <w:tcPr>
            <w:tcW w:w="1372" w:type="dxa"/>
            <w:gridSpan w:val="5"/>
            <w:vAlign w:val="center"/>
          </w:tcPr>
          <w:p w14:paraId="655E80EE">
            <w:pPr>
              <w:spacing w:line="440" w:lineRule="atLeast"/>
              <w:jc w:val="distribute"/>
              <w:rPr>
                <w:rFonts w:ascii="仿宋_GB2312" w:hAnsi="宋体" w:eastAsia="仿宋_GB2312"/>
                <w:sz w:val="28"/>
                <w:szCs w:val="28"/>
              </w:rPr>
            </w:pPr>
            <w:r>
              <w:rPr>
                <w:rFonts w:hint="eastAsia" w:ascii="仿宋_GB2312" w:hAnsi="宋体" w:eastAsia="仿宋_GB2312"/>
                <w:sz w:val="24"/>
              </w:rPr>
              <w:t>转入机构</w:t>
            </w:r>
          </w:p>
        </w:tc>
        <w:tc>
          <w:tcPr>
            <w:tcW w:w="2873" w:type="dxa"/>
            <w:gridSpan w:val="8"/>
            <w:vAlign w:val="center"/>
          </w:tcPr>
          <w:p w14:paraId="33BFDF42">
            <w:pPr>
              <w:spacing w:line="440" w:lineRule="atLeast"/>
              <w:jc w:val="distribute"/>
              <w:rPr>
                <w:rFonts w:ascii="仿宋_GB2312" w:hAnsi="宋体" w:eastAsia="仿宋_GB2312"/>
                <w:sz w:val="28"/>
                <w:szCs w:val="28"/>
              </w:rPr>
            </w:pPr>
          </w:p>
        </w:tc>
      </w:tr>
      <w:tr w14:paraId="5FBCB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4" w:hRule="atLeast"/>
          <w:jc w:val="center"/>
        </w:trPr>
        <w:tc>
          <w:tcPr>
            <w:tcW w:w="1377" w:type="dxa"/>
            <w:vAlign w:val="center"/>
          </w:tcPr>
          <w:p w14:paraId="4F786F0C">
            <w:pPr>
              <w:spacing w:line="440" w:lineRule="atLeast"/>
              <w:jc w:val="distribute"/>
              <w:rPr>
                <w:rFonts w:ascii="仿宋_GB2312" w:hAnsi="宋体" w:eastAsia="仿宋_GB2312"/>
                <w:sz w:val="24"/>
              </w:rPr>
            </w:pPr>
            <w:r>
              <w:rPr>
                <w:rFonts w:hint="eastAsia" w:ascii="仿宋_GB2312" w:hAnsi="宋体" w:eastAsia="仿宋_GB2312"/>
                <w:sz w:val="24"/>
              </w:rPr>
              <w:t>资产评估师转所个人申请专栏</w:t>
            </w:r>
          </w:p>
        </w:tc>
        <w:tc>
          <w:tcPr>
            <w:tcW w:w="6844" w:type="dxa"/>
            <w:gridSpan w:val="20"/>
          </w:tcPr>
          <w:p w14:paraId="78CEA78F">
            <w:pPr>
              <w:spacing w:line="440" w:lineRule="atLeast"/>
              <w:rPr>
                <w:rFonts w:ascii="仿宋_GB2312" w:hAnsi="宋体" w:eastAsia="仿宋_GB2312"/>
                <w:sz w:val="24"/>
              </w:rPr>
            </w:pPr>
          </w:p>
          <w:p w14:paraId="29F2AF32">
            <w:pPr>
              <w:spacing w:line="440" w:lineRule="atLeast"/>
              <w:rPr>
                <w:rFonts w:ascii="仿宋_GB2312" w:hAnsi="宋体" w:eastAsia="仿宋_GB2312"/>
                <w:sz w:val="24"/>
              </w:rPr>
            </w:pPr>
            <w:r>
              <w:rPr>
                <w:rFonts w:hint="eastAsia" w:ascii="仿宋_GB2312" w:hAnsi="宋体" w:eastAsia="仿宋_GB2312"/>
                <w:sz w:val="24"/>
              </w:rPr>
              <w:t>转所理由：</w:t>
            </w:r>
          </w:p>
          <w:p w14:paraId="019DF73D">
            <w:pPr>
              <w:spacing w:line="440" w:lineRule="atLeast"/>
              <w:rPr>
                <w:rFonts w:ascii="仿宋_GB2312" w:hAnsi="宋体" w:eastAsia="仿宋_GB2312"/>
                <w:sz w:val="24"/>
              </w:rPr>
            </w:pPr>
          </w:p>
          <w:p w14:paraId="525D7102">
            <w:pPr>
              <w:spacing w:line="440" w:lineRule="atLeast"/>
              <w:rPr>
                <w:rFonts w:ascii="仿宋_GB2312" w:hAnsi="宋体" w:eastAsia="仿宋_GB2312"/>
                <w:sz w:val="24"/>
              </w:rPr>
            </w:pPr>
          </w:p>
          <w:p w14:paraId="39B6EE3D">
            <w:pPr>
              <w:spacing w:line="440" w:lineRule="atLeast"/>
              <w:rPr>
                <w:rFonts w:ascii="仿宋_GB2312" w:hAnsi="宋体" w:eastAsia="仿宋_GB2312"/>
                <w:sz w:val="24"/>
              </w:rPr>
            </w:pPr>
            <w:r>
              <w:rPr>
                <w:rFonts w:hint="eastAsia" w:ascii="仿宋_GB2312" w:hAnsi="宋体" w:eastAsia="仿宋_GB2312"/>
                <w:sz w:val="24"/>
              </w:rPr>
              <w:t>申请人签字：</w:t>
            </w:r>
          </w:p>
          <w:p w14:paraId="0B34756E">
            <w:pPr>
              <w:spacing w:line="440" w:lineRule="atLeast"/>
              <w:rPr>
                <w:rFonts w:ascii="仿宋_GB2312" w:hAnsi="宋体" w:eastAsia="仿宋_GB2312"/>
                <w:sz w:val="28"/>
                <w:szCs w:val="28"/>
              </w:rPr>
            </w:pPr>
          </w:p>
        </w:tc>
      </w:tr>
      <w:tr w14:paraId="3372A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1" w:hRule="atLeast"/>
          <w:jc w:val="center"/>
        </w:trPr>
        <w:tc>
          <w:tcPr>
            <w:tcW w:w="3976" w:type="dxa"/>
            <w:gridSpan w:val="8"/>
            <w:vAlign w:val="center"/>
          </w:tcPr>
          <w:p w14:paraId="7E5258DE">
            <w:pPr>
              <w:spacing w:line="440" w:lineRule="atLeast"/>
              <w:rPr>
                <w:rFonts w:ascii="仿宋_GB2312" w:hAnsi="宋体" w:eastAsia="仿宋_GB2312"/>
                <w:sz w:val="24"/>
              </w:rPr>
            </w:pPr>
            <w:r>
              <w:rPr>
                <w:rFonts w:hint="eastAsia" w:ascii="仿宋_GB2312" w:hAnsi="宋体" w:eastAsia="仿宋_GB2312"/>
                <w:sz w:val="24"/>
              </w:rPr>
              <w:t>转出机构意见</w:t>
            </w:r>
          </w:p>
          <w:p w14:paraId="035E2397">
            <w:pPr>
              <w:spacing w:line="440" w:lineRule="atLeast"/>
              <w:rPr>
                <w:rFonts w:ascii="仿宋_GB2312" w:hAnsi="宋体" w:eastAsia="仿宋_GB2312"/>
                <w:sz w:val="24"/>
              </w:rPr>
            </w:pPr>
          </w:p>
          <w:p w14:paraId="6B7A7C85">
            <w:pPr>
              <w:spacing w:line="440" w:lineRule="atLeast"/>
              <w:rPr>
                <w:rFonts w:ascii="仿宋_GB2312" w:hAnsi="宋体" w:eastAsia="仿宋_GB2312"/>
                <w:sz w:val="24"/>
              </w:rPr>
            </w:pPr>
          </w:p>
          <w:p w14:paraId="4F18E99E">
            <w:pPr>
              <w:spacing w:line="440" w:lineRule="atLeast"/>
              <w:rPr>
                <w:rFonts w:ascii="仿宋_GB2312" w:hAnsi="宋体" w:eastAsia="仿宋_GB2312"/>
                <w:sz w:val="24"/>
              </w:rPr>
            </w:pPr>
            <w:r>
              <w:rPr>
                <w:rFonts w:hint="eastAsia" w:ascii="仿宋_GB2312" w:hAnsi="宋体" w:eastAsia="仿宋_GB2312"/>
                <w:sz w:val="24"/>
              </w:rPr>
              <w:t>机构公章:</w:t>
            </w:r>
          </w:p>
          <w:p w14:paraId="777BAC17">
            <w:pPr>
              <w:spacing w:line="440" w:lineRule="atLeast"/>
              <w:rPr>
                <w:rFonts w:ascii="仿宋_GB2312" w:hAnsi="宋体" w:eastAsia="仿宋_GB2312"/>
                <w:sz w:val="24"/>
              </w:rPr>
            </w:pPr>
            <w:r>
              <w:rPr>
                <w:rFonts w:hint="eastAsia" w:ascii="仿宋_GB2312" w:hAnsi="宋体" w:eastAsia="仿宋_GB2312"/>
                <w:sz w:val="24"/>
              </w:rPr>
              <w:t>负责人签章:</w:t>
            </w:r>
          </w:p>
          <w:p w14:paraId="69C2B584">
            <w:pPr>
              <w:spacing w:line="440" w:lineRule="atLeast"/>
              <w:rPr>
                <w:rFonts w:ascii="仿宋_GB2312" w:hAnsi="宋体" w:eastAsia="仿宋_GB2312"/>
                <w:sz w:val="24"/>
              </w:rPr>
            </w:pPr>
          </w:p>
          <w:p w14:paraId="46628ACC">
            <w:pPr>
              <w:spacing w:line="440" w:lineRule="atLeast"/>
              <w:jc w:val="right"/>
              <w:rPr>
                <w:rFonts w:ascii="仿宋_GB2312" w:hAnsi="宋体" w:eastAsia="仿宋_GB2312"/>
                <w:sz w:val="24"/>
              </w:rPr>
            </w:pPr>
            <w:r>
              <w:rPr>
                <w:rFonts w:hint="eastAsia" w:ascii="仿宋_GB2312" w:hAnsi="宋体" w:eastAsia="仿宋_GB2312"/>
                <w:sz w:val="24"/>
              </w:rPr>
              <w:t>　　　　年　　　　月　　　　日</w:t>
            </w:r>
          </w:p>
        </w:tc>
        <w:tc>
          <w:tcPr>
            <w:tcW w:w="4245" w:type="dxa"/>
            <w:gridSpan w:val="13"/>
            <w:vAlign w:val="center"/>
          </w:tcPr>
          <w:p w14:paraId="1EF810AB">
            <w:pPr>
              <w:spacing w:line="440" w:lineRule="atLeast"/>
              <w:rPr>
                <w:rFonts w:ascii="仿宋_GB2312" w:hAnsi="宋体" w:eastAsia="仿宋_GB2312"/>
                <w:sz w:val="24"/>
              </w:rPr>
            </w:pPr>
            <w:r>
              <w:rPr>
                <w:rFonts w:hint="eastAsia" w:ascii="仿宋_GB2312" w:hAnsi="宋体" w:eastAsia="仿宋_GB2312"/>
                <w:sz w:val="24"/>
              </w:rPr>
              <w:t>转入机构意见</w:t>
            </w:r>
          </w:p>
          <w:p w14:paraId="666F17D0">
            <w:pPr>
              <w:spacing w:line="440" w:lineRule="atLeast"/>
              <w:rPr>
                <w:rFonts w:ascii="仿宋_GB2312" w:hAnsi="宋体" w:eastAsia="仿宋_GB2312"/>
                <w:sz w:val="24"/>
              </w:rPr>
            </w:pPr>
          </w:p>
          <w:p w14:paraId="641E7184">
            <w:pPr>
              <w:spacing w:line="440" w:lineRule="atLeast"/>
              <w:rPr>
                <w:rFonts w:ascii="仿宋_GB2312" w:hAnsi="宋体" w:eastAsia="仿宋_GB2312"/>
                <w:sz w:val="24"/>
              </w:rPr>
            </w:pPr>
          </w:p>
          <w:p w14:paraId="58AAE30F">
            <w:pPr>
              <w:spacing w:line="440" w:lineRule="atLeast"/>
              <w:rPr>
                <w:rFonts w:ascii="仿宋_GB2312" w:hAnsi="宋体" w:eastAsia="仿宋_GB2312"/>
                <w:sz w:val="24"/>
              </w:rPr>
            </w:pPr>
            <w:r>
              <w:rPr>
                <w:rFonts w:hint="eastAsia" w:ascii="仿宋_GB2312" w:hAnsi="宋体" w:eastAsia="仿宋_GB2312"/>
                <w:sz w:val="24"/>
              </w:rPr>
              <w:t>机构公章:</w:t>
            </w:r>
          </w:p>
          <w:p w14:paraId="55C809F7">
            <w:pPr>
              <w:spacing w:line="440" w:lineRule="atLeast"/>
              <w:rPr>
                <w:rFonts w:ascii="仿宋_GB2312" w:hAnsi="宋体" w:eastAsia="仿宋_GB2312"/>
                <w:sz w:val="24"/>
              </w:rPr>
            </w:pPr>
            <w:r>
              <w:rPr>
                <w:rFonts w:hint="eastAsia" w:ascii="仿宋_GB2312" w:hAnsi="宋体" w:eastAsia="仿宋_GB2312"/>
                <w:sz w:val="24"/>
              </w:rPr>
              <w:t>负责人签章:　</w:t>
            </w:r>
          </w:p>
          <w:p w14:paraId="397F4B77">
            <w:pPr>
              <w:spacing w:line="440" w:lineRule="atLeast"/>
              <w:rPr>
                <w:rFonts w:ascii="仿宋_GB2312" w:hAnsi="宋体" w:eastAsia="仿宋_GB2312"/>
                <w:sz w:val="24"/>
              </w:rPr>
            </w:pPr>
          </w:p>
          <w:p w14:paraId="3B92B10F">
            <w:pPr>
              <w:spacing w:line="440" w:lineRule="atLeast"/>
              <w:jc w:val="right"/>
              <w:rPr>
                <w:rFonts w:ascii="仿宋_GB2312" w:hAnsi="宋体" w:eastAsia="仿宋_GB2312"/>
                <w:sz w:val="24"/>
              </w:rPr>
            </w:pPr>
            <w:r>
              <w:rPr>
                <w:rFonts w:hint="eastAsia" w:ascii="仿宋_GB2312" w:hAnsi="宋体" w:eastAsia="仿宋_GB2312"/>
                <w:sz w:val="24"/>
              </w:rPr>
              <w:t>　　　　　　　　年　　　　月　　　　日</w:t>
            </w:r>
          </w:p>
        </w:tc>
      </w:tr>
      <w:tr w14:paraId="1CA2A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2" w:hRule="atLeast"/>
          <w:jc w:val="center"/>
        </w:trPr>
        <w:tc>
          <w:tcPr>
            <w:tcW w:w="3976" w:type="dxa"/>
            <w:gridSpan w:val="8"/>
            <w:vAlign w:val="center"/>
          </w:tcPr>
          <w:p w14:paraId="0A44B75F">
            <w:pPr>
              <w:spacing w:line="440" w:lineRule="atLeast"/>
              <w:rPr>
                <w:rFonts w:ascii="仿宋_GB2312" w:hAnsi="宋体" w:eastAsia="仿宋_GB2312"/>
                <w:sz w:val="24"/>
              </w:rPr>
            </w:pPr>
            <w:r>
              <w:rPr>
                <w:rFonts w:hint="eastAsia" w:ascii="仿宋_GB2312" w:hAnsi="宋体" w:eastAsia="仿宋_GB2312"/>
                <w:sz w:val="24"/>
              </w:rPr>
              <w:t>转出地方协会管理部门意见</w:t>
            </w:r>
          </w:p>
          <w:p w14:paraId="049A636B">
            <w:pPr>
              <w:spacing w:line="440" w:lineRule="atLeast"/>
              <w:rPr>
                <w:rFonts w:ascii="仿宋_GB2312" w:hAnsi="宋体" w:eastAsia="仿宋_GB2312"/>
                <w:sz w:val="24"/>
              </w:rPr>
            </w:pPr>
          </w:p>
          <w:p w14:paraId="6F4A80BB">
            <w:pPr>
              <w:spacing w:line="440" w:lineRule="atLeast"/>
              <w:rPr>
                <w:rFonts w:ascii="仿宋_GB2312" w:hAnsi="宋体" w:eastAsia="仿宋_GB2312"/>
                <w:sz w:val="24"/>
              </w:rPr>
            </w:pPr>
          </w:p>
          <w:p w14:paraId="49737D7C">
            <w:pPr>
              <w:spacing w:line="440" w:lineRule="atLeast"/>
              <w:rPr>
                <w:rFonts w:ascii="仿宋_GB2312" w:hAnsi="宋体" w:eastAsia="仿宋_GB2312"/>
                <w:sz w:val="24"/>
              </w:rPr>
            </w:pPr>
            <w:r>
              <w:rPr>
                <w:rFonts w:hint="eastAsia" w:ascii="仿宋_GB2312" w:hAnsi="宋体" w:eastAsia="仿宋_GB2312"/>
                <w:sz w:val="24"/>
              </w:rPr>
              <w:t>转所专用章:</w:t>
            </w:r>
          </w:p>
          <w:p w14:paraId="645B3751">
            <w:pPr>
              <w:spacing w:line="440" w:lineRule="atLeast"/>
              <w:rPr>
                <w:rFonts w:ascii="仿宋_GB2312" w:hAnsi="宋体" w:eastAsia="仿宋_GB2312"/>
                <w:sz w:val="24"/>
              </w:rPr>
            </w:pPr>
            <w:r>
              <w:rPr>
                <w:rFonts w:hint="eastAsia" w:ascii="仿宋_GB2312" w:hAnsi="宋体" w:eastAsia="仿宋_GB2312"/>
                <w:sz w:val="24"/>
              </w:rPr>
              <w:t>经办人签字:</w:t>
            </w:r>
          </w:p>
          <w:p w14:paraId="33891CE7">
            <w:pPr>
              <w:spacing w:line="440" w:lineRule="atLeast"/>
              <w:rPr>
                <w:rFonts w:ascii="仿宋_GB2312" w:hAnsi="宋体" w:eastAsia="仿宋_GB2312"/>
                <w:sz w:val="24"/>
              </w:rPr>
            </w:pPr>
          </w:p>
          <w:p w14:paraId="6ACBA42D">
            <w:pPr>
              <w:spacing w:line="440" w:lineRule="atLeast"/>
              <w:jc w:val="right"/>
              <w:rPr>
                <w:rFonts w:ascii="仿宋_GB2312" w:hAnsi="宋体" w:eastAsia="仿宋_GB2312"/>
                <w:sz w:val="24"/>
              </w:rPr>
            </w:pPr>
            <w:r>
              <w:rPr>
                <w:rFonts w:hint="eastAsia" w:ascii="仿宋_GB2312" w:hAnsi="宋体" w:eastAsia="仿宋_GB2312"/>
                <w:sz w:val="24"/>
              </w:rPr>
              <w:t>年　　　　月　　　　日</w:t>
            </w:r>
          </w:p>
        </w:tc>
        <w:tc>
          <w:tcPr>
            <w:tcW w:w="4245" w:type="dxa"/>
            <w:gridSpan w:val="13"/>
            <w:vAlign w:val="center"/>
          </w:tcPr>
          <w:p w14:paraId="356EB9AF">
            <w:pPr>
              <w:spacing w:line="440" w:lineRule="atLeast"/>
              <w:rPr>
                <w:rFonts w:ascii="仿宋_GB2312" w:hAnsi="宋体" w:eastAsia="仿宋_GB2312"/>
                <w:sz w:val="24"/>
              </w:rPr>
            </w:pPr>
            <w:r>
              <w:rPr>
                <w:rFonts w:hint="eastAsia" w:ascii="仿宋_GB2312" w:hAnsi="宋体" w:eastAsia="仿宋_GB2312"/>
                <w:sz w:val="24"/>
              </w:rPr>
              <w:t>转入地方协会管理部门意见</w:t>
            </w:r>
          </w:p>
          <w:p w14:paraId="39CC08C8">
            <w:pPr>
              <w:spacing w:line="440" w:lineRule="atLeast"/>
              <w:rPr>
                <w:rFonts w:ascii="仿宋_GB2312" w:hAnsi="宋体" w:eastAsia="仿宋_GB2312"/>
                <w:sz w:val="24"/>
              </w:rPr>
            </w:pPr>
          </w:p>
          <w:p w14:paraId="7C6FEC29">
            <w:pPr>
              <w:spacing w:line="440" w:lineRule="atLeast"/>
              <w:rPr>
                <w:rFonts w:ascii="仿宋_GB2312" w:hAnsi="宋体" w:eastAsia="仿宋_GB2312"/>
                <w:sz w:val="24"/>
              </w:rPr>
            </w:pPr>
          </w:p>
          <w:p w14:paraId="42F64900">
            <w:pPr>
              <w:spacing w:line="440" w:lineRule="atLeast"/>
              <w:rPr>
                <w:rFonts w:ascii="仿宋_GB2312" w:hAnsi="宋体" w:eastAsia="仿宋_GB2312"/>
                <w:sz w:val="24"/>
              </w:rPr>
            </w:pPr>
            <w:r>
              <w:rPr>
                <w:rFonts w:hint="eastAsia" w:ascii="仿宋_GB2312" w:hAnsi="宋体" w:eastAsia="仿宋_GB2312"/>
                <w:sz w:val="24"/>
              </w:rPr>
              <w:t>转所专用章:</w:t>
            </w:r>
          </w:p>
          <w:p w14:paraId="3070B587">
            <w:pPr>
              <w:spacing w:line="440" w:lineRule="atLeast"/>
              <w:rPr>
                <w:rFonts w:ascii="仿宋_GB2312" w:hAnsi="宋体" w:eastAsia="仿宋_GB2312"/>
                <w:sz w:val="24"/>
              </w:rPr>
            </w:pPr>
            <w:r>
              <w:rPr>
                <w:rFonts w:hint="eastAsia" w:ascii="仿宋_GB2312" w:hAnsi="宋体" w:eastAsia="仿宋_GB2312"/>
                <w:sz w:val="24"/>
              </w:rPr>
              <w:t>经办人签字:</w:t>
            </w:r>
          </w:p>
          <w:p w14:paraId="21E4E21A">
            <w:pPr>
              <w:spacing w:line="440" w:lineRule="atLeast"/>
              <w:rPr>
                <w:rFonts w:ascii="仿宋_GB2312" w:hAnsi="宋体" w:eastAsia="仿宋_GB2312"/>
                <w:sz w:val="24"/>
              </w:rPr>
            </w:pPr>
          </w:p>
          <w:p w14:paraId="3E04FE91">
            <w:pPr>
              <w:spacing w:line="440" w:lineRule="atLeast"/>
              <w:jc w:val="right"/>
              <w:rPr>
                <w:rFonts w:ascii="仿宋_GB2312" w:hAnsi="宋体" w:eastAsia="仿宋_GB2312"/>
                <w:sz w:val="24"/>
              </w:rPr>
            </w:pPr>
            <w:r>
              <w:rPr>
                <w:rFonts w:hint="eastAsia" w:ascii="仿宋_GB2312" w:hAnsi="宋体" w:eastAsia="仿宋_GB2312"/>
                <w:sz w:val="24"/>
              </w:rPr>
              <w:t>　　　　　　　　　年　　　　月　　　　日</w:t>
            </w:r>
          </w:p>
        </w:tc>
      </w:tr>
    </w:tbl>
    <w:p w14:paraId="6244D139">
      <w:pPr>
        <w:spacing w:line="440" w:lineRule="atLeast"/>
        <w:rPr>
          <w:rFonts w:ascii="仿宋_GB2312" w:hAnsi="Times New Roman" w:eastAsia="仿宋_GB2312"/>
          <w:sz w:val="24"/>
        </w:rPr>
      </w:pPr>
      <w:r>
        <w:rPr>
          <w:rFonts w:hint="eastAsia" w:ascii="仿宋_GB2312" w:hAnsi="Times New Roman" w:eastAsia="仿宋_GB2312"/>
          <w:sz w:val="24"/>
        </w:rPr>
        <w:t>说明：1.本表格自转出地方协会盖章之日起1年内有效。</w:t>
      </w:r>
    </w:p>
    <w:p w14:paraId="1DBAE889">
      <w:pPr>
        <w:spacing w:line="440" w:lineRule="atLeast"/>
        <w:ind w:firstLine="720" w:firstLineChars="300"/>
        <w:rPr>
          <w:rFonts w:ascii="仿宋_GB2312" w:hAnsi="Times New Roman" w:eastAsia="仿宋_GB2312"/>
          <w:sz w:val="28"/>
          <w:szCs w:val="28"/>
        </w:rPr>
      </w:pPr>
      <w:r>
        <w:rPr>
          <w:rFonts w:hint="eastAsia" w:ascii="仿宋_GB2312" w:hAnsi="Times New Roman" w:eastAsia="仿宋_GB2312"/>
          <w:sz w:val="24"/>
        </w:rPr>
        <w:t>2.同一地方协会区域内转所的一式三份，跨地方协会区域转所的一式四份。</w:t>
      </w:r>
      <w:r>
        <w:rPr>
          <w:rFonts w:hint="eastAsia" w:ascii="仿宋_GB2312" w:hAnsi="Times New Roman" w:eastAsia="仿宋_GB2312"/>
          <w:sz w:val="28"/>
          <w:szCs w:val="28"/>
        </w:rPr>
        <w:br w:type="page"/>
      </w:r>
    </w:p>
    <w:p w14:paraId="44703E85">
      <w:pPr>
        <w:spacing w:line="440" w:lineRule="atLeast"/>
        <w:jc w:val="left"/>
        <w:rPr>
          <w:rFonts w:ascii="黑体" w:hAnsi="黑体" w:eastAsia="黑体"/>
          <w:sz w:val="32"/>
          <w:szCs w:val="32"/>
        </w:rPr>
      </w:pPr>
      <w:r>
        <w:rPr>
          <w:rFonts w:hint="eastAsia" w:ascii="宋体" w:hAnsi="宋体" w:eastAsia="宋体" w:cs="宋体"/>
          <w:sz w:val="24"/>
        </w:rPr>
        <w:t>附件3</w:t>
      </w:r>
    </w:p>
    <w:p w14:paraId="1C9BA854">
      <w:pPr>
        <w:spacing w:line="440" w:lineRule="atLeast"/>
        <w:jc w:val="center"/>
        <w:rPr>
          <w:rFonts w:ascii="宋体" w:hAnsi="宋体" w:eastAsia="宋体" w:cs="宋体"/>
          <w:b/>
          <w:sz w:val="36"/>
          <w:szCs w:val="36"/>
        </w:rPr>
      </w:pPr>
      <w:r>
        <w:rPr>
          <w:rFonts w:hint="eastAsia" w:ascii="宋体" w:hAnsi="宋体" w:eastAsia="宋体" w:cs="宋体"/>
          <w:b/>
          <w:sz w:val="36"/>
          <w:szCs w:val="36"/>
        </w:rPr>
        <w:t>资产评估师转所程序</w:t>
      </w:r>
    </w:p>
    <w:p w14:paraId="78B07A22">
      <w:pPr>
        <w:shd w:val="clear" w:color="auto" w:fill="FFFFFF"/>
        <w:spacing w:line="440" w:lineRule="atLeast"/>
        <w:ind w:firstLine="482" w:firstLineChars="200"/>
        <w:rPr>
          <w:rFonts w:ascii="宋体" w:hAnsi="宋体" w:eastAsia="宋体" w:cs="宋体"/>
          <w:b/>
          <w:bCs/>
          <w:color w:val="000000"/>
          <w:kern w:val="0"/>
          <w:sz w:val="24"/>
          <w:shd w:val="clear" w:color="auto" w:fill="FFFFFF"/>
        </w:rPr>
      </w:pPr>
      <w:r>
        <w:rPr>
          <w:rFonts w:hint="eastAsia" w:ascii="宋体" w:hAnsi="宋体" w:eastAsia="宋体" w:cs="宋体"/>
          <w:b/>
          <w:bCs/>
          <w:color w:val="000000"/>
          <w:kern w:val="0"/>
          <w:sz w:val="24"/>
          <w:shd w:val="clear" w:color="auto" w:fill="FFFFFF"/>
        </w:rPr>
        <w:t>一、同一地方协会区域内转所，按下列程序办理：</w:t>
      </w:r>
    </w:p>
    <w:p w14:paraId="4AD8EBE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地方协会在收到转所申请材料后7个工作日内为资产评估师办理有关转所手续：</w:t>
      </w:r>
    </w:p>
    <w:p w14:paraId="10D6049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（一）在《资产评估师转所申请表》（一式三份）中签署意见，加盖转所专用章；</w:t>
      </w:r>
    </w:p>
    <w:p w14:paraId="36AC041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（二）在中国资产评估协会执业会员管理系统中进行转所操作；</w:t>
      </w:r>
    </w:p>
    <w:p w14:paraId="03F3072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（三）留存1份转所材料，并将2份《资产评估师转所申请表》分别交转所申请人和转出机构保管。</w:t>
      </w:r>
    </w:p>
    <w:p w14:paraId="12C1C09A">
      <w:pPr>
        <w:shd w:val="clear" w:color="auto" w:fill="FFFFFF"/>
        <w:spacing w:line="440" w:lineRule="atLeast"/>
        <w:ind w:firstLine="482" w:firstLineChars="200"/>
        <w:rPr>
          <w:rFonts w:ascii="宋体" w:hAnsi="宋体" w:eastAsia="宋体" w:cs="宋体"/>
          <w:b/>
          <w:bCs/>
          <w:color w:val="000000"/>
          <w:kern w:val="0"/>
          <w:sz w:val="24"/>
          <w:shd w:val="clear" w:color="auto" w:fill="FFFFFF"/>
        </w:rPr>
      </w:pPr>
      <w:r>
        <w:rPr>
          <w:rFonts w:hint="eastAsia" w:ascii="宋体" w:hAnsi="宋体" w:eastAsia="宋体" w:cs="宋体"/>
          <w:b/>
          <w:bCs/>
          <w:color w:val="000000"/>
          <w:kern w:val="0"/>
          <w:sz w:val="24"/>
          <w:shd w:val="clear" w:color="auto" w:fill="FFFFFF"/>
        </w:rPr>
        <w:t>二、跨地方协会区域转所，按下列程序办理：</w:t>
      </w:r>
    </w:p>
    <w:p w14:paraId="4144C59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（一）受理的地方协会在收到转所申请材料后7个工作日内为资产评估师办理有关转出手续：</w:t>
      </w:r>
    </w:p>
    <w:p w14:paraId="31A5325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1.在《资产评估师转所申请表》中签署意见，加盖转所专用章；</w:t>
      </w:r>
    </w:p>
    <w:p w14:paraId="68B95BC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2.在中国资产评估协会执业会员管理系统中进行转出操作；</w:t>
      </w:r>
    </w:p>
    <w:p w14:paraId="5D6970A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3.留存1份转所材料，并将其余材料交转所申请人。由转所申请人交转入地方协会，并将1份《资产评估师转所申请表》交转出机构保管。</w:t>
      </w:r>
    </w:p>
    <w:p w14:paraId="26664C6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（二）转入地方协会在收到有关材料后7个工作日内为资产评估师办理转入手续：</w:t>
      </w:r>
    </w:p>
    <w:p w14:paraId="5D5D04D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1.在《资产评估师转所申请表》中签署意见，加盖转所专用章；</w:t>
      </w:r>
    </w:p>
    <w:p w14:paraId="1ACCE5F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2.在中国资产评估协会执业会员管理系统中进行接收操作；</w:t>
      </w:r>
    </w:p>
    <w:p w14:paraId="619ADA6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3.留存1份转所材料，将1份《资产评估师转所申请表》交转所申请人保管。</w:t>
      </w:r>
    </w:p>
    <w:p w14:paraId="579550D1">
      <w:pPr>
        <w:shd w:val="clear" w:color="auto" w:fill="FFFFFF"/>
        <w:spacing w:line="440" w:lineRule="atLeast"/>
        <w:ind w:firstLine="482" w:firstLineChars="200"/>
        <w:rPr>
          <w:rFonts w:ascii="宋体" w:hAnsi="宋体" w:eastAsia="宋体" w:cs="宋体"/>
          <w:b/>
          <w:bCs/>
          <w:color w:val="000000"/>
          <w:kern w:val="0"/>
          <w:sz w:val="24"/>
          <w:shd w:val="clear" w:color="auto" w:fill="FFFFFF"/>
        </w:rPr>
      </w:pPr>
      <w:r>
        <w:rPr>
          <w:rFonts w:hint="eastAsia" w:ascii="宋体" w:hAnsi="宋体" w:eastAsia="宋体" w:cs="宋体"/>
          <w:b/>
          <w:bCs/>
          <w:color w:val="000000"/>
          <w:kern w:val="0"/>
          <w:sz w:val="24"/>
          <w:shd w:val="clear" w:color="auto" w:fill="FFFFFF"/>
        </w:rPr>
        <w:t>三、申请设立资产评估机构过程中转所，按下列程序办理：</w:t>
      </w:r>
    </w:p>
    <w:p w14:paraId="26A4676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资产评估师从资产评估机构中转出发起设立新的资产评估机构的，应当到转出地方协会办理手续，并提交转所申请材料，其中《资产评估师转所申请表》转入所意见栏由拟设立机构的法定代表人或者首席合伙人填写“申请设立资产评估机构”并签字、加盖机构公章。受理的地方协会应当在收到转所申请材料7个工作日内在《资产评估师转所申请表》中签署意见，加盖转所专用章。跨地方协会区域设立资产评估机构的，转出地方协会应当在中国资产评估协会执业会员管理系统中进行转出操作。</w:t>
      </w:r>
    </w:p>
    <w:p w14:paraId="71F215D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申请人持加盖转出地方协会转所专用章的《资产评估师转所申请表》及其他材料到省级财政部门申办资产评估机构。</w:t>
      </w:r>
    </w:p>
    <w:p w14:paraId="446C1F7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资产评估机构申办成功的，新设立的资产评估机构到所在地地方协会办理转入手续。</w:t>
      </w:r>
    </w:p>
    <w:p w14:paraId="19A085F5">
      <w:pPr>
        <w:shd w:val="clear" w:color="auto" w:fill="FFFFFF"/>
        <w:spacing w:line="440" w:lineRule="atLeast"/>
        <w:ind w:firstLine="480" w:firstLineChars="200"/>
        <w:rPr>
          <w:rFonts w:ascii="仿宋_GB2312" w:hAnsi="Times New Roman" w:eastAsia="仿宋_GB2312"/>
          <w:sz w:val="28"/>
        </w:rPr>
      </w:pPr>
      <w:r>
        <w:rPr>
          <w:rFonts w:hint="eastAsia" w:ascii="宋体" w:hAnsi="宋体" w:eastAsia="宋体" w:cs="宋体"/>
          <w:color w:val="000000"/>
          <w:kern w:val="0"/>
          <w:sz w:val="24"/>
          <w:shd w:val="clear" w:color="auto" w:fill="FFFFFF"/>
        </w:rPr>
        <w:t>资产评估机构申办未获批准的，申请人可以加入其他资产评估机构。加入的资产评估机构在《资产评估师转所申请表》中转入所意见处盖章后到所在地地方协会办理转入手续。</w:t>
      </w:r>
    </w:p>
    <w:p w14:paraId="2F582CFD">
      <w:pPr>
        <w:spacing w:line="440" w:lineRule="atLeast"/>
        <w:rPr>
          <w:rFonts w:ascii="黑体" w:hAnsi="Times New Roman" w:eastAsia="黑体"/>
          <w:sz w:val="28"/>
          <w:szCs w:val="28"/>
        </w:rPr>
        <w:sectPr>
          <w:pgSz w:w="11906" w:h="16838"/>
          <w:pgMar w:top="1440" w:right="1803" w:bottom="1440" w:left="1803" w:header="851" w:footer="992" w:gutter="0"/>
          <w:cols w:space="720" w:num="1"/>
          <w:docGrid w:type="lines" w:linePitch="319" w:charSpace="0"/>
        </w:sectPr>
      </w:pPr>
    </w:p>
    <w:p w14:paraId="7E4EECB1">
      <w:pPr>
        <w:spacing w:line="440" w:lineRule="atLeast"/>
        <w:jc w:val="left"/>
        <w:rPr>
          <w:rFonts w:ascii="宋体" w:hAnsi="宋体" w:eastAsia="宋体" w:cs="宋体"/>
          <w:sz w:val="24"/>
        </w:rPr>
      </w:pPr>
      <w:r>
        <w:rPr>
          <w:rFonts w:hint="eastAsia" w:ascii="宋体" w:hAnsi="宋体" w:eastAsia="宋体" w:cs="宋体"/>
          <w:sz w:val="24"/>
        </w:rPr>
        <w:t>附件4</w:t>
      </w:r>
    </w:p>
    <w:p w14:paraId="23571B84">
      <w:pPr>
        <w:spacing w:line="440" w:lineRule="atLeast"/>
        <w:jc w:val="center"/>
        <w:rPr>
          <w:rFonts w:ascii="华文中宋" w:hAnsi="华文中宋" w:eastAsia="华文中宋"/>
          <w:b/>
          <w:sz w:val="36"/>
          <w:szCs w:val="36"/>
        </w:rPr>
      </w:pPr>
      <w:r>
        <w:rPr>
          <w:rFonts w:hint="eastAsia" w:ascii="华文中宋" w:hAnsi="华文中宋" w:eastAsia="华文中宋"/>
          <w:b/>
          <w:sz w:val="36"/>
          <w:szCs w:val="36"/>
        </w:rPr>
        <w:t>资产评估师一览表</w:t>
      </w:r>
    </w:p>
    <w:tbl>
      <w:tblPr>
        <w:tblStyle w:val="24"/>
        <w:tblW w:w="14089" w:type="dxa"/>
        <w:jc w:val="center"/>
        <w:tblLayout w:type="fixed"/>
        <w:tblCellMar>
          <w:top w:w="0" w:type="dxa"/>
          <w:left w:w="108" w:type="dxa"/>
          <w:bottom w:w="0" w:type="dxa"/>
          <w:right w:w="108" w:type="dxa"/>
        </w:tblCellMar>
      </w:tblPr>
      <w:tblGrid>
        <w:gridCol w:w="746"/>
        <w:gridCol w:w="747"/>
        <w:gridCol w:w="747"/>
        <w:gridCol w:w="1370"/>
        <w:gridCol w:w="1965"/>
        <w:gridCol w:w="705"/>
        <w:gridCol w:w="738"/>
        <w:gridCol w:w="238"/>
        <w:gridCol w:w="789"/>
        <w:gridCol w:w="187"/>
        <w:gridCol w:w="840"/>
        <w:gridCol w:w="136"/>
        <w:gridCol w:w="892"/>
        <w:gridCol w:w="84"/>
        <w:gridCol w:w="943"/>
        <w:gridCol w:w="33"/>
        <w:gridCol w:w="976"/>
        <w:gridCol w:w="19"/>
        <w:gridCol w:w="957"/>
        <w:gridCol w:w="977"/>
      </w:tblGrid>
      <w:tr w14:paraId="01CDF0AB">
        <w:tblPrEx>
          <w:tblCellMar>
            <w:top w:w="0" w:type="dxa"/>
            <w:left w:w="108" w:type="dxa"/>
            <w:bottom w:w="0" w:type="dxa"/>
            <w:right w:w="108" w:type="dxa"/>
          </w:tblCellMar>
        </w:tblPrEx>
        <w:trPr>
          <w:gridAfter w:val="2"/>
          <w:wAfter w:w="1934" w:type="dxa"/>
          <w:trHeight w:val="147" w:hRule="atLeast"/>
          <w:jc w:val="center"/>
        </w:trPr>
        <w:tc>
          <w:tcPr>
            <w:tcW w:w="2240" w:type="dxa"/>
            <w:gridSpan w:val="3"/>
            <w:tcBorders>
              <w:top w:val="nil"/>
              <w:left w:val="nil"/>
              <w:bottom w:val="nil"/>
              <w:right w:val="nil"/>
            </w:tcBorders>
            <w:vAlign w:val="center"/>
          </w:tcPr>
          <w:p w14:paraId="5F85371C">
            <w:pPr>
              <w:spacing w:line="440" w:lineRule="atLeast"/>
              <w:jc w:val="left"/>
              <w:rPr>
                <w:rFonts w:ascii="仿宋_GB2312" w:hAnsi="宋体" w:eastAsia="仿宋_GB2312" w:cs="宋体"/>
                <w:kern w:val="0"/>
                <w:szCs w:val="21"/>
              </w:rPr>
            </w:pPr>
            <w:r>
              <w:rPr>
                <w:rFonts w:hint="eastAsia" w:ascii="仿宋_GB2312" w:hAnsi="宋体" w:eastAsia="仿宋_GB2312" w:cs="宋体"/>
                <w:kern w:val="0"/>
                <w:szCs w:val="21"/>
              </w:rPr>
              <w:t>资产评估机构名称：</w:t>
            </w:r>
          </w:p>
        </w:tc>
        <w:tc>
          <w:tcPr>
            <w:tcW w:w="1370" w:type="dxa"/>
            <w:tcBorders>
              <w:top w:val="nil"/>
              <w:left w:val="nil"/>
              <w:bottom w:val="nil"/>
              <w:right w:val="nil"/>
            </w:tcBorders>
            <w:vAlign w:val="center"/>
          </w:tcPr>
          <w:p w14:paraId="2C814A9E">
            <w:pPr>
              <w:spacing w:line="440" w:lineRule="atLeast"/>
              <w:jc w:val="left"/>
              <w:rPr>
                <w:rFonts w:ascii="仿宋_GB2312" w:hAnsi="宋体" w:eastAsia="仿宋_GB2312" w:cs="宋体"/>
                <w:kern w:val="0"/>
                <w:sz w:val="24"/>
              </w:rPr>
            </w:pPr>
          </w:p>
        </w:tc>
        <w:tc>
          <w:tcPr>
            <w:tcW w:w="1965" w:type="dxa"/>
            <w:tcBorders>
              <w:top w:val="nil"/>
              <w:left w:val="nil"/>
              <w:bottom w:val="nil"/>
              <w:right w:val="nil"/>
            </w:tcBorders>
            <w:vAlign w:val="center"/>
          </w:tcPr>
          <w:p w14:paraId="00E9C153">
            <w:pPr>
              <w:spacing w:line="440" w:lineRule="atLeast"/>
              <w:jc w:val="left"/>
              <w:rPr>
                <w:rFonts w:ascii="仿宋_GB2312" w:hAnsi="宋体" w:eastAsia="仿宋_GB2312" w:cs="宋体"/>
                <w:kern w:val="0"/>
                <w:sz w:val="24"/>
              </w:rPr>
            </w:pPr>
          </w:p>
        </w:tc>
        <w:tc>
          <w:tcPr>
            <w:tcW w:w="1443" w:type="dxa"/>
            <w:gridSpan w:val="2"/>
            <w:tcBorders>
              <w:top w:val="nil"/>
              <w:left w:val="nil"/>
              <w:bottom w:val="nil"/>
              <w:right w:val="nil"/>
            </w:tcBorders>
            <w:vAlign w:val="center"/>
          </w:tcPr>
          <w:p w14:paraId="497F13BA">
            <w:pPr>
              <w:spacing w:line="440" w:lineRule="atLeast"/>
              <w:jc w:val="left"/>
              <w:rPr>
                <w:rFonts w:ascii="仿宋_GB2312" w:hAnsi="宋体" w:eastAsia="仿宋_GB2312" w:cs="宋体"/>
                <w:kern w:val="0"/>
                <w:sz w:val="24"/>
              </w:rPr>
            </w:pPr>
          </w:p>
        </w:tc>
        <w:tc>
          <w:tcPr>
            <w:tcW w:w="1027" w:type="dxa"/>
            <w:gridSpan w:val="2"/>
            <w:tcBorders>
              <w:top w:val="nil"/>
              <w:left w:val="nil"/>
              <w:bottom w:val="nil"/>
              <w:right w:val="nil"/>
            </w:tcBorders>
            <w:vAlign w:val="center"/>
          </w:tcPr>
          <w:p w14:paraId="44A212F3">
            <w:pPr>
              <w:spacing w:line="440" w:lineRule="atLeast"/>
              <w:jc w:val="left"/>
              <w:rPr>
                <w:rFonts w:ascii="仿宋_GB2312" w:hAnsi="宋体" w:eastAsia="仿宋_GB2312" w:cs="宋体"/>
                <w:kern w:val="0"/>
                <w:sz w:val="24"/>
              </w:rPr>
            </w:pPr>
          </w:p>
        </w:tc>
        <w:tc>
          <w:tcPr>
            <w:tcW w:w="3082" w:type="dxa"/>
            <w:gridSpan w:val="6"/>
            <w:tcBorders>
              <w:top w:val="nil"/>
              <w:left w:val="nil"/>
              <w:bottom w:val="nil"/>
              <w:right w:val="nil"/>
            </w:tcBorders>
            <w:vAlign w:val="center"/>
          </w:tcPr>
          <w:p w14:paraId="1BE456FF">
            <w:pPr>
              <w:spacing w:line="440" w:lineRule="atLeast"/>
              <w:jc w:val="left"/>
              <w:rPr>
                <w:rFonts w:ascii="仿宋_GB2312" w:hAnsi="宋体" w:eastAsia="仿宋_GB2312" w:cs="宋体"/>
                <w:kern w:val="0"/>
                <w:sz w:val="24"/>
              </w:rPr>
            </w:pPr>
            <w:r>
              <w:rPr>
                <w:rFonts w:hint="eastAsia" w:ascii="仿宋_GB2312" w:hAnsi="宋体" w:eastAsia="仿宋_GB2312" w:cs="宋体"/>
                <w:kern w:val="0"/>
                <w:szCs w:val="21"/>
              </w:rPr>
              <w:t>资产评估机构代码：</w:t>
            </w:r>
          </w:p>
        </w:tc>
        <w:tc>
          <w:tcPr>
            <w:tcW w:w="1028" w:type="dxa"/>
            <w:gridSpan w:val="3"/>
            <w:tcBorders>
              <w:top w:val="nil"/>
              <w:left w:val="nil"/>
              <w:bottom w:val="nil"/>
              <w:right w:val="nil"/>
            </w:tcBorders>
            <w:vAlign w:val="center"/>
          </w:tcPr>
          <w:p w14:paraId="031A38EE">
            <w:pPr>
              <w:spacing w:line="440" w:lineRule="atLeast"/>
              <w:jc w:val="left"/>
              <w:rPr>
                <w:rFonts w:ascii="仿宋_GB2312" w:hAnsi="宋体" w:eastAsia="仿宋_GB2312" w:cs="宋体"/>
                <w:kern w:val="0"/>
                <w:sz w:val="24"/>
              </w:rPr>
            </w:pPr>
          </w:p>
        </w:tc>
      </w:tr>
      <w:tr w14:paraId="6F4E47F0">
        <w:tblPrEx>
          <w:tblCellMar>
            <w:top w:w="0" w:type="dxa"/>
            <w:left w:w="108" w:type="dxa"/>
            <w:bottom w:w="0" w:type="dxa"/>
            <w:right w:w="108" w:type="dxa"/>
          </w:tblCellMar>
        </w:tblPrEx>
        <w:trPr>
          <w:trHeight w:val="615" w:hRule="atLeast"/>
          <w:jc w:val="center"/>
        </w:trPr>
        <w:tc>
          <w:tcPr>
            <w:tcW w:w="746" w:type="dxa"/>
            <w:tcBorders>
              <w:top w:val="single" w:color="auto" w:sz="4" w:space="0"/>
              <w:left w:val="single" w:color="auto" w:sz="4" w:space="0"/>
              <w:bottom w:val="single" w:color="auto" w:sz="4" w:space="0"/>
              <w:right w:val="single" w:color="auto" w:sz="4" w:space="0"/>
            </w:tcBorders>
            <w:vAlign w:val="center"/>
          </w:tcPr>
          <w:p w14:paraId="5B41476E">
            <w:pPr>
              <w:spacing w:line="440" w:lineRule="atLeast"/>
              <w:jc w:val="center"/>
              <w:rPr>
                <w:rFonts w:ascii="仿宋_GB2312" w:hAnsi="宋体" w:eastAsia="仿宋_GB2312" w:cs="宋体"/>
                <w:kern w:val="0"/>
                <w:sz w:val="24"/>
              </w:rPr>
            </w:pPr>
            <w:r>
              <w:rPr>
                <w:rFonts w:hint="eastAsia" w:ascii="仿宋_GB2312" w:hAnsi="宋体" w:eastAsia="仿宋_GB2312" w:cs="宋体"/>
                <w:kern w:val="0"/>
                <w:sz w:val="24"/>
              </w:rPr>
              <w:t>序号</w:t>
            </w:r>
          </w:p>
        </w:tc>
        <w:tc>
          <w:tcPr>
            <w:tcW w:w="747" w:type="dxa"/>
            <w:tcBorders>
              <w:top w:val="single" w:color="auto" w:sz="4" w:space="0"/>
              <w:left w:val="nil"/>
              <w:bottom w:val="single" w:color="auto" w:sz="4" w:space="0"/>
              <w:right w:val="single" w:color="auto" w:sz="4" w:space="0"/>
            </w:tcBorders>
            <w:vAlign w:val="center"/>
          </w:tcPr>
          <w:p w14:paraId="3F6E80FE">
            <w:pPr>
              <w:spacing w:line="440" w:lineRule="atLeast"/>
              <w:jc w:val="center"/>
              <w:rPr>
                <w:rFonts w:ascii="仿宋_GB2312" w:hAnsi="宋体" w:eastAsia="仿宋_GB2312" w:cs="宋体"/>
                <w:kern w:val="0"/>
                <w:sz w:val="24"/>
              </w:rPr>
            </w:pPr>
            <w:r>
              <w:rPr>
                <w:rFonts w:hint="eastAsia" w:ascii="仿宋_GB2312" w:hAnsi="宋体" w:eastAsia="仿宋_GB2312" w:cs="宋体"/>
                <w:kern w:val="0"/>
                <w:sz w:val="24"/>
              </w:rPr>
              <w:t>姓名</w:t>
            </w:r>
          </w:p>
        </w:tc>
        <w:tc>
          <w:tcPr>
            <w:tcW w:w="747" w:type="dxa"/>
            <w:tcBorders>
              <w:top w:val="single" w:color="auto" w:sz="4" w:space="0"/>
              <w:left w:val="nil"/>
              <w:bottom w:val="single" w:color="auto" w:sz="4" w:space="0"/>
              <w:right w:val="single" w:color="auto" w:sz="4" w:space="0"/>
            </w:tcBorders>
            <w:vAlign w:val="center"/>
          </w:tcPr>
          <w:p w14:paraId="57C41782">
            <w:pPr>
              <w:spacing w:line="440" w:lineRule="atLeast"/>
              <w:jc w:val="center"/>
              <w:rPr>
                <w:rFonts w:ascii="仿宋_GB2312" w:hAnsi="宋体" w:eastAsia="仿宋_GB2312" w:cs="宋体"/>
                <w:kern w:val="0"/>
                <w:sz w:val="24"/>
              </w:rPr>
            </w:pPr>
            <w:r>
              <w:rPr>
                <w:rFonts w:hint="eastAsia" w:ascii="仿宋_GB2312" w:hAnsi="宋体" w:eastAsia="仿宋_GB2312" w:cs="宋体"/>
                <w:kern w:val="0"/>
                <w:sz w:val="24"/>
              </w:rPr>
              <w:t>性别</w:t>
            </w:r>
          </w:p>
        </w:tc>
        <w:tc>
          <w:tcPr>
            <w:tcW w:w="1370" w:type="dxa"/>
            <w:tcBorders>
              <w:top w:val="single" w:color="auto" w:sz="4" w:space="0"/>
              <w:left w:val="nil"/>
              <w:bottom w:val="single" w:color="auto" w:sz="4" w:space="0"/>
              <w:right w:val="single" w:color="auto" w:sz="4" w:space="0"/>
            </w:tcBorders>
            <w:vAlign w:val="center"/>
          </w:tcPr>
          <w:p w14:paraId="3E851696">
            <w:pPr>
              <w:spacing w:line="440" w:lineRule="atLeast"/>
              <w:jc w:val="center"/>
              <w:rPr>
                <w:rFonts w:ascii="仿宋_GB2312" w:hAnsi="宋体" w:eastAsia="仿宋_GB2312" w:cs="宋体"/>
                <w:kern w:val="0"/>
                <w:sz w:val="24"/>
              </w:rPr>
            </w:pPr>
            <w:r>
              <w:rPr>
                <w:rFonts w:hint="eastAsia" w:ascii="仿宋_GB2312" w:hAnsi="宋体" w:eastAsia="仿宋_GB2312" w:cs="宋体"/>
                <w:kern w:val="0"/>
                <w:sz w:val="24"/>
              </w:rPr>
              <w:t>职业资格证书登记编号</w:t>
            </w:r>
          </w:p>
        </w:tc>
        <w:tc>
          <w:tcPr>
            <w:tcW w:w="2670" w:type="dxa"/>
            <w:gridSpan w:val="2"/>
            <w:tcBorders>
              <w:top w:val="single" w:color="auto" w:sz="4" w:space="0"/>
              <w:left w:val="nil"/>
              <w:bottom w:val="single" w:color="auto" w:sz="4" w:space="0"/>
              <w:right w:val="single" w:color="auto" w:sz="4" w:space="0"/>
            </w:tcBorders>
            <w:vAlign w:val="center"/>
          </w:tcPr>
          <w:p w14:paraId="5C0C3424">
            <w:pPr>
              <w:spacing w:line="440" w:lineRule="atLeast"/>
              <w:jc w:val="center"/>
              <w:rPr>
                <w:rFonts w:ascii="仿宋_GB2312" w:hAnsi="宋体" w:eastAsia="仿宋_GB2312" w:cs="宋体"/>
                <w:kern w:val="0"/>
                <w:sz w:val="24"/>
              </w:rPr>
            </w:pPr>
            <w:r>
              <w:rPr>
                <w:rFonts w:hint="eastAsia" w:ascii="仿宋_GB2312" w:hAnsi="宋体" w:eastAsia="仿宋_GB2312" w:cs="宋体"/>
                <w:kern w:val="0"/>
                <w:sz w:val="24"/>
              </w:rPr>
              <w:t>身份证号码</w:t>
            </w:r>
          </w:p>
        </w:tc>
        <w:tc>
          <w:tcPr>
            <w:tcW w:w="976" w:type="dxa"/>
            <w:gridSpan w:val="2"/>
            <w:tcBorders>
              <w:top w:val="single" w:color="auto" w:sz="4" w:space="0"/>
              <w:left w:val="nil"/>
              <w:bottom w:val="single" w:color="auto" w:sz="4" w:space="0"/>
              <w:right w:val="single" w:color="auto" w:sz="4" w:space="0"/>
            </w:tcBorders>
            <w:vAlign w:val="center"/>
          </w:tcPr>
          <w:p w14:paraId="59184902">
            <w:pPr>
              <w:spacing w:line="440" w:lineRule="atLeast"/>
              <w:jc w:val="center"/>
              <w:rPr>
                <w:rFonts w:ascii="仿宋_GB2312" w:hAnsi="宋体" w:eastAsia="仿宋_GB2312" w:cs="宋体"/>
                <w:kern w:val="0"/>
                <w:sz w:val="24"/>
              </w:rPr>
            </w:pPr>
            <w:r>
              <w:rPr>
                <w:rFonts w:hint="eastAsia" w:ascii="仿宋_GB2312" w:hAnsi="宋体" w:eastAsia="仿宋_GB2312" w:cs="宋体"/>
                <w:kern w:val="0"/>
                <w:sz w:val="24"/>
              </w:rPr>
              <w:t>是否在资产评估机构工作</w:t>
            </w:r>
          </w:p>
        </w:tc>
        <w:tc>
          <w:tcPr>
            <w:tcW w:w="976" w:type="dxa"/>
            <w:gridSpan w:val="2"/>
            <w:tcBorders>
              <w:top w:val="single" w:color="auto" w:sz="4" w:space="0"/>
              <w:left w:val="nil"/>
              <w:bottom w:val="single" w:color="auto" w:sz="4" w:space="0"/>
              <w:right w:val="single" w:color="auto" w:sz="4" w:space="0"/>
            </w:tcBorders>
            <w:vAlign w:val="center"/>
          </w:tcPr>
          <w:p w14:paraId="19655B29">
            <w:pPr>
              <w:spacing w:line="440" w:lineRule="atLeast"/>
              <w:jc w:val="center"/>
              <w:rPr>
                <w:rFonts w:ascii="仿宋_GB2312" w:hAnsi="宋体" w:eastAsia="仿宋_GB2312" w:cs="宋体"/>
                <w:kern w:val="0"/>
                <w:sz w:val="24"/>
              </w:rPr>
            </w:pPr>
            <w:r>
              <w:rPr>
                <w:rFonts w:hint="eastAsia" w:ascii="仿宋_GB2312" w:hAnsi="宋体" w:eastAsia="仿宋_GB2312" w:cs="宋体"/>
                <w:kern w:val="0"/>
                <w:sz w:val="24"/>
              </w:rPr>
              <w:t>是否</w:t>
            </w:r>
          </w:p>
          <w:p w14:paraId="07C59D3E">
            <w:pPr>
              <w:spacing w:line="440" w:lineRule="atLeast"/>
              <w:jc w:val="center"/>
              <w:rPr>
                <w:rFonts w:ascii="仿宋_GB2312" w:hAnsi="宋体" w:eastAsia="仿宋_GB2312" w:cs="宋体"/>
                <w:kern w:val="0"/>
                <w:sz w:val="24"/>
              </w:rPr>
            </w:pPr>
            <w:r>
              <w:rPr>
                <w:rFonts w:hint="eastAsia" w:ascii="仿宋_GB2312" w:hAnsi="宋体" w:eastAsia="仿宋_GB2312" w:cs="宋体"/>
                <w:kern w:val="0"/>
                <w:sz w:val="24"/>
              </w:rPr>
              <w:t>完成继续教育</w:t>
            </w:r>
          </w:p>
        </w:tc>
        <w:tc>
          <w:tcPr>
            <w:tcW w:w="976" w:type="dxa"/>
            <w:gridSpan w:val="2"/>
            <w:tcBorders>
              <w:top w:val="single" w:color="auto" w:sz="4" w:space="0"/>
              <w:left w:val="nil"/>
              <w:bottom w:val="single" w:color="auto" w:sz="4" w:space="0"/>
              <w:right w:val="single" w:color="auto" w:sz="4" w:space="0"/>
            </w:tcBorders>
            <w:vAlign w:val="center"/>
          </w:tcPr>
          <w:p w14:paraId="3F72FA2E">
            <w:pPr>
              <w:spacing w:line="440" w:lineRule="atLeast"/>
              <w:jc w:val="center"/>
              <w:rPr>
                <w:rFonts w:ascii="仿宋_GB2312" w:hAnsi="宋体" w:eastAsia="仿宋_GB2312" w:cs="宋体"/>
                <w:kern w:val="0"/>
                <w:sz w:val="24"/>
              </w:rPr>
            </w:pPr>
            <w:r>
              <w:rPr>
                <w:rFonts w:hint="eastAsia" w:ascii="仿宋_GB2312" w:hAnsi="宋体" w:eastAsia="仿宋_GB2312" w:cs="宋体"/>
                <w:kern w:val="0"/>
                <w:sz w:val="24"/>
              </w:rPr>
              <w:t>是否</w:t>
            </w:r>
          </w:p>
          <w:p w14:paraId="12DA9006">
            <w:pPr>
              <w:spacing w:line="440" w:lineRule="atLeast"/>
              <w:jc w:val="center"/>
              <w:rPr>
                <w:rFonts w:ascii="仿宋_GB2312" w:hAnsi="宋体" w:eastAsia="仿宋_GB2312" w:cs="宋体"/>
                <w:kern w:val="0"/>
                <w:sz w:val="24"/>
              </w:rPr>
            </w:pPr>
            <w:r>
              <w:rPr>
                <w:rFonts w:hint="eastAsia" w:ascii="仿宋_GB2312" w:hAnsi="宋体" w:eastAsia="仿宋_GB2312" w:cs="宋体"/>
                <w:kern w:val="0"/>
                <w:sz w:val="24"/>
              </w:rPr>
              <w:t>足额缴纳会费</w:t>
            </w:r>
          </w:p>
        </w:tc>
        <w:tc>
          <w:tcPr>
            <w:tcW w:w="976" w:type="dxa"/>
            <w:gridSpan w:val="2"/>
            <w:tcBorders>
              <w:top w:val="single" w:color="auto" w:sz="4" w:space="0"/>
              <w:left w:val="nil"/>
              <w:bottom w:val="single" w:color="auto" w:sz="4" w:space="0"/>
              <w:right w:val="single" w:color="auto" w:sz="4" w:space="0"/>
            </w:tcBorders>
            <w:vAlign w:val="center"/>
          </w:tcPr>
          <w:p w14:paraId="7712C3B8">
            <w:pPr>
              <w:spacing w:line="440" w:lineRule="atLeast"/>
              <w:jc w:val="center"/>
              <w:rPr>
                <w:rFonts w:ascii="仿宋_GB2312" w:hAnsi="宋体" w:eastAsia="仿宋_GB2312" w:cs="宋体"/>
                <w:kern w:val="0"/>
                <w:sz w:val="24"/>
              </w:rPr>
            </w:pPr>
            <w:r>
              <w:rPr>
                <w:rFonts w:hint="eastAsia" w:ascii="仿宋_GB2312" w:hAnsi="宋体" w:eastAsia="仿宋_GB2312" w:cs="宋体"/>
                <w:kern w:val="0"/>
                <w:sz w:val="24"/>
              </w:rPr>
              <w:t>是否受行政、刑事</w:t>
            </w:r>
          </w:p>
          <w:p w14:paraId="4325F82B">
            <w:pPr>
              <w:spacing w:line="440" w:lineRule="atLeast"/>
              <w:jc w:val="center"/>
              <w:rPr>
                <w:rFonts w:ascii="仿宋_GB2312" w:hAnsi="宋体" w:eastAsia="仿宋_GB2312" w:cs="宋体"/>
                <w:kern w:val="0"/>
                <w:sz w:val="24"/>
              </w:rPr>
            </w:pPr>
            <w:r>
              <w:rPr>
                <w:rFonts w:hint="eastAsia" w:ascii="仿宋_GB2312" w:hAnsi="宋体" w:eastAsia="仿宋_GB2312" w:cs="宋体"/>
                <w:kern w:val="0"/>
                <w:sz w:val="24"/>
              </w:rPr>
              <w:t>处罚</w:t>
            </w:r>
          </w:p>
        </w:tc>
        <w:tc>
          <w:tcPr>
            <w:tcW w:w="976" w:type="dxa"/>
            <w:gridSpan w:val="2"/>
            <w:tcBorders>
              <w:top w:val="single" w:color="auto" w:sz="4" w:space="0"/>
              <w:left w:val="nil"/>
              <w:bottom w:val="single" w:color="auto" w:sz="4" w:space="0"/>
              <w:right w:val="single" w:color="auto" w:sz="4" w:space="0"/>
            </w:tcBorders>
            <w:vAlign w:val="center"/>
          </w:tcPr>
          <w:p w14:paraId="24E1FCF0">
            <w:pPr>
              <w:spacing w:line="440" w:lineRule="atLeast"/>
              <w:jc w:val="center"/>
              <w:rPr>
                <w:rFonts w:ascii="仿宋_GB2312" w:hAnsi="宋体" w:eastAsia="仿宋_GB2312" w:cs="宋体"/>
                <w:kern w:val="0"/>
                <w:sz w:val="24"/>
              </w:rPr>
            </w:pPr>
            <w:r>
              <w:rPr>
                <w:rFonts w:hint="eastAsia" w:ascii="仿宋_GB2312" w:hAnsi="宋体" w:eastAsia="仿宋_GB2312" w:cs="宋体"/>
                <w:kern w:val="0"/>
                <w:sz w:val="24"/>
              </w:rPr>
              <w:t>是否合伙人或者股东</w:t>
            </w:r>
          </w:p>
        </w:tc>
        <w:tc>
          <w:tcPr>
            <w:tcW w:w="976" w:type="dxa"/>
            <w:tcBorders>
              <w:top w:val="single" w:color="auto" w:sz="4" w:space="0"/>
              <w:left w:val="nil"/>
              <w:bottom w:val="single" w:color="auto" w:sz="4" w:space="0"/>
              <w:right w:val="single" w:color="auto" w:sz="4" w:space="0"/>
            </w:tcBorders>
            <w:vAlign w:val="center"/>
          </w:tcPr>
          <w:p w14:paraId="5825913F">
            <w:pPr>
              <w:spacing w:line="440" w:lineRule="atLeast"/>
              <w:jc w:val="center"/>
              <w:rPr>
                <w:rFonts w:ascii="仿宋_GB2312" w:hAnsi="宋体" w:eastAsia="仿宋_GB2312" w:cs="宋体"/>
                <w:kern w:val="0"/>
                <w:sz w:val="24"/>
              </w:rPr>
            </w:pPr>
            <w:r>
              <w:rPr>
                <w:rFonts w:hint="eastAsia" w:ascii="仿宋_GB2312" w:hAnsi="宋体" w:eastAsia="仿宋_GB2312" w:cs="宋体"/>
                <w:kern w:val="0"/>
                <w:sz w:val="24"/>
              </w:rPr>
              <w:t>出资/认缴金额</w:t>
            </w:r>
          </w:p>
        </w:tc>
        <w:tc>
          <w:tcPr>
            <w:tcW w:w="976" w:type="dxa"/>
            <w:gridSpan w:val="2"/>
            <w:tcBorders>
              <w:top w:val="single" w:color="auto" w:sz="4" w:space="0"/>
              <w:left w:val="nil"/>
              <w:bottom w:val="single" w:color="auto" w:sz="4" w:space="0"/>
              <w:right w:val="single" w:color="auto" w:sz="4" w:space="0"/>
            </w:tcBorders>
            <w:vAlign w:val="center"/>
          </w:tcPr>
          <w:p w14:paraId="3C692DFB">
            <w:pPr>
              <w:spacing w:line="440" w:lineRule="atLeast"/>
              <w:jc w:val="center"/>
              <w:rPr>
                <w:rFonts w:ascii="仿宋_GB2312" w:hAnsi="宋体" w:eastAsia="仿宋_GB2312" w:cs="宋体"/>
                <w:kern w:val="0"/>
                <w:sz w:val="24"/>
              </w:rPr>
            </w:pPr>
            <w:r>
              <w:rPr>
                <w:rFonts w:hint="eastAsia" w:ascii="仿宋_GB2312" w:hAnsi="宋体" w:eastAsia="仿宋_GB2312" w:cs="宋体"/>
                <w:kern w:val="0"/>
                <w:sz w:val="24"/>
              </w:rPr>
              <w:t>是否由机构缴纳社保</w:t>
            </w:r>
          </w:p>
        </w:tc>
        <w:tc>
          <w:tcPr>
            <w:tcW w:w="977" w:type="dxa"/>
            <w:tcBorders>
              <w:top w:val="single" w:color="auto" w:sz="4" w:space="0"/>
              <w:left w:val="nil"/>
              <w:bottom w:val="single" w:color="auto" w:sz="4" w:space="0"/>
              <w:right w:val="single" w:color="auto" w:sz="4" w:space="0"/>
            </w:tcBorders>
            <w:vAlign w:val="center"/>
          </w:tcPr>
          <w:p w14:paraId="430291B2">
            <w:pPr>
              <w:spacing w:line="440" w:lineRule="atLeast"/>
              <w:jc w:val="center"/>
              <w:rPr>
                <w:rFonts w:ascii="仿宋_GB2312" w:hAnsi="宋体" w:eastAsia="仿宋_GB2312" w:cs="宋体"/>
                <w:kern w:val="0"/>
                <w:sz w:val="24"/>
              </w:rPr>
            </w:pPr>
            <w:r>
              <w:rPr>
                <w:rFonts w:hint="eastAsia" w:ascii="仿宋_GB2312" w:hAnsi="宋体" w:eastAsia="仿宋_GB2312" w:cs="宋体"/>
                <w:kern w:val="0"/>
                <w:sz w:val="24"/>
              </w:rPr>
              <w:t>备注</w:t>
            </w:r>
          </w:p>
        </w:tc>
      </w:tr>
      <w:tr w14:paraId="607C1B99">
        <w:tblPrEx>
          <w:tblCellMar>
            <w:top w:w="0" w:type="dxa"/>
            <w:left w:w="108" w:type="dxa"/>
            <w:bottom w:w="0" w:type="dxa"/>
            <w:right w:w="108" w:type="dxa"/>
          </w:tblCellMar>
        </w:tblPrEx>
        <w:trPr>
          <w:trHeight w:val="285" w:hRule="atLeast"/>
          <w:jc w:val="center"/>
        </w:trPr>
        <w:tc>
          <w:tcPr>
            <w:tcW w:w="746" w:type="dxa"/>
            <w:tcBorders>
              <w:top w:val="nil"/>
              <w:left w:val="single" w:color="auto" w:sz="4" w:space="0"/>
              <w:bottom w:val="single" w:color="auto" w:sz="4" w:space="0"/>
              <w:right w:val="single" w:color="auto" w:sz="4" w:space="0"/>
            </w:tcBorders>
            <w:vAlign w:val="center"/>
          </w:tcPr>
          <w:p w14:paraId="15E683BC">
            <w:pPr>
              <w:spacing w:line="440" w:lineRule="atLeast"/>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747" w:type="dxa"/>
            <w:tcBorders>
              <w:top w:val="nil"/>
              <w:left w:val="nil"/>
              <w:bottom w:val="single" w:color="auto" w:sz="4" w:space="0"/>
              <w:right w:val="single" w:color="auto" w:sz="4" w:space="0"/>
            </w:tcBorders>
            <w:vAlign w:val="center"/>
          </w:tcPr>
          <w:p w14:paraId="22C19BBB">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747" w:type="dxa"/>
            <w:tcBorders>
              <w:top w:val="nil"/>
              <w:left w:val="nil"/>
              <w:bottom w:val="single" w:color="auto" w:sz="4" w:space="0"/>
              <w:right w:val="single" w:color="auto" w:sz="4" w:space="0"/>
            </w:tcBorders>
            <w:vAlign w:val="center"/>
          </w:tcPr>
          <w:p w14:paraId="250C190B">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1370" w:type="dxa"/>
            <w:tcBorders>
              <w:top w:val="nil"/>
              <w:left w:val="nil"/>
              <w:bottom w:val="single" w:color="auto" w:sz="4" w:space="0"/>
              <w:right w:val="single" w:color="auto" w:sz="4" w:space="0"/>
            </w:tcBorders>
            <w:vAlign w:val="center"/>
          </w:tcPr>
          <w:p w14:paraId="00C8C4F4">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2670" w:type="dxa"/>
            <w:gridSpan w:val="2"/>
            <w:tcBorders>
              <w:top w:val="nil"/>
              <w:left w:val="nil"/>
              <w:bottom w:val="single" w:color="auto" w:sz="4" w:space="0"/>
              <w:right w:val="single" w:color="auto" w:sz="4" w:space="0"/>
            </w:tcBorders>
            <w:vAlign w:val="center"/>
          </w:tcPr>
          <w:p w14:paraId="143105AD">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976" w:type="dxa"/>
            <w:gridSpan w:val="2"/>
            <w:tcBorders>
              <w:top w:val="nil"/>
              <w:left w:val="nil"/>
              <w:bottom w:val="single" w:color="auto" w:sz="4" w:space="0"/>
              <w:right w:val="single" w:color="auto" w:sz="4" w:space="0"/>
            </w:tcBorders>
            <w:vAlign w:val="center"/>
          </w:tcPr>
          <w:p w14:paraId="2D5229C5">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976" w:type="dxa"/>
            <w:gridSpan w:val="2"/>
            <w:tcBorders>
              <w:top w:val="nil"/>
              <w:left w:val="nil"/>
              <w:bottom w:val="single" w:color="auto" w:sz="4" w:space="0"/>
              <w:right w:val="single" w:color="auto" w:sz="4" w:space="0"/>
            </w:tcBorders>
            <w:vAlign w:val="center"/>
          </w:tcPr>
          <w:p w14:paraId="3B5E58CA">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976" w:type="dxa"/>
            <w:gridSpan w:val="2"/>
            <w:tcBorders>
              <w:top w:val="nil"/>
              <w:left w:val="nil"/>
              <w:bottom w:val="single" w:color="auto" w:sz="4" w:space="0"/>
              <w:right w:val="single" w:color="auto" w:sz="4" w:space="0"/>
            </w:tcBorders>
            <w:vAlign w:val="center"/>
          </w:tcPr>
          <w:p w14:paraId="64A8E995">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976" w:type="dxa"/>
            <w:gridSpan w:val="2"/>
            <w:tcBorders>
              <w:top w:val="nil"/>
              <w:left w:val="nil"/>
              <w:bottom w:val="single" w:color="auto" w:sz="4" w:space="0"/>
              <w:right w:val="single" w:color="auto" w:sz="4" w:space="0"/>
            </w:tcBorders>
            <w:vAlign w:val="center"/>
          </w:tcPr>
          <w:p w14:paraId="0A30BC0A">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976" w:type="dxa"/>
            <w:gridSpan w:val="2"/>
            <w:tcBorders>
              <w:top w:val="nil"/>
              <w:left w:val="nil"/>
              <w:bottom w:val="single" w:color="auto" w:sz="4" w:space="0"/>
              <w:right w:val="single" w:color="auto" w:sz="4" w:space="0"/>
            </w:tcBorders>
            <w:vAlign w:val="center"/>
          </w:tcPr>
          <w:p w14:paraId="78B30BD3">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976" w:type="dxa"/>
            <w:tcBorders>
              <w:top w:val="nil"/>
              <w:left w:val="nil"/>
              <w:bottom w:val="single" w:color="auto" w:sz="4" w:space="0"/>
              <w:right w:val="single" w:color="auto" w:sz="4" w:space="0"/>
            </w:tcBorders>
            <w:vAlign w:val="center"/>
          </w:tcPr>
          <w:p w14:paraId="46F7FEEE">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976" w:type="dxa"/>
            <w:gridSpan w:val="2"/>
            <w:tcBorders>
              <w:top w:val="nil"/>
              <w:left w:val="nil"/>
              <w:bottom w:val="single" w:color="auto" w:sz="4" w:space="0"/>
              <w:right w:val="single" w:color="auto" w:sz="4" w:space="0"/>
            </w:tcBorders>
            <w:vAlign w:val="center"/>
          </w:tcPr>
          <w:p w14:paraId="58E891F5">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977" w:type="dxa"/>
            <w:tcBorders>
              <w:top w:val="nil"/>
              <w:left w:val="nil"/>
              <w:bottom w:val="single" w:color="auto" w:sz="4" w:space="0"/>
              <w:right w:val="single" w:color="auto" w:sz="4" w:space="0"/>
            </w:tcBorders>
            <w:vAlign w:val="center"/>
          </w:tcPr>
          <w:p w14:paraId="1D3A7A51">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r>
      <w:tr w14:paraId="3421A92C">
        <w:tblPrEx>
          <w:tblCellMar>
            <w:top w:w="0" w:type="dxa"/>
            <w:left w:w="108" w:type="dxa"/>
            <w:bottom w:w="0" w:type="dxa"/>
            <w:right w:w="108" w:type="dxa"/>
          </w:tblCellMar>
        </w:tblPrEx>
        <w:trPr>
          <w:trHeight w:val="285" w:hRule="atLeast"/>
          <w:jc w:val="center"/>
        </w:trPr>
        <w:tc>
          <w:tcPr>
            <w:tcW w:w="746" w:type="dxa"/>
            <w:tcBorders>
              <w:top w:val="nil"/>
              <w:left w:val="single" w:color="auto" w:sz="4" w:space="0"/>
              <w:bottom w:val="single" w:color="auto" w:sz="4" w:space="0"/>
              <w:right w:val="single" w:color="auto" w:sz="4" w:space="0"/>
            </w:tcBorders>
            <w:vAlign w:val="center"/>
          </w:tcPr>
          <w:p w14:paraId="16E67D99">
            <w:pPr>
              <w:spacing w:line="440" w:lineRule="atLeast"/>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747" w:type="dxa"/>
            <w:tcBorders>
              <w:top w:val="nil"/>
              <w:left w:val="nil"/>
              <w:bottom w:val="single" w:color="auto" w:sz="4" w:space="0"/>
              <w:right w:val="single" w:color="auto" w:sz="4" w:space="0"/>
            </w:tcBorders>
            <w:vAlign w:val="center"/>
          </w:tcPr>
          <w:p w14:paraId="26E93793">
            <w:pPr>
              <w:spacing w:line="440" w:lineRule="atLeast"/>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747" w:type="dxa"/>
            <w:tcBorders>
              <w:top w:val="nil"/>
              <w:left w:val="nil"/>
              <w:bottom w:val="single" w:color="auto" w:sz="4" w:space="0"/>
              <w:right w:val="single" w:color="auto" w:sz="4" w:space="0"/>
            </w:tcBorders>
            <w:vAlign w:val="center"/>
          </w:tcPr>
          <w:p w14:paraId="0F1BD7A3">
            <w:pPr>
              <w:spacing w:line="440" w:lineRule="atLeast"/>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1370" w:type="dxa"/>
            <w:tcBorders>
              <w:top w:val="nil"/>
              <w:left w:val="nil"/>
              <w:bottom w:val="single" w:color="auto" w:sz="4" w:space="0"/>
              <w:right w:val="single" w:color="auto" w:sz="4" w:space="0"/>
            </w:tcBorders>
            <w:vAlign w:val="center"/>
          </w:tcPr>
          <w:p w14:paraId="7F020235">
            <w:pPr>
              <w:spacing w:line="440" w:lineRule="atLeast"/>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2670" w:type="dxa"/>
            <w:gridSpan w:val="2"/>
            <w:tcBorders>
              <w:top w:val="nil"/>
              <w:left w:val="nil"/>
              <w:bottom w:val="single" w:color="auto" w:sz="4" w:space="0"/>
              <w:right w:val="single" w:color="auto" w:sz="4" w:space="0"/>
            </w:tcBorders>
            <w:vAlign w:val="center"/>
          </w:tcPr>
          <w:p w14:paraId="0902A643">
            <w:pPr>
              <w:spacing w:line="440" w:lineRule="atLeast"/>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976" w:type="dxa"/>
            <w:gridSpan w:val="2"/>
            <w:tcBorders>
              <w:top w:val="nil"/>
              <w:left w:val="nil"/>
              <w:bottom w:val="single" w:color="auto" w:sz="4" w:space="0"/>
              <w:right w:val="single" w:color="auto" w:sz="4" w:space="0"/>
            </w:tcBorders>
            <w:vAlign w:val="center"/>
          </w:tcPr>
          <w:p w14:paraId="08B80943">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976" w:type="dxa"/>
            <w:gridSpan w:val="2"/>
            <w:tcBorders>
              <w:top w:val="nil"/>
              <w:left w:val="nil"/>
              <w:bottom w:val="single" w:color="auto" w:sz="4" w:space="0"/>
              <w:right w:val="single" w:color="auto" w:sz="4" w:space="0"/>
            </w:tcBorders>
            <w:vAlign w:val="center"/>
          </w:tcPr>
          <w:p w14:paraId="02F0D486">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976" w:type="dxa"/>
            <w:gridSpan w:val="2"/>
            <w:tcBorders>
              <w:top w:val="nil"/>
              <w:left w:val="nil"/>
              <w:bottom w:val="single" w:color="auto" w:sz="4" w:space="0"/>
              <w:right w:val="single" w:color="auto" w:sz="4" w:space="0"/>
            </w:tcBorders>
            <w:vAlign w:val="center"/>
          </w:tcPr>
          <w:p w14:paraId="4C492490">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976" w:type="dxa"/>
            <w:gridSpan w:val="2"/>
            <w:tcBorders>
              <w:top w:val="nil"/>
              <w:left w:val="nil"/>
              <w:bottom w:val="single" w:color="auto" w:sz="4" w:space="0"/>
              <w:right w:val="single" w:color="auto" w:sz="4" w:space="0"/>
            </w:tcBorders>
            <w:vAlign w:val="center"/>
          </w:tcPr>
          <w:p w14:paraId="09A8DDBB">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976" w:type="dxa"/>
            <w:gridSpan w:val="2"/>
            <w:tcBorders>
              <w:top w:val="nil"/>
              <w:left w:val="nil"/>
              <w:bottom w:val="single" w:color="auto" w:sz="4" w:space="0"/>
              <w:right w:val="single" w:color="auto" w:sz="4" w:space="0"/>
            </w:tcBorders>
            <w:vAlign w:val="center"/>
          </w:tcPr>
          <w:p w14:paraId="3F85AE5C">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976" w:type="dxa"/>
            <w:tcBorders>
              <w:top w:val="nil"/>
              <w:left w:val="nil"/>
              <w:bottom w:val="single" w:color="auto" w:sz="4" w:space="0"/>
              <w:right w:val="single" w:color="auto" w:sz="4" w:space="0"/>
            </w:tcBorders>
            <w:vAlign w:val="center"/>
          </w:tcPr>
          <w:p w14:paraId="1B06F050">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976" w:type="dxa"/>
            <w:gridSpan w:val="2"/>
            <w:tcBorders>
              <w:top w:val="nil"/>
              <w:left w:val="nil"/>
              <w:bottom w:val="single" w:color="auto" w:sz="4" w:space="0"/>
              <w:right w:val="single" w:color="auto" w:sz="4" w:space="0"/>
            </w:tcBorders>
            <w:vAlign w:val="center"/>
          </w:tcPr>
          <w:p w14:paraId="0027DD7D">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977" w:type="dxa"/>
            <w:tcBorders>
              <w:top w:val="nil"/>
              <w:left w:val="nil"/>
              <w:bottom w:val="single" w:color="auto" w:sz="4" w:space="0"/>
              <w:right w:val="single" w:color="auto" w:sz="4" w:space="0"/>
            </w:tcBorders>
            <w:vAlign w:val="center"/>
          </w:tcPr>
          <w:p w14:paraId="34E06E22">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r>
      <w:tr w14:paraId="6E3EDEC1">
        <w:tblPrEx>
          <w:tblCellMar>
            <w:top w:w="0" w:type="dxa"/>
            <w:left w:w="108" w:type="dxa"/>
            <w:bottom w:w="0" w:type="dxa"/>
            <w:right w:w="108" w:type="dxa"/>
          </w:tblCellMar>
        </w:tblPrEx>
        <w:trPr>
          <w:trHeight w:val="285" w:hRule="atLeast"/>
          <w:jc w:val="center"/>
        </w:trPr>
        <w:tc>
          <w:tcPr>
            <w:tcW w:w="746" w:type="dxa"/>
            <w:tcBorders>
              <w:top w:val="nil"/>
              <w:left w:val="single" w:color="auto" w:sz="4" w:space="0"/>
              <w:bottom w:val="single" w:color="auto" w:sz="4" w:space="0"/>
              <w:right w:val="single" w:color="auto" w:sz="4" w:space="0"/>
            </w:tcBorders>
            <w:vAlign w:val="center"/>
          </w:tcPr>
          <w:p w14:paraId="41897BD2">
            <w:pPr>
              <w:spacing w:line="440" w:lineRule="atLeast"/>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747" w:type="dxa"/>
            <w:tcBorders>
              <w:top w:val="nil"/>
              <w:left w:val="nil"/>
              <w:bottom w:val="single" w:color="auto" w:sz="4" w:space="0"/>
              <w:right w:val="single" w:color="auto" w:sz="4" w:space="0"/>
            </w:tcBorders>
            <w:vAlign w:val="center"/>
          </w:tcPr>
          <w:p w14:paraId="608313FA">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747" w:type="dxa"/>
            <w:tcBorders>
              <w:top w:val="nil"/>
              <w:left w:val="nil"/>
              <w:bottom w:val="single" w:color="auto" w:sz="4" w:space="0"/>
              <w:right w:val="single" w:color="auto" w:sz="4" w:space="0"/>
            </w:tcBorders>
            <w:vAlign w:val="center"/>
          </w:tcPr>
          <w:p w14:paraId="26C8B2B1">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1370" w:type="dxa"/>
            <w:tcBorders>
              <w:top w:val="nil"/>
              <w:left w:val="nil"/>
              <w:bottom w:val="single" w:color="auto" w:sz="4" w:space="0"/>
              <w:right w:val="single" w:color="auto" w:sz="4" w:space="0"/>
            </w:tcBorders>
            <w:vAlign w:val="center"/>
          </w:tcPr>
          <w:p w14:paraId="72527D69">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2670" w:type="dxa"/>
            <w:gridSpan w:val="2"/>
            <w:tcBorders>
              <w:top w:val="nil"/>
              <w:left w:val="nil"/>
              <w:bottom w:val="single" w:color="auto" w:sz="4" w:space="0"/>
              <w:right w:val="single" w:color="auto" w:sz="4" w:space="0"/>
            </w:tcBorders>
            <w:vAlign w:val="center"/>
          </w:tcPr>
          <w:p w14:paraId="3B7DFB8F">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976" w:type="dxa"/>
            <w:gridSpan w:val="2"/>
            <w:tcBorders>
              <w:top w:val="nil"/>
              <w:left w:val="nil"/>
              <w:bottom w:val="single" w:color="auto" w:sz="4" w:space="0"/>
              <w:right w:val="single" w:color="auto" w:sz="4" w:space="0"/>
            </w:tcBorders>
            <w:vAlign w:val="center"/>
          </w:tcPr>
          <w:p w14:paraId="55E560F9">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976" w:type="dxa"/>
            <w:gridSpan w:val="2"/>
            <w:tcBorders>
              <w:top w:val="nil"/>
              <w:left w:val="nil"/>
              <w:bottom w:val="single" w:color="auto" w:sz="4" w:space="0"/>
              <w:right w:val="single" w:color="auto" w:sz="4" w:space="0"/>
            </w:tcBorders>
            <w:vAlign w:val="center"/>
          </w:tcPr>
          <w:p w14:paraId="6DAE437F">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976" w:type="dxa"/>
            <w:gridSpan w:val="2"/>
            <w:tcBorders>
              <w:top w:val="nil"/>
              <w:left w:val="nil"/>
              <w:bottom w:val="single" w:color="auto" w:sz="4" w:space="0"/>
              <w:right w:val="single" w:color="auto" w:sz="4" w:space="0"/>
            </w:tcBorders>
            <w:vAlign w:val="center"/>
          </w:tcPr>
          <w:p w14:paraId="59C9E487">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976" w:type="dxa"/>
            <w:gridSpan w:val="2"/>
            <w:tcBorders>
              <w:top w:val="nil"/>
              <w:left w:val="nil"/>
              <w:bottom w:val="single" w:color="auto" w:sz="4" w:space="0"/>
              <w:right w:val="single" w:color="auto" w:sz="4" w:space="0"/>
            </w:tcBorders>
            <w:vAlign w:val="center"/>
          </w:tcPr>
          <w:p w14:paraId="10993564">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976" w:type="dxa"/>
            <w:gridSpan w:val="2"/>
            <w:tcBorders>
              <w:top w:val="nil"/>
              <w:left w:val="nil"/>
              <w:bottom w:val="single" w:color="auto" w:sz="4" w:space="0"/>
              <w:right w:val="single" w:color="auto" w:sz="4" w:space="0"/>
            </w:tcBorders>
            <w:vAlign w:val="center"/>
          </w:tcPr>
          <w:p w14:paraId="381F955E">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976" w:type="dxa"/>
            <w:tcBorders>
              <w:top w:val="nil"/>
              <w:left w:val="nil"/>
              <w:bottom w:val="single" w:color="auto" w:sz="4" w:space="0"/>
              <w:right w:val="single" w:color="auto" w:sz="4" w:space="0"/>
            </w:tcBorders>
            <w:vAlign w:val="center"/>
          </w:tcPr>
          <w:p w14:paraId="6B5CEAED">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976" w:type="dxa"/>
            <w:gridSpan w:val="2"/>
            <w:tcBorders>
              <w:top w:val="nil"/>
              <w:left w:val="nil"/>
              <w:bottom w:val="single" w:color="auto" w:sz="4" w:space="0"/>
              <w:right w:val="single" w:color="auto" w:sz="4" w:space="0"/>
            </w:tcBorders>
            <w:vAlign w:val="center"/>
          </w:tcPr>
          <w:p w14:paraId="091B51B1">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977" w:type="dxa"/>
            <w:tcBorders>
              <w:top w:val="nil"/>
              <w:left w:val="nil"/>
              <w:bottom w:val="single" w:color="auto" w:sz="4" w:space="0"/>
              <w:right w:val="single" w:color="auto" w:sz="4" w:space="0"/>
            </w:tcBorders>
            <w:vAlign w:val="center"/>
          </w:tcPr>
          <w:p w14:paraId="351B03C5">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r>
      <w:tr w14:paraId="29642F04">
        <w:tblPrEx>
          <w:tblCellMar>
            <w:top w:w="0" w:type="dxa"/>
            <w:left w:w="108" w:type="dxa"/>
            <w:bottom w:w="0" w:type="dxa"/>
            <w:right w:w="108" w:type="dxa"/>
          </w:tblCellMar>
        </w:tblPrEx>
        <w:trPr>
          <w:trHeight w:val="285" w:hRule="atLeast"/>
          <w:jc w:val="center"/>
        </w:trPr>
        <w:tc>
          <w:tcPr>
            <w:tcW w:w="746" w:type="dxa"/>
            <w:tcBorders>
              <w:top w:val="nil"/>
              <w:left w:val="single" w:color="auto" w:sz="4" w:space="0"/>
              <w:bottom w:val="single" w:color="auto" w:sz="4" w:space="0"/>
              <w:right w:val="single" w:color="auto" w:sz="4" w:space="0"/>
            </w:tcBorders>
            <w:vAlign w:val="center"/>
          </w:tcPr>
          <w:p w14:paraId="44F7706F">
            <w:pPr>
              <w:spacing w:line="440" w:lineRule="atLeast"/>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747" w:type="dxa"/>
            <w:tcBorders>
              <w:top w:val="nil"/>
              <w:left w:val="nil"/>
              <w:bottom w:val="single" w:color="auto" w:sz="4" w:space="0"/>
              <w:right w:val="single" w:color="auto" w:sz="4" w:space="0"/>
            </w:tcBorders>
            <w:vAlign w:val="center"/>
          </w:tcPr>
          <w:p w14:paraId="3BE731B8">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747" w:type="dxa"/>
            <w:tcBorders>
              <w:top w:val="nil"/>
              <w:left w:val="nil"/>
              <w:bottom w:val="single" w:color="auto" w:sz="4" w:space="0"/>
              <w:right w:val="single" w:color="auto" w:sz="4" w:space="0"/>
            </w:tcBorders>
            <w:vAlign w:val="center"/>
          </w:tcPr>
          <w:p w14:paraId="751A61D2">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1370" w:type="dxa"/>
            <w:tcBorders>
              <w:top w:val="nil"/>
              <w:left w:val="nil"/>
              <w:bottom w:val="single" w:color="auto" w:sz="4" w:space="0"/>
              <w:right w:val="single" w:color="auto" w:sz="4" w:space="0"/>
            </w:tcBorders>
            <w:vAlign w:val="center"/>
          </w:tcPr>
          <w:p w14:paraId="4DCD9454">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2670" w:type="dxa"/>
            <w:gridSpan w:val="2"/>
            <w:tcBorders>
              <w:top w:val="nil"/>
              <w:left w:val="nil"/>
              <w:bottom w:val="single" w:color="auto" w:sz="4" w:space="0"/>
              <w:right w:val="single" w:color="auto" w:sz="4" w:space="0"/>
            </w:tcBorders>
            <w:vAlign w:val="center"/>
          </w:tcPr>
          <w:p w14:paraId="1819B621">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976" w:type="dxa"/>
            <w:gridSpan w:val="2"/>
            <w:tcBorders>
              <w:top w:val="nil"/>
              <w:left w:val="nil"/>
              <w:bottom w:val="single" w:color="auto" w:sz="4" w:space="0"/>
              <w:right w:val="single" w:color="auto" w:sz="4" w:space="0"/>
            </w:tcBorders>
            <w:vAlign w:val="center"/>
          </w:tcPr>
          <w:p w14:paraId="095FB144">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976" w:type="dxa"/>
            <w:gridSpan w:val="2"/>
            <w:tcBorders>
              <w:top w:val="nil"/>
              <w:left w:val="nil"/>
              <w:bottom w:val="single" w:color="auto" w:sz="4" w:space="0"/>
              <w:right w:val="single" w:color="auto" w:sz="4" w:space="0"/>
            </w:tcBorders>
            <w:vAlign w:val="center"/>
          </w:tcPr>
          <w:p w14:paraId="41C7EA29">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976" w:type="dxa"/>
            <w:gridSpan w:val="2"/>
            <w:tcBorders>
              <w:top w:val="nil"/>
              <w:left w:val="nil"/>
              <w:bottom w:val="single" w:color="auto" w:sz="4" w:space="0"/>
              <w:right w:val="single" w:color="auto" w:sz="4" w:space="0"/>
            </w:tcBorders>
            <w:vAlign w:val="center"/>
          </w:tcPr>
          <w:p w14:paraId="7F936817">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976" w:type="dxa"/>
            <w:gridSpan w:val="2"/>
            <w:tcBorders>
              <w:top w:val="nil"/>
              <w:left w:val="nil"/>
              <w:bottom w:val="single" w:color="auto" w:sz="4" w:space="0"/>
              <w:right w:val="single" w:color="auto" w:sz="4" w:space="0"/>
            </w:tcBorders>
            <w:vAlign w:val="center"/>
          </w:tcPr>
          <w:p w14:paraId="121D5BD6">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976" w:type="dxa"/>
            <w:gridSpan w:val="2"/>
            <w:tcBorders>
              <w:top w:val="nil"/>
              <w:left w:val="nil"/>
              <w:bottom w:val="single" w:color="auto" w:sz="4" w:space="0"/>
              <w:right w:val="single" w:color="auto" w:sz="4" w:space="0"/>
            </w:tcBorders>
            <w:vAlign w:val="center"/>
          </w:tcPr>
          <w:p w14:paraId="59F94291">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976" w:type="dxa"/>
            <w:tcBorders>
              <w:top w:val="nil"/>
              <w:left w:val="nil"/>
              <w:bottom w:val="single" w:color="auto" w:sz="4" w:space="0"/>
              <w:right w:val="single" w:color="auto" w:sz="4" w:space="0"/>
            </w:tcBorders>
            <w:vAlign w:val="center"/>
          </w:tcPr>
          <w:p w14:paraId="49F59A25">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976" w:type="dxa"/>
            <w:gridSpan w:val="2"/>
            <w:tcBorders>
              <w:top w:val="nil"/>
              <w:left w:val="nil"/>
              <w:bottom w:val="single" w:color="auto" w:sz="4" w:space="0"/>
              <w:right w:val="single" w:color="auto" w:sz="4" w:space="0"/>
            </w:tcBorders>
            <w:vAlign w:val="center"/>
          </w:tcPr>
          <w:p w14:paraId="33D24283">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977" w:type="dxa"/>
            <w:tcBorders>
              <w:top w:val="nil"/>
              <w:left w:val="nil"/>
              <w:bottom w:val="single" w:color="auto" w:sz="4" w:space="0"/>
              <w:right w:val="single" w:color="auto" w:sz="4" w:space="0"/>
            </w:tcBorders>
            <w:vAlign w:val="center"/>
          </w:tcPr>
          <w:p w14:paraId="5FD1B340">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r>
      <w:tr w14:paraId="67637CC5">
        <w:tblPrEx>
          <w:tblCellMar>
            <w:top w:w="0" w:type="dxa"/>
            <w:left w:w="108" w:type="dxa"/>
            <w:bottom w:w="0" w:type="dxa"/>
            <w:right w:w="108" w:type="dxa"/>
          </w:tblCellMar>
        </w:tblPrEx>
        <w:trPr>
          <w:trHeight w:val="285" w:hRule="atLeast"/>
          <w:jc w:val="center"/>
        </w:trPr>
        <w:tc>
          <w:tcPr>
            <w:tcW w:w="746" w:type="dxa"/>
            <w:tcBorders>
              <w:top w:val="nil"/>
              <w:left w:val="single" w:color="auto" w:sz="4" w:space="0"/>
              <w:bottom w:val="single" w:color="auto" w:sz="4" w:space="0"/>
              <w:right w:val="single" w:color="auto" w:sz="4" w:space="0"/>
            </w:tcBorders>
            <w:vAlign w:val="center"/>
          </w:tcPr>
          <w:p w14:paraId="621A6E63">
            <w:pPr>
              <w:spacing w:line="440" w:lineRule="atLeast"/>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747" w:type="dxa"/>
            <w:tcBorders>
              <w:top w:val="nil"/>
              <w:left w:val="nil"/>
              <w:bottom w:val="single" w:color="auto" w:sz="4" w:space="0"/>
              <w:right w:val="single" w:color="auto" w:sz="4" w:space="0"/>
            </w:tcBorders>
            <w:vAlign w:val="center"/>
          </w:tcPr>
          <w:p w14:paraId="599ED157">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747" w:type="dxa"/>
            <w:tcBorders>
              <w:top w:val="nil"/>
              <w:left w:val="nil"/>
              <w:bottom w:val="single" w:color="auto" w:sz="4" w:space="0"/>
              <w:right w:val="single" w:color="auto" w:sz="4" w:space="0"/>
            </w:tcBorders>
            <w:vAlign w:val="center"/>
          </w:tcPr>
          <w:p w14:paraId="74C11B86">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1370" w:type="dxa"/>
            <w:tcBorders>
              <w:top w:val="nil"/>
              <w:left w:val="nil"/>
              <w:bottom w:val="single" w:color="auto" w:sz="4" w:space="0"/>
              <w:right w:val="single" w:color="auto" w:sz="4" w:space="0"/>
            </w:tcBorders>
            <w:vAlign w:val="center"/>
          </w:tcPr>
          <w:p w14:paraId="46D524E0">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2670" w:type="dxa"/>
            <w:gridSpan w:val="2"/>
            <w:tcBorders>
              <w:top w:val="nil"/>
              <w:left w:val="nil"/>
              <w:bottom w:val="single" w:color="auto" w:sz="4" w:space="0"/>
              <w:right w:val="single" w:color="auto" w:sz="4" w:space="0"/>
            </w:tcBorders>
            <w:vAlign w:val="center"/>
          </w:tcPr>
          <w:p w14:paraId="072B0A38">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976" w:type="dxa"/>
            <w:gridSpan w:val="2"/>
            <w:tcBorders>
              <w:top w:val="nil"/>
              <w:left w:val="nil"/>
              <w:bottom w:val="single" w:color="auto" w:sz="4" w:space="0"/>
              <w:right w:val="single" w:color="auto" w:sz="4" w:space="0"/>
            </w:tcBorders>
            <w:vAlign w:val="center"/>
          </w:tcPr>
          <w:p w14:paraId="362B799B">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976" w:type="dxa"/>
            <w:gridSpan w:val="2"/>
            <w:tcBorders>
              <w:top w:val="nil"/>
              <w:left w:val="nil"/>
              <w:bottom w:val="single" w:color="auto" w:sz="4" w:space="0"/>
              <w:right w:val="single" w:color="auto" w:sz="4" w:space="0"/>
            </w:tcBorders>
            <w:vAlign w:val="center"/>
          </w:tcPr>
          <w:p w14:paraId="51D1BCE9">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976" w:type="dxa"/>
            <w:gridSpan w:val="2"/>
            <w:tcBorders>
              <w:top w:val="nil"/>
              <w:left w:val="nil"/>
              <w:bottom w:val="single" w:color="auto" w:sz="4" w:space="0"/>
              <w:right w:val="single" w:color="auto" w:sz="4" w:space="0"/>
            </w:tcBorders>
            <w:vAlign w:val="center"/>
          </w:tcPr>
          <w:p w14:paraId="0083C8CF">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976" w:type="dxa"/>
            <w:gridSpan w:val="2"/>
            <w:tcBorders>
              <w:top w:val="nil"/>
              <w:left w:val="nil"/>
              <w:bottom w:val="single" w:color="auto" w:sz="4" w:space="0"/>
              <w:right w:val="single" w:color="auto" w:sz="4" w:space="0"/>
            </w:tcBorders>
            <w:vAlign w:val="center"/>
          </w:tcPr>
          <w:p w14:paraId="00346327">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976" w:type="dxa"/>
            <w:gridSpan w:val="2"/>
            <w:tcBorders>
              <w:top w:val="nil"/>
              <w:left w:val="nil"/>
              <w:bottom w:val="single" w:color="auto" w:sz="4" w:space="0"/>
              <w:right w:val="single" w:color="auto" w:sz="4" w:space="0"/>
            </w:tcBorders>
            <w:vAlign w:val="center"/>
          </w:tcPr>
          <w:p w14:paraId="0C93DF36">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976" w:type="dxa"/>
            <w:tcBorders>
              <w:top w:val="nil"/>
              <w:left w:val="nil"/>
              <w:bottom w:val="single" w:color="auto" w:sz="4" w:space="0"/>
              <w:right w:val="single" w:color="auto" w:sz="4" w:space="0"/>
            </w:tcBorders>
            <w:vAlign w:val="center"/>
          </w:tcPr>
          <w:p w14:paraId="0090D2A6">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976" w:type="dxa"/>
            <w:gridSpan w:val="2"/>
            <w:tcBorders>
              <w:top w:val="nil"/>
              <w:left w:val="nil"/>
              <w:bottom w:val="single" w:color="auto" w:sz="4" w:space="0"/>
              <w:right w:val="single" w:color="auto" w:sz="4" w:space="0"/>
            </w:tcBorders>
            <w:vAlign w:val="center"/>
          </w:tcPr>
          <w:p w14:paraId="7EC16B61">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977" w:type="dxa"/>
            <w:tcBorders>
              <w:top w:val="nil"/>
              <w:left w:val="nil"/>
              <w:bottom w:val="single" w:color="auto" w:sz="4" w:space="0"/>
              <w:right w:val="single" w:color="auto" w:sz="4" w:space="0"/>
            </w:tcBorders>
            <w:vAlign w:val="center"/>
          </w:tcPr>
          <w:p w14:paraId="3B5EE9D0">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r>
      <w:tr w14:paraId="525AEBDF">
        <w:tblPrEx>
          <w:tblCellMar>
            <w:top w:w="0" w:type="dxa"/>
            <w:left w:w="108" w:type="dxa"/>
            <w:bottom w:w="0" w:type="dxa"/>
            <w:right w:w="108" w:type="dxa"/>
          </w:tblCellMar>
        </w:tblPrEx>
        <w:trPr>
          <w:trHeight w:val="285" w:hRule="atLeast"/>
          <w:jc w:val="center"/>
        </w:trPr>
        <w:tc>
          <w:tcPr>
            <w:tcW w:w="746" w:type="dxa"/>
            <w:tcBorders>
              <w:top w:val="nil"/>
              <w:left w:val="single" w:color="auto" w:sz="4" w:space="0"/>
              <w:bottom w:val="single" w:color="auto" w:sz="4" w:space="0"/>
              <w:right w:val="single" w:color="auto" w:sz="4" w:space="0"/>
            </w:tcBorders>
            <w:vAlign w:val="center"/>
          </w:tcPr>
          <w:p w14:paraId="0A394007">
            <w:pPr>
              <w:spacing w:line="440" w:lineRule="atLeast"/>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747" w:type="dxa"/>
            <w:tcBorders>
              <w:top w:val="nil"/>
              <w:left w:val="nil"/>
              <w:bottom w:val="single" w:color="auto" w:sz="4" w:space="0"/>
              <w:right w:val="single" w:color="auto" w:sz="4" w:space="0"/>
            </w:tcBorders>
            <w:vAlign w:val="center"/>
          </w:tcPr>
          <w:p w14:paraId="28B09EBB">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747" w:type="dxa"/>
            <w:tcBorders>
              <w:top w:val="nil"/>
              <w:left w:val="nil"/>
              <w:bottom w:val="single" w:color="auto" w:sz="4" w:space="0"/>
              <w:right w:val="single" w:color="auto" w:sz="4" w:space="0"/>
            </w:tcBorders>
            <w:vAlign w:val="center"/>
          </w:tcPr>
          <w:p w14:paraId="6156F869">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1370" w:type="dxa"/>
            <w:tcBorders>
              <w:top w:val="nil"/>
              <w:left w:val="nil"/>
              <w:bottom w:val="single" w:color="auto" w:sz="4" w:space="0"/>
              <w:right w:val="single" w:color="auto" w:sz="4" w:space="0"/>
            </w:tcBorders>
            <w:vAlign w:val="center"/>
          </w:tcPr>
          <w:p w14:paraId="4A3CC9E5">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2670" w:type="dxa"/>
            <w:gridSpan w:val="2"/>
            <w:tcBorders>
              <w:top w:val="nil"/>
              <w:left w:val="nil"/>
              <w:bottom w:val="single" w:color="auto" w:sz="4" w:space="0"/>
              <w:right w:val="single" w:color="auto" w:sz="4" w:space="0"/>
            </w:tcBorders>
            <w:vAlign w:val="center"/>
          </w:tcPr>
          <w:p w14:paraId="1AB1A132">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976" w:type="dxa"/>
            <w:gridSpan w:val="2"/>
            <w:tcBorders>
              <w:top w:val="nil"/>
              <w:left w:val="nil"/>
              <w:bottom w:val="single" w:color="auto" w:sz="4" w:space="0"/>
              <w:right w:val="single" w:color="auto" w:sz="4" w:space="0"/>
            </w:tcBorders>
            <w:vAlign w:val="center"/>
          </w:tcPr>
          <w:p w14:paraId="2A9FD192">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976" w:type="dxa"/>
            <w:gridSpan w:val="2"/>
            <w:tcBorders>
              <w:top w:val="nil"/>
              <w:left w:val="nil"/>
              <w:bottom w:val="single" w:color="auto" w:sz="4" w:space="0"/>
              <w:right w:val="single" w:color="auto" w:sz="4" w:space="0"/>
            </w:tcBorders>
            <w:vAlign w:val="center"/>
          </w:tcPr>
          <w:p w14:paraId="1024D415">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976" w:type="dxa"/>
            <w:gridSpan w:val="2"/>
            <w:tcBorders>
              <w:top w:val="nil"/>
              <w:left w:val="nil"/>
              <w:bottom w:val="single" w:color="auto" w:sz="4" w:space="0"/>
              <w:right w:val="single" w:color="auto" w:sz="4" w:space="0"/>
            </w:tcBorders>
            <w:vAlign w:val="center"/>
          </w:tcPr>
          <w:p w14:paraId="389DB7A1">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976" w:type="dxa"/>
            <w:gridSpan w:val="2"/>
            <w:tcBorders>
              <w:top w:val="nil"/>
              <w:left w:val="nil"/>
              <w:bottom w:val="single" w:color="auto" w:sz="4" w:space="0"/>
              <w:right w:val="single" w:color="auto" w:sz="4" w:space="0"/>
            </w:tcBorders>
            <w:vAlign w:val="center"/>
          </w:tcPr>
          <w:p w14:paraId="369D1C2B">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976" w:type="dxa"/>
            <w:gridSpan w:val="2"/>
            <w:tcBorders>
              <w:top w:val="nil"/>
              <w:left w:val="nil"/>
              <w:bottom w:val="single" w:color="auto" w:sz="4" w:space="0"/>
              <w:right w:val="single" w:color="auto" w:sz="4" w:space="0"/>
            </w:tcBorders>
            <w:vAlign w:val="center"/>
          </w:tcPr>
          <w:p w14:paraId="749B16A0">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976" w:type="dxa"/>
            <w:tcBorders>
              <w:top w:val="nil"/>
              <w:left w:val="nil"/>
              <w:bottom w:val="single" w:color="auto" w:sz="4" w:space="0"/>
              <w:right w:val="single" w:color="auto" w:sz="4" w:space="0"/>
            </w:tcBorders>
            <w:vAlign w:val="center"/>
          </w:tcPr>
          <w:p w14:paraId="1E01DD5B">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976" w:type="dxa"/>
            <w:gridSpan w:val="2"/>
            <w:tcBorders>
              <w:top w:val="nil"/>
              <w:left w:val="nil"/>
              <w:bottom w:val="single" w:color="auto" w:sz="4" w:space="0"/>
              <w:right w:val="single" w:color="auto" w:sz="4" w:space="0"/>
            </w:tcBorders>
            <w:vAlign w:val="center"/>
          </w:tcPr>
          <w:p w14:paraId="722D0E06">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977" w:type="dxa"/>
            <w:tcBorders>
              <w:top w:val="nil"/>
              <w:left w:val="nil"/>
              <w:bottom w:val="single" w:color="auto" w:sz="4" w:space="0"/>
              <w:right w:val="single" w:color="auto" w:sz="4" w:space="0"/>
            </w:tcBorders>
            <w:vAlign w:val="center"/>
          </w:tcPr>
          <w:p w14:paraId="0DC4B06D">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r>
      <w:tr w14:paraId="5E67E51F">
        <w:tblPrEx>
          <w:tblCellMar>
            <w:top w:w="0" w:type="dxa"/>
            <w:left w:w="108" w:type="dxa"/>
            <w:bottom w:w="0" w:type="dxa"/>
            <w:right w:w="108" w:type="dxa"/>
          </w:tblCellMar>
        </w:tblPrEx>
        <w:trPr>
          <w:trHeight w:val="285" w:hRule="atLeast"/>
          <w:jc w:val="center"/>
        </w:trPr>
        <w:tc>
          <w:tcPr>
            <w:tcW w:w="746" w:type="dxa"/>
            <w:tcBorders>
              <w:top w:val="nil"/>
              <w:left w:val="single" w:color="auto" w:sz="4" w:space="0"/>
              <w:bottom w:val="single" w:color="auto" w:sz="4" w:space="0"/>
              <w:right w:val="single" w:color="auto" w:sz="4" w:space="0"/>
            </w:tcBorders>
            <w:vAlign w:val="center"/>
          </w:tcPr>
          <w:p w14:paraId="55717502">
            <w:pPr>
              <w:spacing w:line="440" w:lineRule="atLeast"/>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747" w:type="dxa"/>
            <w:tcBorders>
              <w:top w:val="nil"/>
              <w:left w:val="nil"/>
              <w:bottom w:val="single" w:color="auto" w:sz="4" w:space="0"/>
              <w:right w:val="single" w:color="auto" w:sz="4" w:space="0"/>
            </w:tcBorders>
            <w:vAlign w:val="center"/>
          </w:tcPr>
          <w:p w14:paraId="13035ACA">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747" w:type="dxa"/>
            <w:tcBorders>
              <w:top w:val="nil"/>
              <w:left w:val="nil"/>
              <w:bottom w:val="single" w:color="auto" w:sz="4" w:space="0"/>
              <w:right w:val="single" w:color="auto" w:sz="4" w:space="0"/>
            </w:tcBorders>
            <w:vAlign w:val="center"/>
          </w:tcPr>
          <w:p w14:paraId="16529E8A">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1370" w:type="dxa"/>
            <w:tcBorders>
              <w:top w:val="nil"/>
              <w:left w:val="nil"/>
              <w:bottom w:val="single" w:color="auto" w:sz="4" w:space="0"/>
              <w:right w:val="single" w:color="auto" w:sz="4" w:space="0"/>
            </w:tcBorders>
            <w:vAlign w:val="center"/>
          </w:tcPr>
          <w:p w14:paraId="7068AE75">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2670" w:type="dxa"/>
            <w:gridSpan w:val="2"/>
            <w:tcBorders>
              <w:top w:val="nil"/>
              <w:left w:val="nil"/>
              <w:bottom w:val="single" w:color="auto" w:sz="4" w:space="0"/>
              <w:right w:val="single" w:color="auto" w:sz="4" w:space="0"/>
            </w:tcBorders>
            <w:vAlign w:val="center"/>
          </w:tcPr>
          <w:p w14:paraId="220DEA98">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976" w:type="dxa"/>
            <w:gridSpan w:val="2"/>
            <w:tcBorders>
              <w:top w:val="nil"/>
              <w:left w:val="nil"/>
              <w:bottom w:val="single" w:color="auto" w:sz="4" w:space="0"/>
              <w:right w:val="single" w:color="auto" w:sz="4" w:space="0"/>
            </w:tcBorders>
            <w:vAlign w:val="center"/>
          </w:tcPr>
          <w:p w14:paraId="5165AEB5">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976" w:type="dxa"/>
            <w:gridSpan w:val="2"/>
            <w:tcBorders>
              <w:top w:val="nil"/>
              <w:left w:val="nil"/>
              <w:bottom w:val="single" w:color="auto" w:sz="4" w:space="0"/>
              <w:right w:val="single" w:color="auto" w:sz="4" w:space="0"/>
            </w:tcBorders>
            <w:vAlign w:val="center"/>
          </w:tcPr>
          <w:p w14:paraId="11835334">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976" w:type="dxa"/>
            <w:gridSpan w:val="2"/>
            <w:tcBorders>
              <w:top w:val="nil"/>
              <w:left w:val="nil"/>
              <w:bottom w:val="single" w:color="auto" w:sz="4" w:space="0"/>
              <w:right w:val="single" w:color="auto" w:sz="4" w:space="0"/>
            </w:tcBorders>
            <w:vAlign w:val="center"/>
          </w:tcPr>
          <w:p w14:paraId="44A32361">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976" w:type="dxa"/>
            <w:gridSpan w:val="2"/>
            <w:tcBorders>
              <w:top w:val="nil"/>
              <w:left w:val="nil"/>
              <w:bottom w:val="single" w:color="auto" w:sz="4" w:space="0"/>
              <w:right w:val="single" w:color="auto" w:sz="4" w:space="0"/>
            </w:tcBorders>
            <w:vAlign w:val="center"/>
          </w:tcPr>
          <w:p w14:paraId="77754A54">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976" w:type="dxa"/>
            <w:gridSpan w:val="2"/>
            <w:tcBorders>
              <w:top w:val="nil"/>
              <w:left w:val="nil"/>
              <w:bottom w:val="single" w:color="auto" w:sz="4" w:space="0"/>
              <w:right w:val="single" w:color="auto" w:sz="4" w:space="0"/>
            </w:tcBorders>
            <w:vAlign w:val="center"/>
          </w:tcPr>
          <w:p w14:paraId="41AA4ADC">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976" w:type="dxa"/>
            <w:tcBorders>
              <w:top w:val="nil"/>
              <w:left w:val="nil"/>
              <w:bottom w:val="single" w:color="auto" w:sz="4" w:space="0"/>
              <w:right w:val="single" w:color="auto" w:sz="4" w:space="0"/>
            </w:tcBorders>
            <w:vAlign w:val="center"/>
          </w:tcPr>
          <w:p w14:paraId="763E3AF2">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976" w:type="dxa"/>
            <w:gridSpan w:val="2"/>
            <w:tcBorders>
              <w:top w:val="nil"/>
              <w:left w:val="nil"/>
              <w:bottom w:val="single" w:color="auto" w:sz="4" w:space="0"/>
              <w:right w:val="single" w:color="auto" w:sz="4" w:space="0"/>
            </w:tcBorders>
            <w:vAlign w:val="center"/>
          </w:tcPr>
          <w:p w14:paraId="0EAB2F4C">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977" w:type="dxa"/>
            <w:tcBorders>
              <w:top w:val="nil"/>
              <w:left w:val="nil"/>
              <w:bottom w:val="single" w:color="auto" w:sz="4" w:space="0"/>
              <w:right w:val="single" w:color="auto" w:sz="4" w:space="0"/>
            </w:tcBorders>
            <w:vAlign w:val="center"/>
          </w:tcPr>
          <w:p w14:paraId="38A45436">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r>
      <w:tr w14:paraId="7BC50216">
        <w:tblPrEx>
          <w:tblCellMar>
            <w:top w:w="0" w:type="dxa"/>
            <w:left w:w="108" w:type="dxa"/>
            <w:bottom w:w="0" w:type="dxa"/>
            <w:right w:w="108" w:type="dxa"/>
          </w:tblCellMar>
        </w:tblPrEx>
        <w:trPr>
          <w:trHeight w:val="285" w:hRule="atLeast"/>
          <w:jc w:val="center"/>
        </w:trPr>
        <w:tc>
          <w:tcPr>
            <w:tcW w:w="746" w:type="dxa"/>
            <w:tcBorders>
              <w:top w:val="nil"/>
              <w:left w:val="single" w:color="auto" w:sz="4" w:space="0"/>
              <w:bottom w:val="single" w:color="auto" w:sz="4" w:space="0"/>
              <w:right w:val="single" w:color="auto" w:sz="4" w:space="0"/>
            </w:tcBorders>
            <w:vAlign w:val="center"/>
          </w:tcPr>
          <w:p w14:paraId="2E39ECA1">
            <w:pPr>
              <w:spacing w:line="440" w:lineRule="atLeast"/>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747" w:type="dxa"/>
            <w:tcBorders>
              <w:top w:val="nil"/>
              <w:left w:val="nil"/>
              <w:bottom w:val="single" w:color="auto" w:sz="4" w:space="0"/>
              <w:right w:val="single" w:color="auto" w:sz="4" w:space="0"/>
            </w:tcBorders>
            <w:vAlign w:val="center"/>
          </w:tcPr>
          <w:p w14:paraId="67F13444">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747" w:type="dxa"/>
            <w:tcBorders>
              <w:top w:val="nil"/>
              <w:left w:val="nil"/>
              <w:bottom w:val="single" w:color="auto" w:sz="4" w:space="0"/>
              <w:right w:val="single" w:color="auto" w:sz="4" w:space="0"/>
            </w:tcBorders>
            <w:vAlign w:val="center"/>
          </w:tcPr>
          <w:p w14:paraId="4204AD27">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1370" w:type="dxa"/>
            <w:tcBorders>
              <w:top w:val="nil"/>
              <w:left w:val="nil"/>
              <w:bottom w:val="single" w:color="auto" w:sz="4" w:space="0"/>
              <w:right w:val="single" w:color="auto" w:sz="4" w:space="0"/>
            </w:tcBorders>
            <w:vAlign w:val="center"/>
          </w:tcPr>
          <w:p w14:paraId="5515EF74">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2670" w:type="dxa"/>
            <w:gridSpan w:val="2"/>
            <w:tcBorders>
              <w:top w:val="nil"/>
              <w:left w:val="nil"/>
              <w:bottom w:val="single" w:color="auto" w:sz="4" w:space="0"/>
              <w:right w:val="single" w:color="auto" w:sz="4" w:space="0"/>
            </w:tcBorders>
            <w:vAlign w:val="center"/>
          </w:tcPr>
          <w:p w14:paraId="78E41FC6">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976" w:type="dxa"/>
            <w:gridSpan w:val="2"/>
            <w:tcBorders>
              <w:top w:val="nil"/>
              <w:left w:val="nil"/>
              <w:bottom w:val="single" w:color="auto" w:sz="4" w:space="0"/>
              <w:right w:val="single" w:color="auto" w:sz="4" w:space="0"/>
            </w:tcBorders>
            <w:vAlign w:val="center"/>
          </w:tcPr>
          <w:p w14:paraId="6D8C15A3">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976" w:type="dxa"/>
            <w:gridSpan w:val="2"/>
            <w:tcBorders>
              <w:top w:val="nil"/>
              <w:left w:val="nil"/>
              <w:bottom w:val="single" w:color="auto" w:sz="4" w:space="0"/>
              <w:right w:val="single" w:color="auto" w:sz="4" w:space="0"/>
            </w:tcBorders>
            <w:vAlign w:val="center"/>
          </w:tcPr>
          <w:p w14:paraId="709335A2">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976" w:type="dxa"/>
            <w:gridSpan w:val="2"/>
            <w:tcBorders>
              <w:top w:val="nil"/>
              <w:left w:val="nil"/>
              <w:bottom w:val="single" w:color="auto" w:sz="4" w:space="0"/>
              <w:right w:val="single" w:color="auto" w:sz="4" w:space="0"/>
            </w:tcBorders>
            <w:vAlign w:val="center"/>
          </w:tcPr>
          <w:p w14:paraId="14A38152">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976" w:type="dxa"/>
            <w:gridSpan w:val="2"/>
            <w:tcBorders>
              <w:top w:val="nil"/>
              <w:left w:val="nil"/>
              <w:bottom w:val="single" w:color="auto" w:sz="4" w:space="0"/>
              <w:right w:val="single" w:color="auto" w:sz="4" w:space="0"/>
            </w:tcBorders>
            <w:vAlign w:val="center"/>
          </w:tcPr>
          <w:p w14:paraId="1039F928">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976" w:type="dxa"/>
            <w:gridSpan w:val="2"/>
            <w:tcBorders>
              <w:top w:val="nil"/>
              <w:left w:val="nil"/>
              <w:bottom w:val="single" w:color="auto" w:sz="4" w:space="0"/>
              <w:right w:val="single" w:color="auto" w:sz="4" w:space="0"/>
            </w:tcBorders>
            <w:vAlign w:val="center"/>
          </w:tcPr>
          <w:p w14:paraId="186F2B5B">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976" w:type="dxa"/>
            <w:tcBorders>
              <w:top w:val="nil"/>
              <w:left w:val="nil"/>
              <w:bottom w:val="single" w:color="auto" w:sz="4" w:space="0"/>
              <w:right w:val="single" w:color="auto" w:sz="4" w:space="0"/>
            </w:tcBorders>
            <w:vAlign w:val="center"/>
          </w:tcPr>
          <w:p w14:paraId="7A670419">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976" w:type="dxa"/>
            <w:gridSpan w:val="2"/>
            <w:tcBorders>
              <w:top w:val="nil"/>
              <w:left w:val="nil"/>
              <w:bottom w:val="single" w:color="auto" w:sz="4" w:space="0"/>
              <w:right w:val="single" w:color="auto" w:sz="4" w:space="0"/>
            </w:tcBorders>
            <w:vAlign w:val="center"/>
          </w:tcPr>
          <w:p w14:paraId="097FDF55">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977" w:type="dxa"/>
            <w:tcBorders>
              <w:top w:val="nil"/>
              <w:left w:val="nil"/>
              <w:bottom w:val="single" w:color="auto" w:sz="4" w:space="0"/>
              <w:right w:val="single" w:color="auto" w:sz="4" w:space="0"/>
            </w:tcBorders>
            <w:vAlign w:val="center"/>
          </w:tcPr>
          <w:p w14:paraId="65FEF968">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r>
      <w:tr w14:paraId="6D791E11">
        <w:tblPrEx>
          <w:tblCellMar>
            <w:top w:w="0" w:type="dxa"/>
            <w:left w:w="108" w:type="dxa"/>
            <w:bottom w:w="0" w:type="dxa"/>
            <w:right w:w="108" w:type="dxa"/>
          </w:tblCellMar>
        </w:tblPrEx>
        <w:trPr>
          <w:trHeight w:val="285" w:hRule="atLeast"/>
          <w:jc w:val="center"/>
        </w:trPr>
        <w:tc>
          <w:tcPr>
            <w:tcW w:w="746" w:type="dxa"/>
            <w:tcBorders>
              <w:top w:val="nil"/>
              <w:left w:val="single" w:color="auto" w:sz="4" w:space="0"/>
              <w:bottom w:val="single" w:color="auto" w:sz="4" w:space="0"/>
              <w:right w:val="single" w:color="auto" w:sz="4" w:space="0"/>
            </w:tcBorders>
            <w:vAlign w:val="center"/>
          </w:tcPr>
          <w:p w14:paraId="6F4858B7">
            <w:pPr>
              <w:spacing w:line="440" w:lineRule="atLeast"/>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747" w:type="dxa"/>
            <w:tcBorders>
              <w:top w:val="nil"/>
              <w:left w:val="nil"/>
              <w:bottom w:val="single" w:color="auto" w:sz="4" w:space="0"/>
              <w:right w:val="single" w:color="auto" w:sz="4" w:space="0"/>
            </w:tcBorders>
            <w:vAlign w:val="center"/>
          </w:tcPr>
          <w:p w14:paraId="2CF87A0A">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747" w:type="dxa"/>
            <w:tcBorders>
              <w:top w:val="nil"/>
              <w:left w:val="nil"/>
              <w:bottom w:val="single" w:color="auto" w:sz="4" w:space="0"/>
              <w:right w:val="single" w:color="auto" w:sz="4" w:space="0"/>
            </w:tcBorders>
            <w:vAlign w:val="center"/>
          </w:tcPr>
          <w:p w14:paraId="730044CB">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1370" w:type="dxa"/>
            <w:tcBorders>
              <w:top w:val="nil"/>
              <w:left w:val="nil"/>
              <w:bottom w:val="single" w:color="auto" w:sz="4" w:space="0"/>
              <w:right w:val="single" w:color="auto" w:sz="4" w:space="0"/>
            </w:tcBorders>
            <w:vAlign w:val="center"/>
          </w:tcPr>
          <w:p w14:paraId="40DD9FA6">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2670" w:type="dxa"/>
            <w:gridSpan w:val="2"/>
            <w:tcBorders>
              <w:top w:val="nil"/>
              <w:left w:val="nil"/>
              <w:bottom w:val="single" w:color="auto" w:sz="4" w:space="0"/>
              <w:right w:val="single" w:color="auto" w:sz="4" w:space="0"/>
            </w:tcBorders>
            <w:vAlign w:val="center"/>
          </w:tcPr>
          <w:p w14:paraId="15A0A0DE">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976" w:type="dxa"/>
            <w:gridSpan w:val="2"/>
            <w:tcBorders>
              <w:top w:val="nil"/>
              <w:left w:val="nil"/>
              <w:bottom w:val="single" w:color="auto" w:sz="4" w:space="0"/>
              <w:right w:val="single" w:color="auto" w:sz="4" w:space="0"/>
            </w:tcBorders>
            <w:vAlign w:val="center"/>
          </w:tcPr>
          <w:p w14:paraId="74AA477C">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976" w:type="dxa"/>
            <w:gridSpan w:val="2"/>
            <w:tcBorders>
              <w:top w:val="nil"/>
              <w:left w:val="nil"/>
              <w:bottom w:val="single" w:color="auto" w:sz="4" w:space="0"/>
              <w:right w:val="single" w:color="auto" w:sz="4" w:space="0"/>
            </w:tcBorders>
            <w:vAlign w:val="center"/>
          </w:tcPr>
          <w:p w14:paraId="6B3113AD">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976" w:type="dxa"/>
            <w:gridSpan w:val="2"/>
            <w:tcBorders>
              <w:top w:val="nil"/>
              <w:left w:val="nil"/>
              <w:bottom w:val="single" w:color="auto" w:sz="4" w:space="0"/>
              <w:right w:val="single" w:color="auto" w:sz="4" w:space="0"/>
            </w:tcBorders>
            <w:vAlign w:val="center"/>
          </w:tcPr>
          <w:p w14:paraId="046FC699">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976" w:type="dxa"/>
            <w:gridSpan w:val="2"/>
            <w:tcBorders>
              <w:top w:val="nil"/>
              <w:left w:val="nil"/>
              <w:bottom w:val="single" w:color="auto" w:sz="4" w:space="0"/>
              <w:right w:val="single" w:color="auto" w:sz="4" w:space="0"/>
            </w:tcBorders>
            <w:vAlign w:val="center"/>
          </w:tcPr>
          <w:p w14:paraId="63C68F7A">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976" w:type="dxa"/>
            <w:gridSpan w:val="2"/>
            <w:tcBorders>
              <w:top w:val="nil"/>
              <w:left w:val="nil"/>
              <w:bottom w:val="single" w:color="auto" w:sz="4" w:space="0"/>
              <w:right w:val="single" w:color="auto" w:sz="4" w:space="0"/>
            </w:tcBorders>
            <w:vAlign w:val="center"/>
          </w:tcPr>
          <w:p w14:paraId="21AE568A">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976" w:type="dxa"/>
            <w:tcBorders>
              <w:top w:val="nil"/>
              <w:left w:val="nil"/>
              <w:bottom w:val="single" w:color="auto" w:sz="4" w:space="0"/>
              <w:right w:val="single" w:color="auto" w:sz="4" w:space="0"/>
            </w:tcBorders>
            <w:vAlign w:val="center"/>
          </w:tcPr>
          <w:p w14:paraId="200F3945">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976" w:type="dxa"/>
            <w:gridSpan w:val="2"/>
            <w:tcBorders>
              <w:top w:val="nil"/>
              <w:left w:val="nil"/>
              <w:bottom w:val="single" w:color="auto" w:sz="4" w:space="0"/>
              <w:right w:val="single" w:color="auto" w:sz="4" w:space="0"/>
            </w:tcBorders>
            <w:vAlign w:val="center"/>
          </w:tcPr>
          <w:p w14:paraId="2301C669">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977" w:type="dxa"/>
            <w:tcBorders>
              <w:top w:val="nil"/>
              <w:left w:val="nil"/>
              <w:bottom w:val="single" w:color="auto" w:sz="4" w:space="0"/>
              <w:right w:val="single" w:color="auto" w:sz="4" w:space="0"/>
            </w:tcBorders>
            <w:vAlign w:val="center"/>
          </w:tcPr>
          <w:p w14:paraId="2E684715">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r>
      <w:tr w14:paraId="682C0B91">
        <w:tblPrEx>
          <w:tblCellMar>
            <w:top w:w="0" w:type="dxa"/>
            <w:left w:w="108" w:type="dxa"/>
            <w:bottom w:w="0" w:type="dxa"/>
            <w:right w:w="108" w:type="dxa"/>
          </w:tblCellMar>
        </w:tblPrEx>
        <w:trPr>
          <w:trHeight w:val="285" w:hRule="atLeast"/>
          <w:jc w:val="center"/>
        </w:trPr>
        <w:tc>
          <w:tcPr>
            <w:tcW w:w="746" w:type="dxa"/>
            <w:tcBorders>
              <w:top w:val="nil"/>
              <w:left w:val="single" w:color="auto" w:sz="4" w:space="0"/>
              <w:bottom w:val="single" w:color="auto" w:sz="4" w:space="0"/>
              <w:right w:val="single" w:color="auto" w:sz="4" w:space="0"/>
            </w:tcBorders>
            <w:vAlign w:val="center"/>
          </w:tcPr>
          <w:p w14:paraId="40D4EBB5">
            <w:pPr>
              <w:spacing w:line="440" w:lineRule="atLeast"/>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747" w:type="dxa"/>
            <w:tcBorders>
              <w:top w:val="nil"/>
              <w:left w:val="nil"/>
              <w:bottom w:val="single" w:color="auto" w:sz="4" w:space="0"/>
              <w:right w:val="single" w:color="auto" w:sz="4" w:space="0"/>
            </w:tcBorders>
            <w:vAlign w:val="center"/>
          </w:tcPr>
          <w:p w14:paraId="62BAA485">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747" w:type="dxa"/>
            <w:tcBorders>
              <w:top w:val="nil"/>
              <w:left w:val="nil"/>
              <w:bottom w:val="single" w:color="auto" w:sz="4" w:space="0"/>
              <w:right w:val="single" w:color="auto" w:sz="4" w:space="0"/>
            </w:tcBorders>
            <w:vAlign w:val="center"/>
          </w:tcPr>
          <w:p w14:paraId="550639F6">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1370" w:type="dxa"/>
            <w:tcBorders>
              <w:top w:val="nil"/>
              <w:left w:val="nil"/>
              <w:bottom w:val="single" w:color="auto" w:sz="4" w:space="0"/>
              <w:right w:val="single" w:color="auto" w:sz="4" w:space="0"/>
            </w:tcBorders>
            <w:vAlign w:val="center"/>
          </w:tcPr>
          <w:p w14:paraId="180A5DA4">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2670" w:type="dxa"/>
            <w:gridSpan w:val="2"/>
            <w:tcBorders>
              <w:top w:val="nil"/>
              <w:left w:val="nil"/>
              <w:bottom w:val="single" w:color="auto" w:sz="4" w:space="0"/>
              <w:right w:val="single" w:color="auto" w:sz="4" w:space="0"/>
            </w:tcBorders>
            <w:vAlign w:val="center"/>
          </w:tcPr>
          <w:p w14:paraId="1F543D83">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976" w:type="dxa"/>
            <w:gridSpan w:val="2"/>
            <w:tcBorders>
              <w:top w:val="nil"/>
              <w:left w:val="nil"/>
              <w:bottom w:val="single" w:color="auto" w:sz="4" w:space="0"/>
              <w:right w:val="single" w:color="auto" w:sz="4" w:space="0"/>
            </w:tcBorders>
            <w:vAlign w:val="center"/>
          </w:tcPr>
          <w:p w14:paraId="2F670D13">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976" w:type="dxa"/>
            <w:gridSpan w:val="2"/>
            <w:tcBorders>
              <w:top w:val="nil"/>
              <w:left w:val="nil"/>
              <w:bottom w:val="single" w:color="auto" w:sz="4" w:space="0"/>
              <w:right w:val="single" w:color="auto" w:sz="4" w:space="0"/>
            </w:tcBorders>
            <w:vAlign w:val="center"/>
          </w:tcPr>
          <w:p w14:paraId="1D3501BC">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976" w:type="dxa"/>
            <w:gridSpan w:val="2"/>
            <w:tcBorders>
              <w:top w:val="nil"/>
              <w:left w:val="nil"/>
              <w:bottom w:val="single" w:color="auto" w:sz="4" w:space="0"/>
              <w:right w:val="single" w:color="auto" w:sz="4" w:space="0"/>
            </w:tcBorders>
            <w:vAlign w:val="center"/>
          </w:tcPr>
          <w:p w14:paraId="553C4881">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976" w:type="dxa"/>
            <w:gridSpan w:val="2"/>
            <w:tcBorders>
              <w:top w:val="nil"/>
              <w:left w:val="nil"/>
              <w:bottom w:val="single" w:color="auto" w:sz="4" w:space="0"/>
              <w:right w:val="single" w:color="auto" w:sz="4" w:space="0"/>
            </w:tcBorders>
            <w:vAlign w:val="center"/>
          </w:tcPr>
          <w:p w14:paraId="144EF3A9">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976" w:type="dxa"/>
            <w:gridSpan w:val="2"/>
            <w:tcBorders>
              <w:top w:val="nil"/>
              <w:left w:val="nil"/>
              <w:bottom w:val="single" w:color="auto" w:sz="4" w:space="0"/>
              <w:right w:val="single" w:color="auto" w:sz="4" w:space="0"/>
            </w:tcBorders>
            <w:vAlign w:val="center"/>
          </w:tcPr>
          <w:p w14:paraId="5ACCB312">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976" w:type="dxa"/>
            <w:tcBorders>
              <w:top w:val="nil"/>
              <w:left w:val="nil"/>
              <w:bottom w:val="single" w:color="auto" w:sz="4" w:space="0"/>
              <w:right w:val="single" w:color="auto" w:sz="4" w:space="0"/>
            </w:tcBorders>
            <w:vAlign w:val="center"/>
          </w:tcPr>
          <w:p w14:paraId="5C4FDA18">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976" w:type="dxa"/>
            <w:gridSpan w:val="2"/>
            <w:tcBorders>
              <w:top w:val="nil"/>
              <w:left w:val="nil"/>
              <w:bottom w:val="single" w:color="auto" w:sz="4" w:space="0"/>
              <w:right w:val="single" w:color="auto" w:sz="4" w:space="0"/>
            </w:tcBorders>
            <w:vAlign w:val="center"/>
          </w:tcPr>
          <w:p w14:paraId="7D532A17">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977" w:type="dxa"/>
            <w:tcBorders>
              <w:top w:val="nil"/>
              <w:left w:val="nil"/>
              <w:bottom w:val="single" w:color="auto" w:sz="4" w:space="0"/>
              <w:right w:val="single" w:color="auto" w:sz="4" w:space="0"/>
            </w:tcBorders>
            <w:vAlign w:val="center"/>
          </w:tcPr>
          <w:p w14:paraId="23878F24">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r>
      <w:tr w14:paraId="766B4D00">
        <w:tblPrEx>
          <w:tblCellMar>
            <w:top w:w="0" w:type="dxa"/>
            <w:left w:w="108" w:type="dxa"/>
            <w:bottom w:w="0" w:type="dxa"/>
            <w:right w:w="108" w:type="dxa"/>
          </w:tblCellMar>
        </w:tblPrEx>
        <w:trPr>
          <w:trHeight w:val="285" w:hRule="atLeast"/>
          <w:jc w:val="center"/>
        </w:trPr>
        <w:tc>
          <w:tcPr>
            <w:tcW w:w="746" w:type="dxa"/>
            <w:tcBorders>
              <w:top w:val="nil"/>
              <w:left w:val="single" w:color="auto" w:sz="4" w:space="0"/>
              <w:bottom w:val="single" w:color="auto" w:sz="4" w:space="0"/>
              <w:right w:val="single" w:color="auto" w:sz="4" w:space="0"/>
            </w:tcBorders>
            <w:vAlign w:val="center"/>
          </w:tcPr>
          <w:p w14:paraId="062046B9">
            <w:pPr>
              <w:spacing w:line="440" w:lineRule="atLeast"/>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747" w:type="dxa"/>
            <w:tcBorders>
              <w:top w:val="nil"/>
              <w:left w:val="nil"/>
              <w:bottom w:val="single" w:color="auto" w:sz="4" w:space="0"/>
              <w:right w:val="single" w:color="auto" w:sz="4" w:space="0"/>
            </w:tcBorders>
            <w:vAlign w:val="center"/>
          </w:tcPr>
          <w:p w14:paraId="2233A0B4">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747" w:type="dxa"/>
            <w:tcBorders>
              <w:top w:val="nil"/>
              <w:left w:val="nil"/>
              <w:bottom w:val="single" w:color="auto" w:sz="4" w:space="0"/>
              <w:right w:val="single" w:color="auto" w:sz="4" w:space="0"/>
            </w:tcBorders>
            <w:vAlign w:val="center"/>
          </w:tcPr>
          <w:p w14:paraId="5881BFD1">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1370" w:type="dxa"/>
            <w:tcBorders>
              <w:top w:val="nil"/>
              <w:left w:val="nil"/>
              <w:bottom w:val="single" w:color="auto" w:sz="4" w:space="0"/>
              <w:right w:val="single" w:color="auto" w:sz="4" w:space="0"/>
            </w:tcBorders>
            <w:vAlign w:val="center"/>
          </w:tcPr>
          <w:p w14:paraId="1871A0E6">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2670" w:type="dxa"/>
            <w:gridSpan w:val="2"/>
            <w:tcBorders>
              <w:top w:val="nil"/>
              <w:left w:val="nil"/>
              <w:bottom w:val="single" w:color="auto" w:sz="4" w:space="0"/>
              <w:right w:val="single" w:color="auto" w:sz="4" w:space="0"/>
            </w:tcBorders>
            <w:vAlign w:val="center"/>
          </w:tcPr>
          <w:p w14:paraId="1E3E63F8">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976" w:type="dxa"/>
            <w:gridSpan w:val="2"/>
            <w:tcBorders>
              <w:top w:val="nil"/>
              <w:left w:val="nil"/>
              <w:bottom w:val="single" w:color="auto" w:sz="4" w:space="0"/>
              <w:right w:val="single" w:color="auto" w:sz="4" w:space="0"/>
            </w:tcBorders>
            <w:vAlign w:val="center"/>
          </w:tcPr>
          <w:p w14:paraId="132288C2">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976" w:type="dxa"/>
            <w:gridSpan w:val="2"/>
            <w:tcBorders>
              <w:top w:val="nil"/>
              <w:left w:val="nil"/>
              <w:bottom w:val="single" w:color="auto" w:sz="4" w:space="0"/>
              <w:right w:val="single" w:color="auto" w:sz="4" w:space="0"/>
            </w:tcBorders>
            <w:vAlign w:val="center"/>
          </w:tcPr>
          <w:p w14:paraId="708E1F7F">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976" w:type="dxa"/>
            <w:gridSpan w:val="2"/>
            <w:tcBorders>
              <w:top w:val="nil"/>
              <w:left w:val="nil"/>
              <w:bottom w:val="single" w:color="auto" w:sz="4" w:space="0"/>
              <w:right w:val="single" w:color="auto" w:sz="4" w:space="0"/>
            </w:tcBorders>
            <w:vAlign w:val="center"/>
          </w:tcPr>
          <w:p w14:paraId="49917DA7">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976" w:type="dxa"/>
            <w:gridSpan w:val="2"/>
            <w:tcBorders>
              <w:top w:val="nil"/>
              <w:left w:val="nil"/>
              <w:bottom w:val="single" w:color="auto" w:sz="4" w:space="0"/>
              <w:right w:val="single" w:color="auto" w:sz="4" w:space="0"/>
            </w:tcBorders>
            <w:vAlign w:val="center"/>
          </w:tcPr>
          <w:p w14:paraId="79334B72">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976" w:type="dxa"/>
            <w:gridSpan w:val="2"/>
            <w:tcBorders>
              <w:top w:val="nil"/>
              <w:left w:val="nil"/>
              <w:bottom w:val="single" w:color="auto" w:sz="4" w:space="0"/>
              <w:right w:val="single" w:color="auto" w:sz="4" w:space="0"/>
            </w:tcBorders>
            <w:vAlign w:val="center"/>
          </w:tcPr>
          <w:p w14:paraId="4D14305C">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976" w:type="dxa"/>
            <w:tcBorders>
              <w:top w:val="nil"/>
              <w:left w:val="nil"/>
              <w:bottom w:val="single" w:color="auto" w:sz="4" w:space="0"/>
              <w:right w:val="single" w:color="auto" w:sz="4" w:space="0"/>
            </w:tcBorders>
            <w:vAlign w:val="center"/>
          </w:tcPr>
          <w:p w14:paraId="636FA74C">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976" w:type="dxa"/>
            <w:gridSpan w:val="2"/>
            <w:tcBorders>
              <w:top w:val="nil"/>
              <w:left w:val="nil"/>
              <w:bottom w:val="single" w:color="auto" w:sz="4" w:space="0"/>
              <w:right w:val="single" w:color="auto" w:sz="4" w:space="0"/>
            </w:tcBorders>
            <w:vAlign w:val="center"/>
          </w:tcPr>
          <w:p w14:paraId="4FE32ED8">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977" w:type="dxa"/>
            <w:tcBorders>
              <w:top w:val="nil"/>
              <w:left w:val="nil"/>
              <w:bottom w:val="single" w:color="auto" w:sz="4" w:space="0"/>
              <w:right w:val="single" w:color="auto" w:sz="4" w:space="0"/>
            </w:tcBorders>
            <w:vAlign w:val="center"/>
          </w:tcPr>
          <w:p w14:paraId="3CEA901A">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r>
      <w:tr w14:paraId="1B188802">
        <w:tblPrEx>
          <w:tblCellMar>
            <w:top w:w="0" w:type="dxa"/>
            <w:left w:w="108" w:type="dxa"/>
            <w:bottom w:w="0" w:type="dxa"/>
            <w:right w:w="108" w:type="dxa"/>
          </w:tblCellMar>
        </w:tblPrEx>
        <w:trPr>
          <w:trHeight w:val="285" w:hRule="atLeast"/>
          <w:jc w:val="center"/>
        </w:trPr>
        <w:tc>
          <w:tcPr>
            <w:tcW w:w="746" w:type="dxa"/>
            <w:tcBorders>
              <w:top w:val="nil"/>
              <w:left w:val="single" w:color="auto" w:sz="4" w:space="0"/>
              <w:bottom w:val="single" w:color="auto" w:sz="4" w:space="0"/>
              <w:right w:val="single" w:color="auto" w:sz="4" w:space="0"/>
            </w:tcBorders>
            <w:vAlign w:val="center"/>
          </w:tcPr>
          <w:p w14:paraId="2BEBA579">
            <w:pPr>
              <w:spacing w:line="440" w:lineRule="atLeast"/>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747" w:type="dxa"/>
            <w:tcBorders>
              <w:top w:val="nil"/>
              <w:left w:val="nil"/>
              <w:bottom w:val="single" w:color="auto" w:sz="4" w:space="0"/>
              <w:right w:val="single" w:color="auto" w:sz="4" w:space="0"/>
            </w:tcBorders>
            <w:vAlign w:val="center"/>
          </w:tcPr>
          <w:p w14:paraId="39B40B54">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747" w:type="dxa"/>
            <w:tcBorders>
              <w:top w:val="nil"/>
              <w:left w:val="nil"/>
              <w:bottom w:val="single" w:color="auto" w:sz="4" w:space="0"/>
              <w:right w:val="single" w:color="auto" w:sz="4" w:space="0"/>
            </w:tcBorders>
            <w:vAlign w:val="center"/>
          </w:tcPr>
          <w:p w14:paraId="034215F9">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1370" w:type="dxa"/>
            <w:tcBorders>
              <w:top w:val="nil"/>
              <w:left w:val="nil"/>
              <w:bottom w:val="single" w:color="auto" w:sz="4" w:space="0"/>
              <w:right w:val="single" w:color="auto" w:sz="4" w:space="0"/>
            </w:tcBorders>
            <w:vAlign w:val="center"/>
          </w:tcPr>
          <w:p w14:paraId="76561C58">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2670" w:type="dxa"/>
            <w:gridSpan w:val="2"/>
            <w:tcBorders>
              <w:top w:val="nil"/>
              <w:left w:val="nil"/>
              <w:bottom w:val="single" w:color="auto" w:sz="4" w:space="0"/>
              <w:right w:val="single" w:color="auto" w:sz="4" w:space="0"/>
            </w:tcBorders>
            <w:vAlign w:val="center"/>
          </w:tcPr>
          <w:p w14:paraId="72761855">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976" w:type="dxa"/>
            <w:gridSpan w:val="2"/>
            <w:tcBorders>
              <w:top w:val="nil"/>
              <w:left w:val="nil"/>
              <w:bottom w:val="single" w:color="auto" w:sz="4" w:space="0"/>
              <w:right w:val="single" w:color="auto" w:sz="4" w:space="0"/>
            </w:tcBorders>
            <w:vAlign w:val="center"/>
          </w:tcPr>
          <w:p w14:paraId="6FA2D6D4">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976" w:type="dxa"/>
            <w:gridSpan w:val="2"/>
            <w:tcBorders>
              <w:top w:val="nil"/>
              <w:left w:val="nil"/>
              <w:bottom w:val="single" w:color="auto" w:sz="4" w:space="0"/>
              <w:right w:val="single" w:color="auto" w:sz="4" w:space="0"/>
            </w:tcBorders>
            <w:vAlign w:val="center"/>
          </w:tcPr>
          <w:p w14:paraId="6CEC0D33">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976" w:type="dxa"/>
            <w:gridSpan w:val="2"/>
            <w:tcBorders>
              <w:top w:val="nil"/>
              <w:left w:val="nil"/>
              <w:bottom w:val="single" w:color="auto" w:sz="4" w:space="0"/>
              <w:right w:val="single" w:color="auto" w:sz="4" w:space="0"/>
            </w:tcBorders>
            <w:vAlign w:val="center"/>
          </w:tcPr>
          <w:p w14:paraId="7EDEDD75">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976" w:type="dxa"/>
            <w:gridSpan w:val="2"/>
            <w:tcBorders>
              <w:top w:val="nil"/>
              <w:left w:val="nil"/>
              <w:bottom w:val="single" w:color="auto" w:sz="4" w:space="0"/>
              <w:right w:val="single" w:color="auto" w:sz="4" w:space="0"/>
            </w:tcBorders>
            <w:vAlign w:val="center"/>
          </w:tcPr>
          <w:p w14:paraId="13BD8B6B">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976" w:type="dxa"/>
            <w:gridSpan w:val="2"/>
            <w:tcBorders>
              <w:top w:val="nil"/>
              <w:left w:val="nil"/>
              <w:bottom w:val="single" w:color="auto" w:sz="4" w:space="0"/>
              <w:right w:val="single" w:color="auto" w:sz="4" w:space="0"/>
            </w:tcBorders>
            <w:vAlign w:val="center"/>
          </w:tcPr>
          <w:p w14:paraId="7D30229A">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976" w:type="dxa"/>
            <w:tcBorders>
              <w:top w:val="nil"/>
              <w:left w:val="nil"/>
              <w:bottom w:val="single" w:color="auto" w:sz="4" w:space="0"/>
              <w:right w:val="single" w:color="auto" w:sz="4" w:space="0"/>
            </w:tcBorders>
            <w:vAlign w:val="center"/>
          </w:tcPr>
          <w:p w14:paraId="7BFC2892">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976" w:type="dxa"/>
            <w:gridSpan w:val="2"/>
            <w:tcBorders>
              <w:top w:val="nil"/>
              <w:left w:val="nil"/>
              <w:bottom w:val="single" w:color="auto" w:sz="4" w:space="0"/>
              <w:right w:val="single" w:color="auto" w:sz="4" w:space="0"/>
            </w:tcBorders>
            <w:vAlign w:val="center"/>
          </w:tcPr>
          <w:p w14:paraId="31A6C4D0">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977" w:type="dxa"/>
            <w:tcBorders>
              <w:top w:val="nil"/>
              <w:left w:val="nil"/>
              <w:bottom w:val="single" w:color="auto" w:sz="4" w:space="0"/>
              <w:right w:val="single" w:color="auto" w:sz="4" w:space="0"/>
            </w:tcBorders>
            <w:vAlign w:val="center"/>
          </w:tcPr>
          <w:p w14:paraId="53DB63E1">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r>
      <w:tr w14:paraId="53A0B4FC">
        <w:tblPrEx>
          <w:tblCellMar>
            <w:top w:w="0" w:type="dxa"/>
            <w:left w:w="108" w:type="dxa"/>
            <w:bottom w:w="0" w:type="dxa"/>
            <w:right w:w="108" w:type="dxa"/>
          </w:tblCellMar>
        </w:tblPrEx>
        <w:trPr>
          <w:trHeight w:val="285" w:hRule="atLeast"/>
          <w:jc w:val="center"/>
        </w:trPr>
        <w:tc>
          <w:tcPr>
            <w:tcW w:w="746" w:type="dxa"/>
            <w:tcBorders>
              <w:top w:val="nil"/>
              <w:left w:val="single" w:color="auto" w:sz="4" w:space="0"/>
              <w:bottom w:val="single" w:color="auto" w:sz="4" w:space="0"/>
              <w:right w:val="single" w:color="auto" w:sz="4" w:space="0"/>
            </w:tcBorders>
            <w:vAlign w:val="center"/>
          </w:tcPr>
          <w:p w14:paraId="43F84239">
            <w:pPr>
              <w:spacing w:line="440" w:lineRule="atLeast"/>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747" w:type="dxa"/>
            <w:tcBorders>
              <w:top w:val="nil"/>
              <w:left w:val="nil"/>
              <w:bottom w:val="single" w:color="auto" w:sz="4" w:space="0"/>
              <w:right w:val="single" w:color="auto" w:sz="4" w:space="0"/>
            </w:tcBorders>
            <w:vAlign w:val="center"/>
          </w:tcPr>
          <w:p w14:paraId="77B628E9">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747" w:type="dxa"/>
            <w:tcBorders>
              <w:top w:val="nil"/>
              <w:left w:val="nil"/>
              <w:bottom w:val="single" w:color="auto" w:sz="4" w:space="0"/>
              <w:right w:val="single" w:color="auto" w:sz="4" w:space="0"/>
            </w:tcBorders>
            <w:vAlign w:val="center"/>
          </w:tcPr>
          <w:p w14:paraId="638FED93">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1370" w:type="dxa"/>
            <w:tcBorders>
              <w:top w:val="nil"/>
              <w:left w:val="nil"/>
              <w:bottom w:val="single" w:color="auto" w:sz="4" w:space="0"/>
              <w:right w:val="single" w:color="auto" w:sz="4" w:space="0"/>
            </w:tcBorders>
            <w:vAlign w:val="center"/>
          </w:tcPr>
          <w:p w14:paraId="114D3A24">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2670" w:type="dxa"/>
            <w:gridSpan w:val="2"/>
            <w:tcBorders>
              <w:top w:val="nil"/>
              <w:left w:val="nil"/>
              <w:bottom w:val="single" w:color="auto" w:sz="4" w:space="0"/>
              <w:right w:val="single" w:color="auto" w:sz="4" w:space="0"/>
            </w:tcBorders>
            <w:vAlign w:val="center"/>
          </w:tcPr>
          <w:p w14:paraId="2593C4F6">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976" w:type="dxa"/>
            <w:gridSpan w:val="2"/>
            <w:tcBorders>
              <w:top w:val="nil"/>
              <w:left w:val="nil"/>
              <w:bottom w:val="single" w:color="auto" w:sz="4" w:space="0"/>
              <w:right w:val="single" w:color="auto" w:sz="4" w:space="0"/>
            </w:tcBorders>
            <w:vAlign w:val="center"/>
          </w:tcPr>
          <w:p w14:paraId="41731022">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976" w:type="dxa"/>
            <w:gridSpan w:val="2"/>
            <w:tcBorders>
              <w:top w:val="nil"/>
              <w:left w:val="nil"/>
              <w:bottom w:val="single" w:color="auto" w:sz="4" w:space="0"/>
              <w:right w:val="single" w:color="auto" w:sz="4" w:space="0"/>
            </w:tcBorders>
            <w:vAlign w:val="center"/>
          </w:tcPr>
          <w:p w14:paraId="34B62B7D">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976" w:type="dxa"/>
            <w:gridSpan w:val="2"/>
            <w:tcBorders>
              <w:top w:val="nil"/>
              <w:left w:val="nil"/>
              <w:bottom w:val="single" w:color="auto" w:sz="4" w:space="0"/>
              <w:right w:val="single" w:color="auto" w:sz="4" w:space="0"/>
            </w:tcBorders>
            <w:vAlign w:val="center"/>
          </w:tcPr>
          <w:p w14:paraId="37350561">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976" w:type="dxa"/>
            <w:gridSpan w:val="2"/>
            <w:tcBorders>
              <w:top w:val="nil"/>
              <w:left w:val="nil"/>
              <w:bottom w:val="single" w:color="auto" w:sz="4" w:space="0"/>
              <w:right w:val="single" w:color="auto" w:sz="4" w:space="0"/>
            </w:tcBorders>
            <w:vAlign w:val="center"/>
          </w:tcPr>
          <w:p w14:paraId="5E0F30BD">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976" w:type="dxa"/>
            <w:gridSpan w:val="2"/>
            <w:tcBorders>
              <w:top w:val="nil"/>
              <w:left w:val="nil"/>
              <w:bottom w:val="single" w:color="auto" w:sz="4" w:space="0"/>
              <w:right w:val="single" w:color="auto" w:sz="4" w:space="0"/>
            </w:tcBorders>
            <w:vAlign w:val="center"/>
          </w:tcPr>
          <w:p w14:paraId="078B9C22">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976" w:type="dxa"/>
            <w:tcBorders>
              <w:top w:val="nil"/>
              <w:left w:val="nil"/>
              <w:bottom w:val="single" w:color="auto" w:sz="4" w:space="0"/>
              <w:right w:val="single" w:color="auto" w:sz="4" w:space="0"/>
            </w:tcBorders>
            <w:vAlign w:val="center"/>
          </w:tcPr>
          <w:p w14:paraId="186BEBE0">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976" w:type="dxa"/>
            <w:gridSpan w:val="2"/>
            <w:tcBorders>
              <w:top w:val="nil"/>
              <w:left w:val="nil"/>
              <w:bottom w:val="single" w:color="auto" w:sz="4" w:space="0"/>
              <w:right w:val="single" w:color="auto" w:sz="4" w:space="0"/>
            </w:tcBorders>
            <w:vAlign w:val="center"/>
          </w:tcPr>
          <w:p w14:paraId="3ED1BB44">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977" w:type="dxa"/>
            <w:tcBorders>
              <w:top w:val="nil"/>
              <w:left w:val="nil"/>
              <w:bottom w:val="single" w:color="auto" w:sz="4" w:space="0"/>
              <w:right w:val="single" w:color="auto" w:sz="4" w:space="0"/>
            </w:tcBorders>
            <w:vAlign w:val="center"/>
          </w:tcPr>
          <w:p w14:paraId="4C6C588B">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r>
      <w:tr w14:paraId="04F731AE">
        <w:tblPrEx>
          <w:tblCellMar>
            <w:top w:w="0" w:type="dxa"/>
            <w:left w:w="108" w:type="dxa"/>
            <w:bottom w:w="0" w:type="dxa"/>
            <w:right w:w="108" w:type="dxa"/>
          </w:tblCellMar>
        </w:tblPrEx>
        <w:trPr>
          <w:trHeight w:val="285" w:hRule="atLeast"/>
          <w:jc w:val="center"/>
        </w:trPr>
        <w:tc>
          <w:tcPr>
            <w:tcW w:w="746" w:type="dxa"/>
            <w:tcBorders>
              <w:top w:val="nil"/>
              <w:left w:val="single" w:color="auto" w:sz="4" w:space="0"/>
              <w:bottom w:val="single" w:color="auto" w:sz="4" w:space="0"/>
              <w:right w:val="single" w:color="auto" w:sz="4" w:space="0"/>
            </w:tcBorders>
            <w:vAlign w:val="center"/>
          </w:tcPr>
          <w:p w14:paraId="6BE13BAF">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747" w:type="dxa"/>
            <w:tcBorders>
              <w:top w:val="nil"/>
              <w:left w:val="nil"/>
              <w:bottom w:val="single" w:color="auto" w:sz="4" w:space="0"/>
              <w:right w:val="single" w:color="auto" w:sz="4" w:space="0"/>
            </w:tcBorders>
            <w:vAlign w:val="center"/>
          </w:tcPr>
          <w:p w14:paraId="5F781E49">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747" w:type="dxa"/>
            <w:tcBorders>
              <w:top w:val="nil"/>
              <w:left w:val="nil"/>
              <w:bottom w:val="single" w:color="auto" w:sz="4" w:space="0"/>
              <w:right w:val="single" w:color="auto" w:sz="4" w:space="0"/>
            </w:tcBorders>
            <w:vAlign w:val="center"/>
          </w:tcPr>
          <w:p w14:paraId="5DCA133B">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1370" w:type="dxa"/>
            <w:tcBorders>
              <w:top w:val="nil"/>
              <w:left w:val="nil"/>
              <w:bottom w:val="single" w:color="auto" w:sz="4" w:space="0"/>
              <w:right w:val="single" w:color="auto" w:sz="4" w:space="0"/>
            </w:tcBorders>
            <w:vAlign w:val="center"/>
          </w:tcPr>
          <w:p w14:paraId="35DBF193">
            <w:pPr>
              <w:spacing w:line="440" w:lineRule="atLeast"/>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2670" w:type="dxa"/>
            <w:gridSpan w:val="2"/>
            <w:tcBorders>
              <w:top w:val="nil"/>
              <w:left w:val="nil"/>
              <w:bottom w:val="single" w:color="auto" w:sz="4" w:space="0"/>
              <w:right w:val="single" w:color="auto" w:sz="4" w:space="0"/>
            </w:tcBorders>
            <w:vAlign w:val="center"/>
          </w:tcPr>
          <w:p w14:paraId="28D99EF1">
            <w:pPr>
              <w:spacing w:line="440" w:lineRule="atLeast"/>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976" w:type="dxa"/>
            <w:gridSpan w:val="2"/>
            <w:tcBorders>
              <w:top w:val="nil"/>
              <w:left w:val="nil"/>
              <w:bottom w:val="single" w:color="auto" w:sz="4" w:space="0"/>
              <w:right w:val="single" w:color="auto" w:sz="4" w:space="0"/>
            </w:tcBorders>
            <w:vAlign w:val="center"/>
          </w:tcPr>
          <w:p w14:paraId="20D75FB6">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976" w:type="dxa"/>
            <w:gridSpan w:val="2"/>
            <w:tcBorders>
              <w:top w:val="nil"/>
              <w:left w:val="nil"/>
              <w:bottom w:val="single" w:color="auto" w:sz="4" w:space="0"/>
              <w:right w:val="single" w:color="auto" w:sz="4" w:space="0"/>
            </w:tcBorders>
            <w:vAlign w:val="center"/>
          </w:tcPr>
          <w:p w14:paraId="1D9473B8">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976" w:type="dxa"/>
            <w:gridSpan w:val="2"/>
            <w:tcBorders>
              <w:top w:val="nil"/>
              <w:left w:val="nil"/>
              <w:bottom w:val="single" w:color="auto" w:sz="4" w:space="0"/>
              <w:right w:val="single" w:color="auto" w:sz="4" w:space="0"/>
            </w:tcBorders>
            <w:vAlign w:val="center"/>
          </w:tcPr>
          <w:p w14:paraId="3BE633B2">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976" w:type="dxa"/>
            <w:gridSpan w:val="2"/>
            <w:tcBorders>
              <w:top w:val="nil"/>
              <w:left w:val="nil"/>
              <w:bottom w:val="single" w:color="auto" w:sz="4" w:space="0"/>
              <w:right w:val="single" w:color="auto" w:sz="4" w:space="0"/>
            </w:tcBorders>
            <w:vAlign w:val="center"/>
          </w:tcPr>
          <w:p w14:paraId="534A6426">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976" w:type="dxa"/>
            <w:gridSpan w:val="2"/>
            <w:tcBorders>
              <w:top w:val="nil"/>
              <w:left w:val="nil"/>
              <w:bottom w:val="single" w:color="auto" w:sz="4" w:space="0"/>
              <w:right w:val="single" w:color="auto" w:sz="4" w:space="0"/>
            </w:tcBorders>
            <w:vAlign w:val="center"/>
          </w:tcPr>
          <w:p w14:paraId="52DF1A58">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976" w:type="dxa"/>
            <w:tcBorders>
              <w:top w:val="nil"/>
              <w:left w:val="nil"/>
              <w:bottom w:val="single" w:color="auto" w:sz="4" w:space="0"/>
              <w:right w:val="single" w:color="auto" w:sz="4" w:space="0"/>
            </w:tcBorders>
            <w:vAlign w:val="center"/>
          </w:tcPr>
          <w:p w14:paraId="01D6F17A">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976" w:type="dxa"/>
            <w:gridSpan w:val="2"/>
            <w:tcBorders>
              <w:top w:val="nil"/>
              <w:left w:val="nil"/>
              <w:bottom w:val="single" w:color="auto" w:sz="4" w:space="0"/>
              <w:right w:val="single" w:color="auto" w:sz="4" w:space="0"/>
            </w:tcBorders>
            <w:vAlign w:val="center"/>
          </w:tcPr>
          <w:p w14:paraId="359F52F5">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c>
          <w:tcPr>
            <w:tcW w:w="977" w:type="dxa"/>
            <w:tcBorders>
              <w:top w:val="nil"/>
              <w:left w:val="nil"/>
              <w:bottom w:val="single" w:color="auto" w:sz="4" w:space="0"/>
              <w:right w:val="single" w:color="auto" w:sz="4" w:space="0"/>
            </w:tcBorders>
            <w:vAlign w:val="center"/>
          </w:tcPr>
          <w:p w14:paraId="54690941">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　</w:t>
            </w:r>
          </w:p>
        </w:tc>
      </w:tr>
      <w:tr w14:paraId="1C5252E4">
        <w:tblPrEx>
          <w:tblCellMar>
            <w:top w:w="0" w:type="dxa"/>
            <w:left w:w="108" w:type="dxa"/>
            <w:bottom w:w="0" w:type="dxa"/>
            <w:right w:w="108" w:type="dxa"/>
          </w:tblCellMar>
        </w:tblPrEx>
        <w:trPr>
          <w:gridAfter w:val="2"/>
          <w:wAfter w:w="1934" w:type="dxa"/>
          <w:trHeight w:val="333" w:hRule="atLeast"/>
          <w:jc w:val="center"/>
        </w:trPr>
        <w:tc>
          <w:tcPr>
            <w:tcW w:w="2240" w:type="dxa"/>
            <w:gridSpan w:val="3"/>
            <w:tcBorders>
              <w:top w:val="nil"/>
              <w:left w:val="nil"/>
              <w:bottom w:val="nil"/>
              <w:right w:val="nil"/>
            </w:tcBorders>
            <w:vAlign w:val="center"/>
          </w:tcPr>
          <w:p w14:paraId="03FF0C19">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填报单位盖章：</w:t>
            </w:r>
          </w:p>
        </w:tc>
        <w:tc>
          <w:tcPr>
            <w:tcW w:w="1370" w:type="dxa"/>
            <w:tcBorders>
              <w:top w:val="nil"/>
              <w:left w:val="nil"/>
              <w:bottom w:val="nil"/>
              <w:right w:val="nil"/>
            </w:tcBorders>
            <w:vAlign w:val="center"/>
          </w:tcPr>
          <w:p w14:paraId="1330E2C8">
            <w:pPr>
              <w:spacing w:line="440" w:lineRule="atLeast"/>
              <w:jc w:val="left"/>
              <w:rPr>
                <w:rFonts w:ascii="仿宋_GB2312" w:hAnsi="宋体" w:eastAsia="仿宋_GB2312" w:cs="宋体"/>
                <w:kern w:val="0"/>
                <w:sz w:val="24"/>
              </w:rPr>
            </w:pPr>
          </w:p>
        </w:tc>
        <w:tc>
          <w:tcPr>
            <w:tcW w:w="1965" w:type="dxa"/>
            <w:tcBorders>
              <w:top w:val="nil"/>
              <w:left w:val="nil"/>
              <w:bottom w:val="nil"/>
              <w:right w:val="nil"/>
            </w:tcBorders>
            <w:vAlign w:val="center"/>
          </w:tcPr>
          <w:p w14:paraId="24D6B658">
            <w:pPr>
              <w:spacing w:line="440" w:lineRule="atLeast"/>
              <w:jc w:val="left"/>
              <w:rPr>
                <w:rFonts w:ascii="仿宋_GB2312" w:hAnsi="宋体" w:eastAsia="仿宋_GB2312" w:cs="宋体"/>
                <w:kern w:val="0"/>
                <w:sz w:val="24"/>
              </w:rPr>
            </w:pPr>
          </w:p>
        </w:tc>
        <w:tc>
          <w:tcPr>
            <w:tcW w:w="1443" w:type="dxa"/>
            <w:gridSpan w:val="2"/>
            <w:tcBorders>
              <w:top w:val="nil"/>
              <w:left w:val="nil"/>
              <w:bottom w:val="nil"/>
              <w:right w:val="nil"/>
            </w:tcBorders>
            <w:vAlign w:val="center"/>
          </w:tcPr>
          <w:p w14:paraId="7FD43896">
            <w:pPr>
              <w:spacing w:line="440" w:lineRule="atLeast"/>
              <w:jc w:val="left"/>
              <w:rPr>
                <w:rFonts w:ascii="仿宋_GB2312" w:hAnsi="宋体" w:eastAsia="仿宋_GB2312" w:cs="宋体"/>
                <w:kern w:val="0"/>
                <w:sz w:val="24"/>
              </w:rPr>
            </w:pPr>
          </w:p>
        </w:tc>
        <w:tc>
          <w:tcPr>
            <w:tcW w:w="1027" w:type="dxa"/>
            <w:gridSpan w:val="2"/>
            <w:tcBorders>
              <w:top w:val="nil"/>
              <w:left w:val="nil"/>
              <w:bottom w:val="nil"/>
              <w:right w:val="nil"/>
            </w:tcBorders>
            <w:vAlign w:val="center"/>
          </w:tcPr>
          <w:p w14:paraId="1152FAC1">
            <w:pPr>
              <w:spacing w:line="440" w:lineRule="atLeast"/>
              <w:jc w:val="left"/>
              <w:rPr>
                <w:rFonts w:ascii="仿宋_GB2312" w:hAnsi="宋体" w:eastAsia="仿宋_GB2312" w:cs="宋体"/>
                <w:kern w:val="0"/>
                <w:sz w:val="24"/>
              </w:rPr>
            </w:pPr>
          </w:p>
        </w:tc>
        <w:tc>
          <w:tcPr>
            <w:tcW w:w="1027" w:type="dxa"/>
            <w:gridSpan w:val="2"/>
            <w:tcBorders>
              <w:top w:val="nil"/>
              <w:left w:val="nil"/>
              <w:bottom w:val="nil"/>
              <w:right w:val="nil"/>
            </w:tcBorders>
            <w:vAlign w:val="center"/>
          </w:tcPr>
          <w:p w14:paraId="14340E93">
            <w:pPr>
              <w:spacing w:line="440" w:lineRule="atLeast"/>
              <w:jc w:val="left"/>
              <w:rPr>
                <w:rFonts w:ascii="仿宋_GB2312" w:hAnsi="宋体" w:eastAsia="仿宋_GB2312" w:cs="宋体"/>
                <w:kern w:val="0"/>
                <w:sz w:val="24"/>
              </w:rPr>
            </w:pPr>
          </w:p>
        </w:tc>
        <w:tc>
          <w:tcPr>
            <w:tcW w:w="2055" w:type="dxa"/>
            <w:gridSpan w:val="4"/>
            <w:tcBorders>
              <w:top w:val="nil"/>
              <w:left w:val="nil"/>
              <w:bottom w:val="nil"/>
              <w:right w:val="nil"/>
            </w:tcBorders>
            <w:vAlign w:val="center"/>
          </w:tcPr>
          <w:p w14:paraId="754779E0">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填表时间：</w:t>
            </w:r>
          </w:p>
        </w:tc>
        <w:tc>
          <w:tcPr>
            <w:tcW w:w="1028" w:type="dxa"/>
            <w:gridSpan w:val="3"/>
            <w:tcBorders>
              <w:top w:val="nil"/>
              <w:left w:val="nil"/>
              <w:bottom w:val="nil"/>
              <w:right w:val="nil"/>
            </w:tcBorders>
            <w:vAlign w:val="center"/>
          </w:tcPr>
          <w:p w14:paraId="0EFD1EF6">
            <w:pPr>
              <w:spacing w:line="440" w:lineRule="atLeast"/>
              <w:jc w:val="left"/>
              <w:rPr>
                <w:rFonts w:ascii="仿宋_GB2312" w:hAnsi="宋体" w:eastAsia="仿宋_GB2312" w:cs="宋体"/>
                <w:kern w:val="0"/>
                <w:sz w:val="24"/>
              </w:rPr>
            </w:pPr>
          </w:p>
        </w:tc>
      </w:tr>
      <w:tr w14:paraId="1B55DAA4">
        <w:tblPrEx>
          <w:tblCellMar>
            <w:top w:w="0" w:type="dxa"/>
            <w:left w:w="108" w:type="dxa"/>
            <w:bottom w:w="0" w:type="dxa"/>
            <w:right w:w="108" w:type="dxa"/>
          </w:tblCellMar>
        </w:tblPrEx>
        <w:trPr>
          <w:gridAfter w:val="2"/>
          <w:wAfter w:w="1934" w:type="dxa"/>
          <w:trHeight w:val="285" w:hRule="atLeast"/>
          <w:jc w:val="center"/>
        </w:trPr>
        <w:tc>
          <w:tcPr>
            <w:tcW w:w="5575" w:type="dxa"/>
            <w:gridSpan w:val="5"/>
            <w:tcBorders>
              <w:top w:val="nil"/>
              <w:left w:val="nil"/>
              <w:bottom w:val="nil"/>
              <w:right w:val="nil"/>
            </w:tcBorders>
            <w:vAlign w:val="center"/>
          </w:tcPr>
          <w:p w14:paraId="3B58E5A3">
            <w:pPr>
              <w:spacing w:line="440" w:lineRule="atLeast"/>
              <w:jc w:val="left"/>
              <w:rPr>
                <w:rFonts w:ascii="仿宋_GB2312" w:hAnsi="宋体" w:eastAsia="仿宋_GB2312" w:cs="宋体"/>
                <w:kern w:val="0"/>
                <w:sz w:val="24"/>
              </w:rPr>
            </w:pPr>
            <w:r>
              <w:rPr>
                <w:rFonts w:hint="eastAsia" w:ascii="仿宋_GB2312" w:hAnsi="宋体" w:eastAsia="仿宋_GB2312" w:cs="宋体"/>
                <w:kern w:val="0"/>
                <w:sz w:val="24"/>
              </w:rPr>
              <w:t>说明：本表由资产评估机构填写。</w:t>
            </w:r>
          </w:p>
        </w:tc>
        <w:tc>
          <w:tcPr>
            <w:tcW w:w="1443" w:type="dxa"/>
            <w:gridSpan w:val="2"/>
            <w:tcBorders>
              <w:top w:val="nil"/>
              <w:left w:val="nil"/>
              <w:bottom w:val="nil"/>
              <w:right w:val="nil"/>
            </w:tcBorders>
            <w:vAlign w:val="center"/>
          </w:tcPr>
          <w:p w14:paraId="15428C30">
            <w:pPr>
              <w:spacing w:line="440" w:lineRule="atLeast"/>
              <w:jc w:val="left"/>
              <w:rPr>
                <w:rFonts w:ascii="仿宋_GB2312" w:hAnsi="宋体" w:eastAsia="仿宋_GB2312" w:cs="宋体"/>
                <w:kern w:val="0"/>
                <w:sz w:val="24"/>
              </w:rPr>
            </w:pPr>
          </w:p>
        </w:tc>
        <w:tc>
          <w:tcPr>
            <w:tcW w:w="1027" w:type="dxa"/>
            <w:gridSpan w:val="2"/>
            <w:tcBorders>
              <w:top w:val="nil"/>
              <w:left w:val="nil"/>
              <w:bottom w:val="nil"/>
              <w:right w:val="nil"/>
            </w:tcBorders>
            <w:vAlign w:val="center"/>
          </w:tcPr>
          <w:p w14:paraId="70D148AA">
            <w:pPr>
              <w:spacing w:line="440" w:lineRule="atLeast"/>
              <w:jc w:val="left"/>
              <w:rPr>
                <w:rFonts w:ascii="仿宋_GB2312" w:hAnsi="宋体" w:eastAsia="仿宋_GB2312" w:cs="宋体"/>
                <w:kern w:val="0"/>
                <w:sz w:val="24"/>
              </w:rPr>
            </w:pPr>
          </w:p>
        </w:tc>
        <w:tc>
          <w:tcPr>
            <w:tcW w:w="1027" w:type="dxa"/>
            <w:gridSpan w:val="2"/>
            <w:tcBorders>
              <w:top w:val="nil"/>
              <w:left w:val="nil"/>
              <w:bottom w:val="nil"/>
              <w:right w:val="nil"/>
            </w:tcBorders>
            <w:vAlign w:val="center"/>
          </w:tcPr>
          <w:p w14:paraId="2967B8D8">
            <w:pPr>
              <w:spacing w:line="440" w:lineRule="atLeast"/>
              <w:jc w:val="left"/>
              <w:rPr>
                <w:rFonts w:ascii="仿宋_GB2312" w:hAnsi="宋体" w:eastAsia="仿宋_GB2312" w:cs="宋体"/>
                <w:kern w:val="0"/>
                <w:sz w:val="24"/>
              </w:rPr>
            </w:pPr>
          </w:p>
        </w:tc>
        <w:tc>
          <w:tcPr>
            <w:tcW w:w="1028" w:type="dxa"/>
            <w:gridSpan w:val="2"/>
            <w:tcBorders>
              <w:top w:val="nil"/>
              <w:left w:val="nil"/>
              <w:bottom w:val="nil"/>
              <w:right w:val="nil"/>
            </w:tcBorders>
            <w:vAlign w:val="center"/>
          </w:tcPr>
          <w:p w14:paraId="7AE60417">
            <w:pPr>
              <w:spacing w:line="440" w:lineRule="atLeast"/>
              <w:jc w:val="left"/>
              <w:rPr>
                <w:rFonts w:ascii="仿宋_GB2312" w:hAnsi="宋体" w:eastAsia="仿宋_GB2312" w:cs="宋体"/>
                <w:kern w:val="0"/>
                <w:sz w:val="24"/>
              </w:rPr>
            </w:pPr>
          </w:p>
        </w:tc>
        <w:tc>
          <w:tcPr>
            <w:tcW w:w="1027" w:type="dxa"/>
            <w:gridSpan w:val="2"/>
            <w:tcBorders>
              <w:top w:val="nil"/>
              <w:left w:val="nil"/>
              <w:bottom w:val="nil"/>
              <w:right w:val="nil"/>
            </w:tcBorders>
            <w:vAlign w:val="center"/>
          </w:tcPr>
          <w:p w14:paraId="793002B3">
            <w:pPr>
              <w:spacing w:line="440" w:lineRule="atLeast"/>
              <w:jc w:val="left"/>
              <w:rPr>
                <w:rFonts w:ascii="仿宋_GB2312" w:hAnsi="宋体" w:eastAsia="仿宋_GB2312" w:cs="宋体"/>
                <w:kern w:val="0"/>
                <w:sz w:val="24"/>
              </w:rPr>
            </w:pPr>
          </w:p>
        </w:tc>
        <w:tc>
          <w:tcPr>
            <w:tcW w:w="1028" w:type="dxa"/>
            <w:gridSpan w:val="3"/>
            <w:tcBorders>
              <w:top w:val="nil"/>
              <w:left w:val="nil"/>
              <w:bottom w:val="nil"/>
              <w:right w:val="nil"/>
            </w:tcBorders>
            <w:vAlign w:val="center"/>
          </w:tcPr>
          <w:p w14:paraId="42382905">
            <w:pPr>
              <w:spacing w:line="440" w:lineRule="atLeast"/>
              <w:jc w:val="left"/>
              <w:rPr>
                <w:rFonts w:ascii="仿宋_GB2312" w:hAnsi="宋体" w:eastAsia="仿宋_GB2312" w:cs="宋体"/>
                <w:kern w:val="0"/>
                <w:sz w:val="24"/>
              </w:rPr>
            </w:pPr>
          </w:p>
        </w:tc>
      </w:tr>
    </w:tbl>
    <w:p w14:paraId="645A40BA">
      <w:pPr>
        <w:spacing w:line="440" w:lineRule="atLeast"/>
        <w:rPr>
          <w:rFonts w:ascii="Times New Roman" w:hAnsi="Times New Roman"/>
          <w:sz w:val="28"/>
        </w:rPr>
        <w:sectPr>
          <w:pgSz w:w="16838" w:h="11906" w:orient="landscape"/>
          <w:pgMar w:top="1803" w:right="1440" w:bottom="1803" w:left="1440" w:header="851" w:footer="992" w:gutter="0"/>
          <w:cols w:space="720" w:num="1"/>
          <w:docGrid w:type="linesAndChars" w:linePitch="319" w:charSpace="0"/>
        </w:sectPr>
      </w:pPr>
    </w:p>
    <w:p w14:paraId="48AD0661">
      <w:pPr>
        <w:spacing w:line="440" w:lineRule="atLeast"/>
        <w:jc w:val="left"/>
        <w:rPr>
          <w:rFonts w:ascii="宋体" w:hAnsi="宋体" w:eastAsia="宋体" w:cs="宋体"/>
          <w:sz w:val="24"/>
        </w:rPr>
      </w:pPr>
      <w:r>
        <w:rPr>
          <w:rFonts w:hint="eastAsia" w:ascii="宋体" w:hAnsi="宋体" w:eastAsia="宋体" w:cs="宋体"/>
          <w:sz w:val="24"/>
        </w:rPr>
        <w:t>附件5</w:t>
      </w:r>
    </w:p>
    <w:p w14:paraId="70E72447">
      <w:pPr>
        <w:spacing w:line="440" w:lineRule="atLeast"/>
        <w:jc w:val="center"/>
        <w:rPr>
          <w:rFonts w:ascii="黑体" w:hAnsi="Times New Roman" w:eastAsia="黑体"/>
          <w:spacing w:val="20"/>
          <w:sz w:val="10"/>
          <w:szCs w:val="10"/>
        </w:rPr>
      </w:pPr>
      <w:r>
        <w:rPr>
          <w:rFonts w:hint="eastAsia" w:ascii="华文中宋" w:hAnsi="华文中宋" w:eastAsia="华文中宋"/>
          <w:b/>
          <w:sz w:val="36"/>
          <w:szCs w:val="36"/>
        </w:rPr>
        <w:t>资产评估师年检表</w:t>
      </w:r>
    </w:p>
    <w:p w14:paraId="72EB3D82">
      <w:pPr>
        <w:spacing w:line="440" w:lineRule="atLeast"/>
        <w:rPr>
          <w:rFonts w:ascii="仿宋_GB2312" w:hAnsi="宋体" w:eastAsia="仿宋_GB2312" w:cs="宋体"/>
          <w:kern w:val="0"/>
          <w:sz w:val="24"/>
        </w:rPr>
      </w:pPr>
      <w:r>
        <w:rPr>
          <w:rFonts w:hint="eastAsia" w:ascii="仿宋_GB2312" w:hAnsi="宋体" w:eastAsia="仿宋_GB2312" w:cs="宋体"/>
          <w:kern w:val="0"/>
          <w:sz w:val="24"/>
        </w:rPr>
        <w:t>资产评估机构名称：</w:t>
      </w:r>
    </w:p>
    <w:p w14:paraId="1D1864C0">
      <w:pPr>
        <w:spacing w:line="440" w:lineRule="atLeast"/>
        <w:rPr>
          <w:rFonts w:ascii="仿宋_GB2312" w:hAnsi="Times New Roman" w:eastAsia="仿宋_GB2312"/>
          <w:sz w:val="10"/>
        </w:rPr>
      </w:pPr>
      <w:r>
        <w:rPr>
          <w:rFonts w:hint="eastAsia" w:ascii="仿宋_GB2312" w:hAnsi="宋体" w:eastAsia="仿宋_GB2312" w:cs="宋体"/>
          <w:kern w:val="0"/>
          <w:sz w:val="24"/>
        </w:rPr>
        <w:t>资产评估机构代码：</w:t>
      </w:r>
    </w:p>
    <w:tbl>
      <w:tblPr>
        <w:tblStyle w:val="24"/>
        <w:tblW w:w="87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7"/>
        <w:gridCol w:w="332"/>
        <w:gridCol w:w="180"/>
        <w:gridCol w:w="130"/>
        <w:gridCol w:w="260"/>
        <w:gridCol w:w="50"/>
        <w:gridCol w:w="310"/>
        <w:gridCol w:w="310"/>
        <w:gridCol w:w="141"/>
        <w:gridCol w:w="169"/>
        <w:gridCol w:w="236"/>
        <w:gridCol w:w="384"/>
        <w:gridCol w:w="203"/>
        <w:gridCol w:w="107"/>
        <w:gridCol w:w="176"/>
        <w:gridCol w:w="134"/>
        <w:gridCol w:w="300"/>
        <w:gridCol w:w="11"/>
        <w:gridCol w:w="310"/>
        <w:gridCol w:w="310"/>
        <w:gridCol w:w="69"/>
        <w:gridCol w:w="241"/>
        <w:gridCol w:w="236"/>
        <w:gridCol w:w="250"/>
        <w:gridCol w:w="134"/>
        <w:gridCol w:w="59"/>
        <w:gridCol w:w="251"/>
        <w:gridCol w:w="310"/>
        <w:gridCol w:w="313"/>
        <w:gridCol w:w="1619"/>
      </w:tblGrid>
      <w:tr w14:paraId="707A1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1" w:hRule="atLeast"/>
          <w:jc w:val="center"/>
        </w:trPr>
        <w:tc>
          <w:tcPr>
            <w:tcW w:w="1197" w:type="dxa"/>
            <w:shd w:val="clear" w:color="auto" w:fill="auto"/>
            <w:vAlign w:val="center"/>
          </w:tcPr>
          <w:p w14:paraId="459496DA">
            <w:pPr>
              <w:spacing w:line="440" w:lineRule="atLeast"/>
              <w:jc w:val="center"/>
              <w:rPr>
                <w:rFonts w:ascii="仿宋_GB2312" w:eastAsia="仿宋_GB2312"/>
                <w:sz w:val="24"/>
              </w:rPr>
            </w:pPr>
            <w:r>
              <w:rPr>
                <w:rFonts w:hint="eastAsia" w:ascii="仿宋_GB2312" w:eastAsia="仿宋_GB2312"/>
                <w:sz w:val="24"/>
              </w:rPr>
              <w:t>姓名</w:t>
            </w:r>
          </w:p>
        </w:tc>
        <w:tc>
          <w:tcPr>
            <w:tcW w:w="902" w:type="dxa"/>
            <w:gridSpan w:val="4"/>
            <w:shd w:val="clear" w:color="auto" w:fill="auto"/>
            <w:vAlign w:val="center"/>
          </w:tcPr>
          <w:p w14:paraId="3F621001">
            <w:pPr>
              <w:spacing w:line="440" w:lineRule="atLeast"/>
              <w:jc w:val="center"/>
              <w:rPr>
                <w:rFonts w:ascii="仿宋_GB2312" w:eastAsia="仿宋_GB2312"/>
                <w:sz w:val="24"/>
              </w:rPr>
            </w:pPr>
          </w:p>
        </w:tc>
        <w:tc>
          <w:tcPr>
            <w:tcW w:w="811" w:type="dxa"/>
            <w:gridSpan w:val="4"/>
            <w:shd w:val="clear" w:color="auto" w:fill="auto"/>
            <w:vAlign w:val="center"/>
          </w:tcPr>
          <w:p w14:paraId="6CC5DC2C">
            <w:pPr>
              <w:spacing w:line="440" w:lineRule="atLeast"/>
              <w:jc w:val="center"/>
              <w:rPr>
                <w:rFonts w:ascii="仿宋_GB2312" w:eastAsia="仿宋_GB2312"/>
                <w:sz w:val="24"/>
              </w:rPr>
            </w:pPr>
            <w:r>
              <w:rPr>
                <w:rFonts w:hint="eastAsia" w:ascii="仿宋_GB2312" w:eastAsia="仿宋_GB2312"/>
                <w:sz w:val="24"/>
              </w:rPr>
              <w:t>性别</w:t>
            </w:r>
          </w:p>
        </w:tc>
        <w:tc>
          <w:tcPr>
            <w:tcW w:w="992" w:type="dxa"/>
            <w:gridSpan w:val="4"/>
            <w:shd w:val="clear" w:color="auto" w:fill="auto"/>
            <w:vAlign w:val="center"/>
          </w:tcPr>
          <w:p w14:paraId="34D51076">
            <w:pPr>
              <w:spacing w:line="440" w:lineRule="atLeast"/>
              <w:jc w:val="center"/>
              <w:rPr>
                <w:rFonts w:ascii="仿宋_GB2312" w:eastAsia="仿宋_GB2312"/>
                <w:sz w:val="24"/>
              </w:rPr>
            </w:pPr>
          </w:p>
        </w:tc>
        <w:tc>
          <w:tcPr>
            <w:tcW w:w="1417" w:type="dxa"/>
            <w:gridSpan w:val="8"/>
            <w:shd w:val="clear" w:color="auto" w:fill="auto"/>
            <w:vAlign w:val="center"/>
          </w:tcPr>
          <w:p w14:paraId="4AAC7F79">
            <w:pPr>
              <w:spacing w:line="440" w:lineRule="atLeast"/>
              <w:jc w:val="center"/>
              <w:rPr>
                <w:rFonts w:ascii="仿宋_GB2312" w:eastAsia="仿宋_GB2312"/>
                <w:sz w:val="24"/>
              </w:rPr>
            </w:pPr>
            <w:r>
              <w:rPr>
                <w:rFonts w:hint="eastAsia" w:ascii="仿宋_GB2312" w:eastAsia="仿宋_GB2312"/>
                <w:sz w:val="24"/>
              </w:rPr>
              <w:t>出生日期</w:t>
            </w:r>
          </w:p>
        </w:tc>
        <w:tc>
          <w:tcPr>
            <w:tcW w:w="1794" w:type="dxa"/>
            <w:gridSpan w:val="8"/>
            <w:shd w:val="clear" w:color="auto" w:fill="auto"/>
            <w:vAlign w:val="center"/>
          </w:tcPr>
          <w:p w14:paraId="7660B096">
            <w:pPr>
              <w:spacing w:line="440" w:lineRule="atLeast"/>
              <w:jc w:val="center"/>
              <w:rPr>
                <w:rFonts w:ascii="仿宋_GB2312" w:eastAsia="仿宋_GB2312"/>
                <w:sz w:val="24"/>
              </w:rPr>
            </w:pPr>
          </w:p>
        </w:tc>
        <w:tc>
          <w:tcPr>
            <w:tcW w:w="1619" w:type="dxa"/>
            <w:vMerge w:val="restart"/>
            <w:shd w:val="clear" w:color="auto" w:fill="auto"/>
            <w:vAlign w:val="center"/>
          </w:tcPr>
          <w:p w14:paraId="5F8A80B3">
            <w:pPr>
              <w:spacing w:line="440" w:lineRule="atLeast"/>
              <w:rPr>
                <w:rFonts w:ascii="仿宋_GB2312" w:hAnsi="宋体" w:eastAsia="仿宋_GB2312"/>
                <w:sz w:val="28"/>
                <w:szCs w:val="28"/>
              </w:rPr>
            </w:pPr>
          </w:p>
          <w:p w14:paraId="3A973205">
            <w:pPr>
              <w:spacing w:line="440" w:lineRule="atLeast"/>
              <w:jc w:val="center"/>
              <w:rPr>
                <w:rFonts w:ascii="仿宋_GB2312" w:hAnsi="宋体" w:eastAsia="仿宋_GB2312"/>
                <w:sz w:val="28"/>
                <w:szCs w:val="28"/>
              </w:rPr>
            </w:pPr>
            <w:r>
              <w:rPr>
                <w:rFonts w:hint="eastAsia" w:ascii="仿宋_GB2312" w:eastAsia="仿宋_GB2312"/>
                <w:sz w:val="24"/>
              </w:rPr>
              <w:t>（近期2寸免冠蓝底彩色照片）</w:t>
            </w:r>
          </w:p>
          <w:p w14:paraId="1AD05D10">
            <w:pPr>
              <w:spacing w:line="440" w:lineRule="atLeast"/>
              <w:jc w:val="center"/>
              <w:rPr>
                <w:rFonts w:ascii="仿宋_GB2312" w:eastAsia="仿宋_GB2312"/>
                <w:sz w:val="24"/>
              </w:rPr>
            </w:pPr>
          </w:p>
        </w:tc>
      </w:tr>
      <w:tr w14:paraId="013C5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4" w:hRule="atLeast"/>
          <w:jc w:val="center"/>
        </w:trPr>
        <w:tc>
          <w:tcPr>
            <w:tcW w:w="1197" w:type="dxa"/>
            <w:shd w:val="clear" w:color="auto" w:fill="auto"/>
            <w:vAlign w:val="center"/>
          </w:tcPr>
          <w:p w14:paraId="63426BEB">
            <w:pPr>
              <w:spacing w:line="440" w:lineRule="atLeast"/>
              <w:jc w:val="center"/>
              <w:rPr>
                <w:rFonts w:ascii="仿宋_GB2312" w:eastAsia="仿宋_GB2312"/>
                <w:sz w:val="24"/>
              </w:rPr>
            </w:pPr>
            <w:r>
              <w:rPr>
                <w:rFonts w:hint="eastAsia" w:ascii="仿宋_GB2312" w:eastAsia="仿宋_GB2312"/>
                <w:sz w:val="24"/>
              </w:rPr>
              <w:t>政治面貌</w:t>
            </w:r>
          </w:p>
        </w:tc>
        <w:tc>
          <w:tcPr>
            <w:tcW w:w="902" w:type="dxa"/>
            <w:gridSpan w:val="4"/>
            <w:shd w:val="clear" w:color="auto" w:fill="auto"/>
            <w:vAlign w:val="center"/>
          </w:tcPr>
          <w:p w14:paraId="13876C20">
            <w:pPr>
              <w:spacing w:line="440" w:lineRule="atLeast"/>
              <w:jc w:val="center"/>
              <w:rPr>
                <w:rFonts w:ascii="仿宋_GB2312" w:eastAsia="仿宋_GB2312"/>
                <w:sz w:val="24"/>
              </w:rPr>
            </w:pPr>
          </w:p>
        </w:tc>
        <w:tc>
          <w:tcPr>
            <w:tcW w:w="811" w:type="dxa"/>
            <w:gridSpan w:val="4"/>
            <w:shd w:val="clear" w:color="auto" w:fill="auto"/>
            <w:vAlign w:val="center"/>
          </w:tcPr>
          <w:p w14:paraId="7A5FD4A1">
            <w:pPr>
              <w:spacing w:line="440" w:lineRule="atLeast"/>
              <w:jc w:val="center"/>
              <w:rPr>
                <w:rFonts w:ascii="仿宋_GB2312" w:eastAsia="仿宋_GB2312"/>
                <w:sz w:val="24"/>
              </w:rPr>
            </w:pPr>
            <w:r>
              <w:rPr>
                <w:rFonts w:hint="eastAsia" w:ascii="仿宋_GB2312" w:eastAsia="仿宋_GB2312"/>
                <w:sz w:val="24"/>
              </w:rPr>
              <w:t>民族</w:t>
            </w:r>
          </w:p>
        </w:tc>
        <w:tc>
          <w:tcPr>
            <w:tcW w:w="992" w:type="dxa"/>
            <w:gridSpan w:val="4"/>
            <w:shd w:val="clear" w:color="auto" w:fill="auto"/>
            <w:vAlign w:val="center"/>
          </w:tcPr>
          <w:p w14:paraId="7DD962FB">
            <w:pPr>
              <w:spacing w:line="440" w:lineRule="atLeast"/>
              <w:jc w:val="center"/>
              <w:rPr>
                <w:rFonts w:ascii="仿宋_GB2312" w:eastAsia="仿宋_GB2312"/>
                <w:sz w:val="24"/>
              </w:rPr>
            </w:pPr>
          </w:p>
        </w:tc>
        <w:tc>
          <w:tcPr>
            <w:tcW w:w="717" w:type="dxa"/>
            <w:gridSpan w:val="4"/>
            <w:shd w:val="clear" w:color="auto" w:fill="auto"/>
            <w:vAlign w:val="center"/>
          </w:tcPr>
          <w:p w14:paraId="160FC4CE">
            <w:pPr>
              <w:spacing w:line="440" w:lineRule="atLeast"/>
              <w:jc w:val="center"/>
              <w:rPr>
                <w:rFonts w:ascii="仿宋_GB2312" w:eastAsia="仿宋_GB2312"/>
                <w:sz w:val="24"/>
              </w:rPr>
            </w:pPr>
            <w:r>
              <w:rPr>
                <w:rFonts w:hint="eastAsia" w:ascii="仿宋_GB2312" w:eastAsia="仿宋_GB2312"/>
                <w:sz w:val="24"/>
              </w:rPr>
              <w:t>学历</w:t>
            </w:r>
          </w:p>
        </w:tc>
        <w:tc>
          <w:tcPr>
            <w:tcW w:w="700" w:type="dxa"/>
            <w:gridSpan w:val="4"/>
            <w:shd w:val="clear" w:color="auto" w:fill="auto"/>
            <w:vAlign w:val="center"/>
          </w:tcPr>
          <w:p w14:paraId="7890C7F7">
            <w:pPr>
              <w:spacing w:line="440" w:lineRule="atLeast"/>
              <w:jc w:val="center"/>
              <w:rPr>
                <w:rFonts w:ascii="仿宋_GB2312" w:eastAsia="仿宋_GB2312"/>
                <w:sz w:val="24"/>
              </w:rPr>
            </w:pPr>
          </w:p>
        </w:tc>
        <w:tc>
          <w:tcPr>
            <w:tcW w:w="920" w:type="dxa"/>
            <w:gridSpan w:val="5"/>
            <w:shd w:val="clear" w:color="auto" w:fill="auto"/>
            <w:vAlign w:val="center"/>
          </w:tcPr>
          <w:p w14:paraId="0CFFB327">
            <w:pPr>
              <w:spacing w:line="440" w:lineRule="atLeast"/>
              <w:jc w:val="center"/>
              <w:rPr>
                <w:rFonts w:ascii="仿宋_GB2312" w:eastAsia="仿宋_GB2312"/>
                <w:sz w:val="24"/>
              </w:rPr>
            </w:pPr>
            <w:r>
              <w:rPr>
                <w:rFonts w:hint="eastAsia" w:ascii="仿宋_GB2312" w:eastAsia="仿宋_GB2312"/>
                <w:sz w:val="24"/>
              </w:rPr>
              <w:t>专业</w:t>
            </w:r>
          </w:p>
        </w:tc>
        <w:tc>
          <w:tcPr>
            <w:tcW w:w="874" w:type="dxa"/>
            <w:gridSpan w:val="3"/>
            <w:shd w:val="clear" w:color="auto" w:fill="auto"/>
            <w:vAlign w:val="center"/>
          </w:tcPr>
          <w:p w14:paraId="5CE0834F">
            <w:pPr>
              <w:spacing w:line="440" w:lineRule="atLeast"/>
              <w:jc w:val="center"/>
              <w:rPr>
                <w:rFonts w:ascii="仿宋_GB2312" w:eastAsia="仿宋_GB2312"/>
                <w:sz w:val="24"/>
              </w:rPr>
            </w:pPr>
          </w:p>
        </w:tc>
        <w:tc>
          <w:tcPr>
            <w:tcW w:w="1619" w:type="dxa"/>
            <w:vMerge w:val="continue"/>
            <w:shd w:val="clear" w:color="auto" w:fill="auto"/>
            <w:vAlign w:val="center"/>
          </w:tcPr>
          <w:p w14:paraId="1C04FEB3">
            <w:pPr>
              <w:spacing w:line="440" w:lineRule="atLeast"/>
              <w:jc w:val="center"/>
              <w:rPr>
                <w:rFonts w:ascii="仿宋_GB2312" w:eastAsia="仿宋_GB2312"/>
                <w:sz w:val="24"/>
              </w:rPr>
            </w:pPr>
          </w:p>
        </w:tc>
      </w:tr>
      <w:tr w14:paraId="4E323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1197" w:type="dxa"/>
            <w:shd w:val="clear" w:color="auto" w:fill="auto"/>
            <w:vAlign w:val="center"/>
          </w:tcPr>
          <w:p w14:paraId="0D00F748">
            <w:pPr>
              <w:spacing w:line="440" w:lineRule="atLeast"/>
              <w:jc w:val="center"/>
              <w:rPr>
                <w:rFonts w:ascii="仿宋_GB2312" w:eastAsia="仿宋_GB2312"/>
                <w:sz w:val="24"/>
              </w:rPr>
            </w:pPr>
            <w:r>
              <w:rPr>
                <w:rFonts w:hint="eastAsia" w:ascii="仿宋_GB2312" w:eastAsia="仿宋_GB2312"/>
                <w:sz w:val="24"/>
              </w:rPr>
              <w:t>职称类型</w:t>
            </w:r>
          </w:p>
        </w:tc>
        <w:tc>
          <w:tcPr>
            <w:tcW w:w="902" w:type="dxa"/>
            <w:gridSpan w:val="4"/>
            <w:shd w:val="clear" w:color="auto" w:fill="auto"/>
            <w:vAlign w:val="center"/>
          </w:tcPr>
          <w:p w14:paraId="677AE40D">
            <w:pPr>
              <w:spacing w:line="440" w:lineRule="atLeast"/>
              <w:jc w:val="center"/>
              <w:rPr>
                <w:rFonts w:ascii="仿宋_GB2312" w:eastAsia="仿宋_GB2312"/>
                <w:sz w:val="24"/>
              </w:rPr>
            </w:pPr>
          </w:p>
        </w:tc>
        <w:tc>
          <w:tcPr>
            <w:tcW w:w="811" w:type="dxa"/>
            <w:gridSpan w:val="4"/>
            <w:shd w:val="clear" w:color="auto" w:fill="auto"/>
            <w:vAlign w:val="center"/>
          </w:tcPr>
          <w:p w14:paraId="468728C5">
            <w:pPr>
              <w:spacing w:line="440" w:lineRule="atLeast"/>
              <w:jc w:val="center"/>
              <w:rPr>
                <w:rFonts w:ascii="仿宋_GB2312" w:eastAsia="仿宋_GB2312"/>
                <w:sz w:val="24"/>
              </w:rPr>
            </w:pPr>
            <w:r>
              <w:rPr>
                <w:rFonts w:hint="eastAsia" w:ascii="仿宋_GB2312" w:eastAsia="仿宋_GB2312"/>
                <w:sz w:val="24"/>
              </w:rPr>
              <w:t>职称等级</w:t>
            </w:r>
          </w:p>
        </w:tc>
        <w:tc>
          <w:tcPr>
            <w:tcW w:w="992" w:type="dxa"/>
            <w:gridSpan w:val="4"/>
            <w:shd w:val="clear" w:color="auto" w:fill="auto"/>
            <w:vAlign w:val="center"/>
          </w:tcPr>
          <w:p w14:paraId="2AB508F6">
            <w:pPr>
              <w:spacing w:line="440" w:lineRule="atLeast"/>
              <w:jc w:val="center"/>
              <w:rPr>
                <w:rFonts w:ascii="仿宋_GB2312" w:eastAsia="仿宋_GB2312"/>
                <w:sz w:val="24"/>
              </w:rPr>
            </w:pPr>
          </w:p>
        </w:tc>
        <w:tc>
          <w:tcPr>
            <w:tcW w:w="1417" w:type="dxa"/>
            <w:gridSpan w:val="8"/>
            <w:shd w:val="clear" w:color="auto" w:fill="auto"/>
            <w:vAlign w:val="center"/>
          </w:tcPr>
          <w:p w14:paraId="41A93F08">
            <w:pPr>
              <w:spacing w:line="440" w:lineRule="atLeast"/>
              <w:jc w:val="center"/>
              <w:rPr>
                <w:rFonts w:ascii="仿宋_GB2312" w:eastAsia="仿宋_GB2312"/>
                <w:sz w:val="24"/>
              </w:rPr>
            </w:pPr>
            <w:r>
              <w:rPr>
                <w:rFonts w:hint="eastAsia" w:ascii="仿宋_GB2312" w:eastAsia="仿宋_GB2312"/>
                <w:sz w:val="24"/>
              </w:rPr>
              <w:t>职业资格证书登记编号</w:t>
            </w:r>
          </w:p>
        </w:tc>
        <w:tc>
          <w:tcPr>
            <w:tcW w:w="1794" w:type="dxa"/>
            <w:gridSpan w:val="8"/>
            <w:shd w:val="clear" w:color="auto" w:fill="auto"/>
            <w:vAlign w:val="center"/>
          </w:tcPr>
          <w:p w14:paraId="6483BF5D">
            <w:pPr>
              <w:spacing w:line="440" w:lineRule="atLeast"/>
              <w:jc w:val="center"/>
              <w:rPr>
                <w:rFonts w:ascii="仿宋_GB2312" w:eastAsia="仿宋_GB2312"/>
                <w:sz w:val="24"/>
              </w:rPr>
            </w:pPr>
          </w:p>
        </w:tc>
        <w:tc>
          <w:tcPr>
            <w:tcW w:w="1619" w:type="dxa"/>
            <w:vMerge w:val="continue"/>
            <w:shd w:val="clear" w:color="auto" w:fill="auto"/>
            <w:vAlign w:val="center"/>
          </w:tcPr>
          <w:p w14:paraId="060C7A37">
            <w:pPr>
              <w:spacing w:line="440" w:lineRule="atLeast"/>
              <w:jc w:val="center"/>
              <w:rPr>
                <w:rFonts w:ascii="仿宋_GB2312" w:eastAsia="仿宋_GB2312"/>
                <w:sz w:val="24"/>
              </w:rPr>
            </w:pPr>
          </w:p>
        </w:tc>
      </w:tr>
      <w:tr w14:paraId="30A5E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3" w:hRule="atLeast"/>
          <w:jc w:val="center"/>
        </w:trPr>
        <w:tc>
          <w:tcPr>
            <w:tcW w:w="1529" w:type="dxa"/>
            <w:gridSpan w:val="2"/>
            <w:shd w:val="clear" w:color="auto" w:fill="auto"/>
            <w:vAlign w:val="center"/>
          </w:tcPr>
          <w:p w14:paraId="29C0B48A">
            <w:pPr>
              <w:spacing w:line="440" w:lineRule="atLeast"/>
              <w:jc w:val="center"/>
              <w:rPr>
                <w:rFonts w:ascii="仿宋_GB2312" w:eastAsia="仿宋_GB2312"/>
                <w:sz w:val="24"/>
              </w:rPr>
            </w:pPr>
            <w:r>
              <w:rPr>
                <w:rFonts w:hint="eastAsia" w:ascii="仿宋_GB2312" w:eastAsia="仿宋_GB2312"/>
                <w:sz w:val="24"/>
              </w:rPr>
              <w:t>身份证号码</w:t>
            </w:r>
          </w:p>
        </w:tc>
        <w:tc>
          <w:tcPr>
            <w:tcW w:w="310" w:type="dxa"/>
            <w:gridSpan w:val="2"/>
            <w:shd w:val="clear" w:color="auto" w:fill="auto"/>
            <w:vAlign w:val="center"/>
          </w:tcPr>
          <w:p w14:paraId="1CDF1617">
            <w:pPr>
              <w:spacing w:line="440" w:lineRule="atLeast"/>
              <w:jc w:val="center"/>
              <w:rPr>
                <w:rFonts w:ascii="仿宋_GB2312" w:eastAsia="仿宋_GB2312"/>
                <w:sz w:val="24"/>
              </w:rPr>
            </w:pPr>
          </w:p>
        </w:tc>
        <w:tc>
          <w:tcPr>
            <w:tcW w:w="310" w:type="dxa"/>
            <w:gridSpan w:val="2"/>
            <w:shd w:val="clear" w:color="auto" w:fill="auto"/>
            <w:vAlign w:val="center"/>
          </w:tcPr>
          <w:p w14:paraId="4625D8C5">
            <w:pPr>
              <w:spacing w:line="440" w:lineRule="atLeast"/>
              <w:jc w:val="center"/>
              <w:rPr>
                <w:rFonts w:ascii="仿宋_GB2312" w:eastAsia="仿宋_GB2312"/>
                <w:sz w:val="24"/>
              </w:rPr>
            </w:pPr>
          </w:p>
        </w:tc>
        <w:tc>
          <w:tcPr>
            <w:tcW w:w="310" w:type="dxa"/>
            <w:shd w:val="clear" w:color="auto" w:fill="auto"/>
            <w:vAlign w:val="center"/>
          </w:tcPr>
          <w:p w14:paraId="1DB5368C">
            <w:pPr>
              <w:spacing w:line="440" w:lineRule="atLeast"/>
              <w:jc w:val="center"/>
              <w:rPr>
                <w:rFonts w:ascii="仿宋_GB2312" w:eastAsia="仿宋_GB2312"/>
                <w:sz w:val="24"/>
              </w:rPr>
            </w:pPr>
          </w:p>
        </w:tc>
        <w:tc>
          <w:tcPr>
            <w:tcW w:w="310" w:type="dxa"/>
            <w:shd w:val="clear" w:color="auto" w:fill="auto"/>
            <w:vAlign w:val="center"/>
          </w:tcPr>
          <w:p w14:paraId="073C7A85">
            <w:pPr>
              <w:spacing w:line="440" w:lineRule="atLeast"/>
              <w:jc w:val="center"/>
              <w:rPr>
                <w:rFonts w:ascii="仿宋_GB2312" w:eastAsia="仿宋_GB2312"/>
                <w:sz w:val="24"/>
              </w:rPr>
            </w:pPr>
          </w:p>
        </w:tc>
        <w:tc>
          <w:tcPr>
            <w:tcW w:w="310" w:type="dxa"/>
            <w:gridSpan w:val="2"/>
            <w:shd w:val="clear" w:color="auto" w:fill="auto"/>
            <w:vAlign w:val="center"/>
          </w:tcPr>
          <w:p w14:paraId="0AF9958E">
            <w:pPr>
              <w:spacing w:line="440" w:lineRule="atLeast"/>
              <w:jc w:val="center"/>
              <w:rPr>
                <w:rFonts w:ascii="仿宋_GB2312" w:eastAsia="仿宋_GB2312"/>
                <w:sz w:val="24"/>
              </w:rPr>
            </w:pPr>
          </w:p>
        </w:tc>
        <w:tc>
          <w:tcPr>
            <w:tcW w:w="236" w:type="dxa"/>
            <w:shd w:val="clear" w:color="auto" w:fill="auto"/>
            <w:vAlign w:val="center"/>
          </w:tcPr>
          <w:p w14:paraId="22C0F36C">
            <w:pPr>
              <w:spacing w:line="440" w:lineRule="atLeast"/>
              <w:jc w:val="center"/>
              <w:rPr>
                <w:rFonts w:ascii="仿宋_GB2312" w:eastAsia="仿宋_GB2312"/>
                <w:sz w:val="24"/>
              </w:rPr>
            </w:pPr>
          </w:p>
        </w:tc>
        <w:tc>
          <w:tcPr>
            <w:tcW w:w="384" w:type="dxa"/>
            <w:shd w:val="clear" w:color="auto" w:fill="auto"/>
            <w:vAlign w:val="center"/>
          </w:tcPr>
          <w:p w14:paraId="011772B1">
            <w:pPr>
              <w:spacing w:line="440" w:lineRule="atLeast"/>
              <w:jc w:val="center"/>
              <w:rPr>
                <w:rFonts w:ascii="仿宋_GB2312" w:eastAsia="仿宋_GB2312"/>
                <w:sz w:val="24"/>
              </w:rPr>
            </w:pPr>
          </w:p>
        </w:tc>
        <w:tc>
          <w:tcPr>
            <w:tcW w:w="310" w:type="dxa"/>
            <w:gridSpan w:val="2"/>
            <w:shd w:val="clear" w:color="auto" w:fill="auto"/>
            <w:vAlign w:val="center"/>
          </w:tcPr>
          <w:p w14:paraId="3AF8215B">
            <w:pPr>
              <w:spacing w:line="440" w:lineRule="atLeast"/>
              <w:jc w:val="center"/>
              <w:rPr>
                <w:rFonts w:ascii="仿宋_GB2312" w:eastAsia="仿宋_GB2312"/>
                <w:sz w:val="24"/>
              </w:rPr>
            </w:pPr>
          </w:p>
        </w:tc>
        <w:tc>
          <w:tcPr>
            <w:tcW w:w="310" w:type="dxa"/>
            <w:gridSpan w:val="2"/>
            <w:shd w:val="clear" w:color="auto" w:fill="auto"/>
            <w:vAlign w:val="center"/>
          </w:tcPr>
          <w:p w14:paraId="674AD02F">
            <w:pPr>
              <w:spacing w:line="440" w:lineRule="atLeast"/>
              <w:jc w:val="center"/>
              <w:rPr>
                <w:rFonts w:ascii="仿宋_GB2312" w:eastAsia="仿宋_GB2312"/>
                <w:sz w:val="24"/>
              </w:rPr>
            </w:pPr>
          </w:p>
        </w:tc>
        <w:tc>
          <w:tcPr>
            <w:tcW w:w="311" w:type="dxa"/>
            <w:gridSpan w:val="2"/>
            <w:shd w:val="clear" w:color="auto" w:fill="auto"/>
            <w:vAlign w:val="center"/>
          </w:tcPr>
          <w:p w14:paraId="30CEC930">
            <w:pPr>
              <w:spacing w:line="440" w:lineRule="atLeast"/>
              <w:jc w:val="center"/>
              <w:rPr>
                <w:rFonts w:ascii="仿宋_GB2312" w:eastAsia="仿宋_GB2312"/>
                <w:sz w:val="24"/>
              </w:rPr>
            </w:pPr>
          </w:p>
        </w:tc>
        <w:tc>
          <w:tcPr>
            <w:tcW w:w="310" w:type="dxa"/>
            <w:shd w:val="clear" w:color="auto" w:fill="auto"/>
            <w:vAlign w:val="center"/>
          </w:tcPr>
          <w:p w14:paraId="40DA5373">
            <w:pPr>
              <w:spacing w:line="440" w:lineRule="atLeast"/>
              <w:jc w:val="center"/>
              <w:rPr>
                <w:rFonts w:ascii="仿宋_GB2312" w:eastAsia="仿宋_GB2312"/>
                <w:sz w:val="24"/>
              </w:rPr>
            </w:pPr>
          </w:p>
        </w:tc>
        <w:tc>
          <w:tcPr>
            <w:tcW w:w="310" w:type="dxa"/>
            <w:shd w:val="clear" w:color="auto" w:fill="auto"/>
            <w:vAlign w:val="center"/>
          </w:tcPr>
          <w:p w14:paraId="23D185C2">
            <w:pPr>
              <w:spacing w:line="440" w:lineRule="atLeast"/>
              <w:jc w:val="center"/>
              <w:rPr>
                <w:rFonts w:ascii="仿宋_GB2312" w:eastAsia="仿宋_GB2312"/>
                <w:sz w:val="24"/>
              </w:rPr>
            </w:pPr>
          </w:p>
        </w:tc>
        <w:tc>
          <w:tcPr>
            <w:tcW w:w="310" w:type="dxa"/>
            <w:gridSpan w:val="2"/>
            <w:shd w:val="clear" w:color="auto" w:fill="auto"/>
            <w:vAlign w:val="center"/>
          </w:tcPr>
          <w:p w14:paraId="68405B7A">
            <w:pPr>
              <w:spacing w:line="440" w:lineRule="atLeast"/>
              <w:jc w:val="center"/>
              <w:rPr>
                <w:rFonts w:ascii="仿宋_GB2312" w:eastAsia="仿宋_GB2312"/>
                <w:sz w:val="24"/>
              </w:rPr>
            </w:pPr>
          </w:p>
        </w:tc>
        <w:tc>
          <w:tcPr>
            <w:tcW w:w="236" w:type="dxa"/>
            <w:shd w:val="clear" w:color="auto" w:fill="auto"/>
            <w:vAlign w:val="center"/>
          </w:tcPr>
          <w:p w14:paraId="519D522D">
            <w:pPr>
              <w:spacing w:line="440" w:lineRule="atLeast"/>
              <w:jc w:val="center"/>
              <w:rPr>
                <w:rFonts w:ascii="仿宋_GB2312" w:eastAsia="仿宋_GB2312"/>
                <w:sz w:val="24"/>
              </w:rPr>
            </w:pPr>
          </w:p>
        </w:tc>
        <w:tc>
          <w:tcPr>
            <w:tcW w:w="384" w:type="dxa"/>
            <w:gridSpan w:val="2"/>
            <w:shd w:val="clear" w:color="auto" w:fill="auto"/>
            <w:vAlign w:val="center"/>
          </w:tcPr>
          <w:p w14:paraId="0F8EB852">
            <w:pPr>
              <w:spacing w:line="440" w:lineRule="atLeast"/>
              <w:jc w:val="center"/>
              <w:rPr>
                <w:rFonts w:ascii="仿宋_GB2312" w:eastAsia="仿宋_GB2312"/>
                <w:sz w:val="24"/>
              </w:rPr>
            </w:pPr>
          </w:p>
        </w:tc>
        <w:tc>
          <w:tcPr>
            <w:tcW w:w="310" w:type="dxa"/>
            <w:gridSpan w:val="2"/>
            <w:shd w:val="clear" w:color="auto" w:fill="auto"/>
            <w:vAlign w:val="center"/>
          </w:tcPr>
          <w:p w14:paraId="7E540DE9">
            <w:pPr>
              <w:spacing w:line="440" w:lineRule="atLeast"/>
              <w:jc w:val="center"/>
              <w:rPr>
                <w:rFonts w:ascii="仿宋_GB2312" w:eastAsia="仿宋_GB2312"/>
                <w:sz w:val="24"/>
              </w:rPr>
            </w:pPr>
          </w:p>
        </w:tc>
        <w:tc>
          <w:tcPr>
            <w:tcW w:w="310" w:type="dxa"/>
            <w:shd w:val="clear" w:color="auto" w:fill="auto"/>
            <w:vAlign w:val="center"/>
          </w:tcPr>
          <w:p w14:paraId="08DBF1DC">
            <w:pPr>
              <w:spacing w:line="440" w:lineRule="atLeast"/>
              <w:jc w:val="center"/>
              <w:rPr>
                <w:rFonts w:ascii="仿宋_GB2312" w:eastAsia="仿宋_GB2312"/>
                <w:sz w:val="24"/>
              </w:rPr>
            </w:pPr>
          </w:p>
        </w:tc>
        <w:tc>
          <w:tcPr>
            <w:tcW w:w="313" w:type="dxa"/>
            <w:shd w:val="clear" w:color="auto" w:fill="auto"/>
            <w:vAlign w:val="center"/>
          </w:tcPr>
          <w:p w14:paraId="24D360A8">
            <w:pPr>
              <w:spacing w:line="440" w:lineRule="atLeast"/>
              <w:jc w:val="center"/>
              <w:rPr>
                <w:rFonts w:ascii="仿宋_GB2312" w:eastAsia="仿宋_GB2312"/>
                <w:sz w:val="24"/>
              </w:rPr>
            </w:pPr>
          </w:p>
        </w:tc>
        <w:tc>
          <w:tcPr>
            <w:tcW w:w="1619" w:type="dxa"/>
            <w:vMerge w:val="continue"/>
            <w:shd w:val="clear" w:color="auto" w:fill="auto"/>
            <w:vAlign w:val="center"/>
          </w:tcPr>
          <w:p w14:paraId="06E67668">
            <w:pPr>
              <w:spacing w:line="440" w:lineRule="atLeast"/>
              <w:jc w:val="center"/>
              <w:rPr>
                <w:rFonts w:ascii="仿宋_GB2312" w:eastAsia="仿宋_GB2312"/>
                <w:sz w:val="24"/>
              </w:rPr>
            </w:pPr>
          </w:p>
        </w:tc>
      </w:tr>
      <w:tr w14:paraId="3FCCF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6" w:hRule="atLeast"/>
          <w:jc w:val="center"/>
        </w:trPr>
        <w:tc>
          <w:tcPr>
            <w:tcW w:w="1709" w:type="dxa"/>
            <w:gridSpan w:val="3"/>
            <w:shd w:val="clear" w:color="auto" w:fill="auto"/>
            <w:vAlign w:val="center"/>
          </w:tcPr>
          <w:p w14:paraId="1B131374">
            <w:pPr>
              <w:spacing w:line="440" w:lineRule="atLeast"/>
              <w:jc w:val="center"/>
              <w:rPr>
                <w:rFonts w:ascii="仿宋_GB2312" w:eastAsia="仿宋_GB2312"/>
                <w:sz w:val="24"/>
              </w:rPr>
            </w:pPr>
            <w:r>
              <w:rPr>
                <w:rFonts w:hint="eastAsia" w:ascii="仿宋_GB2312" w:eastAsia="仿宋_GB2312"/>
                <w:sz w:val="24"/>
              </w:rPr>
              <w:t>档案存放单位</w:t>
            </w:r>
          </w:p>
        </w:tc>
        <w:tc>
          <w:tcPr>
            <w:tcW w:w="7023" w:type="dxa"/>
            <w:gridSpan w:val="27"/>
            <w:shd w:val="clear" w:color="auto" w:fill="auto"/>
            <w:vAlign w:val="center"/>
          </w:tcPr>
          <w:p w14:paraId="74C6A9AE">
            <w:pPr>
              <w:spacing w:line="440" w:lineRule="atLeast"/>
              <w:jc w:val="center"/>
              <w:rPr>
                <w:rFonts w:ascii="仿宋_GB2312" w:eastAsia="仿宋_GB2312"/>
                <w:sz w:val="24"/>
              </w:rPr>
            </w:pPr>
          </w:p>
        </w:tc>
      </w:tr>
      <w:tr w14:paraId="69F4D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9" w:hRule="atLeast"/>
          <w:jc w:val="center"/>
        </w:trPr>
        <w:tc>
          <w:tcPr>
            <w:tcW w:w="1709" w:type="dxa"/>
            <w:gridSpan w:val="3"/>
            <w:shd w:val="clear" w:color="auto" w:fill="auto"/>
            <w:vAlign w:val="center"/>
          </w:tcPr>
          <w:p w14:paraId="79604B93">
            <w:pPr>
              <w:spacing w:line="440" w:lineRule="atLeast"/>
              <w:jc w:val="center"/>
              <w:rPr>
                <w:rFonts w:ascii="仿宋_GB2312" w:eastAsia="仿宋_GB2312"/>
                <w:sz w:val="24"/>
              </w:rPr>
            </w:pPr>
            <w:r>
              <w:rPr>
                <w:rFonts w:hint="eastAsia" w:ascii="仿宋_GB2312" w:eastAsia="仿宋_GB2312"/>
                <w:sz w:val="24"/>
              </w:rPr>
              <w:t>联系电话</w:t>
            </w:r>
          </w:p>
        </w:tc>
        <w:tc>
          <w:tcPr>
            <w:tcW w:w="2921" w:type="dxa"/>
            <w:gridSpan w:val="15"/>
            <w:shd w:val="clear" w:color="auto" w:fill="auto"/>
            <w:vAlign w:val="center"/>
          </w:tcPr>
          <w:p w14:paraId="61C496FD">
            <w:pPr>
              <w:spacing w:line="440" w:lineRule="atLeast"/>
              <w:jc w:val="center"/>
              <w:rPr>
                <w:rFonts w:ascii="仿宋_GB2312" w:eastAsia="仿宋_GB2312"/>
                <w:sz w:val="24"/>
              </w:rPr>
            </w:pPr>
          </w:p>
        </w:tc>
        <w:tc>
          <w:tcPr>
            <w:tcW w:w="1416" w:type="dxa"/>
            <w:gridSpan w:val="6"/>
            <w:shd w:val="clear" w:color="auto" w:fill="auto"/>
            <w:vAlign w:val="center"/>
          </w:tcPr>
          <w:p w14:paraId="207A9B37">
            <w:pPr>
              <w:spacing w:line="440" w:lineRule="atLeast"/>
              <w:jc w:val="center"/>
              <w:rPr>
                <w:rFonts w:ascii="仿宋_GB2312" w:eastAsia="仿宋_GB2312"/>
                <w:sz w:val="24"/>
              </w:rPr>
            </w:pPr>
            <w:r>
              <w:rPr>
                <w:rFonts w:hint="eastAsia" w:ascii="仿宋_GB2312" w:eastAsia="仿宋_GB2312"/>
                <w:sz w:val="24"/>
              </w:rPr>
              <w:t>电子邮箱</w:t>
            </w:r>
          </w:p>
        </w:tc>
        <w:tc>
          <w:tcPr>
            <w:tcW w:w="2686" w:type="dxa"/>
            <w:gridSpan w:val="6"/>
            <w:shd w:val="clear" w:color="auto" w:fill="auto"/>
            <w:vAlign w:val="center"/>
          </w:tcPr>
          <w:p w14:paraId="41A62A53">
            <w:pPr>
              <w:spacing w:line="440" w:lineRule="atLeast"/>
              <w:jc w:val="center"/>
              <w:rPr>
                <w:rFonts w:ascii="仿宋_GB2312" w:eastAsia="仿宋_GB2312"/>
                <w:sz w:val="24"/>
              </w:rPr>
            </w:pPr>
          </w:p>
        </w:tc>
      </w:tr>
      <w:tr w14:paraId="4E57C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3" w:hRule="atLeast"/>
          <w:jc w:val="center"/>
        </w:trPr>
        <w:tc>
          <w:tcPr>
            <w:tcW w:w="8732" w:type="dxa"/>
            <w:gridSpan w:val="30"/>
            <w:shd w:val="clear" w:color="auto" w:fill="auto"/>
            <w:vAlign w:val="center"/>
          </w:tcPr>
          <w:p w14:paraId="478C971A">
            <w:pPr>
              <w:spacing w:line="440" w:lineRule="atLeast"/>
              <w:jc w:val="center"/>
              <w:rPr>
                <w:rFonts w:ascii="仿宋_GB2312" w:eastAsia="仿宋_GB2312"/>
                <w:sz w:val="24"/>
              </w:rPr>
            </w:pPr>
            <w:r>
              <w:rPr>
                <w:rFonts w:hint="eastAsia" w:ascii="仿宋_GB2312" w:eastAsia="仿宋_GB2312"/>
                <w:sz w:val="24"/>
              </w:rPr>
              <w:t>本人声明（</w:t>
            </w:r>
            <w:r>
              <w:rPr>
                <w:rFonts w:hint="eastAsia" w:ascii="仿宋_GB2312" w:hAnsi="华文仿宋" w:eastAsia="仿宋_GB2312"/>
                <w:sz w:val="24"/>
              </w:rPr>
              <w:t>请在对应</w:t>
            </w:r>
            <w:r>
              <w:rPr>
                <w:rFonts w:hint="eastAsia" w:ascii="仿宋_GB2312" w:eastAsia="仿宋_GB2312"/>
                <w:sz w:val="24"/>
              </w:rPr>
              <w:t>□中划√）</w:t>
            </w:r>
          </w:p>
        </w:tc>
      </w:tr>
      <w:tr w14:paraId="0023C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jc w:val="center"/>
        </w:trPr>
        <w:tc>
          <w:tcPr>
            <w:tcW w:w="8732" w:type="dxa"/>
            <w:gridSpan w:val="30"/>
            <w:shd w:val="clear" w:color="auto" w:fill="auto"/>
            <w:vAlign w:val="center"/>
          </w:tcPr>
          <w:p w14:paraId="2DF863BE">
            <w:pPr>
              <w:spacing w:line="440" w:lineRule="atLeast"/>
              <w:rPr>
                <w:rFonts w:ascii="仿宋_GB2312" w:hAnsi="华文仿宋" w:eastAsia="仿宋_GB2312"/>
                <w:sz w:val="24"/>
              </w:rPr>
            </w:pPr>
            <w:r>
              <w:rPr>
                <w:rFonts w:hint="eastAsia" w:ascii="仿宋_GB2312" w:eastAsia="仿宋_GB2312"/>
                <w:sz w:val="24"/>
              </w:rPr>
              <w:t>具有完全民事行为能力　　　　　　　　　　　　　　　</w:t>
            </w:r>
            <w:r>
              <w:rPr>
                <w:rFonts w:hint="eastAsia" w:ascii="仿宋_GB2312" w:hAnsi="华文仿宋" w:eastAsia="仿宋_GB2312"/>
                <w:sz w:val="24"/>
              </w:rPr>
              <w:t>□是　　　□否</w:t>
            </w:r>
          </w:p>
          <w:p w14:paraId="743B3C68">
            <w:pPr>
              <w:spacing w:line="440" w:lineRule="atLeast"/>
              <w:rPr>
                <w:rFonts w:ascii="仿宋_GB2312" w:eastAsia="仿宋_GB2312"/>
                <w:sz w:val="24"/>
              </w:rPr>
            </w:pPr>
            <w:r>
              <w:rPr>
                <w:rFonts w:hint="eastAsia" w:ascii="仿宋_GB2312" w:eastAsia="仿宋_GB2312"/>
                <w:sz w:val="24"/>
              </w:rPr>
              <w:t>未受行政、刑事处罚　　　　　　　　　　　　　　　　</w:t>
            </w:r>
            <w:r>
              <w:rPr>
                <w:rFonts w:hint="eastAsia" w:ascii="仿宋_GB2312" w:hAnsi="华文仿宋" w:eastAsia="仿宋_GB2312"/>
                <w:sz w:val="24"/>
              </w:rPr>
              <w:t>□是　　　□否</w:t>
            </w:r>
          </w:p>
          <w:p w14:paraId="08ACCF96">
            <w:pPr>
              <w:spacing w:line="440" w:lineRule="atLeast"/>
              <w:rPr>
                <w:rFonts w:ascii="仿宋_GB2312" w:hAnsi="华文仿宋" w:eastAsia="仿宋_GB2312"/>
                <w:sz w:val="24"/>
              </w:rPr>
            </w:pPr>
            <w:r>
              <w:rPr>
                <w:rFonts w:hint="eastAsia" w:ascii="仿宋_GB2312" w:eastAsia="仿宋_GB2312"/>
                <w:sz w:val="24"/>
              </w:rPr>
              <w:t>按时办理信息变更手续　　　　　　　　　　　　　　　</w:t>
            </w:r>
            <w:r>
              <w:rPr>
                <w:rFonts w:hint="eastAsia" w:ascii="仿宋_GB2312" w:hAnsi="华文仿宋" w:eastAsia="仿宋_GB2312"/>
                <w:sz w:val="24"/>
              </w:rPr>
              <w:t>□是　　　□否</w:t>
            </w:r>
          </w:p>
          <w:p w14:paraId="49A703E8">
            <w:pPr>
              <w:spacing w:line="440" w:lineRule="atLeast"/>
              <w:rPr>
                <w:rFonts w:ascii="仿宋_GB2312" w:eastAsia="仿宋_GB2312"/>
                <w:sz w:val="24"/>
              </w:rPr>
            </w:pPr>
            <w:r>
              <w:rPr>
                <w:rFonts w:hint="eastAsia" w:ascii="仿宋_GB2312" w:eastAsia="仿宋_GB2312"/>
                <w:sz w:val="24"/>
              </w:rPr>
              <w:t>按时报送诚信信息　　　　　　　　　　　　　　　　　</w:t>
            </w:r>
            <w:r>
              <w:rPr>
                <w:rFonts w:hint="eastAsia" w:ascii="仿宋_GB2312" w:hAnsi="华文仿宋" w:eastAsia="仿宋_GB2312"/>
                <w:sz w:val="24"/>
              </w:rPr>
              <w:t>□是　　　□否</w:t>
            </w:r>
          </w:p>
          <w:p w14:paraId="4714F61D">
            <w:pPr>
              <w:spacing w:line="440" w:lineRule="atLeast"/>
              <w:rPr>
                <w:rFonts w:ascii="仿宋_GB2312" w:hAnsi="华文仿宋" w:eastAsia="仿宋_GB2312"/>
                <w:sz w:val="24"/>
              </w:rPr>
            </w:pPr>
            <w:r>
              <w:rPr>
                <w:rFonts w:hint="eastAsia" w:ascii="仿宋_GB2312" w:eastAsia="仿宋_GB2312"/>
                <w:sz w:val="24"/>
              </w:rPr>
              <w:t>按时履行《章程》义务　　　　　　　　　　　　　　　</w:t>
            </w:r>
            <w:r>
              <w:rPr>
                <w:rFonts w:hint="eastAsia" w:ascii="仿宋_GB2312" w:hAnsi="华文仿宋" w:eastAsia="仿宋_GB2312"/>
                <w:sz w:val="24"/>
              </w:rPr>
              <w:t>□是　　　□否</w:t>
            </w:r>
          </w:p>
          <w:p w14:paraId="193D5A51">
            <w:pPr>
              <w:spacing w:line="440" w:lineRule="atLeast"/>
              <w:rPr>
                <w:rFonts w:ascii="仿宋_GB2312" w:eastAsia="仿宋_GB2312"/>
                <w:sz w:val="24"/>
              </w:rPr>
            </w:pPr>
            <w:r>
              <w:rPr>
                <w:rFonts w:hint="eastAsia" w:ascii="仿宋_GB2312" w:eastAsia="仿宋_GB2312"/>
                <w:sz w:val="24"/>
              </w:rPr>
              <w:t>符合在资产评估机构工作条件　　　　　　　　　　　　</w:t>
            </w:r>
            <w:r>
              <w:rPr>
                <w:rFonts w:hint="eastAsia" w:ascii="仿宋_GB2312" w:hAnsi="华文仿宋" w:eastAsia="仿宋_GB2312"/>
                <w:sz w:val="24"/>
              </w:rPr>
              <w:t>□是　　　□否</w:t>
            </w:r>
          </w:p>
        </w:tc>
      </w:tr>
      <w:tr w14:paraId="6D08C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8" w:hRule="atLeast"/>
          <w:jc w:val="center"/>
        </w:trPr>
        <w:tc>
          <w:tcPr>
            <w:tcW w:w="1709" w:type="dxa"/>
            <w:gridSpan w:val="3"/>
            <w:shd w:val="clear" w:color="auto" w:fill="auto"/>
            <w:vAlign w:val="center"/>
          </w:tcPr>
          <w:p w14:paraId="06264F9C">
            <w:pPr>
              <w:spacing w:line="440" w:lineRule="atLeast"/>
              <w:jc w:val="center"/>
              <w:rPr>
                <w:rFonts w:ascii="仿宋_GB2312" w:eastAsia="仿宋_GB2312"/>
                <w:sz w:val="24"/>
              </w:rPr>
            </w:pPr>
            <w:r>
              <w:rPr>
                <w:rFonts w:hint="eastAsia" w:ascii="仿宋_GB2312" w:eastAsia="仿宋_GB2312"/>
                <w:sz w:val="24"/>
              </w:rPr>
              <w:t>当年参与的</w:t>
            </w:r>
          </w:p>
          <w:p w14:paraId="42730075">
            <w:pPr>
              <w:spacing w:line="440" w:lineRule="atLeast"/>
              <w:jc w:val="center"/>
              <w:rPr>
                <w:rFonts w:ascii="仿宋_GB2312" w:eastAsia="仿宋_GB2312"/>
                <w:sz w:val="24"/>
              </w:rPr>
            </w:pPr>
            <w:r>
              <w:rPr>
                <w:rFonts w:hint="eastAsia" w:ascii="仿宋_GB2312" w:eastAsia="仿宋_GB2312"/>
                <w:sz w:val="24"/>
              </w:rPr>
              <w:t>主要评估项目</w:t>
            </w:r>
          </w:p>
        </w:tc>
        <w:tc>
          <w:tcPr>
            <w:tcW w:w="7023" w:type="dxa"/>
            <w:gridSpan w:val="27"/>
            <w:shd w:val="clear" w:color="auto" w:fill="auto"/>
            <w:vAlign w:val="center"/>
          </w:tcPr>
          <w:p w14:paraId="3AA2A74C">
            <w:pPr>
              <w:spacing w:line="440" w:lineRule="atLeast"/>
              <w:rPr>
                <w:rFonts w:ascii="仿宋_GB2312" w:eastAsia="仿宋_GB2312"/>
                <w:sz w:val="24"/>
              </w:rPr>
            </w:pPr>
          </w:p>
        </w:tc>
      </w:tr>
      <w:tr w14:paraId="15A2A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6" w:hRule="atLeast"/>
          <w:jc w:val="center"/>
        </w:trPr>
        <w:tc>
          <w:tcPr>
            <w:tcW w:w="1709" w:type="dxa"/>
            <w:gridSpan w:val="3"/>
            <w:shd w:val="clear" w:color="auto" w:fill="auto"/>
            <w:vAlign w:val="center"/>
          </w:tcPr>
          <w:p w14:paraId="4BFD8432">
            <w:pPr>
              <w:spacing w:line="440" w:lineRule="atLeast"/>
              <w:rPr>
                <w:rFonts w:ascii="仿宋_GB2312" w:eastAsia="仿宋_GB2312"/>
                <w:sz w:val="24"/>
              </w:rPr>
            </w:pPr>
            <w:r>
              <w:rPr>
                <w:rFonts w:hint="eastAsia" w:ascii="仿宋_GB2312" w:eastAsia="仿宋_GB2312"/>
                <w:sz w:val="24"/>
              </w:rPr>
              <w:t>当年接受继续教育情况或未参加培训原因</w:t>
            </w:r>
          </w:p>
        </w:tc>
        <w:tc>
          <w:tcPr>
            <w:tcW w:w="7023" w:type="dxa"/>
            <w:gridSpan w:val="27"/>
            <w:shd w:val="clear" w:color="auto" w:fill="auto"/>
            <w:vAlign w:val="center"/>
          </w:tcPr>
          <w:p w14:paraId="3C545C85">
            <w:pPr>
              <w:spacing w:line="440" w:lineRule="atLeast"/>
              <w:rPr>
                <w:rFonts w:ascii="仿宋_GB2312" w:eastAsia="仿宋_GB2312"/>
                <w:sz w:val="24"/>
              </w:rPr>
            </w:pPr>
          </w:p>
        </w:tc>
      </w:tr>
      <w:tr w14:paraId="5F450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8" w:hRule="atLeast"/>
          <w:jc w:val="center"/>
        </w:trPr>
        <w:tc>
          <w:tcPr>
            <w:tcW w:w="1709" w:type="dxa"/>
            <w:gridSpan w:val="3"/>
            <w:shd w:val="clear" w:color="auto" w:fill="auto"/>
            <w:vAlign w:val="center"/>
          </w:tcPr>
          <w:p w14:paraId="4D831522">
            <w:pPr>
              <w:spacing w:line="440" w:lineRule="atLeast"/>
              <w:rPr>
                <w:rFonts w:ascii="仿宋_GB2312" w:eastAsia="仿宋_GB2312"/>
                <w:sz w:val="24"/>
              </w:rPr>
            </w:pPr>
            <w:r>
              <w:rPr>
                <w:rFonts w:hint="eastAsia" w:ascii="仿宋_GB2312" w:eastAsia="仿宋_GB2312"/>
                <w:sz w:val="24"/>
              </w:rPr>
              <w:t>当年受处罚或者惩戒情况</w:t>
            </w:r>
          </w:p>
        </w:tc>
        <w:tc>
          <w:tcPr>
            <w:tcW w:w="7023" w:type="dxa"/>
            <w:gridSpan w:val="27"/>
            <w:shd w:val="clear" w:color="auto" w:fill="auto"/>
            <w:vAlign w:val="center"/>
          </w:tcPr>
          <w:p w14:paraId="6F9952EB">
            <w:pPr>
              <w:spacing w:line="440" w:lineRule="atLeast"/>
              <w:rPr>
                <w:rFonts w:ascii="仿宋_GB2312" w:eastAsia="仿宋_GB2312"/>
                <w:sz w:val="24"/>
              </w:rPr>
            </w:pPr>
          </w:p>
        </w:tc>
      </w:tr>
      <w:tr w14:paraId="2B271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36" w:hRule="atLeast"/>
          <w:jc w:val="center"/>
        </w:trPr>
        <w:tc>
          <w:tcPr>
            <w:tcW w:w="8732" w:type="dxa"/>
            <w:gridSpan w:val="30"/>
            <w:shd w:val="clear" w:color="auto" w:fill="auto"/>
            <w:vAlign w:val="center"/>
          </w:tcPr>
          <w:p w14:paraId="5B120A99">
            <w:pPr>
              <w:spacing w:line="440" w:lineRule="atLeast"/>
              <w:rPr>
                <w:rFonts w:ascii="仿宋_GB2312" w:eastAsia="仿宋_GB2312"/>
                <w:sz w:val="24"/>
              </w:rPr>
            </w:pPr>
          </w:p>
          <w:p w14:paraId="17ACADE6">
            <w:pPr>
              <w:spacing w:line="440" w:lineRule="atLeast"/>
              <w:rPr>
                <w:rFonts w:ascii="仿宋_GB2312" w:eastAsia="仿宋_GB2312"/>
                <w:b/>
                <w:sz w:val="24"/>
              </w:rPr>
            </w:pPr>
            <w:r>
              <w:rPr>
                <w:rFonts w:hint="eastAsia" w:ascii="仿宋_GB2312" w:eastAsia="仿宋_GB2312"/>
                <w:b/>
                <w:sz w:val="24"/>
              </w:rPr>
              <w:t>本人对以上所填内容的真实性承担责任。</w:t>
            </w:r>
          </w:p>
          <w:p w14:paraId="3AFDD28F">
            <w:pPr>
              <w:spacing w:line="440" w:lineRule="atLeast"/>
              <w:rPr>
                <w:rFonts w:ascii="仿宋_GB2312" w:eastAsia="仿宋_GB2312"/>
                <w:sz w:val="24"/>
              </w:rPr>
            </w:pPr>
          </w:p>
          <w:p w14:paraId="02CBFA49">
            <w:pPr>
              <w:spacing w:line="440" w:lineRule="atLeast"/>
              <w:rPr>
                <w:rFonts w:ascii="仿宋_GB2312" w:eastAsia="仿宋_GB2312"/>
                <w:sz w:val="24"/>
              </w:rPr>
            </w:pPr>
            <w:r>
              <w:rPr>
                <w:rFonts w:hint="eastAsia" w:ascii="仿宋_GB2312" w:eastAsia="仿宋_GB2312"/>
                <w:sz w:val="24"/>
              </w:rPr>
              <w:t>签字并盖章：</w:t>
            </w:r>
          </w:p>
          <w:p w14:paraId="757F5F9A">
            <w:pPr>
              <w:spacing w:line="440" w:lineRule="atLeast"/>
              <w:jc w:val="center"/>
              <w:rPr>
                <w:rFonts w:ascii="仿宋_GB2312" w:eastAsia="仿宋_GB2312"/>
                <w:b/>
                <w:sz w:val="24"/>
              </w:rPr>
            </w:pPr>
            <w:r>
              <w:rPr>
                <w:rFonts w:hint="eastAsia" w:ascii="仿宋_GB2312" w:eastAsia="仿宋_GB2312"/>
                <w:sz w:val="24"/>
              </w:rPr>
              <w:t>　　　　　　　　　　　　　　　　　　　　　年　　　　月　　　　日</w:t>
            </w:r>
          </w:p>
        </w:tc>
      </w:tr>
      <w:tr w14:paraId="3E9CE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79" w:hRule="atLeast"/>
          <w:jc w:val="center"/>
        </w:trPr>
        <w:tc>
          <w:tcPr>
            <w:tcW w:w="4185" w:type="dxa"/>
            <w:gridSpan w:val="15"/>
            <w:shd w:val="clear" w:color="auto" w:fill="auto"/>
          </w:tcPr>
          <w:p w14:paraId="142AF7D5">
            <w:pPr>
              <w:spacing w:line="440" w:lineRule="atLeast"/>
              <w:rPr>
                <w:rFonts w:ascii="仿宋_GB2312" w:eastAsia="仿宋_GB2312"/>
                <w:sz w:val="24"/>
              </w:rPr>
            </w:pPr>
          </w:p>
          <w:p w14:paraId="47F0FB0C">
            <w:pPr>
              <w:spacing w:line="440" w:lineRule="atLeast"/>
              <w:rPr>
                <w:rFonts w:ascii="仿宋_GB2312" w:eastAsia="仿宋_GB2312"/>
                <w:sz w:val="24"/>
              </w:rPr>
            </w:pPr>
            <w:r>
              <w:rPr>
                <w:rFonts w:hint="eastAsia" w:ascii="仿宋_GB2312" w:eastAsia="仿宋_GB2312"/>
                <w:sz w:val="24"/>
              </w:rPr>
              <w:t>所在资产评估机构审查意见、盖章</w:t>
            </w:r>
          </w:p>
          <w:p w14:paraId="22B51662">
            <w:pPr>
              <w:spacing w:line="440" w:lineRule="atLeast"/>
              <w:rPr>
                <w:rFonts w:ascii="仿宋_GB2312" w:eastAsia="仿宋_GB2312"/>
                <w:sz w:val="24"/>
              </w:rPr>
            </w:pPr>
          </w:p>
          <w:p w14:paraId="0A1AEF86">
            <w:pPr>
              <w:spacing w:line="440" w:lineRule="atLeast"/>
              <w:rPr>
                <w:rFonts w:ascii="仿宋_GB2312" w:eastAsia="仿宋_GB2312"/>
                <w:sz w:val="24"/>
              </w:rPr>
            </w:pPr>
            <w:r>
              <w:rPr>
                <w:rFonts w:hint="eastAsia" w:ascii="仿宋_GB2312" w:eastAsia="仿宋_GB2312"/>
                <w:sz w:val="24"/>
              </w:rPr>
              <w:t>首席合伙人（法定代表人）签字：</w:t>
            </w:r>
          </w:p>
          <w:p w14:paraId="278FBAB4">
            <w:pPr>
              <w:spacing w:line="440" w:lineRule="atLeast"/>
              <w:rPr>
                <w:rFonts w:ascii="仿宋_GB2312" w:eastAsia="仿宋_GB2312"/>
                <w:sz w:val="24"/>
              </w:rPr>
            </w:pPr>
          </w:p>
          <w:p w14:paraId="72CCFB95">
            <w:pPr>
              <w:spacing w:line="440" w:lineRule="atLeast"/>
              <w:jc w:val="right"/>
              <w:rPr>
                <w:rFonts w:ascii="仿宋_GB2312" w:eastAsia="仿宋_GB2312"/>
                <w:sz w:val="24"/>
              </w:rPr>
            </w:pPr>
            <w:r>
              <w:rPr>
                <w:rFonts w:hint="eastAsia" w:ascii="仿宋_GB2312" w:eastAsia="仿宋_GB2312"/>
                <w:sz w:val="24"/>
              </w:rPr>
              <w:t>年　　　月　　　　日</w:t>
            </w:r>
          </w:p>
        </w:tc>
        <w:tc>
          <w:tcPr>
            <w:tcW w:w="4547" w:type="dxa"/>
            <w:gridSpan w:val="15"/>
            <w:shd w:val="clear" w:color="auto" w:fill="auto"/>
          </w:tcPr>
          <w:p w14:paraId="6ECB7EDB">
            <w:pPr>
              <w:spacing w:line="440" w:lineRule="atLeast"/>
              <w:rPr>
                <w:rFonts w:ascii="仿宋_GB2312" w:eastAsia="仿宋_GB2312"/>
                <w:sz w:val="24"/>
              </w:rPr>
            </w:pPr>
          </w:p>
          <w:p w14:paraId="0DEAAD87">
            <w:pPr>
              <w:spacing w:line="440" w:lineRule="atLeast"/>
              <w:rPr>
                <w:rFonts w:ascii="仿宋_GB2312" w:eastAsia="仿宋_GB2312"/>
                <w:sz w:val="24"/>
              </w:rPr>
            </w:pPr>
            <w:r>
              <w:rPr>
                <w:rFonts w:hint="eastAsia" w:ascii="仿宋_GB2312" w:eastAsia="仿宋_GB2312"/>
                <w:sz w:val="24"/>
              </w:rPr>
              <w:t>地方协会审核意见、盖章</w:t>
            </w:r>
          </w:p>
          <w:p w14:paraId="12FAF4CC">
            <w:pPr>
              <w:spacing w:line="440" w:lineRule="atLeast"/>
              <w:rPr>
                <w:rFonts w:ascii="仿宋_GB2312" w:eastAsia="仿宋_GB2312"/>
                <w:sz w:val="24"/>
              </w:rPr>
            </w:pPr>
          </w:p>
          <w:p w14:paraId="7AC3347E">
            <w:pPr>
              <w:spacing w:line="440" w:lineRule="atLeast"/>
              <w:rPr>
                <w:rFonts w:ascii="仿宋_GB2312" w:eastAsia="仿宋_GB2312"/>
                <w:sz w:val="24"/>
              </w:rPr>
            </w:pPr>
            <w:r>
              <w:rPr>
                <w:rFonts w:hint="eastAsia" w:ascii="仿宋_GB2312" w:eastAsia="仿宋_GB2312"/>
                <w:sz w:val="24"/>
              </w:rPr>
              <w:t>经办人签字：</w:t>
            </w:r>
          </w:p>
          <w:p w14:paraId="03560AEC">
            <w:pPr>
              <w:spacing w:line="440" w:lineRule="atLeast"/>
              <w:rPr>
                <w:rFonts w:ascii="仿宋_GB2312" w:eastAsia="仿宋_GB2312"/>
                <w:sz w:val="24"/>
              </w:rPr>
            </w:pPr>
          </w:p>
          <w:p w14:paraId="2F059C26">
            <w:pPr>
              <w:spacing w:line="440" w:lineRule="atLeast"/>
              <w:jc w:val="right"/>
              <w:rPr>
                <w:rFonts w:ascii="仿宋_GB2312" w:eastAsia="仿宋_GB2312"/>
                <w:sz w:val="24"/>
              </w:rPr>
            </w:pPr>
            <w:r>
              <w:rPr>
                <w:rFonts w:hint="eastAsia" w:ascii="仿宋_GB2312" w:eastAsia="仿宋_GB2312"/>
                <w:sz w:val="24"/>
              </w:rPr>
              <w:t>年　　　　月　　　　日</w:t>
            </w:r>
          </w:p>
        </w:tc>
      </w:tr>
    </w:tbl>
    <w:p w14:paraId="56F8BB84">
      <w:pPr>
        <w:spacing w:line="440" w:lineRule="atLeast"/>
        <w:rPr>
          <w:rFonts w:ascii="仿宋_GB2312" w:eastAsia="仿宋_GB2312"/>
        </w:rPr>
        <w:sectPr>
          <w:pgSz w:w="11906" w:h="16838"/>
          <w:pgMar w:top="1440" w:right="1803" w:bottom="1440" w:left="1803" w:header="851" w:footer="992" w:gutter="0"/>
          <w:cols w:space="720" w:num="1"/>
          <w:docGrid w:type="lines" w:linePitch="319" w:charSpace="0"/>
        </w:sectPr>
      </w:pPr>
    </w:p>
    <w:p w14:paraId="45D8A52C">
      <w:pPr>
        <w:spacing w:line="440" w:lineRule="atLeast"/>
        <w:jc w:val="left"/>
        <w:rPr>
          <w:rFonts w:ascii="宋体" w:hAnsi="宋体" w:eastAsia="宋体" w:cs="宋体"/>
          <w:sz w:val="24"/>
        </w:rPr>
      </w:pPr>
      <w:r>
        <w:rPr>
          <w:rFonts w:hint="eastAsia" w:ascii="宋体" w:hAnsi="宋体" w:eastAsia="宋体" w:cs="宋体"/>
          <w:sz w:val="24"/>
        </w:rPr>
        <w:t>附件6</w:t>
      </w:r>
    </w:p>
    <w:p w14:paraId="203537E3">
      <w:pPr>
        <w:spacing w:line="440" w:lineRule="atLeast"/>
        <w:jc w:val="center"/>
        <w:rPr>
          <w:rFonts w:ascii="华文中宋" w:hAnsi="华文中宋" w:eastAsia="华文中宋"/>
          <w:b/>
          <w:sz w:val="36"/>
          <w:szCs w:val="36"/>
        </w:rPr>
      </w:pPr>
      <w:r>
        <w:rPr>
          <w:rFonts w:hint="eastAsia" w:ascii="华文中宋" w:hAnsi="华文中宋" w:eastAsia="华文中宋"/>
          <w:b/>
          <w:sz w:val="36"/>
          <w:szCs w:val="36"/>
        </w:rPr>
        <w:t>资产评估机构基本情况表</w:t>
      </w:r>
    </w:p>
    <w:p w14:paraId="7FC2A46C">
      <w:pPr>
        <w:spacing w:line="440" w:lineRule="atLeast"/>
        <w:rPr>
          <w:rFonts w:ascii="仿宋_GB2312" w:hAnsi="华文中宋" w:eastAsia="仿宋_GB2312"/>
          <w:b/>
          <w:sz w:val="36"/>
          <w:szCs w:val="36"/>
        </w:rPr>
      </w:pPr>
      <w:r>
        <w:rPr>
          <w:rFonts w:hint="eastAsia" w:ascii="仿宋_GB2312" w:hAnsi="宋体" w:eastAsia="仿宋_GB2312" w:cs="宋体"/>
          <w:kern w:val="0"/>
          <w:sz w:val="24"/>
        </w:rPr>
        <w:t>资产评估机构代码：</w:t>
      </w:r>
    </w:p>
    <w:tbl>
      <w:tblPr>
        <w:tblStyle w:val="24"/>
        <w:tblW w:w="9735"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250"/>
        <w:gridCol w:w="539"/>
        <w:gridCol w:w="6"/>
        <w:gridCol w:w="709"/>
        <w:gridCol w:w="798"/>
        <w:gridCol w:w="677"/>
        <w:gridCol w:w="11"/>
        <w:gridCol w:w="797"/>
        <w:gridCol w:w="898"/>
        <w:gridCol w:w="67"/>
        <w:gridCol w:w="365"/>
        <w:gridCol w:w="566"/>
        <w:gridCol w:w="851"/>
        <w:gridCol w:w="16"/>
        <w:gridCol w:w="942"/>
        <w:gridCol w:w="1243"/>
      </w:tblGrid>
      <w:tr w14:paraId="6772B18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2504" w:type="dxa"/>
            <w:gridSpan w:val="4"/>
            <w:tcBorders>
              <w:top w:val="single" w:color="auto" w:sz="4" w:space="0"/>
              <w:left w:val="single" w:color="auto" w:sz="4" w:space="0"/>
              <w:bottom w:val="single" w:color="auto" w:sz="4" w:space="0"/>
              <w:right w:val="single" w:color="auto" w:sz="4" w:space="0"/>
            </w:tcBorders>
            <w:vAlign w:val="center"/>
          </w:tcPr>
          <w:p w14:paraId="3B9E23C4">
            <w:pPr>
              <w:spacing w:line="440" w:lineRule="atLeast"/>
              <w:jc w:val="center"/>
              <w:rPr>
                <w:rFonts w:ascii="仿宋_GB2312" w:hAnsi="宋体" w:eastAsia="仿宋_GB2312"/>
                <w:sz w:val="24"/>
              </w:rPr>
            </w:pPr>
            <w:r>
              <w:rPr>
                <w:rFonts w:hint="eastAsia" w:ascii="仿宋_GB2312" w:hAnsi="宋体" w:eastAsia="仿宋_GB2312"/>
                <w:sz w:val="24"/>
              </w:rPr>
              <w:t>资产评估机构名称</w:t>
            </w:r>
          </w:p>
        </w:tc>
        <w:tc>
          <w:tcPr>
            <w:tcW w:w="7231" w:type="dxa"/>
            <w:gridSpan w:val="12"/>
            <w:tcBorders>
              <w:top w:val="single" w:color="auto" w:sz="4" w:space="0"/>
              <w:left w:val="single" w:color="auto" w:sz="4" w:space="0"/>
              <w:bottom w:val="single" w:color="auto" w:sz="4" w:space="0"/>
              <w:right w:val="single" w:color="auto" w:sz="4" w:space="0"/>
            </w:tcBorders>
            <w:vAlign w:val="center"/>
          </w:tcPr>
          <w:p w14:paraId="768E9EC2">
            <w:pPr>
              <w:spacing w:line="440" w:lineRule="atLeast"/>
              <w:jc w:val="center"/>
              <w:rPr>
                <w:rFonts w:ascii="仿宋_GB2312" w:hAnsi="宋体" w:eastAsia="仿宋_GB2312"/>
                <w:sz w:val="24"/>
              </w:rPr>
            </w:pPr>
            <w:r>
              <w:rPr>
                <w:rFonts w:hint="eastAsia" w:ascii="仿宋_GB2312" w:hAnsi="宋体" w:eastAsia="仿宋_GB2312"/>
              </w:rPr>
              <w:t>　</w:t>
            </w:r>
          </w:p>
          <w:p w14:paraId="650F8896">
            <w:pPr>
              <w:spacing w:line="440" w:lineRule="atLeast"/>
              <w:jc w:val="center"/>
              <w:rPr>
                <w:rFonts w:ascii="仿宋_GB2312" w:hAnsi="宋体" w:eastAsia="仿宋_GB2312"/>
                <w:sz w:val="24"/>
              </w:rPr>
            </w:pPr>
            <w:r>
              <w:rPr>
                <w:rFonts w:hint="eastAsia" w:ascii="仿宋_GB2312" w:hAnsi="宋体" w:eastAsia="仿宋_GB2312"/>
              </w:rPr>
              <w:t>　</w:t>
            </w:r>
          </w:p>
        </w:tc>
      </w:tr>
      <w:tr w14:paraId="5203BF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71" w:hRule="atLeast"/>
          <w:jc w:val="center"/>
        </w:trPr>
        <w:tc>
          <w:tcPr>
            <w:tcW w:w="1250" w:type="dxa"/>
            <w:tcBorders>
              <w:top w:val="single" w:color="auto" w:sz="4" w:space="0"/>
              <w:left w:val="single" w:color="auto" w:sz="4" w:space="0"/>
              <w:bottom w:val="single" w:color="auto" w:sz="4" w:space="0"/>
              <w:right w:val="single" w:color="auto" w:sz="4" w:space="0"/>
            </w:tcBorders>
            <w:vAlign w:val="center"/>
          </w:tcPr>
          <w:p w14:paraId="1C3413C4">
            <w:pPr>
              <w:spacing w:line="440" w:lineRule="atLeast"/>
              <w:jc w:val="center"/>
              <w:rPr>
                <w:rFonts w:ascii="仿宋_GB2312" w:hAnsi="宋体" w:eastAsia="仿宋_GB2312"/>
                <w:sz w:val="24"/>
              </w:rPr>
            </w:pPr>
            <w:r>
              <w:rPr>
                <w:rFonts w:hint="eastAsia" w:ascii="仿宋_GB2312" w:hAnsi="宋体" w:eastAsia="仿宋_GB2312"/>
                <w:sz w:val="24"/>
              </w:rPr>
              <w:t>组织形式</w:t>
            </w:r>
          </w:p>
        </w:tc>
        <w:tc>
          <w:tcPr>
            <w:tcW w:w="1254" w:type="dxa"/>
            <w:gridSpan w:val="3"/>
            <w:tcBorders>
              <w:top w:val="single" w:color="auto" w:sz="4" w:space="0"/>
              <w:left w:val="single" w:color="auto" w:sz="4" w:space="0"/>
              <w:bottom w:val="single" w:color="auto" w:sz="4" w:space="0"/>
              <w:right w:val="single" w:color="auto" w:sz="4" w:space="0"/>
            </w:tcBorders>
            <w:vAlign w:val="center"/>
          </w:tcPr>
          <w:p w14:paraId="686FF974">
            <w:pPr>
              <w:spacing w:line="440" w:lineRule="atLeast"/>
              <w:jc w:val="center"/>
              <w:rPr>
                <w:rFonts w:ascii="仿宋_GB2312" w:hAnsi="宋体" w:eastAsia="仿宋_GB2312"/>
                <w:sz w:val="24"/>
              </w:rPr>
            </w:pPr>
          </w:p>
        </w:tc>
        <w:tc>
          <w:tcPr>
            <w:tcW w:w="1475" w:type="dxa"/>
            <w:gridSpan w:val="2"/>
            <w:tcBorders>
              <w:top w:val="single" w:color="auto" w:sz="4" w:space="0"/>
              <w:left w:val="single" w:color="auto" w:sz="4" w:space="0"/>
              <w:bottom w:val="single" w:color="auto" w:sz="4" w:space="0"/>
              <w:right w:val="single" w:color="auto" w:sz="4" w:space="0"/>
            </w:tcBorders>
            <w:vAlign w:val="center"/>
          </w:tcPr>
          <w:p w14:paraId="093738C3">
            <w:pPr>
              <w:spacing w:line="440" w:lineRule="atLeast"/>
              <w:jc w:val="center"/>
              <w:rPr>
                <w:rFonts w:ascii="仿宋_GB2312" w:hAnsi="宋体" w:eastAsia="仿宋_GB2312"/>
                <w:sz w:val="24"/>
              </w:rPr>
            </w:pPr>
            <w:r>
              <w:rPr>
                <w:rFonts w:hint="eastAsia" w:ascii="仿宋_GB2312" w:hAnsi="宋体" w:eastAsia="仿宋_GB2312"/>
                <w:sz w:val="24"/>
              </w:rPr>
              <w:t>合伙人（股东）总数</w:t>
            </w:r>
          </w:p>
        </w:tc>
        <w:tc>
          <w:tcPr>
            <w:tcW w:w="1773" w:type="dxa"/>
            <w:gridSpan w:val="4"/>
            <w:tcBorders>
              <w:top w:val="single" w:color="auto" w:sz="4" w:space="0"/>
              <w:left w:val="single" w:color="auto" w:sz="4" w:space="0"/>
              <w:bottom w:val="single" w:color="auto" w:sz="4" w:space="0"/>
              <w:right w:val="single" w:color="auto" w:sz="4" w:space="0"/>
            </w:tcBorders>
            <w:vAlign w:val="center"/>
          </w:tcPr>
          <w:p w14:paraId="706DFDE5">
            <w:pPr>
              <w:spacing w:line="440" w:lineRule="atLeast"/>
              <w:jc w:val="center"/>
              <w:rPr>
                <w:rFonts w:ascii="仿宋_GB2312" w:hAnsi="宋体" w:eastAsia="仿宋_GB2312"/>
                <w:sz w:val="24"/>
              </w:rPr>
            </w:pPr>
          </w:p>
        </w:tc>
        <w:tc>
          <w:tcPr>
            <w:tcW w:w="1798" w:type="dxa"/>
            <w:gridSpan w:val="4"/>
            <w:tcBorders>
              <w:top w:val="single" w:color="auto" w:sz="4" w:space="0"/>
              <w:left w:val="single" w:color="auto" w:sz="4" w:space="0"/>
              <w:bottom w:val="single" w:color="auto" w:sz="4" w:space="0"/>
              <w:right w:val="single" w:color="auto" w:sz="4" w:space="0"/>
            </w:tcBorders>
            <w:vAlign w:val="center"/>
          </w:tcPr>
          <w:p w14:paraId="0BD58094">
            <w:pPr>
              <w:spacing w:line="440" w:lineRule="atLeast"/>
              <w:jc w:val="center"/>
              <w:rPr>
                <w:rFonts w:ascii="仿宋_GB2312" w:hAnsi="宋体" w:eastAsia="仿宋_GB2312"/>
                <w:sz w:val="24"/>
              </w:rPr>
            </w:pPr>
            <w:r>
              <w:rPr>
                <w:rFonts w:hint="eastAsia" w:ascii="仿宋_GB2312" w:hAnsi="宋体" w:eastAsia="仿宋_GB2312"/>
                <w:sz w:val="24"/>
              </w:rPr>
              <w:t>出资总额</w:t>
            </w:r>
          </w:p>
          <w:p w14:paraId="4ADC4789">
            <w:pPr>
              <w:spacing w:line="440" w:lineRule="atLeast"/>
              <w:jc w:val="center"/>
              <w:rPr>
                <w:rFonts w:ascii="仿宋_GB2312" w:hAnsi="宋体" w:eastAsia="仿宋_GB2312"/>
                <w:sz w:val="24"/>
              </w:rPr>
            </w:pPr>
            <w:r>
              <w:rPr>
                <w:rFonts w:hint="eastAsia" w:ascii="仿宋_GB2312" w:hAnsi="宋体" w:eastAsia="仿宋_GB2312"/>
                <w:sz w:val="24"/>
              </w:rPr>
              <w:t>（注册资本）</w:t>
            </w:r>
          </w:p>
        </w:tc>
        <w:tc>
          <w:tcPr>
            <w:tcW w:w="2185" w:type="dxa"/>
            <w:gridSpan w:val="2"/>
            <w:tcBorders>
              <w:top w:val="single" w:color="auto" w:sz="4" w:space="0"/>
              <w:left w:val="single" w:color="auto" w:sz="4" w:space="0"/>
              <w:bottom w:val="single" w:color="auto" w:sz="4" w:space="0"/>
              <w:right w:val="single" w:color="auto" w:sz="4" w:space="0"/>
            </w:tcBorders>
            <w:vAlign w:val="center"/>
          </w:tcPr>
          <w:p w14:paraId="655541CB">
            <w:pPr>
              <w:spacing w:line="440" w:lineRule="atLeast"/>
              <w:jc w:val="center"/>
              <w:rPr>
                <w:rFonts w:ascii="仿宋_GB2312" w:hAnsi="宋体" w:eastAsia="仿宋_GB2312"/>
                <w:sz w:val="24"/>
              </w:rPr>
            </w:pPr>
            <w:r>
              <w:rPr>
                <w:rFonts w:hint="eastAsia" w:ascii="仿宋_GB2312" w:hAnsi="宋体" w:eastAsia="仿宋_GB2312"/>
              </w:rPr>
              <w:t>　</w:t>
            </w:r>
          </w:p>
        </w:tc>
      </w:tr>
      <w:tr w14:paraId="21FBFD4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25" w:hRule="atLeast"/>
          <w:jc w:val="center"/>
        </w:trPr>
        <w:tc>
          <w:tcPr>
            <w:tcW w:w="2504" w:type="dxa"/>
            <w:gridSpan w:val="4"/>
            <w:vMerge w:val="restart"/>
            <w:tcBorders>
              <w:top w:val="single" w:color="auto" w:sz="4" w:space="0"/>
              <w:left w:val="single" w:color="auto" w:sz="4" w:space="0"/>
              <w:right w:val="single" w:color="auto" w:sz="4" w:space="0"/>
            </w:tcBorders>
            <w:vAlign w:val="center"/>
          </w:tcPr>
          <w:p w14:paraId="6C1EB35E">
            <w:pPr>
              <w:spacing w:line="440" w:lineRule="atLeast"/>
              <w:jc w:val="center"/>
              <w:rPr>
                <w:rFonts w:ascii="仿宋_GB2312" w:hAnsi="宋体" w:eastAsia="仿宋_GB2312"/>
                <w:sz w:val="24"/>
              </w:rPr>
            </w:pPr>
            <w:r>
              <w:rPr>
                <w:rFonts w:hint="eastAsia" w:ascii="仿宋_GB2312" w:hAnsi="宋体" w:eastAsia="仿宋_GB2312"/>
                <w:sz w:val="24"/>
              </w:rPr>
              <w:t>首席合伙人</w:t>
            </w:r>
          </w:p>
          <w:p w14:paraId="6CAD8C2C">
            <w:pPr>
              <w:spacing w:line="440" w:lineRule="atLeast"/>
              <w:jc w:val="center"/>
              <w:rPr>
                <w:rFonts w:ascii="仿宋_GB2312" w:hAnsi="宋体" w:eastAsia="仿宋_GB2312"/>
                <w:sz w:val="24"/>
              </w:rPr>
            </w:pPr>
            <w:r>
              <w:rPr>
                <w:rFonts w:hint="eastAsia" w:ascii="仿宋_GB2312" w:hAnsi="宋体" w:eastAsia="仿宋_GB2312"/>
                <w:sz w:val="24"/>
              </w:rPr>
              <w:t>（法定代表人）</w:t>
            </w:r>
          </w:p>
        </w:tc>
        <w:tc>
          <w:tcPr>
            <w:tcW w:w="3248" w:type="dxa"/>
            <w:gridSpan w:val="6"/>
            <w:tcBorders>
              <w:top w:val="single" w:color="auto" w:sz="4" w:space="0"/>
              <w:left w:val="single" w:color="auto" w:sz="4" w:space="0"/>
              <w:bottom w:val="single" w:color="auto" w:sz="4" w:space="0"/>
              <w:right w:val="single" w:color="auto" w:sz="4" w:space="0"/>
            </w:tcBorders>
            <w:vAlign w:val="center"/>
          </w:tcPr>
          <w:p w14:paraId="5E6C7119">
            <w:pPr>
              <w:spacing w:line="440" w:lineRule="atLeast"/>
              <w:jc w:val="center"/>
              <w:rPr>
                <w:rFonts w:ascii="仿宋_GB2312" w:hAnsi="宋体" w:eastAsia="仿宋_GB2312"/>
                <w:sz w:val="24"/>
              </w:rPr>
            </w:pPr>
            <w:r>
              <w:rPr>
                <w:rFonts w:hint="eastAsia" w:ascii="仿宋_GB2312" w:hAnsi="宋体" w:eastAsia="仿宋_GB2312"/>
                <w:sz w:val="24"/>
              </w:rPr>
              <w:t>姓　名</w:t>
            </w:r>
          </w:p>
        </w:tc>
        <w:tc>
          <w:tcPr>
            <w:tcW w:w="3983" w:type="dxa"/>
            <w:gridSpan w:val="6"/>
            <w:tcBorders>
              <w:top w:val="single" w:color="auto" w:sz="4" w:space="0"/>
              <w:left w:val="single" w:color="auto" w:sz="4" w:space="0"/>
              <w:bottom w:val="single" w:color="auto" w:sz="4" w:space="0"/>
              <w:right w:val="single" w:color="auto" w:sz="4" w:space="0"/>
            </w:tcBorders>
            <w:vAlign w:val="center"/>
          </w:tcPr>
          <w:p w14:paraId="65CBB2AE">
            <w:pPr>
              <w:spacing w:line="440" w:lineRule="atLeast"/>
              <w:jc w:val="center"/>
              <w:rPr>
                <w:rFonts w:ascii="仿宋_GB2312" w:hAnsi="宋体" w:eastAsia="仿宋_GB2312"/>
              </w:rPr>
            </w:pPr>
          </w:p>
        </w:tc>
      </w:tr>
      <w:tr w14:paraId="5E4016E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75" w:hRule="atLeast"/>
          <w:jc w:val="center"/>
        </w:trPr>
        <w:tc>
          <w:tcPr>
            <w:tcW w:w="2504" w:type="dxa"/>
            <w:gridSpan w:val="4"/>
            <w:vMerge w:val="continue"/>
            <w:tcBorders>
              <w:left w:val="single" w:color="auto" w:sz="4" w:space="0"/>
              <w:bottom w:val="single" w:color="auto" w:sz="4" w:space="0"/>
              <w:right w:val="single" w:color="auto" w:sz="4" w:space="0"/>
            </w:tcBorders>
            <w:vAlign w:val="center"/>
          </w:tcPr>
          <w:p w14:paraId="40FACBAE">
            <w:pPr>
              <w:spacing w:line="440" w:lineRule="atLeast"/>
              <w:jc w:val="center"/>
              <w:rPr>
                <w:rFonts w:ascii="仿宋_GB2312" w:hAnsi="宋体" w:eastAsia="仿宋_GB2312"/>
                <w:sz w:val="24"/>
              </w:rPr>
            </w:pPr>
          </w:p>
        </w:tc>
        <w:tc>
          <w:tcPr>
            <w:tcW w:w="3248" w:type="dxa"/>
            <w:gridSpan w:val="6"/>
            <w:tcBorders>
              <w:top w:val="single" w:color="auto" w:sz="4" w:space="0"/>
              <w:left w:val="single" w:color="auto" w:sz="4" w:space="0"/>
              <w:bottom w:val="single" w:color="auto" w:sz="4" w:space="0"/>
              <w:right w:val="single" w:color="auto" w:sz="4" w:space="0"/>
            </w:tcBorders>
            <w:vAlign w:val="center"/>
          </w:tcPr>
          <w:p w14:paraId="731D182D">
            <w:pPr>
              <w:spacing w:line="440" w:lineRule="atLeast"/>
              <w:jc w:val="center"/>
              <w:rPr>
                <w:rFonts w:ascii="仿宋_GB2312" w:hAnsi="宋体" w:eastAsia="仿宋_GB2312"/>
                <w:sz w:val="24"/>
              </w:rPr>
            </w:pPr>
            <w:r>
              <w:rPr>
                <w:rFonts w:hint="eastAsia" w:ascii="仿宋_GB2312" w:hAnsi="宋体" w:eastAsia="仿宋_GB2312"/>
                <w:sz w:val="24"/>
              </w:rPr>
              <w:t>资产评估师职业资格证书</w:t>
            </w:r>
          </w:p>
          <w:p w14:paraId="75A2BBD4">
            <w:pPr>
              <w:spacing w:line="440" w:lineRule="atLeast"/>
              <w:jc w:val="center"/>
              <w:rPr>
                <w:rFonts w:ascii="仿宋_GB2312" w:hAnsi="宋体" w:eastAsia="仿宋_GB2312"/>
                <w:sz w:val="24"/>
              </w:rPr>
            </w:pPr>
            <w:r>
              <w:rPr>
                <w:rFonts w:hint="eastAsia" w:ascii="仿宋_GB2312" w:hAnsi="宋体" w:eastAsia="仿宋_GB2312"/>
                <w:sz w:val="24"/>
              </w:rPr>
              <w:t>登记编号</w:t>
            </w:r>
          </w:p>
        </w:tc>
        <w:tc>
          <w:tcPr>
            <w:tcW w:w="3983" w:type="dxa"/>
            <w:gridSpan w:val="6"/>
            <w:tcBorders>
              <w:top w:val="single" w:color="auto" w:sz="4" w:space="0"/>
              <w:left w:val="single" w:color="auto" w:sz="4" w:space="0"/>
              <w:bottom w:val="single" w:color="auto" w:sz="4" w:space="0"/>
              <w:right w:val="single" w:color="auto" w:sz="4" w:space="0"/>
            </w:tcBorders>
            <w:vAlign w:val="center"/>
          </w:tcPr>
          <w:p w14:paraId="52998218">
            <w:pPr>
              <w:spacing w:line="440" w:lineRule="atLeast"/>
              <w:jc w:val="center"/>
              <w:rPr>
                <w:rFonts w:ascii="仿宋_GB2312" w:hAnsi="宋体" w:eastAsia="仿宋_GB2312"/>
              </w:rPr>
            </w:pPr>
          </w:p>
        </w:tc>
      </w:tr>
      <w:tr w14:paraId="5C78AF3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62" w:hRule="atLeast"/>
          <w:jc w:val="center"/>
        </w:trPr>
        <w:tc>
          <w:tcPr>
            <w:tcW w:w="3979" w:type="dxa"/>
            <w:gridSpan w:val="6"/>
            <w:tcBorders>
              <w:top w:val="single" w:color="auto" w:sz="4" w:space="0"/>
              <w:left w:val="single" w:color="auto" w:sz="4" w:space="0"/>
              <w:bottom w:val="single" w:color="auto" w:sz="4" w:space="0"/>
              <w:right w:val="single" w:color="auto" w:sz="4" w:space="0"/>
            </w:tcBorders>
            <w:vAlign w:val="center"/>
          </w:tcPr>
          <w:p w14:paraId="1AB63D86">
            <w:pPr>
              <w:spacing w:line="440" w:lineRule="atLeast"/>
              <w:jc w:val="center"/>
              <w:rPr>
                <w:rFonts w:ascii="仿宋_GB2312" w:hAnsi="宋体" w:eastAsia="仿宋_GB2312"/>
                <w:sz w:val="24"/>
              </w:rPr>
            </w:pPr>
            <w:r>
              <w:rPr>
                <w:rFonts w:hint="eastAsia" w:ascii="仿宋_GB2312" w:hAnsi="宋体" w:eastAsia="仿宋_GB2312"/>
                <w:sz w:val="24"/>
              </w:rPr>
              <w:t>资产评估师数量（不含外省市</w:t>
            </w:r>
          </w:p>
          <w:p w14:paraId="583FD31D">
            <w:pPr>
              <w:spacing w:line="440" w:lineRule="atLeast"/>
              <w:jc w:val="center"/>
              <w:rPr>
                <w:rFonts w:ascii="仿宋_GB2312" w:hAnsi="宋体" w:eastAsia="仿宋_GB2312"/>
                <w:sz w:val="24"/>
              </w:rPr>
            </w:pPr>
            <w:r>
              <w:rPr>
                <w:rFonts w:hint="eastAsia" w:ascii="仿宋_GB2312" w:hAnsi="宋体" w:eastAsia="仿宋_GB2312"/>
                <w:sz w:val="24"/>
              </w:rPr>
              <w:t>分支机构人员）</w:t>
            </w:r>
          </w:p>
        </w:tc>
        <w:tc>
          <w:tcPr>
            <w:tcW w:w="1773" w:type="dxa"/>
            <w:gridSpan w:val="4"/>
            <w:tcBorders>
              <w:top w:val="single" w:color="auto" w:sz="4" w:space="0"/>
              <w:left w:val="single" w:color="auto" w:sz="4" w:space="0"/>
              <w:bottom w:val="single" w:color="auto" w:sz="4" w:space="0"/>
              <w:right w:val="single" w:color="auto" w:sz="4" w:space="0"/>
            </w:tcBorders>
            <w:vAlign w:val="center"/>
          </w:tcPr>
          <w:p w14:paraId="603F8867">
            <w:pPr>
              <w:spacing w:line="440" w:lineRule="atLeast"/>
              <w:jc w:val="center"/>
              <w:rPr>
                <w:rFonts w:ascii="仿宋_GB2312" w:hAnsi="宋体" w:eastAsia="仿宋_GB2312"/>
                <w:sz w:val="24"/>
              </w:rPr>
            </w:pPr>
          </w:p>
        </w:tc>
        <w:tc>
          <w:tcPr>
            <w:tcW w:w="1798" w:type="dxa"/>
            <w:gridSpan w:val="4"/>
            <w:tcBorders>
              <w:top w:val="single" w:color="auto" w:sz="4" w:space="0"/>
              <w:left w:val="single" w:color="auto" w:sz="4" w:space="0"/>
              <w:bottom w:val="single" w:color="auto" w:sz="4" w:space="0"/>
              <w:right w:val="single" w:color="auto" w:sz="4" w:space="0"/>
            </w:tcBorders>
            <w:vAlign w:val="center"/>
          </w:tcPr>
          <w:p w14:paraId="48466883">
            <w:pPr>
              <w:spacing w:line="440" w:lineRule="atLeast"/>
              <w:jc w:val="center"/>
              <w:rPr>
                <w:rFonts w:ascii="仿宋_GB2312" w:hAnsi="宋体" w:eastAsia="仿宋_GB2312"/>
                <w:sz w:val="24"/>
              </w:rPr>
            </w:pPr>
            <w:r>
              <w:rPr>
                <w:rFonts w:hint="eastAsia" w:ascii="仿宋_GB2312" w:hAnsi="宋体" w:eastAsia="仿宋_GB2312"/>
                <w:sz w:val="24"/>
              </w:rPr>
              <w:t>非评股东（合伙人）姓名</w:t>
            </w:r>
          </w:p>
        </w:tc>
        <w:tc>
          <w:tcPr>
            <w:tcW w:w="2185" w:type="dxa"/>
            <w:gridSpan w:val="2"/>
            <w:tcBorders>
              <w:top w:val="single" w:color="auto" w:sz="4" w:space="0"/>
              <w:left w:val="single" w:color="auto" w:sz="4" w:space="0"/>
              <w:bottom w:val="single" w:color="auto" w:sz="4" w:space="0"/>
              <w:right w:val="single" w:color="auto" w:sz="4" w:space="0"/>
            </w:tcBorders>
            <w:vAlign w:val="center"/>
          </w:tcPr>
          <w:p w14:paraId="24D05C54">
            <w:pPr>
              <w:spacing w:line="440" w:lineRule="atLeast"/>
              <w:jc w:val="center"/>
              <w:rPr>
                <w:rFonts w:ascii="仿宋_GB2312" w:hAnsi="宋体" w:eastAsia="仿宋_GB2312"/>
                <w:sz w:val="24"/>
              </w:rPr>
            </w:pPr>
            <w:r>
              <w:rPr>
                <w:rFonts w:hint="eastAsia" w:ascii="仿宋_GB2312" w:hAnsi="宋体" w:eastAsia="仿宋_GB2312"/>
                <w:sz w:val="24"/>
              </w:rPr>
              <w:t>　</w:t>
            </w:r>
          </w:p>
        </w:tc>
      </w:tr>
      <w:tr w14:paraId="15E40D8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789" w:type="dxa"/>
            <w:gridSpan w:val="2"/>
            <w:tcBorders>
              <w:top w:val="single" w:color="auto" w:sz="4" w:space="0"/>
              <w:left w:val="single" w:color="auto" w:sz="4" w:space="0"/>
              <w:bottom w:val="single" w:color="auto" w:sz="4" w:space="0"/>
              <w:right w:val="single" w:color="auto" w:sz="4" w:space="0"/>
            </w:tcBorders>
            <w:vAlign w:val="center"/>
          </w:tcPr>
          <w:p w14:paraId="0E2B5DE2">
            <w:pPr>
              <w:spacing w:line="440" w:lineRule="atLeast"/>
              <w:jc w:val="center"/>
              <w:rPr>
                <w:rFonts w:ascii="仿宋_GB2312" w:hAnsi="宋体" w:eastAsia="仿宋_GB2312"/>
                <w:sz w:val="24"/>
              </w:rPr>
            </w:pPr>
            <w:r>
              <w:rPr>
                <w:rFonts w:hint="eastAsia" w:ascii="仿宋_GB2312" w:hAnsi="宋体" w:eastAsia="仿宋_GB2312"/>
                <w:sz w:val="24"/>
              </w:rPr>
              <w:t>办公场所</w:t>
            </w:r>
          </w:p>
        </w:tc>
        <w:tc>
          <w:tcPr>
            <w:tcW w:w="2201" w:type="dxa"/>
            <w:gridSpan w:val="5"/>
            <w:tcBorders>
              <w:top w:val="single" w:color="auto" w:sz="4" w:space="0"/>
              <w:left w:val="single" w:color="auto" w:sz="4" w:space="0"/>
              <w:bottom w:val="single" w:color="auto" w:sz="4" w:space="0"/>
              <w:right w:val="single" w:color="auto" w:sz="4" w:space="0"/>
            </w:tcBorders>
            <w:vAlign w:val="center"/>
          </w:tcPr>
          <w:p w14:paraId="65460E2B">
            <w:pPr>
              <w:spacing w:line="440" w:lineRule="atLeast"/>
              <w:jc w:val="center"/>
              <w:rPr>
                <w:rFonts w:ascii="仿宋_GB2312" w:hAnsi="宋体" w:eastAsia="仿宋_GB2312"/>
                <w:sz w:val="24"/>
              </w:rPr>
            </w:pPr>
          </w:p>
        </w:tc>
        <w:tc>
          <w:tcPr>
            <w:tcW w:w="3544" w:type="dxa"/>
            <w:gridSpan w:val="6"/>
            <w:tcBorders>
              <w:top w:val="single" w:color="auto" w:sz="4" w:space="0"/>
              <w:left w:val="single" w:color="auto" w:sz="4" w:space="0"/>
              <w:bottom w:val="single" w:color="auto" w:sz="4" w:space="0"/>
              <w:right w:val="single" w:color="auto" w:sz="4" w:space="0"/>
            </w:tcBorders>
            <w:vAlign w:val="center"/>
          </w:tcPr>
          <w:p w14:paraId="4067FBF8">
            <w:pPr>
              <w:spacing w:line="440" w:lineRule="atLeast"/>
              <w:jc w:val="center"/>
              <w:rPr>
                <w:rFonts w:ascii="仿宋_GB2312" w:hAnsi="宋体" w:eastAsia="仿宋_GB2312"/>
                <w:sz w:val="24"/>
              </w:rPr>
            </w:pPr>
            <w:r>
              <w:rPr>
                <w:rFonts w:hint="eastAsia" w:ascii="仿宋_GB2312" w:hAnsi="宋体" w:eastAsia="仿宋_GB2312"/>
                <w:sz w:val="24"/>
              </w:rPr>
              <w:t>成立日期及批准文号</w:t>
            </w:r>
          </w:p>
        </w:tc>
        <w:tc>
          <w:tcPr>
            <w:tcW w:w="2201" w:type="dxa"/>
            <w:gridSpan w:val="3"/>
            <w:tcBorders>
              <w:top w:val="single" w:color="auto" w:sz="4" w:space="0"/>
              <w:left w:val="single" w:color="auto" w:sz="4" w:space="0"/>
              <w:bottom w:val="single" w:color="auto" w:sz="4" w:space="0"/>
              <w:right w:val="single" w:color="auto" w:sz="4" w:space="0"/>
            </w:tcBorders>
            <w:vAlign w:val="center"/>
          </w:tcPr>
          <w:p w14:paraId="6F53227A">
            <w:pPr>
              <w:spacing w:line="440" w:lineRule="atLeast"/>
              <w:jc w:val="center"/>
              <w:rPr>
                <w:rFonts w:ascii="仿宋_GB2312" w:hAnsi="宋体" w:eastAsia="仿宋_GB2312"/>
                <w:sz w:val="24"/>
              </w:rPr>
            </w:pPr>
          </w:p>
        </w:tc>
      </w:tr>
      <w:tr w14:paraId="56D2F2E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8" w:hRule="atLeast"/>
          <w:jc w:val="center"/>
        </w:trPr>
        <w:tc>
          <w:tcPr>
            <w:tcW w:w="1789" w:type="dxa"/>
            <w:gridSpan w:val="2"/>
            <w:tcBorders>
              <w:top w:val="single" w:color="auto" w:sz="4" w:space="0"/>
              <w:left w:val="single" w:color="auto" w:sz="4" w:space="0"/>
              <w:bottom w:val="single" w:color="auto" w:sz="4" w:space="0"/>
              <w:right w:val="single" w:color="auto" w:sz="4" w:space="0"/>
            </w:tcBorders>
            <w:vAlign w:val="center"/>
          </w:tcPr>
          <w:p w14:paraId="54BEFDAA">
            <w:pPr>
              <w:spacing w:line="440" w:lineRule="atLeast"/>
              <w:jc w:val="center"/>
              <w:rPr>
                <w:rFonts w:ascii="仿宋_GB2312" w:hAnsi="宋体" w:eastAsia="仿宋_GB2312"/>
                <w:sz w:val="24"/>
              </w:rPr>
            </w:pPr>
            <w:r>
              <w:rPr>
                <w:rFonts w:hint="eastAsia" w:ascii="仿宋_GB2312" w:hAnsi="宋体" w:eastAsia="仿宋_GB2312"/>
                <w:sz w:val="24"/>
              </w:rPr>
              <w:t>通讯地址</w:t>
            </w:r>
          </w:p>
        </w:tc>
        <w:tc>
          <w:tcPr>
            <w:tcW w:w="4894" w:type="dxa"/>
            <w:gridSpan w:val="10"/>
            <w:tcBorders>
              <w:top w:val="single" w:color="auto" w:sz="4" w:space="0"/>
              <w:left w:val="single" w:color="auto" w:sz="4" w:space="0"/>
              <w:bottom w:val="single" w:color="auto" w:sz="4" w:space="0"/>
              <w:right w:val="single" w:color="auto" w:sz="4" w:space="0"/>
            </w:tcBorders>
            <w:vAlign w:val="center"/>
          </w:tcPr>
          <w:p w14:paraId="616F490C">
            <w:pPr>
              <w:spacing w:line="440" w:lineRule="atLeast"/>
              <w:jc w:val="center"/>
              <w:rPr>
                <w:rFonts w:ascii="仿宋_GB2312" w:hAnsi="宋体" w:eastAsia="仿宋_GB2312"/>
                <w:sz w:val="24"/>
              </w:rPr>
            </w:pPr>
            <w:r>
              <w:rPr>
                <w:rFonts w:hint="eastAsia" w:ascii="仿宋_GB2312" w:hAnsi="宋体" w:eastAsia="仿宋_GB2312"/>
              </w:rPr>
              <w:t>　</w:t>
            </w:r>
          </w:p>
        </w:tc>
        <w:tc>
          <w:tcPr>
            <w:tcW w:w="851" w:type="dxa"/>
            <w:tcBorders>
              <w:top w:val="single" w:color="auto" w:sz="4" w:space="0"/>
              <w:left w:val="single" w:color="auto" w:sz="4" w:space="0"/>
              <w:bottom w:val="single" w:color="auto" w:sz="4" w:space="0"/>
              <w:right w:val="single" w:color="auto" w:sz="4" w:space="0"/>
            </w:tcBorders>
            <w:vAlign w:val="center"/>
          </w:tcPr>
          <w:p w14:paraId="7DB60FA9">
            <w:pPr>
              <w:spacing w:line="440" w:lineRule="atLeast"/>
              <w:jc w:val="center"/>
              <w:rPr>
                <w:rFonts w:ascii="仿宋_GB2312" w:hAnsi="宋体" w:eastAsia="仿宋_GB2312"/>
                <w:sz w:val="24"/>
              </w:rPr>
            </w:pPr>
            <w:r>
              <w:rPr>
                <w:rFonts w:hint="eastAsia" w:ascii="仿宋_GB2312" w:hAnsi="宋体" w:eastAsia="仿宋_GB2312"/>
                <w:sz w:val="24"/>
              </w:rPr>
              <w:t>邮编</w:t>
            </w:r>
          </w:p>
        </w:tc>
        <w:tc>
          <w:tcPr>
            <w:tcW w:w="2201" w:type="dxa"/>
            <w:gridSpan w:val="3"/>
            <w:tcBorders>
              <w:top w:val="single" w:color="auto" w:sz="4" w:space="0"/>
              <w:left w:val="single" w:color="auto" w:sz="4" w:space="0"/>
              <w:bottom w:val="single" w:color="auto" w:sz="4" w:space="0"/>
              <w:right w:val="single" w:color="auto" w:sz="4" w:space="0"/>
            </w:tcBorders>
            <w:vAlign w:val="center"/>
          </w:tcPr>
          <w:p w14:paraId="26E76279">
            <w:pPr>
              <w:spacing w:line="440" w:lineRule="atLeast"/>
              <w:jc w:val="center"/>
              <w:rPr>
                <w:rFonts w:ascii="仿宋_GB2312" w:hAnsi="宋体" w:eastAsia="仿宋_GB2312"/>
                <w:sz w:val="24"/>
              </w:rPr>
            </w:pPr>
            <w:r>
              <w:rPr>
                <w:rFonts w:hint="eastAsia" w:ascii="仿宋_GB2312" w:hAnsi="宋体" w:eastAsia="仿宋_GB2312"/>
              </w:rPr>
              <w:t>　</w:t>
            </w:r>
          </w:p>
        </w:tc>
      </w:tr>
      <w:tr w14:paraId="6C76965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6" w:hRule="atLeast"/>
          <w:jc w:val="center"/>
        </w:trPr>
        <w:tc>
          <w:tcPr>
            <w:tcW w:w="1789" w:type="dxa"/>
            <w:gridSpan w:val="2"/>
            <w:tcBorders>
              <w:top w:val="single" w:color="auto" w:sz="4" w:space="0"/>
              <w:left w:val="single" w:color="auto" w:sz="4" w:space="0"/>
              <w:bottom w:val="single" w:color="auto" w:sz="4" w:space="0"/>
              <w:right w:val="single" w:color="auto" w:sz="4" w:space="0"/>
            </w:tcBorders>
            <w:vAlign w:val="center"/>
          </w:tcPr>
          <w:p w14:paraId="388D7D93">
            <w:pPr>
              <w:spacing w:line="440" w:lineRule="atLeast"/>
              <w:jc w:val="center"/>
              <w:rPr>
                <w:rFonts w:ascii="仿宋_GB2312" w:hAnsi="宋体" w:eastAsia="仿宋_GB2312"/>
                <w:sz w:val="24"/>
              </w:rPr>
            </w:pPr>
            <w:r>
              <w:rPr>
                <w:rFonts w:hint="eastAsia" w:ascii="仿宋_GB2312" w:hAnsi="宋体" w:eastAsia="仿宋_GB2312"/>
                <w:sz w:val="24"/>
              </w:rPr>
              <w:t>联　系　人</w:t>
            </w:r>
          </w:p>
        </w:tc>
        <w:tc>
          <w:tcPr>
            <w:tcW w:w="2190" w:type="dxa"/>
            <w:gridSpan w:val="4"/>
            <w:tcBorders>
              <w:top w:val="single" w:color="auto" w:sz="4" w:space="0"/>
              <w:left w:val="single" w:color="auto" w:sz="4" w:space="0"/>
              <w:bottom w:val="single" w:color="auto" w:sz="4" w:space="0"/>
              <w:right w:val="single" w:color="auto" w:sz="4" w:space="0"/>
            </w:tcBorders>
            <w:vAlign w:val="center"/>
          </w:tcPr>
          <w:p w14:paraId="4D833975">
            <w:pPr>
              <w:spacing w:line="440" w:lineRule="atLeast"/>
              <w:jc w:val="center"/>
              <w:rPr>
                <w:rFonts w:ascii="仿宋_GB2312" w:hAnsi="宋体" w:eastAsia="仿宋_GB2312"/>
                <w:sz w:val="24"/>
              </w:rPr>
            </w:pPr>
          </w:p>
        </w:tc>
        <w:tc>
          <w:tcPr>
            <w:tcW w:w="1706" w:type="dxa"/>
            <w:gridSpan w:val="3"/>
            <w:tcBorders>
              <w:top w:val="single" w:color="auto" w:sz="4" w:space="0"/>
              <w:left w:val="single" w:color="auto" w:sz="4" w:space="0"/>
              <w:bottom w:val="single" w:color="auto" w:sz="4" w:space="0"/>
              <w:right w:val="single" w:color="auto" w:sz="4" w:space="0"/>
            </w:tcBorders>
            <w:vAlign w:val="center"/>
          </w:tcPr>
          <w:p w14:paraId="6F027690">
            <w:pPr>
              <w:spacing w:line="440" w:lineRule="atLeast"/>
              <w:jc w:val="center"/>
              <w:rPr>
                <w:rFonts w:ascii="仿宋_GB2312" w:hAnsi="宋体" w:eastAsia="仿宋_GB2312"/>
                <w:sz w:val="24"/>
              </w:rPr>
            </w:pPr>
            <w:r>
              <w:rPr>
                <w:rFonts w:hint="eastAsia" w:ascii="仿宋_GB2312" w:hAnsi="宋体" w:eastAsia="仿宋_GB2312"/>
                <w:sz w:val="24"/>
              </w:rPr>
              <w:t>电子信箱</w:t>
            </w:r>
          </w:p>
        </w:tc>
        <w:tc>
          <w:tcPr>
            <w:tcW w:w="4050" w:type="dxa"/>
            <w:gridSpan w:val="7"/>
            <w:tcBorders>
              <w:top w:val="single" w:color="auto" w:sz="4" w:space="0"/>
              <w:left w:val="single" w:color="auto" w:sz="4" w:space="0"/>
              <w:bottom w:val="single" w:color="auto" w:sz="4" w:space="0"/>
              <w:right w:val="single" w:color="auto" w:sz="4" w:space="0"/>
            </w:tcBorders>
            <w:vAlign w:val="center"/>
          </w:tcPr>
          <w:p w14:paraId="73939638">
            <w:pPr>
              <w:spacing w:line="440" w:lineRule="atLeast"/>
              <w:jc w:val="center"/>
              <w:rPr>
                <w:rFonts w:ascii="仿宋_GB2312" w:hAnsi="宋体" w:eastAsia="仿宋_GB2312"/>
                <w:sz w:val="24"/>
              </w:rPr>
            </w:pPr>
            <w:r>
              <w:rPr>
                <w:rFonts w:hint="eastAsia" w:ascii="仿宋_GB2312" w:hAnsi="宋体" w:eastAsia="仿宋_GB2312"/>
              </w:rPr>
              <w:t>　</w:t>
            </w:r>
          </w:p>
        </w:tc>
      </w:tr>
      <w:tr w14:paraId="2A5A872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38" w:hRule="atLeast"/>
          <w:jc w:val="center"/>
        </w:trPr>
        <w:tc>
          <w:tcPr>
            <w:tcW w:w="1789" w:type="dxa"/>
            <w:gridSpan w:val="2"/>
            <w:tcBorders>
              <w:top w:val="single" w:color="auto" w:sz="4" w:space="0"/>
              <w:left w:val="single" w:color="auto" w:sz="4" w:space="0"/>
              <w:bottom w:val="single" w:color="auto" w:sz="4" w:space="0"/>
              <w:right w:val="single" w:color="auto" w:sz="4" w:space="0"/>
            </w:tcBorders>
            <w:vAlign w:val="center"/>
          </w:tcPr>
          <w:p w14:paraId="205C570D">
            <w:pPr>
              <w:spacing w:line="440" w:lineRule="atLeast"/>
              <w:jc w:val="center"/>
              <w:rPr>
                <w:rFonts w:ascii="仿宋_GB2312" w:hAnsi="宋体" w:eastAsia="仿宋_GB2312"/>
                <w:sz w:val="24"/>
              </w:rPr>
            </w:pPr>
            <w:r>
              <w:rPr>
                <w:rFonts w:hint="eastAsia" w:ascii="仿宋_GB2312" w:hAnsi="宋体" w:eastAsia="仿宋_GB2312"/>
                <w:sz w:val="24"/>
              </w:rPr>
              <w:t>联系方式</w:t>
            </w:r>
          </w:p>
        </w:tc>
        <w:tc>
          <w:tcPr>
            <w:tcW w:w="1513" w:type="dxa"/>
            <w:gridSpan w:val="3"/>
            <w:tcBorders>
              <w:top w:val="single" w:color="auto" w:sz="4" w:space="0"/>
              <w:left w:val="single" w:color="auto" w:sz="4" w:space="0"/>
              <w:bottom w:val="single" w:color="auto" w:sz="4" w:space="0"/>
              <w:right w:val="single" w:color="auto" w:sz="4" w:space="0"/>
            </w:tcBorders>
            <w:vAlign w:val="center"/>
          </w:tcPr>
          <w:p w14:paraId="2C6305A5">
            <w:pPr>
              <w:spacing w:line="440" w:lineRule="atLeast"/>
              <w:jc w:val="center"/>
              <w:rPr>
                <w:rFonts w:ascii="仿宋_GB2312" w:hAnsi="宋体" w:eastAsia="仿宋_GB2312"/>
                <w:sz w:val="24"/>
              </w:rPr>
            </w:pPr>
            <w:r>
              <w:rPr>
                <w:rFonts w:hint="eastAsia" w:ascii="仿宋_GB2312" w:hAnsi="宋体" w:eastAsia="仿宋_GB2312"/>
                <w:sz w:val="24"/>
              </w:rPr>
              <w:t>办公</w:t>
            </w:r>
          </w:p>
          <w:p w14:paraId="221C59B5">
            <w:pPr>
              <w:spacing w:line="440" w:lineRule="atLeast"/>
              <w:jc w:val="center"/>
              <w:rPr>
                <w:rFonts w:ascii="仿宋_GB2312" w:hAnsi="宋体" w:eastAsia="仿宋_GB2312"/>
                <w:sz w:val="24"/>
              </w:rPr>
            </w:pPr>
            <w:r>
              <w:rPr>
                <w:rFonts w:hint="eastAsia" w:ascii="仿宋_GB2312" w:hAnsi="宋体" w:eastAsia="仿宋_GB2312"/>
                <w:sz w:val="24"/>
              </w:rPr>
              <w:t>电话</w:t>
            </w:r>
          </w:p>
        </w:tc>
        <w:tc>
          <w:tcPr>
            <w:tcW w:w="1485" w:type="dxa"/>
            <w:gridSpan w:val="3"/>
            <w:tcBorders>
              <w:top w:val="single" w:color="auto" w:sz="4" w:space="0"/>
              <w:left w:val="single" w:color="auto" w:sz="4" w:space="0"/>
              <w:bottom w:val="single" w:color="auto" w:sz="4" w:space="0"/>
              <w:right w:val="single" w:color="auto" w:sz="4" w:space="0"/>
            </w:tcBorders>
            <w:vAlign w:val="center"/>
          </w:tcPr>
          <w:p w14:paraId="15C8A61C">
            <w:pPr>
              <w:spacing w:line="440" w:lineRule="atLeast"/>
              <w:jc w:val="center"/>
              <w:rPr>
                <w:rFonts w:ascii="仿宋_GB2312" w:hAnsi="宋体" w:eastAsia="仿宋_GB2312"/>
                <w:sz w:val="24"/>
              </w:rPr>
            </w:pPr>
          </w:p>
        </w:tc>
        <w:tc>
          <w:tcPr>
            <w:tcW w:w="898" w:type="dxa"/>
            <w:tcBorders>
              <w:top w:val="single" w:color="auto" w:sz="4" w:space="0"/>
              <w:left w:val="single" w:color="auto" w:sz="4" w:space="0"/>
              <w:bottom w:val="single" w:color="auto" w:sz="4" w:space="0"/>
              <w:right w:val="single" w:color="auto" w:sz="4" w:space="0"/>
            </w:tcBorders>
            <w:vAlign w:val="center"/>
          </w:tcPr>
          <w:p w14:paraId="649B2139">
            <w:pPr>
              <w:spacing w:line="440" w:lineRule="atLeast"/>
              <w:jc w:val="center"/>
              <w:rPr>
                <w:rFonts w:ascii="仿宋_GB2312" w:hAnsi="宋体" w:eastAsia="仿宋_GB2312"/>
                <w:sz w:val="24"/>
              </w:rPr>
            </w:pPr>
            <w:r>
              <w:rPr>
                <w:rFonts w:hint="eastAsia" w:ascii="仿宋_GB2312" w:hAnsi="宋体" w:eastAsia="仿宋_GB2312"/>
                <w:sz w:val="24"/>
              </w:rPr>
              <w:t>移动</w:t>
            </w:r>
          </w:p>
          <w:p w14:paraId="2CDB56D0">
            <w:pPr>
              <w:spacing w:line="440" w:lineRule="atLeast"/>
              <w:jc w:val="center"/>
              <w:rPr>
                <w:rFonts w:ascii="仿宋_GB2312" w:hAnsi="宋体" w:eastAsia="仿宋_GB2312"/>
                <w:sz w:val="24"/>
              </w:rPr>
            </w:pPr>
            <w:r>
              <w:rPr>
                <w:rFonts w:hint="eastAsia" w:ascii="仿宋_GB2312" w:hAnsi="宋体" w:eastAsia="仿宋_GB2312"/>
                <w:sz w:val="24"/>
              </w:rPr>
              <w:t>电话</w:t>
            </w:r>
          </w:p>
        </w:tc>
        <w:tc>
          <w:tcPr>
            <w:tcW w:w="1849" w:type="dxa"/>
            <w:gridSpan w:val="4"/>
            <w:tcBorders>
              <w:top w:val="single" w:color="auto" w:sz="4" w:space="0"/>
              <w:left w:val="single" w:color="auto" w:sz="4" w:space="0"/>
              <w:bottom w:val="single" w:color="auto" w:sz="4" w:space="0"/>
              <w:right w:val="single" w:color="auto" w:sz="4" w:space="0"/>
            </w:tcBorders>
            <w:vAlign w:val="center"/>
          </w:tcPr>
          <w:p w14:paraId="59E0C820">
            <w:pPr>
              <w:spacing w:line="440" w:lineRule="atLeast"/>
              <w:jc w:val="center"/>
              <w:rPr>
                <w:rFonts w:ascii="仿宋_GB2312" w:hAnsi="宋体" w:eastAsia="仿宋_GB2312"/>
                <w:sz w:val="24"/>
              </w:rPr>
            </w:pPr>
          </w:p>
        </w:tc>
        <w:tc>
          <w:tcPr>
            <w:tcW w:w="958" w:type="dxa"/>
            <w:gridSpan w:val="2"/>
            <w:tcBorders>
              <w:top w:val="single" w:color="auto" w:sz="4" w:space="0"/>
              <w:left w:val="single" w:color="auto" w:sz="4" w:space="0"/>
              <w:bottom w:val="single" w:color="auto" w:sz="4" w:space="0"/>
              <w:right w:val="single" w:color="auto" w:sz="4" w:space="0"/>
            </w:tcBorders>
            <w:vAlign w:val="center"/>
          </w:tcPr>
          <w:p w14:paraId="1D269289">
            <w:pPr>
              <w:spacing w:line="440" w:lineRule="atLeast"/>
              <w:jc w:val="center"/>
              <w:rPr>
                <w:rFonts w:ascii="仿宋_GB2312" w:hAnsi="宋体" w:eastAsia="仿宋_GB2312"/>
                <w:sz w:val="24"/>
              </w:rPr>
            </w:pPr>
            <w:r>
              <w:rPr>
                <w:rFonts w:hint="eastAsia" w:ascii="仿宋_GB2312" w:hAnsi="宋体" w:eastAsia="仿宋_GB2312"/>
                <w:sz w:val="24"/>
              </w:rPr>
              <w:t>传真</w:t>
            </w:r>
          </w:p>
        </w:tc>
        <w:tc>
          <w:tcPr>
            <w:tcW w:w="1243" w:type="dxa"/>
            <w:tcBorders>
              <w:top w:val="single" w:color="auto" w:sz="4" w:space="0"/>
              <w:left w:val="single" w:color="auto" w:sz="4" w:space="0"/>
              <w:bottom w:val="single" w:color="auto" w:sz="4" w:space="0"/>
              <w:right w:val="single" w:color="auto" w:sz="4" w:space="0"/>
            </w:tcBorders>
            <w:vAlign w:val="center"/>
          </w:tcPr>
          <w:p w14:paraId="3D06D267">
            <w:pPr>
              <w:spacing w:line="440" w:lineRule="atLeast"/>
              <w:jc w:val="center"/>
              <w:rPr>
                <w:rFonts w:ascii="仿宋_GB2312" w:hAnsi="宋体" w:eastAsia="仿宋_GB2312"/>
                <w:sz w:val="24"/>
              </w:rPr>
            </w:pPr>
          </w:p>
        </w:tc>
      </w:tr>
      <w:tr w14:paraId="0315923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97" w:hRule="atLeast"/>
          <w:jc w:val="center"/>
        </w:trPr>
        <w:tc>
          <w:tcPr>
            <w:tcW w:w="9735" w:type="dxa"/>
            <w:gridSpan w:val="16"/>
            <w:tcBorders>
              <w:top w:val="single" w:color="auto" w:sz="4" w:space="0"/>
              <w:left w:val="single" w:color="auto" w:sz="4" w:space="0"/>
              <w:right w:val="single" w:color="auto" w:sz="4" w:space="0"/>
            </w:tcBorders>
            <w:vAlign w:val="center"/>
          </w:tcPr>
          <w:p w14:paraId="0E646668">
            <w:pPr>
              <w:spacing w:line="440" w:lineRule="atLeast"/>
              <w:jc w:val="center"/>
              <w:rPr>
                <w:rFonts w:ascii="仿宋_GB2312" w:hAnsi="宋体" w:eastAsia="仿宋_GB2312"/>
                <w:sz w:val="24"/>
              </w:rPr>
            </w:pPr>
            <w:r>
              <w:rPr>
                <w:rFonts w:hint="eastAsia" w:ascii="仿宋_GB2312" w:hAnsi="宋体" w:eastAsia="仿宋_GB2312"/>
                <w:sz w:val="24"/>
              </w:rPr>
              <w:t>分支机构情况</w:t>
            </w:r>
          </w:p>
        </w:tc>
      </w:tr>
      <w:tr w14:paraId="0C2043E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5" w:hRule="atLeast"/>
          <w:jc w:val="center"/>
        </w:trPr>
        <w:tc>
          <w:tcPr>
            <w:tcW w:w="2504" w:type="dxa"/>
            <w:gridSpan w:val="4"/>
            <w:tcBorders>
              <w:top w:val="single" w:color="auto" w:sz="4" w:space="0"/>
              <w:left w:val="single" w:color="auto" w:sz="4" w:space="0"/>
              <w:right w:val="single" w:color="auto" w:sz="4" w:space="0"/>
            </w:tcBorders>
            <w:vAlign w:val="center"/>
          </w:tcPr>
          <w:p w14:paraId="674343A7">
            <w:pPr>
              <w:spacing w:line="440" w:lineRule="atLeast"/>
              <w:jc w:val="center"/>
              <w:rPr>
                <w:rFonts w:ascii="仿宋_GB2312" w:hAnsi="宋体" w:eastAsia="仿宋_GB2312"/>
                <w:sz w:val="24"/>
              </w:rPr>
            </w:pPr>
            <w:r>
              <w:rPr>
                <w:rFonts w:hint="eastAsia" w:ascii="仿宋_GB2312" w:hAnsi="宋体" w:eastAsia="仿宋_GB2312"/>
                <w:sz w:val="24"/>
              </w:rPr>
              <w:t>名称</w:t>
            </w:r>
          </w:p>
        </w:tc>
        <w:tc>
          <w:tcPr>
            <w:tcW w:w="3613" w:type="dxa"/>
            <w:gridSpan w:val="7"/>
            <w:tcBorders>
              <w:top w:val="single" w:color="auto" w:sz="4" w:space="0"/>
              <w:left w:val="single" w:color="auto" w:sz="4" w:space="0"/>
              <w:right w:val="single" w:color="auto" w:sz="4" w:space="0"/>
            </w:tcBorders>
            <w:vAlign w:val="center"/>
          </w:tcPr>
          <w:p w14:paraId="53A691DC">
            <w:pPr>
              <w:spacing w:line="440" w:lineRule="atLeast"/>
              <w:jc w:val="center"/>
              <w:rPr>
                <w:rFonts w:ascii="仿宋_GB2312" w:hAnsi="宋体" w:eastAsia="仿宋_GB2312"/>
                <w:sz w:val="24"/>
              </w:rPr>
            </w:pPr>
            <w:r>
              <w:rPr>
                <w:rFonts w:hint="eastAsia" w:ascii="仿宋_GB2312" w:hAnsi="宋体" w:eastAsia="仿宋_GB2312"/>
                <w:sz w:val="24"/>
              </w:rPr>
              <w:t>所在地</w:t>
            </w:r>
          </w:p>
        </w:tc>
        <w:tc>
          <w:tcPr>
            <w:tcW w:w="3618" w:type="dxa"/>
            <w:gridSpan w:val="5"/>
            <w:tcBorders>
              <w:top w:val="single" w:color="auto" w:sz="4" w:space="0"/>
              <w:left w:val="single" w:color="auto" w:sz="4" w:space="0"/>
              <w:right w:val="single" w:color="auto" w:sz="4" w:space="0"/>
            </w:tcBorders>
            <w:vAlign w:val="center"/>
          </w:tcPr>
          <w:p w14:paraId="1AA33AA1">
            <w:pPr>
              <w:spacing w:line="440" w:lineRule="atLeast"/>
              <w:jc w:val="center"/>
              <w:rPr>
                <w:rFonts w:ascii="仿宋_GB2312" w:hAnsi="宋体" w:eastAsia="仿宋_GB2312"/>
                <w:sz w:val="24"/>
              </w:rPr>
            </w:pPr>
            <w:r>
              <w:rPr>
                <w:rFonts w:hint="eastAsia" w:ascii="仿宋_GB2312" w:hAnsi="宋体" w:eastAsia="仿宋_GB2312"/>
                <w:sz w:val="24"/>
              </w:rPr>
              <w:t>资产评估师数</w:t>
            </w:r>
          </w:p>
        </w:tc>
      </w:tr>
      <w:tr w14:paraId="7158887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1" w:hRule="atLeast"/>
          <w:jc w:val="center"/>
        </w:trPr>
        <w:tc>
          <w:tcPr>
            <w:tcW w:w="2504" w:type="dxa"/>
            <w:gridSpan w:val="4"/>
            <w:tcBorders>
              <w:top w:val="single" w:color="auto" w:sz="4" w:space="0"/>
              <w:left w:val="single" w:color="auto" w:sz="4" w:space="0"/>
              <w:right w:val="single" w:color="auto" w:sz="4" w:space="0"/>
            </w:tcBorders>
            <w:vAlign w:val="center"/>
          </w:tcPr>
          <w:p w14:paraId="73E6BE84">
            <w:pPr>
              <w:spacing w:line="440" w:lineRule="atLeast"/>
              <w:jc w:val="center"/>
              <w:rPr>
                <w:rFonts w:ascii="仿宋_GB2312" w:hAnsi="宋体" w:eastAsia="仿宋_GB2312"/>
                <w:sz w:val="24"/>
              </w:rPr>
            </w:pPr>
          </w:p>
        </w:tc>
        <w:tc>
          <w:tcPr>
            <w:tcW w:w="3613" w:type="dxa"/>
            <w:gridSpan w:val="7"/>
            <w:tcBorders>
              <w:top w:val="single" w:color="auto" w:sz="4" w:space="0"/>
              <w:left w:val="single" w:color="auto" w:sz="4" w:space="0"/>
              <w:right w:val="single" w:color="auto" w:sz="4" w:space="0"/>
            </w:tcBorders>
            <w:vAlign w:val="center"/>
          </w:tcPr>
          <w:p w14:paraId="13E5CF93">
            <w:pPr>
              <w:spacing w:line="440" w:lineRule="atLeast"/>
              <w:jc w:val="center"/>
              <w:rPr>
                <w:rFonts w:ascii="仿宋_GB2312" w:hAnsi="宋体" w:eastAsia="仿宋_GB2312"/>
                <w:sz w:val="24"/>
              </w:rPr>
            </w:pPr>
          </w:p>
        </w:tc>
        <w:tc>
          <w:tcPr>
            <w:tcW w:w="3618" w:type="dxa"/>
            <w:gridSpan w:val="5"/>
            <w:tcBorders>
              <w:top w:val="single" w:color="auto" w:sz="4" w:space="0"/>
              <w:left w:val="single" w:color="auto" w:sz="4" w:space="0"/>
              <w:right w:val="single" w:color="auto" w:sz="4" w:space="0"/>
            </w:tcBorders>
            <w:vAlign w:val="center"/>
          </w:tcPr>
          <w:p w14:paraId="5C39F1B1">
            <w:pPr>
              <w:spacing w:line="440" w:lineRule="atLeast"/>
              <w:jc w:val="center"/>
              <w:rPr>
                <w:rFonts w:ascii="仿宋_GB2312" w:hAnsi="宋体" w:eastAsia="仿宋_GB2312"/>
                <w:sz w:val="24"/>
              </w:rPr>
            </w:pPr>
          </w:p>
        </w:tc>
      </w:tr>
      <w:tr w14:paraId="4C8EA93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92" w:hRule="atLeast"/>
          <w:jc w:val="center"/>
        </w:trPr>
        <w:tc>
          <w:tcPr>
            <w:tcW w:w="1795" w:type="dxa"/>
            <w:gridSpan w:val="3"/>
            <w:tcBorders>
              <w:top w:val="single" w:color="auto" w:sz="4" w:space="0"/>
              <w:left w:val="single" w:color="auto" w:sz="4" w:space="0"/>
              <w:bottom w:val="single" w:color="auto" w:sz="4" w:space="0"/>
              <w:right w:val="single" w:color="auto" w:sz="4" w:space="0"/>
            </w:tcBorders>
          </w:tcPr>
          <w:p w14:paraId="2767420D">
            <w:pPr>
              <w:spacing w:before="204" w:beforeLines="50" w:line="440" w:lineRule="atLeast"/>
              <w:jc w:val="center"/>
              <w:rPr>
                <w:rFonts w:ascii="仿宋_GB2312" w:hAnsi="宋体" w:eastAsia="仿宋_GB2312"/>
                <w:sz w:val="24"/>
              </w:rPr>
            </w:pPr>
            <w:r>
              <w:rPr>
                <w:rFonts w:hint="eastAsia" w:ascii="仿宋_GB2312" w:hAnsi="宋体" w:eastAsia="仿宋_GB2312"/>
                <w:sz w:val="24"/>
              </w:rPr>
              <w:t>受刑事处罚、行政处罚情况</w:t>
            </w:r>
          </w:p>
        </w:tc>
        <w:tc>
          <w:tcPr>
            <w:tcW w:w="7940" w:type="dxa"/>
            <w:gridSpan w:val="13"/>
            <w:tcBorders>
              <w:top w:val="single" w:color="auto" w:sz="4" w:space="0"/>
              <w:left w:val="single" w:color="auto" w:sz="4" w:space="0"/>
              <w:bottom w:val="single" w:color="auto" w:sz="4" w:space="0"/>
              <w:right w:val="single" w:color="auto" w:sz="4" w:space="0"/>
            </w:tcBorders>
          </w:tcPr>
          <w:p w14:paraId="7ED609C8">
            <w:pPr>
              <w:spacing w:before="204" w:beforeLines="50" w:line="440" w:lineRule="atLeast"/>
              <w:rPr>
                <w:rFonts w:ascii="仿宋_GB2312" w:hAnsi="宋体" w:eastAsia="仿宋_GB2312"/>
                <w:sz w:val="24"/>
              </w:rPr>
            </w:pPr>
          </w:p>
        </w:tc>
      </w:tr>
      <w:tr w14:paraId="2C300B2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684" w:hRule="atLeast"/>
          <w:jc w:val="center"/>
        </w:trPr>
        <w:tc>
          <w:tcPr>
            <w:tcW w:w="9735" w:type="dxa"/>
            <w:gridSpan w:val="16"/>
            <w:tcBorders>
              <w:top w:val="single" w:color="auto" w:sz="4" w:space="0"/>
              <w:left w:val="single" w:color="auto" w:sz="4" w:space="0"/>
              <w:bottom w:val="single" w:color="auto" w:sz="4" w:space="0"/>
              <w:right w:val="single" w:color="auto" w:sz="4" w:space="0"/>
            </w:tcBorders>
          </w:tcPr>
          <w:p w14:paraId="2817863F">
            <w:pPr>
              <w:spacing w:before="204" w:beforeLines="50" w:line="440" w:lineRule="atLeast"/>
              <w:rPr>
                <w:rFonts w:ascii="仿宋_GB2312" w:hAnsi="宋体" w:eastAsia="仿宋_GB2312"/>
                <w:b/>
                <w:sz w:val="24"/>
              </w:rPr>
            </w:pPr>
            <w:r>
              <w:rPr>
                <w:rFonts w:hint="eastAsia" w:ascii="仿宋_GB2312" w:hAnsi="宋体" w:eastAsia="仿宋_GB2312"/>
                <w:b/>
                <w:sz w:val="24"/>
              </w:rPr>
              <w:t>我机构保证所有上报内容全部属实。如有不实，我机构愿承担由此而产生的一切责任。</w:t>
            </w:r>
          </w:p>
          <w:p w14:paraId="0A5AC391">
            <w:pPr>
              <w:spacing w:before="204" w:beforeLines="50" w:line="440" w:lineRule="atLeast"/>
              <w:rPr>
                <w:rFonts w:ascii="仿宋_GB2312" w:hAnsi="宋体" w:eastAsia="仿宋_GB2312"/>
                <w:sz w:val="24"/>
              </w:rPr>
            </w:pPr>
          </w:p>
          <w:p w14:paraId="281D4669">
            <w:pPr>
              <w:spacing w:before="204" w:beforeLines="50" w:line="440" w:lineRule="atLeast"/>
              <w:rPr>
                <w:rFonts w:ascii="仿宋_GB2312" w:hAnsi="宋体" w:eastAsia="仿宋_GB2312"/>
                <w:sz w:val="24"/>
              </w:rPr>
            </w:pPr>
            <w:r>
              <w:rPr>
                <w:rFonts w:hint="eastAsia" w:ascii="仿宋_GB2312" w:hAnsi="宋体" w:eastAsia="仿宋_GB2312"/>
                <w:sz w:val="24"/>
              </w:rPr>
              <w:t>首席合伙人（法定代表人）签名：</w:t>
            </w:r>
          </w:p>
          <w:p w14:paraId="4C0E3C1B">
            <w:pPr>
              <w:spacing w:line="440" w:lineRule="atLeast"/>
              <w:ind w:right="958"/>
              <w:rPr>
                <w:rFonts w:ascii="仿宋_GB2312" w:hAnsi="宋体" w:eastAsia="仿宋_GB2312"/>
                <w:sz w:val="24"/>
              </w:rPr>
            </w:pPr>
            <w:r>
              <w:rPr>
                <w:rFonts w:hint="eastAsia" w:ascii="仿宋_GB2312" w:hAnsi="宋体" w:eastAsia="仿宋_GB2312"/>
                <w:sz w:val="24"/>
              </w:rPr>
              <w:t>资产评估机构盖章：</w:t>
            </w:r>
          </w:p>
          <w:p w14:paraId="45F74B75">
            <w:pPr>
              <w:spacing w:line="440" w:lineRule="atLeast"/>
              <w:jc w:val="right"/>
              <w:rPr>
                <w:rFonts w:ascii="仿宋_GB2312" w:hAnsi="宋体" w:eastAsia="仿宋_GB2312"/>
                <w:sz w:val="24"/>
              </w:rPr>
            </w:pPr>
            <w:r>
              <w:rPr>
                <w:rFonts w:hint="eastAsia" w:ascii="仿宋_GB2312" w:hAnsi="宋体" w:eastAsia="仿宋_GB2312"/>
                <w:sz w:val="24"/>
              </w:rPr>
              <w:t>　　　年　　　　　月　　　　　日　　　　　　　　　　　　　　　　　　　　　　　　　　　　　　　　　　　　　　　　　</w:t>
            </w:r>
          </w:p>
        </w:tc>
      </w:tr>
    </w:tbl>
    <w:p w14:paraId="17BC089A">
      <w:pPr>
        <w:spacing w:line="440" w:lineRule="atLeast"/>
        <w:jc w:val="left"/>
        <w:rPr>
          <w:rFonts w:ascii="宋体" w:hAnsi="宋体" w:eastAsia="宋体" w:cs="宋体"/>
          <w:sz w:val="24"/>
        </w:rPr>
      </w:pPr>
      <w:r>
        <w:rPr>
          <w:rFonts w:hint="eastAsia" w:ascii="宋体" w:hAnsi="宋体" w:eastAsia="宋体" w:cs="宋体"/>
          <w:sz w:val="24"/>
        </w:rPr>
        <w:t>附件7</w:t>
      </w:r>
    </w:p>
    <w:p w14:paraId="6940FFB9">
      <w:pPr>
        <w:spacing w:line="440" w:lineRule="atLeast"/>
        <w:jc w:val="center"/>
        <w:rPr>
          <w:rFonts w:ascii="华文中宋" w:hAnsi="华文中宋" w:eastAsia="华文中宋"/>
          <w:b/>
          <w:spacing w:val="20"/>
          <w:sz w:val="36"/>
        </w:rPr>
      </w:pPr>
      <w:r>
        <w:rPr>
          <w:rFonts w:hint="eastAsia" w:ascii="华文中宋" w:hAnsi="华文中宋" w:eastAsia="华文中宋"/>
          <w:b/>
          <w:spacing w:val="20"/>
          <w:sz w:val="36"/>
        </w:rPr>
        <w:t>资产评估师专用章</w:t>
      </w:r>
    </w:p>
    <w:p w14:paraId="7BB5483C">
      <w:pPr>
        <w:spacing w:line="440" w:lineRule="atLeast"/>
        <w:jc w:val="center"/>
        <w:rPr>
          <w:rFonts w:ascii="宋体" w:hAnsi="宋体"/>
          <w:sz w:val="28"/>
        </w:rPr>
      </w:pPr>
      <w:r>
        <w:rPr>
          <w:rFonts w:hint="eastAsia" w:ascii="宋体" w:hAnsi="宋体"/>
          <w:sz w:val="28"/>
        </w:rPr>
        <w:drawing>
          <wp:inline distT="0" distB="0" distL="0" distR="0">
            <wp:extent cx="1438275" cy="972185"/>
            <wp:effectExtent l="0" t="0" r="9525" b="184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438656" cy="972312"/>
                    </a:xfrm>
                    <a:prstGeom prst="rect">
                      <a:avLst/>
                    </a:prstGeom>
                  </pic:spPr>
                </pic:pic>
              </a:graphicData>
            </a:graphic>
          </wp:inline>
        </w:drawing>
      </w:r>
      <w:r>
        <w:rPr>
          <w:rFonts w:hint="eastAsia" w:ascii="宋体" w:hAnsi="宋体"/>
          <w:sz w:val="28"/>
        </w:rPr>
        <w:t>　　　　</w:t>
      </w:r>
      <w:r>
        <w:rPr>
          <w:rFonts w:ascii="宋体" w:hAnsi="宋体"/>
          <w:sz w:val="28"/>
        </w:rPr>
        <w:drawing>
          <wp:inline distT="0" distB="0" distL="0" distR="0">
            <wp:extent cx="1438275" cy="972185"/>
            <wp:effectExtent l="0" t="0" r="9525" b="184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438656" cy="972312"/>
                    </a:xfrm>
                    <a:prstGeom prst="rect">
                      <a:avLst/>
                    </a:prstGeom>
                  </pic:spPr>
                </pic:pic>
              </a:graphicData>
            </a:graphic>
          </wp:inline>
        </w:drawing>
      </w:r>
    </w:p>
    <w:p w14:paraId="3A8445AB">
      <w:pPr>
        <w:spacing w:line="440" w:lineRule="atLeast"/>
        <w:jc w:val="center"/>
        <w:rPr>
          <w:rFonts w:ascii="宋体" w:hAnsi="宋体"/>
          <w:sz w:val="28"/>
        </w:rPr>
      </w:pPr>
    </w:p>
    <w:p w14:paraId="399FDE3D">
      <w:pPr>
        <w:spacing w:line="440" w:lineRule="atLeast"/>
        <w:jc w:val="center"/>
        <w:rPr>
          <w:rFonts w:ascii="宋体" w:hAnsi="宋体"/>
          <w:sz w:val="28"/>
        </w:rPr>
      </w:pPr>
      <w:r>
        <w:rPr>
          <w:rFonts w:ascii="宋体" w:hAnsi="宋体"/>
          <w:sz w:val="28"/>
        </w:rPr>
        <w:drawing>
          <wp:inline distT="0" distB="0" distL="0" distR="0">
            <wp:extent cx="1438275" cy="972185"/>
            <wp:effectExtent l="0" t="0" r="9525" b="184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38656" cy="972312"/>
                    </a:xfrm>
                    <a:prstGeom prst="rect">
                      <a:avLst/>
                    </a:prstGeom>
                  </pic:spPr>
                </pic:pic>
              </a:graphicData>
            </a:graphic>
          </wp:inline>
        </w:drawing>
      </w:r>
      <w:r>
        <w:rPr>
          <w:rFonts w:hint="eastAsia" w:ascii="宋体" w:hAnsi="宋体"/>
          <w:sz w:val="28"/>
        </w:rPr>
        <w:t>　　　　</w:t>
      </w:r>
      <w:r>
        <w:rPr>
          <w:rFonts w:ascii="宋体" w:hAnsi="宋体"/>
          <w:sz w:val="28"/>
        </w:rPr>
        <w:drawing>
          <wp:inline distT="0" distB="0" distL="0" distR="0">
            <wp:extent cx="1438275" cy="972185"/>
            <wp:effectExtent l="0" t="0" r="9525" b="1841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38656" cy="972312"/>
                    </a:xfrm>
                    <a:prstGeom prst="rect">
                      <a:avLst/>
                    </a:prstGeom>
                  </pic:spPr>
                </pic:pic>
              </a:graphicData>
            </a:graphic>
          </wp:inline>
        </w:drawing>
      </w:r>
    </w:p>
    <w:p w14:paraId="2C3B031E">
      <w:pPr>
        <w:spacing w:line="440" w:lineRule="atLeast"/>
        <w:rPr>
          <w:rFonts w:ascii="宋体" w:hAnsi="宋体"/>
          <w:sz w:val="28"/>
        </w:rPr>
      </w:pPr>
    </w:p>
    <w:p w14:paraId="66D92606">
      <w:pPr>
        <w:spacing w:line="440" w:lineRule="atLeast"/>
        <w:rPr>
          <w:rFonts w:ascii="仿宋_GB2312" w:hAnsi="宋体" w:eastAsia="仿宋_GB2312"/>
          <w:sz w:val="28"/>
          <w:szCs w:val="28"/>
        </w:rPr>
      </w:pPr>
      <w:r>
        <w:rPr>
          <w:rFonts w:hint="eastAsia" w:ascii="仿宋_GB2312" w:hAnsi="宋体" w:eastAsia="仿宋_GB2312"/>
          <w:sz w:val="28"/>
          <w:szCs w:val="28"/>
        </w:rPr>
        <w:t>注：宽4厘米，高2.7厘米，括号中文字为本省级区划或本计划单列市区划名称。</w:t>
      </w:r>
    </w:p>
    <w:p w14:paraId="385121DE">
      <w:pPr>
        <w:spacing w:line="440" w:lineRule="atLeast"/>
        <w:jc w:val="center"/>
        <w:rPr>
          <w:rFonts w:ascii="华文中宋" w:hAnsi="华文中宋" w:eastAsia="华文中宋"/>
          <w:b/>
          <w:spacing w:val="20"/>
          <w:sz w:val="36"/>
        </w:rPr>
      </w:pPr>
      <w:r>
        <w:rPr>
          <w:rFonts w:hint="eastAsia" w:ascii="华文中宋" w:hAnsi="华文中宋" w:eastAsia="华文中宋"/>
          <w:b/>
          <w:spacing w:val="20"/>
          <w:sz w:val="36"/>
        </w:rPr>
        <w:t>资产评估师印鉴</w:t>
      </w:r>
    </w:p>
    <w:p w14:paraId="74337CBC">
      <w:pPr>
        <w:spacing w:line="440" w:lineRule="atLeast"/>
        <w:jc w:val="center"/>
        <w:rPr>
          <w:rFonts w:ascii="华文中宋" w:hAnsi="华文中宋" w:eastAsia="华文中宋"/>
          <w:b/>
          <w:spacing w:val="20"/>
          <w:sz w:val="36"/>
        </w:rPr>
      </w:pPr>
      <w:r>
        <w:rPr>
          <w:rFonts w:ascii="华文中宋" w:hAnsi="华文中宋" w:eastAsia="华文中宋"/>
          <w:b/>
          <w:spacing w:val="20"/>
          <w:sz w:val="36"/>
        </w:rPr>
        <w:drawing>
          <wp:inline distT="0" distB="0" distL="0" distR="0">
            <wp:extent cx="899160" cy="899160"/>
            <wp:effectExtent l="0" t="0" r="15240" b="1524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899160" cy="899160"/>
                    </a:xfrm>
                    <a:prstGeom prst="rect">
                      <a:avLst/>
                    </a:prstGeom>
                  </pic:spPr>
                </pic:pic>
              </a:graphicData>
            </a:graphic>
          </wp:inline>
        </w:drawing>
      </w:r>
    </w:p>
    <w:p w14:paraId="6499650B">
      <w:pPr>
        <w:spacing w:line="440" w:lineRule="atLeast"/>
        <w:rPr>
          <w:rFonts w:ascii="仿宋_GB2312" w:hAnsi="宋体" w:eastAsia="仿宋_GB2312"/>
          <w:sz w:val="28"/>
          <w:szCs w:val="28"/>
        </w:rPr>
      </w:pPr>
      <w:r>
        <w:rPr>
          <w:rFonts w:hint="eastAsia" w:ascii="仿宋_GB2312" w:hAnsi="宋体" w:eastAsia="仿宋_GB2312"/>
          <w:sz w:val="28"/>
          <w:szCs w:val="28"/>
        </w:rPr>
        <w:t>注：正方形，外边宽2.2厘米，内边宽2厘米。</w:t>
      </w:r>
    </w:p>
    <w:p w14:paraId="4FE0AD04">
      <w:pPr>
        <w:spacing w:line="440" w:lineRule="atLeast"/>
        <w:jc w:val="left"/>
        <w:rPr>
          <w:rFonts w:ascii="黑体" w:hAnsi="黑体" w:eastAsia="黑体"/>
          <w:sz w:val="30"/>
          <w:szCs w:val="30"/>
        </w:rPr>
      </w:pPr>
    </w:p>
    <w:p w14:paraId="60683595">
      <w:pPr>
        <w:spacing w:line="440" w:lineRule="atLeast"/>
        <w:rPr>
          <w:rFonts w:ascii="宋体" w:hAnsi="宋体" w:eastAsia="宋体" w:cs="宋体"/>
          <w:color w:val="000000"/>
          <w:kern w:val="0"/>
          <w:sz w:val="24"/>
        </w:rPr>
      </w:pPr>
      <w:r>
        <w:rPr>
          <w:rFonts w:hint="eastAsia" w:ascii="宋体" w:hAnsi="宋体" w:eastAsia="宋体" w:cs="宋体"/>
          <w:color w:val="000000"/>
          <w:kern w:val="0"/>
          <w:sz w:val="24"/>
        </w:rPr>
        <w:br w:type="page"/>
      </w:r>
    </w:p>
    <w:p w14:paraId="0EA146CA">
      <w:pPr>
        <w:pStyle w:val="5"/>
        <w:spacing w:line="440" w:lineRule="atLeast"/>
        <w:jc w:val="center"/>
        <w:rPr>
          <w:rFonts w:ascii="宋体" w:hAnsi="宋体" w:eastAsia="宋体" w:cs="宋体"/>
          <w:lang w:val="zh-TW" w:eastAsia="zh-TW"/>
        </w:rPr>
      </w:pPr>
      <w:bookmarkStart w:id="97" w:name="_Toc14553"/>
      <w:r>
        <w:rPr>
          <w:rFonts w:hint="eastAsia" w:ascii="宋体" w:hAnsi="宋体" w:eastAsia="宋体" w:cs="宋体"/>
          <w:lang w:val="zh-TW" w:eastAsia="zh-TW"/>
        </w:rPr>
        <w:t>中国资产评估协会会员管理办法</w:t>
      </w:r>
      <w:bookmarkEnd w:id="97"/>
    </w:p>
    <w:p w14:paraId="6B37686D">
      <w:pPr>
        <w:shd w:val="clear" w:color="auto" w:fill="FFFFFF"/>
        <w:spacing w:line="440" w:lineRule="atLeast"/>
        <w:jc w:val="center"/>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2017年8月22日中国资产评估协会发布　中评协〔2017〕29号</w:t>
      </w:r>
    </w:p>
    <w:p w14:paraId="2481E568">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第一章　总则</w:t>
      </w:r>
    </w:p>
    <w:p w14:paraId="79E11635">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第一条</w:t>
      </w:r>
      <w:r>
        <w:rPr>
          <w:rFonts w:hint="eastAsia" w:ascii="宋体" w:hAnsi="宋体" w:eastAsia="宋体" w:cs="宋体"/>
          <w:color w:val="000000"/>
          <w:kern w:val="0"/>
          <w:sz w:val="24"/>
          <w:shd w:val="clear" w:color="auto" w:fill="FFFFFF"/>
        </w:rPr>
        <w:t>　为加强中国资产评估协会（以下简称本会）会员的自律管理，根据《中华人民共和国资产评估法》（以下简称《资产评估法》）和《中国资产评估协会章程》（以下简称《章程》）的有关规定，制定本办法。</w:t>
      </w:r>
    </w:p>
    <w:p w14:paraId="16D88880">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第二条</w:t>
      </w:r>
      <w:r>
        <w:rPr>
          <w:rFonts w:hint="eastAsia" w:ascii="宋体" w:hAnsi="宋体" w:eastAsia="宋体" w:cs="宋体"/>
          <w:color w:val="000000"/>
          <w:kern w:val="0"/>
          <w:sz w:val="24"/>
          <w:shd w:val="clear" w:color="auto" w:fill="FFFFFF"/>
        </w:rPr>
        <w:t>　本会会员分为单位会员和个人会员。</w:t>
      </w:r>
    </w:p>
    <w:p w14:paraId="49FEAE4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单位会员分为评估机构会员和非评估机构会员。个人会员分为执业会员和非执业会员，其中，执业会员分为评估师执业会员和非评估师执业会员。</w:t>
      </w:r>
    </w:p>
    <w:p w14:paraId="7CA9DD6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本会设特别会员，包括特别机构会员、资深会员和名誉会员。</w:t>
      </w:r>
    </w:p>
    <w:p w14:paraId="68D128DC">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第三条</w:t>
      </w:r>
      <w:r>
        <w:rPr>
          <w:rFonts w:hint="eastAsia" w:ascii="宋体" w:hAnsi="宋体" w:eastAsia="宋体" w:cs="宋体"/>
          <w:color w:val="000000"/>
          <w:kern w:val="0"/>
          <w:sz w:val="24"/>
          <w:shd w:val="clear" w:color="auto" w:fill="FFFFFF"/>
        </w:rPr>
        <w:t>　本会会员应当承认本会《章程》，享有《章程》规定的权利，履行《章程》规定的义务。</w:t>
      </w:r>
    </w:p>
    <w:p w14:paraId="3F7C27DE">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第四条</w:t>
      </w:r>
      <w:r>
        <w:rPr>
          <w:rFonts w:hint="eastAsia" w:ascii="宋体" w:hAnsi="宋体" w:eastAsia="宋体" w:cs="宋体"/>
          <w:color w:val="000000"/>
          <w:kern w:val="0"/>
          <w:sz w:val="24"/>
          <w:shd w:val="clear" w:color="auto" w:fill="FFFFFF"/>
        </w:rPr>
        <w:t>　本会管理全国的单位会员和个人会员的会籍。</w:t>
      </w:r>
    </w:p>
    <w:p w14:paraId="5B89F5E6">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第二章　会员条件</w:t>
      </w:r>
    </w:p>
    <w:p w14:paraId="6B081E22">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第五条</w:t>
      </w:r>
      <w:r>
        <w:rPr>
          <w:rFonts w:hint="eastAsia" w:ascii="宋体" w:hAnsi="宋体" w:eastAsia="宋体" w:cs="宋体"/>
          <w:color w:val="000000"/>
          <w:kern w:val="0"/>
          <w:sz w:val="24"/>
          <w:shd w:val="clear" w:color="auto" w:fill="FFFFFF"/>
        </w:rPr>
        <w:t>　单位会员条件：</w:t>
      </w:r>
    </w:p>
    <w:p w14:paraId="640A3B4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（一）评估机构会员：依法设立并完成备案程序的资产评估机构。</w:t>
      </w:r>
    </w:p>
    <w:p w14:paraId="3441590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（二）非评估机构会员:</w:t>
      </w:r>
    </w:p>
    <w:p w14:paraId="09A9F5A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1．与资产评估行业相关的社会团体、企事业单位，以及非专门从事资产评估业务的中介机构；</w:t>
      </w:r>
    </w:p>
    <w:p w14:paraId="75F3F5F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2．从事资产评估研究、教学的单位；</w:t>
      </w:r>
    </w:p>
    <w:p w14:paraId="7B57FED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3．国外及港澳台地区从事或研究评估相关业务的单位。</w:t>
      </w:r>
    </w:p>
    <w:p w14:paraId="3D98CC3A">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第六条</w:t>
      </w:r>
      <w:r>
        <w:rPr>
          <w:rFonts w:hint="eastAsia" w:ascii="宋体" w:hAnsi="宋体" w:eastAsia="宋体" w:cs="宋体"/>
          <w:color w:val="000000"/>
          <w:kern w:val="0"/>
          <w:sz w:val="24"/>
          <w:shd w:val="clear" w:color="auto" w:fill="FFFFFF"/>
        </w:rPr>
        <w:t>　个人会员条件：</w:t>
      </w:r>
    </w:p>
    <w:p w14:paraId="47916D7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（一）评估师执业会员：通过资产评估师（含珠宝专业，下同）资格考试取得《中华人民共和国资产评估师职业资格证书》（以下简称《资产评估师资格证书》），在资产评估机构从事资产评估业务的人员。</w:t>
      </w:r>
    </w:p>
    <w:p w14:paraId="19916FB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（二）非评估师执业会员：未取得《资产评估师资格证书》，在资产评估机构从事资产评估业务的从业人员。</w:t>
      </w:r>
    </w:p>
    <w:p w14:paraId="710B24F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（三）非执业会员：取得《资产评估师资格证书》但未在资产评估机构从事评估工作的人员；不再在资产评估机构继续从事评估工作的非评估师执业会员；从事资产评估管理、研究、教学等工作的人员。</w:t>
      </w:r>
    </w:p>
    <w:p w14:paraId="2DE91D48">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第三章　会员入会程序</w:t>
      </w:r>
    </w:p>
    <w:p w14:paraId="497D25A5">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第七条</w:t>
      </w:r>
      <w:r>
        <w:rPr>
          <w:rFonts w:hint="eastAsia" w:ascii="宋体" w:hAnsi="宋体" w:eastAsia="宋体" w:cs="宋体"/>
          <w:color w:val="000000"/>
          <w:kern w:val="0"/>
          <w:sz w:val="24"/>
          <w:shd w:val="clear" w:color="auto" w:fill="FFFFFF"/>
        </w:rPr>
        <w:t>　本会负责会员入会管理，根据工作需要，委托省（含计划单列市）级资产评估协会（以下简称地方协会）办理会员的有关入会程序。</w:t>
      </w:r>
    </w:p>
    <w:p w14:paraId="6C2A9DE9">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第八条</w:t>
      </w:r>
      <w:r>
        <w:rPr>
          <w:rFonts w:hint="eastAsia" w:ascii="宋体" w:hAnsi="宋体" w:eastAsia="宋体" w:cs="宋体"/>
          <w:color w:val="000000"/>
          <w:kern w:val="0"/>
          <w:sz w:val="24"/>
          <w:shd w:val="clear" w:color="auto" w:fill="FFFFFF"/>
        </w:rPr>
        <w:t>　单位会员入会程序：</w:t>
      </w:r>
    </w:p>
    <w:p w14:paraId="06EFE31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（一）评估机构会员：依法设立的资产评估机构，按有关规定，向所在地地方协会提出入会申请，并提交有关设立和备案文件，经地方协会核实后，报本会批准，成为评估机构会员。</w:t>
      </w:r>
    </w:p>
    <w:p w14:paraId="6BAD275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非评估机构会员：中央企事业单位，从事资产评估研究和教学的单位，与资产评估行业相关的其他全国性社会团体，国外及港澳台地区从事评估业务的机构等，按有关规定，向本会提出入会申请，经本会批准后，成为非评估机构会员。</w:t>
      </w:r>
    </w:p>
    <w:p w14:paraId="1086429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其他非评估机构，向所在地地方协会提出申请，经地方协会核实后，报本会批准，成为非评估机构会员。</w:t>
      </w:r>
    </w:p>
    <w:p w14:paraId="77B94505">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第九条</w:t>
      </w:r>
      <w:r>
        <w:rPr>
          <w:rFonts w:hint="eastAsia" w:ascii="宋体" w:hAnsi="宋体" w:eastAsia="宋体" w:cs="宋体"/>
          <w:color w:val="000000"/>
          <w:kern w:val="0"/>
          <w:sz w:val="24"/>
          <w:shd w:val="clear" w:color="auto" w:fill="FFFFFF"/>
        </w:rPr>
        <w:t>　个人会员入会程序：</w:t>
      </w:r>
    </w:p>
    <w:p w14:paraId="0E53443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（一）执业会员：申请人向所在地地方协会提出入会申请，并提交相关材料，经地方协会初审后，报本会批准，成为执业会员。</w:t>
      </w:r>
    </w:p>
    <w:p w14:paraId="1EA45EC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非执业会员：在中央国家机关及政府相关部门、中央企事业单位、全国性社会团体、资产评估研究和教学单位、国外及港澳台地区评估行业工作的申请人，按相关规定，向本会提出入会申请，经本会批准后，成为非执业会员。</w:t>
      </w:r>
    </w:p>
    <w:p w14:paraId="4C54C11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其他申请人，向所在地地方协会提出申请，经地方协会核实后，报本会批准，成为非执业会员。</w:t>
      </w:r>
    </w:p>
    <w:p w14:paraId="7C4459C2">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第十条</w:t>
      </w:r>
      <w:r>
        <w:rPr>
          <w:rFonts w:hint="eastAsia" w:ascii="宋体" w:hAnsi="宋体" w:eastAsia="宋体" w:cs="宋体"/>
          <w:color w:val="000000"/>
          <w:kern w:val="0"/>
          <w:sz w:val="24"/>
          <w:shd w:val="clear" w:color="auto" w:fill="FFFFFF"/>
        </w:rPr>
        <w:t>　会员经批准入会后，由本会颁发《中国资产评估协会会员证书》。证书由本会统一制作，统一编号。</w:t>
      </w:r>
    </w:p>
    <w:p w14:paraId="26DC1309">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第十一条</w:t>
      </w:r>
      <w:r>
        <w:rPr>
          <w:rFonts w:hint="eastAsia" w:ascii="宋体" w:hAnsi="宋体" w:eastAsia="宋体" w:cs="宋体"/>
          <w:color w:val="000000"/>
          <w:kern w:val="0"/>
          <w:sz w:val="24"/>
          <w:shd w:val="clear" w:color="auto" w:fill="FFFFFF"/>
        </w:rPr>
        <w:t>　会员有下列情形之一的，其相应会员资格终止：</w:t>
      </w:r>
    </w:p>
    <w:p w14:paraId="2E4B455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（一）申请退会的；</w:t>
      </w:r>
    </w:p>
    <w:p w14:paraId="2FC3A76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（二）不符合本办法规定的会员条件的；</w:t>
      </w:r>
    </w:p>
    <w:p w14:paraId="4C0A304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（三）单位会员的主体资格被依法终止的；</w:t>
      </w:r>
    </w:p>
    <w:p w14:paraId="71D1355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（四）特别机构会员被取消证券、期货相关业务评估资格的；</w:t>
      </w:r>
    </w:p>
    <w:p w14:paraId="565FBBF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（五）长期不履行会员义务的；</w:t>
      </w:r>
    </w:p>
    <w:p w14:paraId="7A1AEA2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（六）受到本会取消会员资格惩戒的；</w:t>
      </w:r>
    </w:p>
    <w:p w14:paraId="3B4BEAB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（七）受到行政处罚、处分，情节严重的；</w:t>
      </w:r>
    </w:p>
    <w:p w14:paraId="48880F8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（八）受到刑事处罚的。</w:t>
      </w:r>
    </w:p>
    <w:p w14:paraId="437047A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会员资格终止的，本会在网站或公开媒体上公告。</w:t>
      </w:r>
    </w:p>
    <w:p w14:paraId="75615580">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第十二条</w:t>
      </w:r>
      <w:r>
        <w:rPr>
          <w:rFonts w:hint="eastAsia" w:ascii="宋体" w:hAnsi="宋体" w:eastAsia="宋体" w:cs="宋体"/>
          <w:color w:val="000000"/>
          <w:kern w:val="0"/>
          <w:sz w:val="24"/>
          <w:shd w:val="clear" w:color="auto" w:fill="FFFFFF"/>
        </w:rPr>
        <w:t>　会员申请退会的,应当按会员管理权限,向本会或所在地地方协会提交退会申请,经本会批准予以退会。</w:t>
      </w:r>
    </w:p>
    <w:p w14:paraId="3AA0ED9E">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第十三条</w:t>
      </w:r>
      <w:r>
        <w:rPr>
          <w:rFonts w:hint="eastAsia" w:ascii="宋体" w:hAnsi="宋体" w:eastAsia="宋体" w:cs="宋体"/>
          <w:color w:val="000000"/>
          <w:kern w:val="0"/>
          <w:sz w:val="24"/>
          <w:shd w:val="clear" w:color="auto" w:fill="FFFFFF"/>
        </w:rPr>
        <w:t>　执业会员的入会手续，可由所在评估机构统一办理。</w:t>
      </w:r>
    </w:p>
    <w:p w14:paraId="502F3616">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第四章　特别会员</w:t>
      </w:r>
    </w:p>
    <w:p w14:paraId="0049B3AF">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第十四条</w:t>
      </w:r>
      <w:r>
        <w:rPr>
          <w:rFonts w:hint="eastAsia" w:ascii="宋体" w:hAnsi="宋体" w:eastAsia="宋体" w:cs="宋体"/>
          <w:color w:val="000000"/>
          <w:kern w:val="0"/>
          <w:sz w:val="24"/>
          <w:shd w:val="clear" w:color="auto" w:fill="FFFFFF"/>
        </w:rPr>
        <w:t>　依法取得证券、期货相关业务评估资格的评估机构，向本会提出申请，并提交《证券、期货相关业务评估资格证书》复印件，经本会核实后，成为特别机构会员。</w:t>
      </w:r>
    </w:p>
    <w:p w14:paraId="0F103A75">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第十五条</w:t>
      </w:r>
      <w:r>
        <w:rPr>
          <w:rFonts w:hint="eastAsia" w:ascii="宋体" w:hAnsi="宋体" w:eastAsia="宋体" w:cs="宋体"/>
          <w:color w:val="000000"/>
          <w:kern w:val="0"/>
          <w:sz w:val="24"/>
          <w:shd w:val="clear" w:color="auto" w:fill="FFFFFF"/>
        </w:rPr>
        <w:t>　长期从事资产评估业务或资产评估理论研究，具有较高理论水平和较强专业能力的会员，由本人申请，经本会常务理事会批准，成为资深会员。</w:t>
      </w:r>
    </w:p>
    <w:p w14:paraId="59F02EEA">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第十六条</w:t>
      </w:r>
      <w:r>
        <w:rPr>
          <w:rFonts w:hint="eastAsia" w:ascii="宋体" w:hAnsi="宋体" w:eastAsia="宋体" w:cs="宋体"/>
          <w:color w:val="000000"/>
          <w:kern w:val="0"/>
          <w:sz w:val="24"/>
          <w:shd w:val="clear" w:color="auto" w:fill="FFFFFF"/>
        </w:rPr>
        <w:t>　对资产评估行业做出重大贡献的社会人士，或境内外知名人士，由本会秘书处提名，经本会常务理事会批准，成为名誉会员。</w:t>
      </w:r>
    </w:p>
    <w:p w14:paraId="105464B5">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第五章　会员管理</w:t>
      </w:r>
    </w:p>
    <w:p w14:paraId="6C7A72F2">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第十七条</w:t>
      </w:r>
      <w:r>
        <w:rPr>
          <w:rFonts w:hint="eastAsia" w:ascii="宋体" w:hAnsi="宋体" w:eastAsia="宋体" w:cs="宋体"/>
          <w:color w:val="000000"/>
          <w:kern w:val="0"/>
          <w:sz w:val="24"/>
          <w:shd w:val="clear" w:color="auto" w:fill="FFFFFF"/>
        </w:rPr>
        <w:t>　本会对会员进行管理，根据需要，可以委托地方协会进行日常管理。</w:t>
      </w:r>
    </w:p>
    <w:p w14:paraId="047511E3">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第十八条</w:t>
      </w:r>
      <w:r>
        <w:rPr>
          <w:rFonts w:hint="eastAsia" w:ascii="宋体" w:hAnsi="宋体" w:eastAsia="宋体" w:cs="宋体"/>
          <w:color w:val="000000"/>
          <w:kern w:val="0"/>
          <w:sz w:val="24"/>
          <w:shd w:val="clear" w:color="auto" w:fill="FFFFFF"/>
        </w:rPr>
        <w:t>　会员应当按照《中国资产评估协会会费管理办法》的规定，按时、足额交纳会费。</w:t>
      </w:r>
    </w:p>
    <w:p w14:paraId="74E87C18">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第十九条</w:t>
      </w:r>
      <w:r>
        <w:rPr>
          <w:rFonts w:hint="eastAsia" w:ascii="宋体" w:hAnsi="宋体" w:eastAsia="宋体" w:cs="宋体"/>
          <w:color w:val="000000"/>
          <w:kern w:val="0"/>
          <w:sz w:val="24"/>
          <w:shd w:val="clear" w:color="auto" w:fill="FFFFFF"/>
        </w:rPr>
        <w:t>　单位会员的名称、注册地址、法定代表人（或执行合伙事务合伙人）、通讯方式等登记信息变更的，应当在变更之日起30日内，按照管理权限将变更的信息报本会或所在地地方协会备案。</w:t>
      </w:r>
    </w:p>
    <w:p w14:paraId="5B0533FD">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第二十条</w:t>
      </w:r>
      <w:r>
        <w:rPr>
          <w:rFonts w:hint="eastAsia" w:ascii="宋体" w:hAnsi="宋体" w:eastAsia="宋体" w:cs="宋体"/>
          <w:color w:val="000000"/>
          <w:kern w:val="0"/>
          <w:sz w:val="24"/>
          <w:shd w:val="clear" w:color="auto" w:fill="FFFFFF"/>
        </w:rPr>
        <w:t>　个人会员的姓名、身份证号、政治面貌、职称、学历、学位、工作单位、通讯方式等登记信息变更的，应当在变更之日起30日内，按管理权限办理相关变更手续。</w:t>
      </w:r>
    </w:p>
    <w:p w14:paraId="2B7A5DCD">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第二十一条</w:t>
      </w:r>
      <w:r>
        <w:rPr>
          <w:rFonts w:hint="eastAsia" w:ascii="宋体" w:hAnsi="宋体" w:eastAsia="宋体" w:cs="宋体"/>
          <w:color w:val="000000"/>
          <w:kern w:val="0"/>
          <w:sz w:val="24"/>
          <w:shd w:val="clear" w:color="auto" w:fill="FFFFFF"/>
        </w:rPr>
        <w:t>　个人会员跨省工作变动的，应当到原所在地地方协会办理会员资格转出手续，然后到转入地地方协会办理会员资格转入手续。</w:t>
      </w:r>
    </w:p>
    <w:p w14:paraId="0EA1A0AA">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第二十二条</w:t>
      </w:r>
      <w:r>
        <w:rPr>
          <w:rFonts w:hint="eastAsia" w:ascii="宋体" w:hAnsi="宋体" w:eastAsia="宋体" w:cs="宋体"/>
          <w:color w:val="000000"/>
          <w:kern w:val="0"/>
          <w:sz w:val="24"/>
          <w:shd w:val="clear" w:color="auto" w:fill="FFFFFF"/>
        </w:rPr>
        <w:t>　执业会员不在资产评估机构执业，经本人申请，转为非执业会员。</w:t>
      </w:r>
    </w:p>
    <w:p w14:paraId="7E823F57">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第二十三条</w:t>
      </w:r>
      <w:r>
        <w:rPr>
          <w:rFonts w:hint="eastAsia" w:ascii="宋体" w:hAnsi="宋体" w:eastAsia="宋体" w:cs="宋体"/>
          <w:color w:val="000000"/>
          <w:kern w:val="0"/>
          <w:sz w:val="24"/>
          <w:shd w:val="clear" w:color="auto" w:fill="FFFFFF"/>
        </w:rPr>
        <w:t>　会员应当接受本会组织的相关检查。根据工作需要，本会可以委托地方协会组织相关检查。</w:t>
      </w:r>
    </w:p>
    <w:p w14:paraId="428BB657">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第二十四条</w:t>
      </w:r>
      <w:r>
        <w:rPr>
          <w:rFonts w:hint="eastAsia" w:ascii="宋体" w:hAnsi="宋体" w:eastAsia="宋体" w:cs="宋体"/>
          <w:color w:val="000000"/>
          <w:kern w:val="0"/>
          <w:sz w:val="24"/>
          <w:shd w:val="clear" w:color="auto" w:fill="FFFFFF"/>
        </w:rPr>
        <w:t>　本会根据《资产评估法》、《章程》和资产评估行业相关管理制度对会员进行奖惩。</w:t>
      </w:r>
    </w:p>
    <w:p w14:paraId="0BEE50F0">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第六章　附则</w:t>
      </w:r>
    </w:p>
    <w:p w14:paraId="68E72847">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第二十五条</w:t>
      </w:r>
      <w:r>
        <w:rPr>
          <w:rFonts w:hint="eastAsia" w:ascii="宋体" w:hAnsi="宋体" w:eastAsia="宋体" w:cs="宋体"/>
          <w:color w:val="000000"/>
          <w:kern w:val="0"/>
          <w:sz w:val="24"/>
          <w:shd w:val="clear" w:color="auto" w:fill="FFFFFF"/>
        </w:rPr>
        <w:t>　本会直接管理与珠宝评估业务相关的单位会员和个人会员。</w:t>
      </w:r>
    </w:p>
    <w:p w14:paraId="3CBC50A7">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第二十六条</w:t>
      </w:r>
      <w:r>
        <w:rPr>
          <w:rFonts w:hint="eastAsia" w:ascii="宋体" w:hAnsi="宋体" w:eastAsia="宋体" w:cs="宋体"/>
          <w:color w:val="000000"/>
          <w:kern w:val="0"/>
          <w:sz w:val="24"/>
          <w:shd w:val="clear" w:color="auto" w:fill="FFFFFF"/>
        </w:rPr>
        <w:t>　本办法由中国资产评估协会负责解释。</w:t>
      </w:r>
    </w:p>
    <w:p w14:paraId="598605D2">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第二十七条</w:t>
      </w:r>
      <w:r>
        <w:rPr>
          <w:rFonts w:hint="eastAsia" w:ascii="宋体" w:hAnsi="宋体" w:eastAsia="宋体" w:cs="宋体"/>
          <w:color w:val="000000"/>
          <w:kern w:val="0"/>
          <w:sz w:val="24"/>
          <w:shd w:val="clear" w:color="auto" w:fill="FFFFFF"/>
        </w:rPr>
        <w:t>　本办法自2017年8月22日起施行。中国资产评估协会2012年4月11日发布的《中国资产评估协会会员管理办法》（中评协〔2012〕63　号）同时废止。</w:t>
      </w:r>
    </w:p>
    <w:p w14:paraId="64BB489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br w:type="page"/>
      </w:r>
    </w:p>
    <w:p w14:paraId="3EF8C5CA">
      <w:pPr>
        <w:pStyle w:val="5"/>
        <w:spacing w:line="440" w:lineRule="atLeast"/>
        <w:jc w:val="center"/>
        <w:rPr>
          <w:rFonts w:ascii="宋体" w:hAnsi="宋体" w:eastAsia="宋体" w:cs="宋体"/>
          <w:lang w:val="zh-TW" w:eastAsia="zh-TW"/>
        </w:rPr>
      </w:pPr>
      <w:bookmarkStart w:id="98" w:name="_Toc2019"/>
      <w:r>
        <w:rPr>
          <w:rFonts w:hint="eastAsia" w:ascii="宋体" w:hAnsi="宋体" w:eastAsia="宋体" w:cs="宋体"/>
          <w:lang w:val="zh-TW" w:eastAsia="zh-TW"/>
        </w:rPr>
        <w:t>中国资产评估协会会员信用档案管理办法</w:t>
      </w:r>
      <w:bookmarkEnd w:id="98"/>
    </w:p>
    <w:p w14:paraId="5D0FC1F9">
      <w:pPr>
        <w:shd w:val="clear" w:color="auto" w:fill="FFFFFF"/>
        <w:spacing w:line="440" w:lineRule="atLeast"/>
        <w:jc w:val="center"/>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2019年9月9日中国资产评估协会发布　中评协〔2019〕26号</w:t>
      </w:r>
    </w:p>
    <w:p w14:paraId="294DF593">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第一章　总则</w:t>
      </w:r>
    </w:p>
    <w:p w14:paraId="70C290BF">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第一条</w:t>
      </w:r>
      <w:r>
        <w:rPr>
          <w:rFonts w:hint="eastAsia" w:ascii="宋体" w:hAnsi="宋体" w:eastAsia="宋体" w:cs="宋体"/>
          <w:color w:val="000000"/>
          <w:kern w:val="0"/>
          <w:sz w:val="24"/>
          <w:shd w:val="clear" w:color="auto" w:fill="FFFFFF"/>
        </w:rPr>
        <w:t>　为加强资产评估行业信用体系建设，增强会员的诚信观念，提升行业的社会公信力，根据《中华人民共和国资产评估法》以及《中国资产评估协会章程》、《中国资产评估协会会员管理办法》等有关法律制度规定，制定本办法。</w:t>
      </w:r>
    </w:p>
    <w:p w14:paraId="769F6B9D">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第二条</w:t>
      </w:r>
      <w:r>
        <w:rPr>
          <w:rFonts w:hint="eastAsia" w:ascii="宋体" w:hAnsi="宋体" w:eastAsia="宋体" w:cs="宋体"/>
          <w:color w:val="000000"/>
          <w:kern w:val="0"/>
          <w:sz w:val="24"/>
          <w:shd w:val="clear" w:color="auto" w:fill="FFFFFF"/>
        </w:rPr>
        <w:t>　中国资产评估协会会员信用档案（以下简称会员信用档案）是记载中国资产评估协会（以下简称中评协）会员信用及信息管理等状况的载体。</w:t>
      </w:r>
    </w:p>
    <w:p w14:paraId="2B37FF23">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第三条</w:t>
      </w:r>
      <w:r>
        <w:rPr>
          <w:rFonts w:hint="eastAsia" w:ascii="宋体" w:hAnsi="宋体" w:eastAsia="宋体" w:cs="宋体"/>
          <w:color w:val="000000"/>
          <w:kern w:val="0"/>
          <w:sz w:val="24"/>
          <w:shd w:val="clear" w:color="auto" w:fill="FFFFFF"/>
        </w:rPr>
        <w:t>　本办法适用于中评协单位会员中的评估机构会员（包括特别机构会员）和个人会员中的执业会员。</w:t>
      </w:r>
    </w:p>
    <w:p w14:paraId="4846F1E3">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第四条</w:t>
      </w:r>
      <w:r>
        <w:rPr>
          <w:rFonts w:hint="eastAsia" w:ascii="宋体" w:hAnsi="宋体" w:eastAsia="宋体" w:cs="宋体"/>
          <w:color w:val="000000"/>
          <w:kern w:val="0"/>
          <w:sz w:val="24"/>
          <w:shd w:val="clear" w:color="auto" w:fill="FFFFFF"/>
        </w:rPr>
        <w:t>　中评协负责制定会员信用档案管理的相关制度，建设会员信用档案管理系统，委托各省、自治区、直辖市、计划单列市资产评估协会（以下简称地方协会）组织开展辖区内会员信用档案管理工作。</w:t>
      </w:r>
    </w:p>
    <w:p w14:paraId="78D4183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特别机构会员、珠宝评估业务相关的评估机构会员及其执业会员信用档案由中评协直接管理。</w:t>
      </w:r>
    </w:p>
    <w:p w14:paraId="4952CFD6">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第二章　会员信用档案的建立</w:t>
      </w:r>
    </w:p>
    <w:p w14:paraId="43A5C1F2">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第五条</w:t>
      </w:r>
      <w:r>
        <w:rPr>
          <w:rFonts w:hint="eastAsia" w:ascii="宋体" w:hAnsi="宋体" w:eastAsia="宋体" w:cs="宋体"/>
          <w:color w:val="000000"/>
          <w:kern w:val="0"/>
          <w:sz w:val="24"/>
          <w:shd w:val="clear" w:color="auto" w:fill="FFFFFF"/>
        </w:rPr>
        <w:t>　会员信用档案记录的会员信用信息包括不良行为信息和提示信息。</w:t>
      </w:r>
    </w:p>
    <w:p w14:paraId="23ED8732">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第六条</w:t>
      </w:r>
      <w:r>
        <w:rPr>
          <w:rFonts w:hint="eastAsia" w:ascii="宋体" w:hAnsi="宋体" w:eastAsia="宋体" w:cs="宋体"/>
          <w:color w:val="000000"/>
          <w:kern w:val="0"/>
          <w:sz w:val="24"/>
          <w:shd w:val="clear" w:color="auto" w:fill="FFFFFF"/>
        </w:rPr>
        <w:t>　会员信用档案中的不良行为信息是指会员在执业过程中违反法律、行政法规、规章及自律管理规章制度而受到相应处罚或惩戒的信息，主要包括：</w:t>
      </w:r>
    </w:p>
    <w:p w14:paraId="0AEA229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（一）会员在执业过程中受到协会给予自律惩戒的情况，包括警告、严重警告、通报批评、公开谴责和取消会员资格；</w:t>
      </w:r>
    </w:p>
    <w:p w14:paraId="11BFA18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会员在执业过程中受到行政机关给予行政处罚的情况，包括警告，罚款，没收违法所得、没收非法财物，责令停产停业，暂扣或者吊销许可证、暂扣或者吊销执照，行政拘留，法律、行政法规规定的其他行政处罚；</w:t>
      </w:r>
    </w:p>
    <w:p w14:paraId="7545BE7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（三）会员在执业过程中受到审判机关给予刑事处罚的情况；</w:t>
      </w:r>
    </w:p>
    <w:p w14:paraId="3DE42DA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（四）其他不良行为。</w:t>
      </w:r>
    </w:p>
    <w:p w14:paraId="33C656D0">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第七条</w:t>
      </w:r>
      <w:r>
        <w:rPr>
          <w:rFonts w:hint="eastAsia" w:ascii="宋体" w:hAnsi="宋体" w:eastAsia="宋体" w:cs="宋体"/>
          <w:color w:val="000000"/>
          <w:kern w:val="0"/>
          <w:sz w:val="24"/>
          <w:shd w:val="clear" w:color="auto" w:fill="FFFFFF"/>
        </w:rPr>
        <w:t>　会员信用档案中的提示信息是指可能影响会员信用状况，需要信用档案使用者予以关注的信息，主要包括：</w:t>
      </w:r>
    </w:p>
    <w:p w14:paraId="3912E4D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（一）会员被协会出具关注函或谈话提醒的情况；</w:t>
      </w:r>
    </w:p>
    <w:p w14:paraId="27272D5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（二）会员被采取行政监管措施的情况，包括监管谈话、出具警示函、责令改正等。</w:t>
      </w:r>
    </w:p>
    <w:p w14:paraId="38F0FA7C">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第八条</w:t>
      </w:r>
      <w:r>
        <w:rPr>
          <w:rFonts w:hint="eastAsia" w:ascii="宋体" w:hAnsi="宋体" w:eastAsia="宋体" w:cs="宋体"/>
          <w:color w:val="000000"/>
          <w:kern w:val="0"/>
          <w:sz w:val="24"/>
          <w:shd w:val="clear" w:color="auto" w:fill="FFFFFF"/>
        </w:rPr>
        <w:t>　会员信用信息获取来源及渠道包括：</w:t>
      </w:r>
    </w:p>
    <w:p w14:paraId="610F273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（一）会员自行申报；</w:t>
      </w:r>
    </w:p>
    <w:p w14:paraId="2A1F7B2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（二）中评协和地方协会的有关文件；</w:t>
      </w:r>
    </w:p>
    <w:p w14:paraId="6F51C83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（三）行政机关的文件及公告；</w:t>
      </w:r>
    </w:p>
    <w:p w14:paraId="7EE957B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（四）审判机关发布的裁判文书；</w:t>
      </w:r>
    </w:p>
    <w:p w14:paraId="24FFBAF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（五）其他途径。</w:t>
      </w:r>
    </w:p>
    <w:p w14:paraId="65BB88B8">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第九条</w:t>
      </w:r>
      <w:r>
        <w:rPr>
          <w:rFonts w:hint="eastAsia" w:ascii="宋体" w:hAnsi="宋体" w:eastAsia="宋体" w:cs="宋体"/>
          <w:color w:val="000000"/>
          <w:kern w:val="0"/>
          <w:sz w:val="24"/>
          <w:shd w:val="clear" w:color="auto" w:fill="FFFFFF"/>
        </w:rPr>
        <w:t>　会员信用信息收集和录入，由中评协和地方协会按本办法第四条规定的管理权限分工负责。</w:t>
      </w:r>
    </w:p>
    <w:p w14:paraId="229B9B52">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第十条</w:t>
      </w:r>
      <w:r>
        <w:rPr>
          <w:rFonts w:hint="eastAsia" w:ascii="宋体" w:hAnsi="宋体" w:eastAsia="宋体" w:cs="宋体"/>
          <w:color w:val="000000"/>
          <w:kern w:val="0"/>
          <w:sz w:val="24"/>
          <w:shd w:val="clear" w:color="auto" w:fill="FFFFFF"/>
        </w:rPr>
        <w:t>　会员发生本办法第六条（一）和第七条（一）的情形时，由中评协或地方协会在作出最终决定后10个工作日内，将信息直接录入会员信用档案管理系统。</w:t>
      </w:r>
    </w:p>
    <w:p w14:paraId="3D1ACAD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会员发生本办法第六条（二）、（三）、（四）和第七条（二）的情形时，应在相关文书送达后15个工作日内，通过信用档案管理系统向中评协或地方协会申报，并上传相关证明材料扫描件。中评协或地方协会应在10个工作日内审查核实予以确认。</w:t>
      </w:r>
    </w:p>
    <w:p w14:paraId="11E7F57B">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第十一条</w:t>
      </w:r>
      <w:r>
        <w:rPr>
          <w:rFonts w:hint="eastAsia" w:ascii="宋体" w:hAnsi="宋体" w:eastAsia="宋体" w:cs="宋体"/>
          <w:color w:val="000000"/>
          <w:kern w:val="0"/>
          <w:sz w:val="24"/>
          <w:shd w:val="clear" w:color="auto" w:fill="FFFFFF"/>
        </w:rPr>
        <w:t>　协会信用档案管理人员应关注相关国家机关官网、新闻媒体等，及时发现、收集和录入会员的不良信用信息和提示信息。</w:t>
      </w:r>
    </w:p>
    <w:p w14:paraId="577BF05F">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第十二条</w:t>
      </w:r>
      <w:r>
        <w:rPr>
          <w:rFonts w:hint="eastAsia" w:ascii="宋体" w:hAnsi="宋体" w:eastAsia="宋体" w:cs="宋体"/>
          <w:color w:val="000000"/>
          <w:kern w:val="0"/>
          <w:sz w:val="24"/>
          <w:shd w:val="clear" w:color="auto" w:fill="FFFFFF"/>
        </w:rPr>
        <w:t>　会员信用档案记录的会员信用信息与事实不符的，会员可向协会提出更正申请，并提交相关证明材料。协会应自受理之日起10个工作日内作出处理，并将处理意见告知申请人。</w:t>
      </w:r>
    </w:p>
    <w:p w14:paraId="3C376E5F">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第三章　会员信用档案的管理</w:t>
      </w:r>
    </w:p>
    <w:p w14:paraId="24D493BD">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第十三条</w:t>
      </w:r>
      <w:r>
        <w:rPr>
          <w:rFonts w:hint="eastAsia" w:ascii="宋体" w:hAnsi="宋体" w:eastAsia="宋体" w:cs="宋体"/>
          <w:color w:val="000000"/>
          <w:kern w:val="0"/>
          <w:sz w:val="24"/>
          <w:shd w:val="clear" w:color="auto" w:fill="FFFFFF"/>
        </w:rPr>
        <w:t>　会员信用档案的电子文档长期保存，信用档案管理系统显示会员最近3年的信用信息。</w:t>
      </w:r>
    </w:p>
    <w:p w14:paraId="01019075">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第十四条</w:t>
      </w:r>
      <w:r>
        <w:rPr>
          <w:rFonts w:hint="eastAsia" w:ascii="宋体" w:hAnsi="宋体" w:eastAsia="宋体" w:cs="宋体"/>
          <w:color w:val="000000"/>
          <w:kern w:val="0"/>
          <w:sz w:val="24"/>
          <w:shd w:val="clear" w:color="auto" w:fill="FFFFFF"/>
        </w:rPr>
        <w:t>　会员信用档案中的不良行为信息为公开信息，社会公众可以通过中评协网站直接查询。</w:t>
      </w:r>
    </w:p>
    <w:p w14:paraId="25FE33D1">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第十五条</w:t>
      </w:r>
      <w:r>
        <w:rPr>
          <w:rFonts w:hint="eastAsia" w:ascii="宋体" w:hAnsi="宋体" w:eastAsia="宋体" w:cs="宋体"/>
          <w:color w:val="000000"/>
          <w:kern w:val="0"/>
          <w:sz w:val="24"/>
          <w:shd w:val="clear" w:color="auto" w:fill="FFFFFF"/>
        </w:rPr>
        <w:t>　会员信用档案中的提示信息为有条件公开信息。会员在连续12个月内提示信息不超过5条的，其提示信息为非公开信息；会员在连续12月内提示信息超过5条的，其提示信息全部转为公开信息。</w:t>
      </w:r>
    </w:p>
    <w:p w14:paraId="2ED40FD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国家机关依法依规对会员进行检查、调查时，需要查询会员信用档案非公开信息的，需出具公函方可查询。协会应当对查询情况进行记录。</w:t>
      </w:r>
    </w:p>
    <w:p w14:paraId="3D914934">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第十六条</w:t>
      </w:r>
      <w:r>
        <w:rPr>
          <w:rFonts w:hint="eastAsia" w:ascii="宋体" w:hAnsi="宋体" w:eastAsia="宋体" w:cs="宋体"/>
          <w:color w:val="000000"/>
          <w:kern w:val="0"/>
          <w:sz w:val="24"/>
          <w:shd w:val="clear" w:color="auto" w:fill="FFFFFF"/>
        </w:rPr>
        <w:t>　执业会员跨区转所的，其信用档案在信用档案管理系统中自动跨区转移。　</w:t>
      </w:r>
    </w:p>
    <w:p w14:paraId="0579E588">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第十七条</w:t>
      </w:r>
      <w:r>
        <w:rPr>
          <w:rFonts w:hint="eastAsia" w:ascii="宋体" w:hAnsi="宋体" w:eastAsia="宋体" w:cs="宋体"/>
          <w:color w:val="000000"/>
          <w:kern w:val="0"/>
          <w:sz w:val="24"/>
          <w:shd w:val="clear" w:color="auto" w:fill="FFFFFF"/>
        </w:rPr>
        <w:t>　中评协和地方协会应安排人员专门负责会员信用档案管理工作，并建立严格和规范的会员信用档案信用信息的录入、变更等工作程序。</w:t>
      </w:r>
    </w:p>
    <w:p w14:paraId="11E6BC4D">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第四章　违规责任</w:t>
      </w:r>
    </w:p>
    <w:p w14:paraId="70007BD8">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第十八条</w:t>
      </w:r>
      <w:r>
        <w:rPr>
          <w:rFonts w:hint="eastAsia" w:ascii="宋体" w:hAnsi="宋体" w:eastAsia="宋体" w:cs="宋体"/>
          <w:color w:val="000000"/>
          <w:kern w:val="0"/>
          <w:sz w:val="24"/>
          <w:shd w:val="clear" w:color="auto" w:fill="FFFFFF"/>
        </w:rPr>
        <w:t>　会员未按本办法</w:t>
      </w:r>
      <w:r>
        <w:rPr>
          <w:rFonts w:hint="eastAsia" w:ascii="宋体" w:hAnsi="宋体" w:eastAsia="宋体" w:cs="宋体"/>
          <w:b/>
          <w:color w:val="000000"/>
          <w:kern w:val="0"/>
          <w:sz w:val="24"/>
          <w:shd w:val="clear" w:color="auto" w:fill="FFFFFF"/>
        </w:rPr>
        <w:t>第十条</w:t>
      </w:r>
      <w:r>
        <w:rPr>
          <w:rFonts w:hint="eastAsia" w:ascii="宋体" w:hAnsi="宋体" w:eastAsia="宋体" w:cs="宋体"/>
          <w:color w:val="000000"/>
          <w:kern w:val="0"/>
          <w:sz w:val="24"/>
          <w:shd w:val="clear" w:color="auto" w:fill="FFFFFF"/>
        </w:rPr>
        <w:t>规定，申报其不良行为信息或提示信息的，根据情节轻重给予警告、严重警告或通报批评惩戒。</w:t>
      </w:r>
    </w:p>
    <w:p w14:paraId="3D5219AC">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第十九条</w:t>
      </w:r>
      <w:r>
        <w:rPr>
          <w:rFonts w:hint="eastAsia" w:ascii="宋体" w:hAnsi="宋体" w:eastAsia="宋体" w:cs="宋体"/>
          <w:color w:val="000000"/>
          <w:kern w:val="0"/>
          <w:sz w:val="24"/>
          <w:shd w:val="clear" w:color="auto" w:fill="FFFFFF"/>
        </w:rPr>
        <w:t>　协会负责信用档案管理的工作人员，应按本办法规定收集、录入会员信用信息，办理会员非公开信息查询，按规定程序变更会员信用信息，不得泄露会员非公开信息。</w:t>
      </w:r>
    </w:p>
    <w:p w14:paraId="24F0268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因违规行为对会员或相关当事人造成重大影响和严重后果的，信用档案管理人员应当承担相应的责任。</w:t>
      </w:r>
    </w:p>
    <w:p w14:paraId="1444281B">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第五章　附则</w:t>
      </w:r>
    </w:p>
    <w:p w14:paraId="3A9B3975">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第二十条</w:t>
      </w:r>
      <w:r>
        <w:rPr>
          <w:rFonts w:hint="eastAsia" w:ascii="宋体" w:hAnsi="宋体" w:eastAsia="宋体" w:cs="宋体"/>
          <w:color w:val="000000"/>
          <w:kern w:val="0"/>
          <w:sz w:val="24"/>
          <w:shd w:val="clear" w:color="auto" w:fill="FFFFFF"/>
        </w:rPr>
        <w:t>　本办法由中评协负责解释。</w:t>
      </w:r>
    </w:p>
    <w:p w14:paraId="2AFC7C47">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第二十一条</w:t>
      </w:r>
      <w:r>
        <w:rPr>
          <w:rFonts w:hint="eastAsia" w:ascii="宋体" w:hAnsi="宋体" w:eastAsia="宋体" w:cs="宋体"/>
          <w:color w:val="000000"/>
          <w:kern w:val="0"/>
          <w:sz w:val="24"/>
          <w:shd w:val="clear" w:color="auto" w:fill="FFFFFF"/>
        </w:rPr>
        <w:t>　本办法自发布之日起施行。中评协2006年4月22日发布的《中国资产评估协会会员诚信档案管理暂行办法》（中评协〔2006〕96　号）同时废止。</w:t>
      </w:r>
    </w:p>
    <w:p w14:paraId="064EA8A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br w:type="page"/>
      </w:r>
    </w:p>
    <w:p w14:paraId="68BF4132">
      <w:pPr>
        <w:pStyle w:val="5"/>
        <w:spacing w:line="440" w:lineRule="atLeast"/>
        <w:jc w:val="center"/>
        <w:rPr>
          <w:rFonts w:ascii="宋体" w:hAnsi="宋体" w:eastAsia="宋体" w:cs="宋体"/>
        </w:rPr>
      </w:pPr>
      <w:bookmarkStart w:id="99" w:name="_Toc15522"/>
      <w:r>
        <w:rPr>
          <w:rFonts w:hint="eastAsia" w:ascii="宋体" w:hAnsi="宋体" w:eastAsia="宋体" w:cs="宋体"/>
        </w:rPr>
        <w:t>中国资产评估协会执业会员继续教育管理办法</w:t>
      </w:r>
      <w:bookmarkEnd w:id="99"/>
    </w:p>
    <w:p w14:paraId="4EE54FA1">
      <w:pPr>
        <w:shd w:val="clear" w:color="auto" w:fill="FFFFFF"/>
        <w:spacing w:line="440" w:lineRule="atLeast"/>
        <w:jc w:val="center"/>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2019年7月5日中国资产评估协会发布　中评协〔2019〕62号</w:t>
      </w:r>
    </w:p>
    <w:p w14:paraId="4791D058">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第一章　总则</w:t>
      </w:r>
    </w:p>
    <w:p w14:paraId="50261AA5">
      <w:pPr>
        <w:shd w:val="clear" w:color="auto" w:fill="FFFFFF"/>
        <w:spacing w:line="440" w:lineRule="atLeast"/>
        <w:ind w:firstLine="482" w:firstLineChars="200"/>
        <w:rPr>
          <w:rFonts w:ascii="宋体" w:hAnsi="宋体" w:eastAsia="宋体" w:cs="宋体"/>
          <w:bCs/>
          <w:color w:val="000000"/>
          <w:kern w:val="0"/>
          <w:sz w:val="24"/>
          <w:shd w:val="clear" w:color="auto" w:fill="FFFFFF"/>
        </w:rPr>
      </w:pPr>
      <w:r>
        <w:rPr>
          <w:rFonts w:hint="eastAsia" w:ascii="宋体" w:hAnsi="宋体" w:eastAsia="宋体" w:cs="宋体"/>
          <w:b/>
          <w:color w:val="000000"/>
          <w:kern w:val="0"/>
          <w:sz w:val="24"/>
          <w:shd w:val="clear" w:color="auto" w:fill="FFFFFF"/>
        </w:rPr>
        <w:t>第一条</w:t>
      </w:r>
      <w:r>
        <w:rPr>
          <w:rFonts w:hint="eastAsia" w:ascii="宋体" w:hAnsi="宋体" w:eastAsia="宋体" w:cs="宋体"/>
          <w:color w:val="000000"/>
          <w:kern w:val="0"/>
          <w:sz w:val="24"/>
          <w:shd w:val="clear" w:color="auto" w:fill="FFFFFF"/>
        </w:rPr>
        <w:t>　为规范中国资产评估协会（以下简称中评协）执业会员继续教育工作，不断提升执业会员的专业素质、执业能力和职业道德水平，根据《中华人民共和国资产评估法》《专业技术人员继续教育规定》（人社部令</w:t>
      </w:r>
      <w:r>
        <w:rPr>
          <w:rFonts w:hint="eastAsia" w:ascii="宋体" w:hAnsi="宋体" w:eastAsia="宋体" w:cs="宋体"/>
          <w:bCs/>
          <w:color w:val="000000"/>
          <w:kern w:val="0"/>
          <w:sz w:val="24"/>
          <w:shd w:val="clear" w:color="auto" w:fill="FFFFFF"/>
        </w:rPr>
        <w:t>第25号）《资产评估师职业资格制度暂行规定》（人社部规〔2017〕7号）《中国资产评估协会章程》等相关规定，制定本办法。</w:t>
      </w:r>
    </w:p>
    <w:p w14:paraId="35D77AEC">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第二条</w:t>
      </w:r>
      <w:r>
        <w:rPr>
          <w:rFonts w:hint="eastAsia" w:ascii="宋体" w:hAnsi="宋体" w:eastAsia="宋体" w:cs="宋体"/>
          <w:color w:val="000000"/>
          <w:kern w:val="0"/>
          <w:sz w:val="24"/>
          <w:shd w:val="clear" w:color="auto" w:fill="FFFFFF"/>
        </w:rPr>
        <w:t>　执业会员继续教育应当以服务经济社会发展为导向，以职业道德和能力建设为核心，坚持理论联系实际、按需施教、注重实效、突出针对性和前瞻性的原则。</w:t>
      </w:r>
    </w:p>
    <w:p w14:paraId="58BFC1BD">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第三条</w:t>
      </w:r>
      <w:r>
        <w:rPr>
          <w:rFonts w:hint="eastAsia" w:ascii="宋体" w:hAnsi="宋体" w:eastAsia="宋体" w:cs="宋体"/>
          <w:color w:val="000000"/>
          <w:kern w:val="0"/>
          <w:sz w:val="24"/>
          <w:shd w:val="clear" w:color="auto" w:fill="FFFFFF"/>
        </w:rPr>
        <w:t>　执业会员享有继续教育的权利和履行继续教育的义务。执业会员应当按照本办法的要求接受继续教育。</w:t>
      </w:r>
    </w:p>
    <w:p w14:paraId="371239E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资产评估机构应当保障本机构执业会员参加继续教育的权利。</w:t>
      </w:r>
    </w:p>
    <w:p w14:paraId="596DACA9">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第四条</w:t>
      </w:r>
      <w:r>
        <w:rPr>
          <w:rFonts w:hint="eastAsia" w:ascii="宋体" w:hAnsi="宋体" w:eastAsia="宋体" w:cs="宋体"/>
          <w:color w:val="000000"/>
          <w:kern w:val="0"/>
          <w:sz w:val="24"/>
          <w:shd w:val="clear" w:color="auto" w:fill="FFFFFF"/>
        </w:rPr>
        <w:t>　中评协建立执业会员继续教育管理机制，充分发挥各省、自治区、直辖市、计划单列市资产评估协会（以下简称地方协会）和资产评估机构在执业会员继续教育中的作用。</w:t>
      </w:r>
    </w:p>
    <w:p w14:paraId="59DA8F6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中评协、地方协会和资产评估机构应当保障执业会员继续教育经费投入。</w:t>
      </w:r>
    </w:p>
    <w:p w14:paraId="2CB69FB5">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第二章　继续教育的组织管理</w:t>
      </w:r>
    </w:p>
    <w:p w14:paraId="45EE8B9B">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第五条</w:t>
      </w:r>
      <w:r>
        <w:rPr>
          <w:rFonts w:hint="eastAsia" w:ascii="宋体" w:hAnsi="宋体" w:eastAsia="宋体" w:cs="宋体"/>
          <w:color w:val="000000"/>
          <w:kern w:val="0"/>
          <w:sz w:val="24"/>
          <w:shd w:val="clear" w:color="auto" w:fill="FFFFFF"/>
        </w:rPr>
        <w:t>　执业会员继续教育实行统一管理，分级负责。</w:t>
      </w:r>
    </w:p>
    <w:p w14:paraId="364A0B35">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第六条</w:t>
      </w:r>
      <w:r>
        <w:rPr>
          <w:rFonts w:hint="eastAsia" w:ascii="宋体" w:hAnsi="宋体" w:eastAsia="宋体" w:cs="宋体"/>
          <w:color w:val="000000"/>
          <w:kern w:val="0"/>
          <w:sz w:val="24"/>
          <w:shd w:val="clear" w:color="auto" w:fill="FFFFFF"/>
        </w:rPr>
        <w:t>　中评协负责全国执业会员继续教育的组织、管理和协调工作。具体包括：</w:t>
      </w:r>
    </w:p>
    <w:p w14:paraId="20BAE4F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（一）制定全国执业会员继续教育规划和制度；</w:t>
      </w:r>
    </w:p>
    <w:p w14:paraId="1869D6F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（二）制定并发布全国执业会员继续教育大纲；</w:t>
      </w:r>
    </w:p>
    <w:p w14:paraId="4F83B95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（三）组织编写和推荐全国执业会员继续教育重点教材；</w:t>
      </w:r>
    </w:p>
    <w:p w14:paraId="16845F7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（四）制定并组织实施中评协执业会员继续教育年度计划；</w:t>
      </w:r>
    </w:p>
    <w:p w14:paraId="5806BC6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（五）指导、评价地方协会的继续教育工作；</w:t>
      </w:r>
    </w:p>
    <w:p w14:paraId="5FEEE64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（六）指导、评价资产评估机构内部培训工作。</w:t>
      </w:r>
    </w:p>
    <w:p w14:paraId="2331F1F5">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第七条</w:t>
      </w:r>
      <w:r>
        <w:rPr>
          <w:rFonts w:hint="eastAsia" w:ascii="宋体" w:hAnsi="宋体" w:eastAsia="宋体" w:cs="宋体"/>
          <w:color w:val="000000"/>
          <w:kern w:val="0"/>
          <w:sz w:val="24"/>
          <w:shd w:val="clear" w:color="auto" w:fill="FFFFFF"/>
        </w:rPr>
        <w:t>　地方协会负责本地区执业会员继续教育的组织管理工作。具体包括：</w:t>
      </w:r>
    </w:p>
    <w:p w14:paraId="55701AC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（一）制定本地区执业会员继续教育实施办法；　</w:t>
      </w:r>
    </w:p>
    <w:p w14:paraId="4190A9A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（二）制定并组织实施本地区执业会员继续教育年度计划；　</w:t>
      </w:r>
    </w:p>
    <w:p w14:paraId="5B2C14B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（三）组织编写本地区执业会员继续教育培训教材；</w:t>
      </w:r>
    </w:p>
    <w:p w14:paraId="501CA5F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（四）组织本地区执业会员参加中评协组织或中评协委托组织的继续教育培训；</w:t>
      </w:r>
    </w:p>
    <w:p w14:paraId="264DB4D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（五）审核认定本地区资产评估机构内部培训资格，并报中评协备案；　</w:t>
      </w:r>
    </w:p>
    <w:p w14:paraId="315C3BD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（六）制定本地区资产评估机构内部培训管理办法,指导、评价本地区资产评估机构内部培训工作。</w:t>
      </w:r>
    </w:p>
    <w:p w14:paraId="442E631A">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第八条</w:t>
      </w:r>
      <w:r>
        <w:rPr>
          <w:rFonts w:hint="eastAsia" w:ascii="宋体" w:hAnsi="宋体" w:eastAsia="宋体" w:cs="宋体"/>
          <w:color w:val="000000"/>
          <w:kern w:val="0"/>
          <w:sz w:val="24"/>
          <w:shd w:val="clear" w:color="auto" w:fill="FFFFFF"/>
        </w:rPr>
        <w:t>　资产评估机构负责组织和督促本机构执业会员接受继续教育，并提供必要的学习条件和经费保障。</w:t>
      </w:r>
    </w:p>
    <w:p w14:paraId="35738D5B">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第九条</w:t>
      </w:r>
      <w:r>
        <w:rPr>
          <w:rFonts w:hint="eastAsia" w:ascii="宋体" w:hAnsi="宋体" w:eastAsia="宋体" w:cs="宋体"/>
          <w:color w:val="000000"/>
          <w:kern w:val="0"/>
          <w:sz w:val="24"/>
          <w:shd w:val="clear" w:color="auto" w:fill="FFFFFF"/>
        </w:rPr>
        <w:t>　资产评估机构具备下列条件的，可向所在地地方协会申请内部培训资格：</w:t>
      </w:r>
    </w:p>
    <w:p w14:paraId="5A76CE8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（一）至少拥有30名执业会员；</w:t>
      </w:r>
    </w:p>
    <w:p w14:paraId="28B647D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（二）年评估业务收入至少1000万元；</w:t>
      </w:r>
    </w:p>
    <w:p w14:paraId="6C319EA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（三）具有健全的内部培训制度和科学的培训计划；</w:t>
      </w:r>
    </w:p>
    <w:p w14:paraId="6102E10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（四）能够提供承担培训任务的师资、场地和设施；</w:t>
      </w:r>
    </w:p>
    <w:p w14:paraId="2C6B438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（五）地方协会要求的其他条件。</w:t>
      </w:r>
    </w:p>
    <w:p w14:paraId="3B791224">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第十条</w:t>
      </w:r>
      <w:r>
        <w:rPr>
          <w:rFonts w:hint="eastAsia" w:ascii="宋体" w:hAnsi="宋体" w:eastAsia="宋体" w:cs="宋体"/>
          <w:color w:val="000000"/>
          <w:kern w:val="0"/>
          <w:sz w:val="24"/>
          <w:shd w:val="clear" w:color="auto" w:fill="FFFFFF"/>
        </w:rPr>
        <w:t>　中评协、地方协会、资产评估机构应当聘请实践经验丰富、理论水平高、职业道德和社会声誉良好的专家学者，承担执业会员继续教育任务，建设执业会员继续教育师资队伍。</w:t>
      </w:r>
    </w:p>
    <w:p w14:paraId="4A6C2CA7">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第三章　继续教育的内容、形式及学时</w:t>
      </w:r>
    </w:p>
    <w:p w14:paraId="6DAAF68A">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第十一条</w:t>
      </w:r>
      <w:r>
        <w:rPr>
          <w:rFonts w:hint="eastAsia" w:ascii="宋体" w:hAnsi="宋体" w:eastAsia="宋体" w:cs="宋体"/>
          <w:color w:val="000000"/>
          <w:kern w:val="0"/>
          <w:sz w:val="24"/>
          <w:shd w:val="clear" w:color="auto" w:fill="FFFFFF"/>
        </w:rPr>
        <w:t>　执业会员继续教育的主要内容包括:执业会员为市场主体的各类资产价值及相关事项，提供测算、鉴证、评价、调查和管理咨询等各种服务应当掌握的理论、技术和方法等专业知识，以及相关的法律法规政策、职业规范等。</w:t>
      </w:r>
    </w:p>
    <w:p w14:paraId="34C3D00C">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第十二条</w:t>
      </w:r>
      <w:r>
        <w:rPr>
          <w:rFonts w:hint="eastAsia" w:ascii="宋体" w:hAnsi="宋体" w:eastAsia="宋体" w:cs="宋体"/>
          <w:color w:val="000000"/>
          <w:kern w:val="0"/>
          <w:sz w:val="24"/>
          <w:shd w:val="clear" w:color="auto" w:fill="FFFFFF"/>
        </w:rPr>
        <w:t>　执业会员参加继续教育的主要形式包括：</w:t>
      </w:r>
    </w:p>
    <w:p w14:paraId="0078DCD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（一）中评协或地方协会举办的培训班、研修班、专业论坛、学术会议、学术访问或专题讲座等；</w:t>
      </w:r>
    </w:p>
    <w:p w14:paraId="0A04495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（二）中评协或地方协会提供的远程教育；</w:t>
      </w:r>
    </w:p>
    <w:p w14:paraId="3413252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（三）中评协或地方协会委托相关教育培训机构提供的网络在线培训；</w:t>
      </w:r>
    </w:p>
    <w:p w14:paraId="211791D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（四）经所在地地方协会认可的资产评估机构内部培训；</w:t>
      </w:r>
    </w:p>
    <w:p w14:paraId="74EB432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（五）中评协或地方协会认可的其他形式。</w:t>
      </w:r>
    </w:p>
    <w:p w14:paraId="43ED1D68">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第十三条</w:t>
      </w:r>
      <w:r>
        <w:rPr>
          <w:rFonts w:hint="eastAsia" w:ascii="宋体" w:hAnsi="宋体" w:eastAsia="宋体" w:cs="宋体"/>
          <w:color w:val="000000"/>
          <w:kern w:val="0"/>
          <w:sz w:val="24"/>
          <w:shd w:val="clear" w:color="auto" w:fill="FFFFFF"/>
        </w:rPr>
        <w:t>　下列情形视为执业会员接受继续教育：</w:t>
      </w:r>
    </w:p>
    <w:p w14:paraId="6978C47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（一）担任中评协或地方协会举办或委托举办的继续教育培训班或研修班授课人、专业论坛或专题讲座演讲人；</w:t>
      </w:r>
    </w:p>
    <w:p w14:paraId="3B408BE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（二）参加中评协或地方协会组织的行业执业质量检查、专案调查、专家论证及执业责任鉴定；</w:t>
      </w:r>
    </w:p>
    <w:p w14:paraId="52ACCD4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（三）参加资产评估执业标准制定；</w:t>
      </w:r>
    </w:p>
    <w:p w14:paraId="3CA18B5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（四）参加资产评估师考试辅导教材或继续教育培训教材编写；</w:t>
      </w:r>
    </w:p>
    <w:p w14:paraId="1507C83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（五）承担中评协或地方协会认可的课题研究，并取得研究成果；</w:t>
      </w:r>
    </w:p>
    <w:p w14:paraId="059DBBA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（六）公开出版或发表评估专业著作或专业论文；</w:t>
      </w:r>
    </w:p>
    <w:p w14:paraId="1549E13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（七）参加中评协或地方协会认可的国内外评估机构的培训；</w:t>
      </w:r>
    </w:p>
    <w:p w14:paraId="7E2F0AD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（八）参加在职资产评估专业学位教育；</w:t>
      </w:r>
    </w:p>
    <w:p w14:paraId="76D1E2D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（九）经中评协或地方协会认可的其他方式。</w:t>
      </w:r>
    </w:p>
    <w:p w14:paraId="29B89675">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第十四条</w:t>
      </w:r>
      <w:r>
        <w:rPr>
          <w:rFonts w:hint="eastAsia" w:ascii="宋体" w:hAnsi="宋体" w:eastAsia="宋体" w:cs="宋体"/>
          <w:color w:val="000000"/>
          <w:kern w:val="0"/>
          <w:sz w:val="24"/>
          <w:shd w:val="clear" w:color="auto" w:fill="FFFFFF"/>
        </w:rPr>
        <w:t>　执业会员每年接受继续教育的时间累计不得少于60个学时。本年度的继续教育学时仅在当年有效。</w:t>
      </w:r>
    </w:p>
    <w:p w14:paraId="115FD1F0">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第十五条</w:t>
      </w:r>
      <w:r>
        <w:rPr>
          <w:rFonts w:hint="eastAsia" w:ascii="宋体" w:hAnsi="宋体" w:eastAsia="宋体" w:cs="宋体"/>
          <w:color w:val="000000"/>
          <w:kern w:val="0"/>
          <w:sz w:val="24"/>
          <w:shd w:val="clear" w:color="auto" w:fill="FFFFFF"/>
        </w:rPr>
        <w:t>　执业会员参加</w:t>
      </w:r>
      <w:r>
        <w:rPr>
          <w:rFonts w:hint="eastAsia" w:ascii="宋体" w:hAnsi="宋体" w:eastAsia="宋体" w:cs="宋体"/>
          <w:bCs/>
          <w:color w:val="000000"/>
          <w:kern w:val="0"/>
          <w:sz w:val="24"/>
          <w:shd w:val="clear" w:color="auto" w:fill="FFFFFF"/>
        </w:rPr>
        <w:t>第十二条</w:t>
      </w:r>
      <w:r>
        <w:rPr>
          <w:rFonts w:hint="eastAsia" w:ascii="宋体" w:hAnsi="宋体" w:eastAsia="宋体" w:cs="宋体"/>
          <w:color w:val="000000"/>
          <w:kern w:val="0"/>
          <w:sz w:val="24"/>
          <w:shd w:val="clear" w:color="auto" w:fill="FFFFFF"/>
        </w:rPr>
        <w:t>所列形式的继续教育，至少45分钟为一个学时，按照实际参加时间确认学时。</w:t>
      </w:r>
    </w:p>
    <w:p w14:paraId="0893DAB0">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第十六条</w:t>
      </w:r>
      <w:r>
        <w:rPr>
          <w:rFonts w:hint="eastAsia" w:ascii="宋体" w:hAnsi="宋体" w:eastAsia="宋体" w:cs="宋体"/>
          <w:color w:val="000000"/>
          <w:kern w:val="0"/>
          <w:sz w:val="24"/>
          <w:shd w:val="clear" w:color="auto" w:fill="FFFFFF"/>
        </w:rPr>
        <w:t>　执业会员参加</w:t>
      </w:r>
      <w:r>
        <w:rPr>
          <w:rFonts w:hint="eastAsia" w:ascii="宋体" w:hAnsi="宋体" w:eastAsia="宋体" w:cs="宋体"/>
          <w:bCs/>
          <w:color w:val="000000"/>
          <w:kern w:val="0"/>
          <w:sz w:val="24"/>
          <w:shd w:val="clear" w:color="auto" w:fill="FFFFFF"/>
        </w:rPr>
        <w:t>第十三条</w:t>
      </w:r>
      <w:r>
        <w:rPr>
          <w:rFonts w:hint="eastAsia" w:ascii="宋体" w:hAnsi="宋体" w:eastAsia="宋体" w:cs="宋体"/>
          <w:color w:val="000000"/>
          <w:kern w:val="0"/>
          <w:sz w:val="24"/>
          <w:shd w:val="clear" w:color="auto" w:fill="FFFFFF"/>
        </w:rPr>
        <w:t>所列形式的继续教育，按下列标准确认学时：</w:t>
      </w:r>
    </w:p>
    <w:p w14:paraId="3CF6E18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（一）担任执业会员继续教育培训班或研修班授课人、专业论坛或专题讲座演讲人，按照实际授课、演讲时间的4倍确认学时；</w:t>
      </w:r>
    </w:p>
    <w:p w14:paraId="4539916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（二）参加行业执业质量检查、专案调查、专家论证及执业责任鉴定每天确认4个学时，每年最多可确认40个学时；</w:t>
      </w:r>
    </w:p>
    <w:p w14:paraId="41C4800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（三）参加资产评估执业标准制定，项目组长每个项目确认30个学时，项目组成员每个项目确认20个学时；</w:t>
      </w:r>
    </w:p>
    <w:p w14:paraId="07B03B6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（四）参加资产评估师考试辅导教材或继续教育培训教材编写，每万字确认5个学时；</w:t>
      </w:r>
    </w:p>
    <w:p w14:paraId="2E6FF98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（五）承担研究课题并取得研究成果，每个项目确认20个学时；　</w:t>
      </w:r>
    </w:p>
    <w:p w14:paraId="704725B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（六）公开出版评估专业著作，独著每个项目确认40个学时，合著第一作者每个项目确认30个学时，其他作者每个项目确认20个学时；</w:t>
      </w:r>
    </w:p>
    <w:p w14:paraId="00FD69F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（七）在省级以上（含省级）经济类报刊上发表评估专业文章，第一作者每篇确认15个学时，其他作者每个项目确认10个学时；</w:t>
      </w:r>
    </w:p>
    <w:p w14:paraId="6CA741D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（八）参加中评协或地方协会认可的国内外评估机构的培训，按照实际参加时间确认；</w:t>
      </w:r>
    </w:p>
    <w:p w14:paraId="784902B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（九）参加在职资产评估专业学位教育，当年可确认30个学时。</w:t>
      </w:r>
    </w:p>
    <w:p w14:paraId="707593F5">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第十七条</w:t>
      </w:r>
      <w:r>
        <w:rPr>
          <w:rFonts w:hint="eastAsia" w:ascii="宋体" w:hAnsi="宋体" w:eastAsia="宋体" w:cs="宋体"/>
          <w:color w:val="000000"/>
          <w:kern w:val="0"/>
          <w:sz w:val="24"/>
          <w:shd w:val="clear" w:color="auto" w:fill="FFFFFF"/>
        </w:rPr>
        <w:t>　执业会员参加中评协或地方协会举办的培训班、研修班、专业论坛、学术会议、学术访问或专题讲座，继续教育学时由举办方确认。</w:t>
      </w:r>
    </w:p>
    <w:p w14:paraId="5792B5F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执业会员参加</w:t>
      </w:r>
      <w:r>
        <w:rPr>
          <w:rFonts w:hint="eastAsia" w:ascii="宋体" w:hAnsi="宋体" w:eastAsia="宋体" w:cs="宋体"/>
          <w:bCs/>
          <w:color w:val="000000"/>
          <w:kern w:val="0"/>
          <w:sz w:val="24"/>
          <w:shd w:val="clear" w:color="auto" w:fill="FFFFFF"/>
        </w:rPr>
        <w:t>第十三条</w:t>
      </w:r>
      <w:r>
        <w:rPr>
          <w:rFonts w:hint="eastAsia" w:ascii="宋体" w:hAnsi="宋体" w:eastAsia="宋体" w:cs="宋体"/>
          <w:color w:val="000000"/>
          <w:kern w:val="0"/>
          <w:sz w:val="24"/>
          <w:shd w:val="clear" w:color="auto" w:fill="FFFFFF"/>
        </w:rPr>
        <w:t>所列形式的继续教育，应当填写继续教育学时确认申请表，连同有关证明材料一并提交所在地地方协会确认。</w:t>
      </w:r>
    </w:p>
    <w:p w14:paraId="761F42E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执业会员参加资产评估机构举办的内部培训，由地方协会对该资产评估机构内部培训考核验收后，确认其继续教育学时。</w:t>
      </w:r>
    </w:p>
    <w:p w14:paraId="42D0938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分支机构执业会员接受总所内部培训并申请确认学时的，由总所所在地地方协会开具培训证明，分支机构所在地地方协会确认并记录其继续教育学时。</w:t>
      </w:r>
    </w:p>
    <w:p w14:paraId="51091DB8">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第十八条</w:t>
      </w:r>
      <w:r>
        <w:rPr>
          <w:rFonts w:hint="eastAsia" w:ascii="宋体" w:hAnsi="宋体" w:eastAsia="宋体" w:cs="宋体"/>
          <w:color w:val="000000"/>
          <w:kern w:val="0"/>
          <w:sz w:val="24"/>
          <w:shd w:val="clear" w:color="auto" w:fill="FFFFFF"/>
        </w:rPr>
        <w:t>　执业会员有下列情形之一的，由本人提供合理证明，经所在地地方协会审核确认后，其继续教育学时可以顺延至下一年度完成，但不得影响下一年度继续教育学时的完成。</w:t>
      </w:r>
    </w:p>
    <w:p w14:paraId="5CA2495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（一）在境外停留半年以上（含半年）的；</w:t>
      </w:r>
    </w:p>
    <w:p w14:paraId="2D3B0F1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（二）生育休产假的；</w:t>
      </w:r>
    </w:p>
    <w:p w14:paraId="7449D06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（三）因疾病连续半年以上（含半年）无法正常工作的；</w:t>
      </w:r>
    </w:p>
    <w:p w14:paraId="7A6AA79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（四）地方协会认可的其他情形。</w:t>
      </w:r>
    </w:p>
    <w:p w14:paraId="6B2B4082">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第十九条</w:t>
      </w:r>
      <w:r>
        <w:rPr>
          <w:rFonts w:hint="eastAsia" w:ascii="宋体" w:hAnsi="宋体" w:eastAsia="宋体" w:cs="宋体"/>
          <w:color w:val="000000"/>
          <w:kern w:val="0"/>
          <w:sz w:val="24"/>
          <w:shd w:val="clear" w:color="auto" w:fill="FFFFFF"/>
        </w:rPr>
        <w:t>　本办法中未明确的其他形式的继续教育学时，由中评协或地方协会认定。由地方协会认定的，应当将参加继续教育形式及学时确认情况报中评协备案。</w:t>
      </w:r>
    </w:p>
    <w:p w14:paraId="360D6440">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第四章　继续教育的考核</w:t>
      </w:r>
    </w:p>
    <w:p w14:paraId="016562B9">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第二十条</w:t>
      </w:r>
      <w:r>
        <w:rPr>
          <w:rFonts w:hint="eastAsia" w:ascii="宋体" w:hAnsi="宋体" w:eastAsia="宋体" w:cs="宋体"/>
          <w:color w:val="000000"/>
          <w:kern w:val="0"/>
          <w:sz w:val="24"/>
          <w:shd w:val="clear" w:color="auto" w:fill="FFFFFF"/>
        </w:rPr>
        <w:t>　中评协或地方协会对执业会员继续教育实行考核、考试制度。执业会员在学习期间违反继续教育培训纪律和管理制度的，可视情节予以批评教育；考核、考试不合格者,不计算继续教育学时，同时将培训结果通报所在资产评估机构。</w:t>
      </w:r>
    </w:p>
    <w:p w14:paraId="3BEC1720">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第二十一条</w:t>
      </w:r>
      <w:r>
        <w:rPr>
          <w:rFonts w:hint="eastAsia" w:ascii="宋体" w:hAnsi="宋体" w:eastAsia="宋体" w:cs="宋体"/>
          <w:color w:val="000000"/>
          <w:kern w:val="0"/>
          <w:sz w:val="24"/>
          <w:shd w:val="clear" w:color="auto" w:fill="FFFFFF"/>
        </w:rPr>
        <w:t>　执业会员有下列行为之一的，取消相应的继续教育学时，并予以行业内通报批评：　</w:t>
      </w:r>
    </w:p>
    <w:p w14:paraId="0DBB7CE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（一）提供虚假证明材料骗取继续教育学时的；</w:t>
      </w:r>
    </w:p>
    <w:p w14:paraId="366217B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（二）由他人代替参加继续教育培训的；</w:t>
      </w:r>
    </w:p>
    <w:p w14:paraId="3A8C016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（三）严重违反继续教育培训纪律和管理制度的。</w:t>
      </w:r>
    </w:p>
    <w:p w14:paraId="5A08D5B3">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第二十二条</w:t>
      </w:r>
      <w:r>
        <w:rPr>
          <w:rFonts w:hint="eastAsia" w:ascii="宋体" w:hAnsi="宋体" w:eastAsia="宋体" w:cs="宋体"/>
          <w:color w:val="000000"/>
          <w:kern w:val="0"/>
          <w:sz w:val="24"/>
          <w:shd w:val="clear" w:color="auto" w:fill="FFFFFF"/>
        </w:rPr>
        <w:t>　对于未完成当年继续教育学时，且不符合本办法</w:t>
      </w:r>
      <w:r>
        <w:rPr>
          <w:rFonts w:hint="eastAsia" w:ascii="宋体" w:hAnsi="宋体" w:eastAsia="宋体" w:cs="宋体"/>
          <w:bCs/>
          <w:color w:val="000000"/>
          <w:kern w:val="0"/>
          <w:sz w:val="24"/>
          <w:shd w:val="clear" w:color="auto" w:fill="FFFFFF"/>
        </w:rPr>
        <w:t>第十八条</w:t>
      </w:r>
      <w:r>
        <w:rPr>
          <w:rFonts w:hint="eastAsia" w:ascii="宋体" w:hAnsi="宋体" w:eastAsia="宋体" w:cs="宋体"/>
          <w:color w:val="000000"/>
          <w:kern w:val="0"/>
          <w:sz w:val="24"/>
          <w:shd w:val="clear" w:color="auto" w:fill="FFFFFF"/>
        </w:rPr>
        <w:t>规定情形的执业会员，由地方协会限期进行强制培训，对于拒不接受强制培训或强制培训不合格的执业会员，不予通过年检。</w:t>
      </w:r>
    </w:p>
    <w:p w14:paraId="45846C84">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第二十三条</w:t>
      </w:r>
      <w:r>
        <w:rPr>
          <w:rFonts w:hint="eastAsia" w:ascii="宋体" w:hAnsi="宋体" w:eastAsia="宋体" w:cs="宋体"/>
          <w:color w:val="000000"/>
          <w:kern w:val="0"/>
          <w:sz w:val="24"/>
          <w:shd w:val="clear" w:color="auto" w:fill="FFFFFF"/>
        </w:rPr>
        <w:t>　地方协会应当加强对资产评估机构内部培训工作的监督、检查，对不能持续具备内部培训资格条件或不能保证培训质量的资产评估机构，应当取消其内部培训资格。</w:t>
      </w:r>
    </w:p>
    <w:p w14:paraId="137E566B">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第五章　附则</w:t>
      </w:r>
    </w:p>
    <w:p w14:paraId="012B235A">
      <w:pPr>
        <w:shd w:val="clear" w:color="auto" w:fill="FFFFFF"/>
        <w:spacing w:line="440" w:lineRule="atLeast"/>
        <w:ind w:firstLine="482" w:firstLineChars="200"/>
        <w:rPr>
          <w:rFonts w:ascii="宋体" w:hAnsi="宋体" w:eastAsia="宋体" w:cs="宋体"/>
          <w:color w:val="000000"/>
          <w:kern w:val="0"/>
          <w:sz w:val="24"/>
          <w:shd w:val="clear" w:color="auto" w:fill="FFFFFF"/>
        </w:rPr>
        <w:sectPr>
          <w:footerReference r:id="rId25" w:type="default"/>
          <w:footerReference r:id="rId26" w:type="even"/>
          <w:pgSz w:w="11906" w:h="16838"/>
          <w:pgMar w:top="1440" w:right="1531" w:bottom="1440" w:left="1531" w:header="851" w:footer="510" w:gutter="0"/>
          <w:cols w:space="425" w:num="1"/>
          <w:docGrid w:type="lines" w:linePitch="408" w:charSpace="0"/>
        </w:sectPr>
      </w:pPr>
      <w:r>
        <w:rPr>
          <w:rFonts w:hint="eastAsia" w:ascii="宋体" w:hAnsi="宋体" w:eastAsia="宋体" w:cs="宋体"/>
          <w:b/>
          <w:color w:val="000000"/>
          <w:kern w:val="0"/>
          <w:sz w:val="24"/>
          <w:shd w:val="clear" w:color="auto" w:fill="FFFFFF"/>
        </w:rPr>
        <w:t>第二十四条</w:t>
      </w:r>
      <w:r>
        <w:rPr>
          <w:rFonts w:hint="eastAsia" w:ascii="宋体" w:hAnsi="宋体" w:eastAsia="宋体" w:cs="宋体"/>
          <w:color w:val="000000"/>
          <w:kern w:val="0"/>
          <w:sz w:val="24"/>
          <w:shd w:val="clear" w:color="auto" w:fill="FFFFFF"/>
        </w:rPr>
        <w:t>　本办法自2020年1月1日起施行。2016年1月22日中国资产评估协会发布的《中国资产评估协会执业会员继续教育管理办法》（中评协办﹝2016﹞2号）同时废止。</w:t>
      </w:r>
    </w:p>
    <w:p w14:paraId="029022BE">
      <w:pPr>
        <w:spacing w:line="440" w:lineRule="atLeast"/>
        <w:rPr>
          <w:rFonts w:ascii="宋体" w:hAnsi="宋体" w:eastAsia="宋体" w:cs="宋体"/>
          <w:bCs/>
          <w:sz w:val="24"/>
        </w:rPr>
      </w:pPr>
      <w:r>
        <w:rPr>
          <w:rFonts w:hint="eastAsia" w:ascii="宋体" w:hAnsi="宋体" w:eastAsia="宋体" w:cs="宋体"/>
          <w:bCs/>
          <w:sz w:val="24"/>
        </w:rPr>
        <w:t>附表</w:t>
      </w:r>
    </w:p>
    <w:p w14:paraId="1A11B9CD">
      <w:pPr>
        <w:adjustRightInd w:val="0"/>
        <w:snapToGrid w:val="0"/>
        <w:spacing w:line="440" w:lineRule="atLeast"/>
        <w:jc w:val="center"/>
        <w:rPr>
          <w:rFonts w:ascii="宋体" w:hAnsi="宋体" w:eastAsia="宋体" w:cs="宋体"/>
          <w:b/>
          <w:bCs/>
          <w:color w:val="000000"/>
          <w:kern w:val="0"/>
          <w:sz w:val="32"/>
          <w:szCs w:val="32"/>
        </w:rPr>
      </w:pPr>
      <w:r>
        <w:rPr>
          <w:rFonts w:hint="eastAsia" w:ascii="宋体" w:hAnsi="宋体" w:eastAsia="宋体" w:cs="宋体"/>
          <w:b/>
          <w:bCs/>
          <w:color w:val="000000"/>
          <w:kern w:val="0"/>
          <w:sz w:val="32"/>
          <w:szCs w:val="32"/>
        </w:rPr>
        <w:t>中国资产评估协会执业会员继续教育学时确认申请表</w:t>
      </w:r>
    </w:p>
    <w:tbl>
      <w:tblPr>
        <w:tblStyle w:val="24"/>
        <w:tblW w:w="86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8"/>
        <w:gridCol w:w="1701"/>
        <w:gridCol w:w="992"/>
        <w:gridCol w:w="429"/>
        <w:gridCol w:w="564"/>
        <w:gridCol w:w="1842"/>
        <w:gridCol w:w="1961"/>
      </w:tblGrid>
      <w:tr w14:paraId="19293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1198" w:type="dxa"/>
            <w:vAlign w:val="center"/>
          </w:tcPr>
          <w:p w14:paraId="07656801">
            <w:pPr>
              <w:spacing w:line="440" w:lineRule="atLeast"/>
              <w:jc w:val="center"/>
              <w:rPr>
                <w:rFonts w:ascii="仿宋_GB2312" w:hAnsi="Times New Roman" w:eastAsia="仿宋_GB2312" w:cs="Times New Roman"/>
                <w:sz w:val="28"/>
              </w:rPr>
            </w:pPr>
            <w:r>
              <w:rPr>
                <w:rFonts w:hint="eastAsia" w:ascii="仿宋_GB2312" w:hAnsi="Times New Roman" w:eastAsia="仿宋_GB2312" w:cs="Times New Roman"/>
                <w:sz w:val="28"/>
              </w:rPr>
              <w:t>姓名</w:t>
            </w:r>
          </w:p>
        </w:tc>
        <w:tc>
          <w:tcPr>
            <w:tcW w:w="1701" w:type="dxa"/>
            <w:vAlign w:val="center"/>
          </w:tcPr>
          <w:p w14:paraId="4EB2BF71">
            <w:pPr>
              <w:spacing w:line="440" w:lineRule="atLeast"/>
              <w:jc w:val="center"/>
              <w:rPr>
                <w:rFonts w:ascii="仿宋_GB2312" w:hAnsi="Times New Roman" w:eastAsia="仿宋_GB2312" w:cs="Times New Roman"/>
                <w:sz w:val="28"/>
              </w:rPr>
            </w:pPr>
          </w:p>
        </w:tc>
        <w:tc>
          <w:tcPr>
            <w:tcW w:w="992" w:type="dxa"/>
            <w:vAlign w:val="center"/>
          </w:tcPr>
          <w:p w14:paraId="7B826624">
            <w:pPr>
              <w:spacing w:line="440" w:lineRule="atLeast"/>
              <w:jc w:val="center"/>
              <w:rPr>
                <w:rFonts w:ascii="仿宋_GB2312" w:hAnsi="Times New Roman" w:eastAsia="仿宋_GB2312" w:cs="Times New Roman"/>
                <w:sz w:val="28"/>
              </w:rPr>
            </w:pPr>
            <w:r>
              <w:rPr>
                <w:rFonts w:hint="eastAsia" w:ascii="仿宋_GB2312" w:hAnsi="Times New Roman" w:eastAsia="仿宋_GB2312" w:cs="Times New Roman"/>
                <w:sz w:val="28"/>
              </w:rPr>
              <w:t>性别</w:t>
            </w:r>
          </w:p>
        </w:tc>
        <w:tc>
          <w:tcPr>
            <w:tcW w:w="993" w:type="dxa"/>
            <w:gridSpan w:val="2"/>
            <w:vAlign w:val="center"/>
          </w:tcPr>
          <w:p w14:paraId="2A23A4C3">
            <w:pPr>
              <w:spacing w:line="440" w:lineRule="atLeast"/>
              <w:jc w:val="center"/>
              <w:rPr>
                <w:rFonts w:ascii="仿宋_GB2312" w:hAnsi="Times New Roman" w:eastAsia="仿宋_GB2312" w:cs="Times New Roman"/>
                <w:sz w:val="28"/>
              </w:rPr>
            </w:pPr>
          </w:p>
        </w:tc>
        <w:tc>
          <w:tcPr>
            <w:tcW w:w="1842" w:type="dxa"/>
            <w:vAlign w:val="center"/>
          </w:tcPr>
          <w:p w14:paraId="6041BA0B">
            <w:pPr>
              <w:spacing w:line="440" w:lineRule="atLeast"/>
              <w:jc w:val="center"/>
              <w:rPr>
                <w:rFonts w:ascii="仿宋_GB2312" w:hAnsi="Times New Roman" w:eastAsia="仿宋_GB2312" w:cs="Times New Roman"/>
                <w:sz w:val="28"/>
              </w:rPr>
            </w:pPr>
            <w:r>
              <w:rPr>
                <w:rFonts w:hint="eastAsia" w:ascii="仿宋_GB2312" w:hAnsi="Times New Roman" w:eastAsia="仿宋_GB2312" w:cs="Times New Roman"/>
                <w:sz w:val="28"/>
              </w:rPr>
              <w:t>PV证书号码</w:t>
            </w:r>
          </w:p>
        </w:tc>
        <w:tc>
          <w:tcPr>
            <w:tcW w:w="1961" w:type="dxa"/>
            <w:vAlign w:val="center"/>
          </w:tcPr>
          <w:p w14:paraId="79FDC456">
            <w:pPr>
              <w:spacing w:line="440" w:lineRule="atLeast"/>
              <w:jc w:val="center"/>
              <w:rPr>
                <w:rFonts w:ascii="仿宋_GB2312" w:hAnsi="Times New Roman" w:eastAsia="仿宋_GB2312" w:cs="Times New Roman"/>
                <w:sz w:val="28"/>
              </w:rPr>
            </w:pPr>
          </w:p>
        </w:tc>
      </w:tr>
      <w:tr w14:paraId="3EB27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2899" w:type="dxa"/>
            <w:gridSpan w:val="2"/>
            <w:vAlign w:val="center"/>
          </w:tcPr>
          <w:p w14:paraId="4E1F1B3E">
            <w:pPr>
              <w:spacing w:line="440" w:lineRule="atLeast"/>
              <w:jc w:val="center"/>
              <w:rPr>
                <w:rFonts w:ascii="仿宋_GB2312" w:hAnsi="Times New Roman" w:eastAsia="仿宋_GB2312" w:cs="Times New Roman"/>
                <w:sz w:val="28"/>
              </w:rPr>
            </w:pPr>
            <w:r>
              <w:rPr>
                <w:rFonts w:hint="eastAsia" w:ascii="仿宋_GB2312" w:hAnsi="Times New Roman" w:eastAsia="仿宋_GB2312" w:cs="Times New Roman"/>
                <w:sz w:val="28"/>
              </w:rPr>
              <w:t>所在资产评估机构</w:t>
            </w:r>
          </w:p>
        </w:tc>
        <w:tc>
          <w:tcPr>
            <w:tcW w:w="5788" w:type="dxa"/>
            <w:gridSpan w:val="5"/>
            <w:vAlign w:val="center"/>
          </w:tcPr>
          <w:p w14:paraId="66657FEE">
            <w:pPr>
              <w:spacing w:line="440" w:lineRule="atLeast"/>
              <w:jc w:val="center"/>
              <w:rPr>
                <w:rFonts w:ascii="仿宋_GB2312" w:hAnsi="Times New Roman" w:eastAsia="仿宋_GB2312" w:cs="Times New Roman"/>
                <w:sz w:val="28"/>
              </w:rPr>
            </w:pPr>
          </w:p>
        </w:tc>
      </w:tr>
      <w:tr w14:paraId="33D0E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2899" w:type="dxa"/>
            <w:gridSpan w:val="2"/>
            <w:vAlign w:val="center"/>
          </w:tcPr>
          <w:p w14:paraId="6AE3B03F">
            <w:pPr>
              <w:spacing w:line="440" w:lineRule="atLeast"/>
              <w:jc w:val="center"/>
              <w:rPr>
                <w:rFonts w:ascii="仿宋_GB2312" w:hAnsi="Times New Roman" w:eastAsia="仿宋_GB2312" w:cs="Times New Roman"/>
                <w:sz w:val="28"/>
              </w:rPr>
            </w:pPr>
            <w:r>
              <w:rPr>
                <w:rFonts w:hint="eastAsia" w:ascii="仿宋_GB2312" w:hAnsi="Times New Roman" w:eastAsia="仿宋_GB2312" w:cs="Times New Roman"/>
                <w:sz w:val="28"/>
              </w:rPr>
              <w:t>申请确认的学时数</w:t>
            </w:r>
          </w:p>
        </w:tc>
        <w:tc>
          <w:tcPr>
            <w:tcW w:w="5788" w:type="dxa"/>
            <w:gridSpan w:val="5"/>
            <w:vAlign w:val="center"/>
          </w:tcPr>
          <w:p w14:paraId="3E549288">
            <w:pPr>
              <w:spacing w:line="440" w:lineRule="atLeast"/>
              <w:jc w:val="center"/>
              <w:rPr>
                <w:rFonts w:ascii="仿宋_GB2312" w:hAnsi="Times New Roman" w:eastAsia="仿宋_GB2312" w:cs="Times New Roman"/>
                <w:sz w:val="28"/>
              </w:rPr>
            </w:pPr>
          </w:p>
        </w:tc>
      </w:tr>
      <w:tr w14:paraId="28A2A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2899" w:type="dxa"/>
            <w:gridSpan w:val="2"/>
            <w:vAlign w:val="center"/>
          </w:tcPr>
          <w:p w14:paraId="69B4AA7D">
            <w:pPr>
              <w:spacing w:line="440" w:lineRule="atLeast"/>
              <w:rPr>
                <w:rFonts w:ascii="仿宋_GB2312" w:hAnsi="Times New Roman" w:eastAsia="仿宋_GB2312" w:cs="Times New Roman"/>
                <w:sz w:val="28"/>
              </w:rPr>
            </w:pPr>
            <w:r>
              <w:rPr>
                <w:rFonts w:hint="eastAsia" w:ascii="仿宋_GB2312" w:hAnsi="Times New Roman" w:eastAsia="仿宋_GB2312" w:cs="Times New Roman"/>
                <w:sz w:val="28"/>
              </w:rPr>
              <w:t>参加继续教育的形式</w:t>
            </w:r>
          </w:p>
        </w:tc>
        <w:tc>
          <w:tcPr>
            <w:tcW w:w="5788" w:type="dxa"/>
            <w:gridSpan w:val="5"/>
            <w:vAlign w:val="center"/>
          </w:tcPr>
          <w:p w14:paraId="1EC4FD1E">
            <w:pPr>
              <w:spacing w:line="440" w:lineRule="atLeast"/>
              <w:jc w:val="center"/>
              <w:rPr>
                <w:rFonts w:ascii="仿宋_GB2312" w:hAnsi="Times New Roman" w:eastAsia="仿宋_GB2312" w:cs="Times New Roman"/>
                <w:sz w:val="28"/>
              </w:rPr>
            </w:pPr>
          </w:p>
        </w:tc>
      </w:tr>
      <w:tr w14:paraId="37937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5" w:hRule="atLeast"/>
          <w:jc w:val="center"/>
        </w:trPr>
        <w:tc>
          <w:tcPr>
            <w:tcW w:w="8687" w:type="dxa"/>
            <w:gridSpan w:val="7"/>
          </w:tcPr>
          <w:p w14:paraId="180EAAB9">
            <w:pPr>
              <w:spacing w:line="440" w:lineRule="atLeast"/>
              <w:rPr>
                <w:rFonts w:ascii="仿宋_GB2312" w:hAnsi="Times New Roman" w:eastAsia="仿宋_GB2312" w:cs="Times New Roman"/>
                <w:sz w:val="28"/>
              </w:rPr>
            </w:pPr>
            <w:r>
              <w:rPr>
                <w:rFonts w:hint="eastAsia" w:ascii="仿宋_GB2312" w:hAnsi="Times New Roman" w:eastAsia="仿宋_GB2312" w:cs="Times New Roman"/>
                <w:sz w:val="28"/>
              </w:rPr>
              <w:t>参加继续教育情况说明（可另附页）</w:t>
            </w:r>
          </w:p>
          <w:p w14:paraId="0CF8413E">
            <w:pPr>
              <w:spacing w:line="440" w:lineRule="atLeast"/>
              <w:rPr>
                <w:rFonts w:ascii="仿宋_GB2312" w:hAnsi="Times New Roman" w:eastAsia="仿宋_GB2312" w:cs="Times New Roman"/>
                <w:sz w:val="28"/>
              </w:rPr>
            </w:pPr>
          </w:p>
          <w:p w14:paraId="2BD6CC97">
            <w:pPr>
              <w:spacing w:line="440" w:lineRule="atLeast"/>
              <w:rPr>
                <w:rFonts w:ascii="仿宋_GB2312" w:hAnsi="Times New Roman" w:eastAsia="仿宋_GB2312" w:cs="Times New Roman"/>
                <w:sz w:val="28"/>
              </w:rPr>
            </w:pPr>
          </w:p>
          <w:p w14:paraId="1A05155B">
            <w:pPr>
              <w:spacing w:line="440" w:lineRule="atLeast"/>
              <w:rPr>
                <w:rFonts w:ascii="仿宋_GB2312" w:hAnsi="Times New Roman" w:eastAsia="仿宋_GB2312" w:cs="Times New Roman"/>
                <w:sz w:val="28"/>
              </w:rPr>
            </w:pPr>
          </w:p>
          <w:p w14:paraId="5AB42BCE">
            <w:pPr>
              <w:spacing w:line="440" w:lineRule="atLeast"/>
              <w:rPr>
                <w:rFonts w:ascii="仿宋_GB2312" w:hAnsi="Times New Roman" w:eastAsia="仿宋_GB2312" w:cs="Times New Roman"/>
                <w:sz w:val="28"/>
              </w:rPr>
            </w:pPr>
          </w:p>
          <w:p w14:paraId="1B89536D">
            <w:pPr>
              <w:spacing w:line="440" w:lineRule="atLeast"/>
              <w:rPr>
                <w:rFonts w:ascii="仿宋_GB2312" w:hAnsi="Times New Roman" w:eastAsia="仿宋_GB2312" w:cs="Times New Roman"/>
                <w:sz w:val="28"/>
              </w:rPr>
            </w:pPr>
            <w:r>
              <w:rPr>
                <w:rFonts w:hint="eastAsia" w:ascii="仿宋_GB2312" w:hAnsi="Times New Roman" w:eastAsia="仿宋_GB2312" w:cs="Times New Roman"/>
                <w:sz w:val="28"/>
              </w:rPr>
              <w:t>申请人：</w:t>
            </w:r>
          </w:p>
          <w:p w14:paraId="2C1FC444">
            <w:pPr>
              <w:spacing w:line="440" w:lineRule="atLeast"/>
              <w:rPr>
                <w:rFonts w:ascii="仿宋_GB2312" w:hAnsi="Times New Roman" w:eastAsia="仿宋_GB2312" w:cs="Times New Roman"/>
                <w:sz w:val="28"/>
              </w:rPr>
            </w:pPr>
            <w:r>
              <w:rPr>
                <w:rFonts w:hint="eastAsia" w:ascii="仿宋_GB2312" w:hAnsi="Times New Roman" w:eastAsia="仿宋_GB2312" w:cs="Times New Roman"/>
                <w:sz w:val="28"/>
              </w:rPr>
              <w:t>　　　　　　　　　　　　　　　　　　　　　　　　　　　　　　　　　　　　　　　　　年　　　月　　日</w:t>
            </w:r>
          </w:p>
        </w:tc>
      </w:tr>
      <w:tr w14:paraId="5130D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jc w:val="center"/>
        </w:trPr>
        <w:tc>
          <w:tcPr>
            <w:tcW w:w="4320" w:type="dxa"/>
            <w:gridSpan w:val="4"/>
          </w:tcPr>
          <w:p w14:paraId="4D15AC4F">
            <w:pPr>
              <w:spacing w:line="440" w:lineRule="atLeast"/>
              <w:rPr>
                <w:rFonts w:ascii="仿宋_GB2312" w:hAnsi="Times New Roman" w:eastAsia="仿宋_GB2312" w:cs="Times New Roman"/>
                <w:sz w:val="28"/>
              </w:rPr>
            </w:pPr>
            <w:r>
              <w:rPr>
                <w:rFonts w:hint="eastAsia" w:ascii="仿宋_GB2312" w:hAnsi="Times New Roman" w:eastAsia="仿宋_GB2312" w:cs="Times New Roman"/>
                <w:sz w:val="28"/>
              </w:rPr>
              <w:t>所在资产评估机构意见</w:t>
            </w:r>
          </w:p>
        </w:tc>
        <w:tc>
          <w:tcPr>
            <w:tcW w:w="4367" w:type="dxa"/>
            <w:gridSpan w:val="3"/>
          </w:tcPr>
          <w:p w14:paraId="07A72A26">
            <w:pPr>
              <w:spacing w:line="440" w:lineRule="atLeast"/>
              <w:rPr>
                <w:rFonts w:ascii="仿宋_GB2312" w:hAnsi="Times New Roman" w:eastAsia="仿宋_GB2312" w:cs="Times New Roman"/>
                <w:sz w:val="28"/>
              </w:rPr>
            </w:pPr>
            <w:r>
              <w:rPr>
                <w:rFonts w:hint="eastAsia" w:ascii="仿宋_GB2312" w:hAnsi="Times New Roman" w:eastAsia="仿宋_GB2312" w:cs="Times New Roman"/>
                <w:sz w:val="28"/>
              </w:rPr>
              <w:t>地方协会意见</w:t>
            </w:r>
          </w:p>
        </w:tc>
      </w:tr>
    </w:tbl>
    <w:p w14:paraId="371F2678">
      <w:pPr>
        <w:spacing w:line="440" w:lineRule="atLeast"/>
        <w:rPr>
          <w:rFonts w:ascii="仿宋_GB2312" w:hAnsi="Times New Roman" w:eastAsia="仿宋_GB2312" w:cs="Times New Roman"/>
          <w:sz w:val="24"/>
        </w:rPr>
      </w:pPr>
      <w:r>
        <w:rPr>
          <w:rFonts w:hint="eastAsia" w:ascii="仿宋_GB2312" w:hAnsi="Times New Roman" w:eastAsia="仿宋_GB2312" w:cs="Times New Roman"/>
          <w:sz w:val="24"/>
        </w:rPr>
        <w:t>说明：</w:t>
      </w:r>
    </w:p>
    <w:p w14:paraId="4E3E0D32">
      <w:pPr>
        <w:spacing w:line="440" w:lineRule="atLeast"/>
        <w:rPr>
          <w:rFonts w:ascii="仿宋_GB2312" w:hAnsi="Times New Roman" w:eastAsia="仿宋_GB2312" w:cs="Times New Roman"/>
          <w:sz w:val="24"/>
        </w:rPr>
      </w:pPr>
      <w:r>
        <w:rPr>
          <w:rFonts w:hint="eastAsia" w:ascii="仿宋_GB2312" w:hAnsi="Times New Roman" w:eastAsia="仿宋_GB2312" w:cs="Times New Roman"/>
          <w:sz w:val="24"/>
        </w:rPr>
        <w:t>“继续教育形式”包括：</w:t>
      </w:r>
    </w:p>
    <w:p w14:paraId="16001E39">
      <w:pPr>
        <w:shd w:val="clear" w:color="auto" w:fill="FFFFFF"/>
        <w:spacing w:line="440" w:lineRule="atLeast"/>
        <w:jc w:val="left"/>
        <w:rPr>
          <w:rFonts w:ascii="仿宋_GB2312" w:hAnsi="Times New Roman" w:eastAsia="仿宋_GB2312" w:cs="Times New Roman"/>
          <w:sz w:val="24"/>
        </w:rPr>
      </w:pPr>
      <w:r>
        <w:rPr>
          <w:rFonts w:hint="eastAsia" w:ascii="仿宋_GB2312" w:hAnsi="宋体" w:eastAsia="仿宋_GB2312" w:cs="Arial"/>
          <w:color w:val="000000"/>
          <w:kern w:val="0"/>
          <w:sz w:val="24"/>
        </w:rPr>
        <w:t>（1）担任培训班或研修班授课人、专业论坛或专题讲座演讲人；</w:t>
      </w:r>
    </w:p>
    <w:p w14:paraId="2DD8A2CE">
      <w:pPr>
        <w:shd w:val="clear" w:color="auto" w:fill="FFFFFF"/>
        <w:spacing w:line="440" w:lineRule="atLeast"/>
        <w:jc w:val="left"/>
        <w:rPr>
          <w:rFonts w:ascii="仿宋_GB2312" w:hAnsi="宋体" w:eastAsia="仿宋_GB2312" w:cs="Arial"/>
          <w:color w:val="000000"/>
          <w:kern w:val="0"/>
          <w:sz w:val="24"/>
        </w:rPr>
      </w:pPr>
      <w:r>
        <w:rPr>
          <w:rFonts w:hint="eastAsia" w:ascii="仿宋_GB2312" w:hAnsi="宋体" w:eastAsia="仿宋_GB2312" w:cs="Arial"/>
          <w:color w:val="000000"/>
          <w:kern w:val="0"/>
          <w:sz w:val="24"/>
        </w:rPr>
        <w:t>（2）参加行业执业质量检查、</w:t>
      </w:r>
      <w:r>
        <w:rPr>
          <w:rFonts w:hint="eastAsia" w:ascii="仿宋_GB2312" w:hAnsi="Times New Roman" w:eastAsia="仿宋_GB2312" w:cs="Times New Roman"/>
          <w:sz w:val="24"/>
        </w:rPr>
        <w:t>专案调查、专家论证及执业责任鉴定；</w:t>
      </w:r>
    </w:p>
    <w:p w14:paraId="5DBD44A1">
      <w:pPr>
        <w:shd w:val="clear" w:color="auto" w:fill="FFFFFF"/>
        <w:spacing w:line="440" w:lineRule="atLeast"/>
        <w:jc w:val="left"/>
        <w:rPr>
          <w:rFonts w:ascii="仿宋_GB2312" w:hAnsi="宋体" w:eastAsia="仿宋_GB2312" w:cs="Arial"/>
          <w:color w:val="000000"/>
          <w:kern w:val="0"/>
          <w:sz w:val="24"/>
        </w:rPr>
      </w:pPr>
      <w:r>
        <w:rPr>
          <w:rFonts w:hint="eastAsia" w:ascii="仿宋_GB2312" w:hAnsi="Times New Roman" w:eastAsia="仿宋_GB2312" w:cs="Times New Roman"/>
          <w:sz w:val="24"/>
        </w:rPr>
        <w:t>（3）参加资产</w:t>
      </w:r>
      <w:r>
        <w:rPr>
          <w:rFonts w:hint="eastAsia" w:ascii="仿宋_GB2312" w:hAnsi="宋体" w:eastAsia="仿宋_GB2312" w:cs="Arial"/>
          <w:color w:val="000000"/>
          <w:kern w:val="0"/>
          <w:sz w:val="24"/>
        </w:rPr>
        <w:t>评估准则制定；（4）参加教材编写；</w:t>
      </w:r>
    </w:p>
    <w:p w14:paraId="1C4BDAA2">
      <w:pPr>
        <w:shd w:val="clear" w:color="auto" w:fill="FFFFFF"/>
        <w:spacing w:line="440" w:lineRule="atLeast"/>
        <w:jc w:val="left"/>
        <w:rPr>
          <w:rFonts w:ascii="仿宋_GB2312" w:hAnsi="宋体" w:eastAsia="仿宋_GB2312" w:cs="Times New Roman"/>
          <w:sz w:val="24"/>
        </w:rPr>
      </w:pPr>
      <w:r>
        <w:rPr>
          <w:rFonts w:hint="eastAsia" w:ascii="仿宋_GB2312" w:hAnsi="宋体" w:eastAsia="仿宋_GB2312" w:cs="Times New Roman"/>
          <w:sz w:val="24"/>
        </w:rPr>
        <w:t>（5）承担课题研究</w:t>
      </w:r>
      <w:r>
        <w:rPr>
          <w:rFonts w:hint="eastAsia" w:ascii="仿宋_GB2312" w:hAnsi="宋体" w:eastAsia="仿宋_GB2312" w:cs="Arial"/>
          <w:color w:val="000000"/>
          <w:kern w:val="0"/>
          <w:sz w:val="24"/>
        </w:rPr>
        <w:t>；</w:t>
      </w:r>
      <w:r>
        <w:rPr>
          <w:rFonts w:hint="eastAsia" w:ascii="仿宋_GB2312" w:hAnsi="宋体" w:eastAsia="仿宋_GB2312" w:cs="Times New Roman"/>
          <w:sz w:val="24"/>
        </w:rPr>
        <w:t>（6）完成评估专业著作或专业论文；</w:t>
      </w:r>
    </w:p>
    <w:p w14:paraId="23837D57">
      <w:pPr>
        <w:shd w:val="clear" w:color="auto" w:fill="FFFFFF"/>
        <w:spacing w:line="440" w:lineRule="atLeast"/>
        <w:jc w:val="left"/>
        <w:rPr>
          <w:rFonts w:ascii="仿宋_GB2312" w:hAnsi="宋体" w:eastAsia="仿宋_GB2312" w:cs="Times New Roman"/>
          <w:sz w:val="24"/>
        </w:rPr>
      </w:pPr>
      <w:r>
        <w:rPr>
          <w:rFonts w:hint="eastAsia" w:ascii="仿宋_GB2312" w:hAnsi="宋体" w:eastAsia="仿宋_GB2312" w:cs="Times New Roman"/>
          <w:sz w:val="24"/>
        </w:rPr>
        <w:t>（7）参加国内外评估机构的培训</w:t>
      </w:r>
      <w:r>
        <w:rPr>
          <w:rFonts w:hint="eastAsia" w:ascii="仿宋_GB2312" w:hAnsi="宋体" w:eastAsia="仿宋_GB2312" w:cs="宋体"/>
          <w:color w:val="000000"/>
          <w:kern w:val="0"/>
          <w:sz w:val="24"/>
        </w:rPr>
        <w:t>；</w:t>
      </w:r>
      <w:r>
        <w:rPr>
          <w:rFonts w:hint="eastAsia" w:ascii="仿宋_GB2312" w:hAnsi="宋体" w:eastAsia="仿宋_GB2312" w:cs="Times New Roman"/>
          <w:sz w:val="24"/>
        </w:rPr>
        <w:t>（8）参加在职资产评估专业学位教育；</w:t>
      </w:r>
    </w:p>
    <w:p w14:paraId="7D7F86B0">
      <w:pPr>
        <w:shd w:val="clear" w:color="auto" w:fill="FFFFFF"/>
        <w:spacing w:line="440" w:lineRule="atLeast"/>
        <w:jc w:val="left"/>
        <w:rPr>
          <w:rFonts w:ascii="仿宋_GB2312" w:hAnsi="宋体" w:eastAsia="仿宋_GB2312" w:cs="Times New Roman"/>
          <w:sz w:val="24"/>
        </w:rPr>
      </w:pPr>
      <w:r>
        <w:rPr>
          <w:rFonts w:hint="eastAsia" w:ascii="仿宋_GB2312" w:hAnsi="宋体" w:eastAsia="仿宋_GB2312" w:cs="Times New Roman"/>
          <w:sz w:val="24"/>
        </w:rPr>
        <w:t>（9）其他方式。</w:t>
      </w:r>
    </w:p>
    <w:p w14:paraId="3359DB24">
      <w:pPr>
        <w:spacing w:line="440" w:lineRule="atLeast"/>
        <w:sectPr>
          <w:headerReference r:id="rId27" w:type="default"/>
          <w:footerReference r:id="rId28" w:type="default"/>
          <w:pgSz w:w="11906" w:h="16838"/>
          <w:pgMar w:top="1440" w:right="1800" w:bottom="1440" w:left="1800" w:header="851" w:footer="992" w:gutter="0"/>
          <w:cols w:space="720" w:num="1"/>
          <w:docGrid w:type="lines" w:linePitch="312" w:charSpace="0"/>
        </w:sectPr>
      </w:pPr>
    </w:p>
    <w:p w14:paraId="410318BA">
      <w:pPr>
        <w:pStyle w:val="4"/>
        <w:spacing w:line="440" w:lineRule="atLeast"/>
        <w:jc w:val="center"/>
        <w:rPr>
          <w:rFonts w:ascii="黑体" w:hAnsi="黑体" w:cs="黑体"/>
          <w:shd w:val="clear" w:color="FFFFFF" w:fill="D9D9D9"/>
        </w:rPr>
      </w:pPr>
      <w:bookmarkStart w:id="100" w:name="_Toc12477"/>
      <w:r>
        <w:rPr>
          <w:rFonts w:hint="eastAsia" w:ascii="黑体" w:hAnsi="黑体" w:cs="黑体"/>
          <w:shd w:val="clear" w:color="FFFFFF" w:fill="D9D9D9"/>
        </w:rPr>
        <w:t>2020年准则和专家指引</w:t>
      </w:r>
      <w:bookmarkEnd w:id="100"/>
    </w:p>
    <w:p w14:paraId="29D127B4">
      <w:pPr>
        <w:pStyle w:val="5"/>
        <w:spacing w:line="440" w:lineRule="atLeast"/>
        <w:jc w:val="center"/>
        <w:rPr>
          <w:rFonts w:ascii="宋体" w:hAnsi="宋体" w:eastAsia="宋体" w:cs="宋体"/>
        </w:rPr>
      </w:pPr>
      <w:bookmarkStart w:id="101" w:name="_Toc30100"/>
      <w:r>
        <w:rPr>
          <w:rFonts w:hint="eastAsia" w:ascii="宋体" w:hAnsi="宋体" w:eastAsia="宋体" w:cs="宋体"/>
        </w:rPr>
        <w:t>资产评估基本准则</w:t>
      </w:r>
      <w:bookmarkEnd w:id="101"/>
    </w:p>
    <w:p w14:paraId="6D40310A">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第一章　总则</w:t>
      </w:r>
    </w:p>
    <w:p w14:paraId="0ED2E44F">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第一条</w:t>
      </w:r>
      <w:r>
        <w:rPr>
          <w:rFonts w:hint="eastAsia" w:ascii="宋体" w:hAnsi="宋体" w:eastAsia="宋体" w:cs="宋体"/>
          <w:color w:val="000000"/>
          <w:kern w:val="0"/>
          <w:sz w:val="24"/>
          <w:shd w:val="clear" w:color="auto" w:fill="FFFFFF"/>
        </w:rPr>
        <w:t>　为规范资产评估行为，保证执业质量，明确执业责任，保护资产评估当事人合法权益和公共利益，根据《中华人民共和国资产评估法》《资产评估行业财政监督管理办法》等制定本准则。</w:t>
      </w:r>
    </w:p>
    <w:p w14:paraId="7173EA0C">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第二条</w:t>
      </w:r>
      <w:r>
        <w:rPr>
          <w:rFonts w:hint="eastAsia" w:ascii="宋体" w:hAnsi="宋体" w:eastAsia="宋体" w:cs="宋体"/>
          <w:color w:val="000000"/>
          <w:kern w:val="0"/>
          <w:sz w:val="24"/>
          <w:shd w:val="clear" w:color="auto" w:fill="FFFFFF"/>
        </w:rPr>
        <w:t>　资产评估机构及其资产评估专业人员开展资产评估业务应当遵守本准则。法律、行政法规和国务院规定由其他评估行政管理部门管理，应当执行其他准则的，从其规定。</w:t>
      </w:r>
    </w:p>
    <w:p w14:paraId="297531C2">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第三条</w:t>
      </w:r>
      <w:r>
        <w:rPr>
          <w:rFonts w:hint="eastAsia" w:ascii="宋体" w:hAnsi="宋体" w:eastAsia="宋体" w:cs="宋体"/>
          <w:color w:val="000000"/>
          <w:kern w:val="0"/>
          <w:sz w:val="24"/>
          <w:shd w:val="clear" w:color="auto" w:fill="FFFFFF"/>
        </w:rPr>
        <w:t>　本准则所称资产评估机构及其资产评估专业人员是指根据资产评估法和国务院规定，按照职责分工由财政部门监管的资产评估机构及其资产评估专业人员。</w:t>
      </w:r>
    </w:p>
    <w:p w14:paraId="4A34466B">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第二章　基本遵循</w:t>
      </w:r>
    </w:p>
    <w:p w14:paraId="50270E09">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第四条</w:t>
      </w:r>
      <w:r>
        <w:rPr>
          <w:rFonts w:hint="eastAsia" w:ascii="宋体" w:hAnsi="宋体" w:eastAsia="宋体" w:cs="宋体"/>
          <w:color w:val="000000"/>
          <w:kern w:val="0"/>
          <w:sz w:val="24"/>
          <w:shd w:val="clear" w:color="auto" w:fill="FFFFFF"/>
        </w:rPr>
        <w:t>　资产评估机构及其资产评估专业人员开展资产评估业务应当遵守法律、行政法规的规定，坚持独立、客观、公正的原则。</w:t>
      </w:r>
      <w:r>
        <w:rPr>
          <w:rFonts w:hint="eastAsia" w:ascii="宋体" w:hAnsi="宋体" w:eastAsia="宋体" w:cs="宋体"/>
          <w:color w:val="000000"/>
          <w:kern w:val="0"/>
          <w:sz w:val="24"/>
          <w:shd w:val="clear" w:color="auto" w:fill="FFFFFF"/>
        </w:rPr>
        <w:tab/>
      </w:r>
    </w:p>
    <w:p w14:paraId="22196EE2">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第五条</w:t>
      </w:r>
      <w:r>
        <w:rPr>
          <w:rFonts w:hint="eastAsia" w:ascii="宋体" w:hAnsi="宋体" w:eastAsia="宋体" w:cs="宋体"/>
          <w:color w:val="000000"/>
          <w:kern w:val="0"/>
          <w:sz w:val="24"/>
          <w:shd w:val="clear" w:color="auto" w:fill="FFFFFF"/>
        </w:rPr>
        <w:t>　资产评估机构及其资产评估专业人员应当诚实守信，勤勉尽责，谨慎从业，遵守职业道德规范，自觉维护职业形象，不得从事损害职业形象的活动。</w:t>
      </w:r>
    </w:p>
    <w:p w14:paraId="575F4BBA">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第六条</w:t>
      </w:r>
      <w:r>
        <w:rPr>
          <w:rFonts w:hint="eastAsia" w:ascii="宋体" w:hAnsi="宋体" w:eastAsia="宋体" w:cs="宋体"/>
          <w:color w:val="000000"/>
          <w:kern w:val="0"/>
          <w:sz w:val="24"/>
          <w:shd w:val="clear" w:color="auto" w:fill="FFFFFF"/>
        </w:rPr>
        <w:t>　资产评估机构及其资产评估专业人员开展资产评估业务，应当独立进行分析和估算并形成专业意见，拒绝委托人或者其他相关当事人的干预，不得直接以预先设定的价值作为评估结论。</w:t>
      </w:r>
    </w:p>
    <w:p w14:paraId="20395A8A">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第七条</w:t>
      </w:r>
      <w:r>
        <w:rPr>
          <w:rFonts w:hint="eastAsia" w:ascii="宋体" w:hAnsi="宋体" w:eastAsia="宋体" w:cs="宋体"/>
          <w:color w:val="000000"/>
          <w:kern w:val="0"/>
          <w:sz w:val="24"/>
          <w:shd w:val="clear" w:color="auto" w:fill="FFFFFF"/>
        </w:rPr>
        <w:t>　资产评估专业人员应当具备相应的资产评估专业知识和实践经验，能够胜任所执行的资产评估业务，保持和提高专业能力。</w:t>
      </w:r>
    </w:p>
    <w:p w14:paraId="358F29D6">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第三章　资产评估程序</w:t>
      </w:r>
    </w:p>
    <w:p w14:paraId="4E937EF6">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第八条</w:t>
      </w:r>
      <w:r>
        <w:rPr>
          <w:rFonts w:hint="eastAsia" w:ascii="宋体" w:hAnsi="宋体" w:eastAsia="宋体" w:cs="宋体"/>
          <w:color w:val="000000"/>
          <w:kern w:val="0"/>
          <w:sz w:val="24"/>
          <w:shd w:val="clear" w:color="auto" w:fill="FFFFFF"/>
        </w:rPr>
        <w:t>　资产评估机构及其资产评估专业人员开展资产评估业务，履行下列基本程序：明确业务基本事项、订立业务委托合同、编制资产评估计划、进行评估现场调查、收集整理评估资料、评定估算形成结论、编制出具评估报告、整理归集评估档案。</w:t>
      </w:r>
    </w:p>
    <w:p w14:paraId="3CBEFDD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资产评估机构及其资产评估专业人员不得随意减少资产评估基本程序。</w:t>
      </w:r>
    </w:p>
    <w:p w14:paraId="704DB943">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第九条</w:t>
      </w:r>
      <w:r>
        <w:rPr>
          <w:rFonts w:hint="eastAsia" w:ascii="宋体" w:hAnsi="宋体" w:eastAsia="宋体" w:cs="宋体"/>
          <w:color w:val="000000"/>
          <w:kern w:val="0"/>
          <w:sz w:val="24"/>
          <w:shd w:val="clear" w:color="auto" w:fill="FFFFFF"/>
        </w:rPr>
        <w:t>　资产评估机构受理资产评估业务前，应当明确下列资产评估业务基本事项：</w:t>
      </w:r>
    </w:p>
    <w:p w14:paraId="070EF15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（一）委托人、产权持有人和委托人以外的其他资产评估报告使用人；</w:t>
      </w:r>
    </w:p>
    <w:p w14:paraId="075275F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（二）评估目的；</w:t>
      </w:r>
    </w:p>
    <w:p w14:paraId="4CE0456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（三）评估对象和评估范围；</w:t>
      </w:r>
    </w:p>
    <w:p w14:paraId="115EDF2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（四）价值类型；</w:t>
      </w:r>
    </w:p>
    <w:p w14:paraId="6E1B1A5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（五）评估基准日；</w:t>
      </w:r>
    </w:p>
    <w:p w14:paraId="3388A31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（六）资产评估报告使用范围；</w:t>
      </w:r>
    </w:p>
    <w:p w14:paraId="0414B40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（七）资产评估报告提交期限及方式；</w:t>
      </w:r>
    </w:p>
    <w:p w14:paraId="385A695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（八）评估服务费及支付方式；</w:t>
      </w:r>
    </w:p>
    <w:p w14:paraId="2D420EA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（九）委托人、其他相关当事人与资产评估机构及其资产评估专业人员工作配合和协助等需要明确的重要事项。</w:t>
      </w:r>
    </w:p>
    <w:p w14:paraId="762F87D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资产评估机构应当对专业能力、独立性和业务风险进行综合分析和评价。受理资产评估业务应当满足专业能力、独立性和业务风险控制要求，否则不得受理。</w:t>
      </w:r>
    </w:p>
    <w:p w14:paraId="63854C94">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第十条</w:t>
      </w:r>
      <w:r>
        <w:rPr>
          <w:rFonts w:hint="eastAsia" w:ascii="宋体" w:hAnsi="宋体" w:eastAsia="宋体" w:cs="宋体"/>
          <w:color w:val="000000"/>
          <w:kern w:val="0"/>
          <w:sz w:val="24"/>
          <w:shd w:val="clear" w:color="auto" w:fill="FFFFFF"/>
        </w:rPr>
        <w:t>　资产评估机构执行某项特定业务缺乏特定的专业知识和经验时，应当采取弥补措施，包括利用专家工作等。</w:t>
      </w:r>
    </w:p>
    <w:p w14:paraId="6D5C96EA">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第十一条</w:t>
      </w:r>
      <w:r>
        <w:rPr>
          <w:rFonts w:hint="eastAsia" w:ascii="宋体" w:hAnsi="宋体" w:eastAsia="宋体" w:cs="宋体"/>
          <w:color w:val="000000"/>
          <w:kern w:val="0"/>
          <w:sz w:val="24"/>
          <w:shd w:val="clear" w:color="auto" w:fill="FFFFFF"/>
        </w:rPr>
        <w:t>　资产评估机构受理资产评估业务应当与委托人依法订立资产评估委托合同，约定资产评估机构和委托人权利、义务、违约责任和争议解决等内容。</w:t>
      </w:r>
    </w:p>
    <w:p w14:paraId="2873DCF1">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第十二条</w:t>
      </w:r>
      <w:r>
        <w:rPr>
          <w:rFonts w:hint="eastAsia" w:ascii="宋体" w:hAnsi="宋体" w:eastAsia="宋体" w:cs="宋体"/>
          <w:color w:val="000000"/>
          <w:kern w:val="0"/>
          <w:sz w:val="24"/>
          <w:shd w:val="clear" w:color="auto" w:fill="FFFFFF"/>
        </w:rPr>
        <w:t>　资产评估专业人员应当根据资产评估业务具体情况编制资产评估计划，包括资产评估业务实施的主要过程及时间进度、人员安排等。</w:t>
      </w:r>
    </w:p>
    <w:p w14:paraId="6FA48B8B">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第十三条</w:t>
      </w:r>
      <w:r>
        <w:rPr>
          <w:rFonts w:hint="eastAsia" w:ascii="宋体" w:hAnsi="宋体" w:eastAsia="宋体" w:cs="宋体"/>
          <w:color w:val="000000"/>
          <w:kern w:val="0"/>
          <w:sz w:val="24"/>
          <w:shd w:val="clear" w:color="auto" w:fill="FFFFFF"/>
        </w:rPr>
        <w:t>　执行资产评估业务，应当对评估对象进行现场调查，获取资产评估业务需要的资料，了解评估对象现状，关注评估对象法律权属。</w:t>
      </w:r>
    </w:p>
    <w:p w14:paraId="110A1200">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第十四条</w:t>
      </w:r>
      <w:r>
        <w:rPr>
          <w:rFonts w:hint="eastAsia" w:ascii="宋体" w:hAnsi="宋体" w:eastAsia="宋体" w:cs="宋体"/>
          <w:color w:val="000000"/>
          <w:kern w:val="0"/>
          <w:sz w:val="24"/>
          <w:shd w:val="clear" w:color="auto" w:fill="FFFFFF"/>
        </w:rPr>
        <w:t>　资产评估专业人员应当根据资产评估业务具体情况收集资产评估业务需要的资料。包括：委托人或者其他相关当事人提供的涉及评估对象和评估范围等资料；从政府部门、各类专业机构以及市场等渠道获取的其他资料。</w:t>
      </w:r>
    </w:p>
    <w:p w14:paraId="1E5043D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委托人和其他相关当事人依法提供并保证资料的真实性、完整性、合法性。</w:t>
      </w:r>
    </w:p>
    <w:p w14:paraId="6C0C0330">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第十五条</w:t>
      </w:r>
      <w:r>
        <w:rPr>
          <w:rFonts w:hint="eastAsia" w:ascii="宋体" w:hAnsi="宋体" w:eastAsia="宋体" w:cs="宋体"/>
          <w:color w:val="000000"/>
          <w:kern w:val="0"/>
          <w:sz w:val="24"/>
          <w:shd w:val="clear" w:color="auto" w:fill="FFFFFF"/>
        </w:rPr>
        <w:t>　资产评估专业人员应当依法对资产评估活动中使用的资料进行核查和验证。</w:t>
      </w:r>
    </w:p>
    <w:p w14:paraId="44E20E43">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第十六条</w:t>
      </w:r>
      <w:r>
        <w:rPr>
          <w:rFonts w:hint="eastAsia" w:ascii="宋体" w:hAnsi="宋体" w:eastAsia="宋体" w:cs="宋体"/>
          <w:color w:val="000000"/>
          <w:kern w:val="0"/>
          <w:sz w:val="24"/>
          <w:shd w:val="clear" w:color="auto" w:fill="FFFFFF"/>
        </w:rPr>
        <w:t>　确定资产价值的评估方法包括市场法、收益法和成本法三种基本方法及其衍生方法。</w:t>
      </w:r>
    </w:p>
    <w:p w14:paraId="52635BC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资产评估专业人员应当根据评估目的、评估对象、价值类型、资料收集等情况，分析上述三种基本方法的适用性，依法选择评估方法。</w:t>
      </w:r>
    </w:p>
    <w:p w14:paraId="6CE72962">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第十七条</w:t>
      </w:r>
      <w:r>
        <w:rPr>
          <w:rFonts w:hint="eastAsia" w:ascii="宋体" w:hAnsi="宋体" w:eastAsia="宋体" w:cs="宋体"/>
          <w:color w:val="000000"/>
          <w:kern w:val="0"/>
          <w:sz w:val="24"/>
          <w:shd w:val="clear" w:color="auto" w:fill="FFFFFF"/>
        </w:rPr>
        <w:t>　资产评估专业人员应当在评定、估算形成评估结论后，编制初步资产评估报告。</w:t>
      </w:r>
    </w:p>
    <w:p w14:paraId="5C800E22">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第十八条</w:t>
      </w:r>
      <w:r>
        <w:rPr>
          <w:rFonts w:hint="eastAsia" w:ascii="宋体" w:hAnsi="宋体" w:eastAsia="宋体" w:cs="宋体"/>
          <w:color w:val="000000"/>
          <w:kern w:val="0"/>
          <w:sz w:val="24"/>
          <w:shd w:val="clear" w:color="auto" w:fill="FFFFFF"/>
        </w:rPr>
        <w:t>　资产评估机构应当对初步资产评估报告进行内部审核后出具资产评估报告。</w:t>
      </w:r>
    </w:p>
    <w:p w14:paraId="3C47CC16">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第十九条</w:t>
      </w:r>
      <w:r>
        <w:rPr>
          <w:rFonts w:hint="eastAsia" w:ascii="宋体" w:hAnsi="宋体" w:eastAsia="宋体" w:cs="宋体"/>
          <w:color w:val="000000"/>
          <w:kern w:val="0"/>
          <w:sz w:val="24"/>
          <w:shd w:val="clear" w:color="auto" w:fill="FFFFFF"/>
        </w:rPr>
        <w:t>　资产评估机构应当对工作底稿、资产评估报告及其他相关资料进行整理，形成资产评估档案。</w:t>
      </w:r>
    </w:p>
    <w:p w14:paraId="1436BE0F">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第四章　资产评估报告</w:t>
      </w:r>
    </w:p>
    <w:p w14:paraId="5253ED6A">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第二十条</w:t>
      </w:r>
      <w:r>
        <w:rPr>
          <w:rFonts w:hint="eastAsia" w:ascii="宋体" w:hAnsi="宋体" w:eastAsia="宋体" w:cs="宋体"/>
          <w:color w:val="000000"/>
          <w:kern w:val="0"/>
          <w:sz w:val="24"/>
          <w:shd w:val="clear" w:color="auto" w:fill="FFFFFF"/>
        </w:rPr>
        <w:t>　资产评估机构及其资产评估专业人员出具的资产评估报告应当符合法律、行政法规等相关规定。</w:t>
      </w:r>
    </w:p>
    <w:p w14:paraId="26A3711F">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第二十一条</w:t>
      </w:r>
      <w:r>
        <w:rPr>
          <w:rFonts w:hint="eastAsia" w:ascii="宋体" w:hAnsi="宋体" w:eastAsia="宋体" w:cs="宋体"/>
          <w:color w:val="000000"/>
          <w:kern w:val="0"/>
          <w:sz w:val="24"/>
          <w:shd w:val="clear" w:color="auto" w:fill="FFFFFF"/>
        </w:rPr>
        <w:t>　资产评估报告的内容包括：标题及文号、目录、声明、摘要、正文、附件。</w:t>
      </w:r>
    </w:p>
    <w:p w14:paraId="28EC5D59">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第二十二条</w:t>
      </w:r>
      <w:r>
        <w:rPr>
          <w:rFonts w:hint="eastAsia" w:ascii="宋体" w:hAnsi="宋体" w:eastAsia="宋体" w:cs="宋体"/>
          <w:color w:val="000000"/>
          <w:kern w:val="0"/>
          <w:sz w:val="24"/>
          <w:shd w:val="clear" w:color="auto" w:fill="FFFFFF"/>
        </w:rPr>
        <w:t>　资产评估报告正文应当包括下列内容：</w:t>
      </w:r>
    </w:p>
    <w:p w14:paraId="02E8174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（一）委托人及其他资产评估报告使用人；</w:t>
      </w:r>
    </w:p>
    <w:p w14:paraId="2A915FF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（二）评估目的；</w:t>
      </w:r>
    </w:p>
    <w:p w14:paraId="78CD74A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（三）评估对象和评估范围；</w:t>
      </w:r>
    </w:p>
    <w:p w14:paraId="2471B08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（四）价值类型；</w:t>
      </w:r>
    </w:p>
    <w:p w14:paraId="20E7003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（五）评估基准日；</w:t>
      </w:r>
    </w:p>
    <w:p w14:paraId="3254004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（六）评估依据；</w:t>
      </w:r>
    </w:p>
    <w:p w14:paraId="2C9FB40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（七）评估方法；</w:t>
      </w:r>
    </w:p>
    <w:p w14:paraId="06AF187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（八）评估程序实施过程和情况；</w:t>
      </w:r>
    </w:p>
    <w:p w14:paraId="75238B1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（九）评估假设；</w:t>
      </w:r>
    </w:p>
    <w:p w14:paraId="1C18CA8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（十）评估结论；</w:t>
      </w:r>
    </w:p>
    <w:p w14:paraId="2059A44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（十一）特别事项说明；</w:t>
      </w:r>
    </w:p>
    <w:p w14:paraId="31B2F00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（十二）资产评估报告使用限制说明；</w:t>
      </w:r>
    </w:p>
    <w:p w14:paraId="3EA1C49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（十三）资产评估报告日；</w:t>
      </w:r>
    </w:p>
    <w:p w14:paraId="3C5354B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（十四）资产评估专业人员签名和资产评估机构印章。</w:t>
      </w:r>
    </w:p>
    <w:p w14:paraId="3682291B">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第二十三条</w:t>
      </w:r>
      <w:r>
        <w:rPr>
          <w:rFonts w:hint="eastAsia" w:ascii="宋体" w:hAnsi="宋体" w:eastAsia="宋体" w:cs="宋体"/>
          <w:color w:val="000000"/>
          <w:kern w:val="0"/>
          <w:sz w:val="24"/>
          <w:shd w:val="clear" w:color="auto" w:fill="FFFFFF"/>
        </w:rPr>
        <w:t>　资产评估报告载明的评估目的应当唯一。</w:t>
      </w:r>
    </w:p>
    <w:p w14:paraId="18E1F365">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第二十四条</w:t>
      </w:r>
      <w:r>
        <w:rPr>
          <w:rFonts w:hint="eastAsia" w:ascii="宋体" w:hAnsi="宋体" w:eastAsia="宋体" w:cs="宋体"/>
          <w:color w:val="000000"/>
          <w:kern w:val="0"/>
          <w:sz w:val="24"/>
          <w:shd w:val="clear" w:color="auto" w:fill="FFFFFF"/>
        </w:rPr>
        <w:t>　资产评估报告应当说明选择价值类型的理由，并明确其定义。</w:t>
      </w:r>
    </w:p>
    <w:p w14:paraId="2D08D5A8">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第二十五条</w:t>
      </w:r>
      <w:r>
        <w:rPr>
          <w:rFonts w:hint="eastAsia" w:ascii="宋体" w:hAnsi="宋体" w:eastAsia="宋体" w:cs="宋体"/>
          <w:color w:val="000000"/>
          <w:kern w:val="0"/>
          <w:sz w:val="24"/>
          <w:shd w:val="clear" w:color="auto" w:fill="FFFFFF"/>
        </w:rPr>
        <w:t>　资产评估报告载明的评估基准日应当与资产评估委托合同约定的评估基准日一致，可以是过去、现在或者未来的时点。</w:t>
      </w:r>
    </w:p>
    <w:p w14:paraId="0E21FF68">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第二十六条</w:t>
      </w:r>
      <w:r>
        <w:rPr>
          <w:rFonts w:hint="eastAsia" w:ascii="宋体" w:hAnsi="宋体" w:eastAsia="宋体" w:cs="宋体"/>
          <w:color w:val="000000"/>
          <w:kern w:val="0"/>
          <w:sz w:val="24"/>
          <w:shd w:val="clear" w:color="auto" w:fill="FFFFFF"/>
        </w:rPr>
        <w:t>　资产评估报告应当以文字和数字形式表述评估结论，并明确评估结论的使用有效期。</w:t>
      </w:r>
    </w:p>
    <w:p w14:paraId="1071DE28">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第二十七条</w:t>
      </w:r>
      <w:r>
        <w:rPr>
          <w:rFonts w:hint="eastAsia" w:ascii="宋体" w:hAnsi="宋体" w:eastAsia="宋体" w:cs="宋体"/>
          <w:color w:val="000000"/>
          <w:kern w:val="0"/>
          <w:sz w:val="24"/>
          <w:shd w:val="clear" w:color="auto" w:fill="FFFFFF"/>
        </w:rPr>
        <w:t>　资产评估报告的特别事项说明包括：</w:t>
      </w:r>
    </w:p>
    <w:p w14:paraId="4320003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（一）权属等主要资料不完整或者存在瑕疵的情形；</w:t>
      </w:r>
    </w:p>
    <w:p w14:paraId="207B1D8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（二）未决事项、法律纠纷等不确定因素；</w:t>
      </w:r>
    </w:p>
    <w:p w14:paraId="7EB53DE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（三）重要的利用专家工作情况；</w:t>
      </w:r>
    </w:p>
    <w:p w14:paraId="3C202C7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（四）重大期后事项。</w:t>
      </w:r>
    </w:p>
    <w:p w14:paraId="6323DAE4">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第二十八条</w:t>
      </w:r>
      <w:r>
        <w:rPr>
          <w:rFonts w:hint="eastAsia" w:ascii="宋体" w:hAnsi="宋体" w:eastAsia="宋体" w:cs="宋体"/>
          <w:color w:val="000000"/>
          <w:kern w:val="0"/>
          <w:sz w:val="24"/>
          <w:shd w:val="clear" w:color="auto" w:fill="FFFFFF"/>
        </w:rPr>
        <w:t>　资产评估报告使用限制说明应当载明：</w:t>
      </w:r>
    </w:p>
    <w:p w14:paraId="568E8AA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（一）使用范围；</w:t>
      </w:r>
    </w:p>
    <w:p w14:paraId="4E254D4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（二）委托人或者其他资产评估报告使用人未按照法律、行政法规规定和资产评估报告载明的使用范围使用资产评估报告的，资产评估机构及其资产评估专业人员不承担责任；</w:t>
      </w:r>
    </w:p>
    <w:p w14:paraId="64924F3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（三）除委托人、资产评估委托合同中约定的其他资产评估报告使用人和法律、行政法规规定的资产评估报告使用人之外，其他任何机构和个人不能成为资产评估报告的使用人；</w:t>
      </w:r>
    </w:p>
    <w:p w14:paraId="4D31FBD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（四）资产评估报告使用人应当正确理解评估结论。评估结论不等同于评估对象可实现价格，评估结论不应当被认为是对评估对象可实现价格的保证。</w:t>
      </w:r>
    </w:p>
    <w:p w14:paraId="647D960A">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第二十九条</w:t>
      </w:r>
      <w:r>
        <w:rPr>
          <w:rFonts w:hint="eastAsia" w:ascii="宋体" w:hAnsi="宋体" w:eastAsia="宋体" w:cs="宋体"/>
          <w:color w:val="000000"/>
          <w:kern w:val="0"/>
          <w:sz w:val="24"/>
          <w:shd w:val="clear" w:color="auto" w:fill="FFFFFF"/>
        </w:rPr>
        <w:t>　资产评估报告应当履行内部审核程序，由至少两名承办该项资产评估业务的资产评估专业人员签名并加盖资产评估机构印章。</w:t>
      </w:r>
    </w:p>
    <w:p w14:paraId="7EFB0E3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法定评估业务资产评估报告应当履行内部审核程序，由至少两名承办该项资产评估业务的资产评估师签名并加盖资产评估机构印章。</w:t>
      </w:r>
    </w:p>
    <w:p w14:paraId="5F3D28DE">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第五章　资产评估档案</w:t>
      </w:r>
    </w:p>
    <w:p w14:paraId="0CAAEF13">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第三十条</w:t>
      </w:r>
      <w:r>
        <w:rPr>
          <w:rFonts w:hint="eastAsia" w:ascii="宋体" w:hAnsi="宋体" w:eastAsia="宋体" w:cs="宋体"/>
          <w:color w:val="000000"/>
          <w:kern w:val="0"/>
          <w:sz w:val="24"/>
          <w:shd w:val="clear" w:color="auto" w:fill="FFFFFF"/>
        </w:rPr>
        <w:t>　资产评估档案包括工作底稿、资产评估报告以及其他相关资料。</w:t>
      </w:r>
    </w:p>
    <w:p w14:paraId="4DC77D1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资产评估档案应当由资产评估机构妥善管理。</w:t>
      </w:r>
    </w:p>
    <w:p w14:paraId="2A2BCC5C">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第三十一条</w:t>
      </w:r>
      <w:r>
        <w:rPr>
          <w:rFonts w:hint="eastAsia" w:ascii="宋体" w:hAnsi="宋体" w:eastAsia="宋体" w:cs="宋体"/>
          <w:color w:val="000000"/>
          <w:kern w:val="0"/>
          <w:sz w:val="24"/>
          <w:shd w:val="clear" w:color="auto" w:fill="FFFFFF"/>
        </w:rPr>
        <w:t>　工作底稿应当真实完整、重点突出、记录清晰，能够反映资产评估程序实施情况、支持评估结论。工作底稿分为管理类工作底稿和操作类工作底稿。</w:t>
      </w:r>
    </w:p>
    <w:p w14:paraId="2A053B3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管理类工作底稿是指在执行资产评估业务过程中，为受理、计划、控制和管理资产评估业务所形成的工作记录及相关资料。</w:t>
      </w:r>
    </w:p>
    <w:p w14:paraId="0F2D0CC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操作类工作底稿是指在履行现场调查、收集资产评估资料和评定估算程序时所形成的工作记录及相关资料。</w:t>
      </w:r>
    </w:p>
    <w:p w14:paraId="79CD0AE3">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第三十二条</w:t>
      </w:r>
      <w:r>
        <w:rPr>
          <w:rFonts w:hint="eastAsia" w:ascii="宋体" w:hAnsi="宋体" w:eastAsia="宋体" w:cs="宋体"/>
          <w:color w:val="000000"/>
          <w:kern w:val="0"/>
          <w:sz w:val="24"/>
          <w:shd w:val="clear" w:color="auto" w:fill="FFFFFF"/>
        </w:rPr>
        <w:t>　资产评估档案保存期限不少于十五年。属于法定资产评估业务的，不少于三十年。</w:t>
      </w:r>
    </w:p>
    <w:p w14:paraId="5295096A">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第三十三条</w:t>
      </w:r>
      <w:r>
        <w:rPr>
          <w:rFonts w:hint="eastAsia" w:ascii="宋体" w:hAnsi="宋体" w:eastAsia="宋体" w:cs="宋体"/>
          <w:color w:val="000000"/>
          <w:kern w:val="0"/>
          <w:sz w:val="24"/>
          <w:shd w:val="clear" w:color="auto" w:fill="FFFFFF"/>
        </w:rPr>
        <w:t>　资产评估档案的管理应当严格执行保密制度。除下列情形外，资产评估档案不得对外提供：</w:t>
      </w:r>
    </w:p>
    <w:p w14:paraId="7944D9C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（一）财政部门依法调阅的；</w:t>
      </w:r>
    </w:p>
    <w:p w14:paraId="3C90C85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（二）资产评估协会依法依规调阅的；</w:t>
      </w:r>
    </w:p>
    <w:p w14:paraId="543BEF7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（三）其他依法依规查阅的。</w:t>
      </w:r>
    </w:p>
    <w:p w14:paraId="1EBEBEE2">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第六章　附则</w:t>
      </w:r>
    </w:p>
    <w:p w14:paraId="78E97AA4">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第三十四条</w:t>
      </w:r>
      <w:r>
        <w:rPr>
          <w:rFonts w:hint="eastAsia" w:ascii="宋体" w:hAnsi="宋体" w:eastAsia="宋体" w:cs="宋体"/>
          <w:color w:val="000000"/>
          <w:kern w:val="0"/>
          <w:sz w:val="24"/>
          <w:shd w:val="clear" w:color="auto" w:fill="FFFFFF"/>
        </w:rPr>
        <w:t>　中国资产评估协会根据本准则制定资产评估执业准则和职业道德准则。资产评估执业准则包括各项具体准则、指南和指导意见。</w:t>
      </w:r>
    </w:p>
    <w:p w14:paraId="3F302963">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第三十五条</w:t>
      </w:r>
      <w:r>
        <w:rPr>
          <w:rFonts w:hint="eastAsia" w:ascii="宋体" w:hAnsi="宋体" w:eastAsia="宋体" w:cs="宋体"/>
          <w:color w:val="000000"/>
          <w:kern w:val="0"/>
          <w:sz w:val="24"/>
          <w:shd w:val="clear" w:color="auto" w:fill="FFFFFF"/>
        </w:rPr>
        <w:t>　本准则自2017年10月1日起施行。2004年2月25日财政部发布的《关于印发〈资产评估准则——基本准则〉和〈资产评估职业道德准则——基本准则〉的通知》（财企〔2004〕20号）同时废止。</w:t>
      </w:r>
    </w:p>
    <w:p w14:paraId="20330FF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br w:type="page"/>
      </w:r>
    </w:p>
    <w:p w14:paraId="3DB4070D">
      <w:pPr>
        <w:pStyle w:val="5"/>
        <w:spacing w:line="440" w:lineRule="atLeast"/>
        <w:jc w:val="center"/>
        <w:rPr>
          <w:rFonts w:ascii="宋体" w:hAnsi="宋体" w:eastAsia="宋体" w:cs="宋体"/>
        </w:rPr>
      </w:pPr>
      <w:bookmarkStart w:id="102" w:name="_Toc31497"/>
      <w:r>
        <w:rPr>
          <w:rFonts w:hint="eastAsia" w:ascii="宋体" w:hAnsi="宋体" w:eastAsia="宋体" w:cs="宋体"/>
        </w:rPr>
        <w:t>资产评估职业道德准则</w:t>
      </w:r>
      <w:bookmarkEnd w:id="102"/>
    </w:p>
    <w:p w14:paraId="201D1CEF">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第一章　总则</w:t>
      </w:r>
    </w:p>
    <w:p w14:paraId="32E3D892">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第一条</w:t>
      </w:r>
      <w:r>
        <w:rPr>
          <w:rFonts w:hint="eastAsia" w:ascii="宋体" w:hAnsi="宋体" w:eastAsia="宋体" w:cs="宋体"/>
          <w:color w:val="000000"/>
          <w:kern w:val="0"/>
          <w:sz w:val="24"/>
          <w:shd w:val="clear" w:color="auto" w:fill="FFFFFF"/>
        </w:rPr>
        <w:t>　为规范资产评估机构及其资产评估专业人员职业道德行为，提高职业素质，维护职业形象，根据《资产评估基本准则》制定本准则。</w:t>
      </w:r>
    </w:p>
    <w:p w14:paraId="53006B8E">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第二条</w:t>
      </w:r>
      <w:r>
        <w:rPr>
          <w:rFonts w:hint="eastAsia" w:ascii="宋体" w:hAnsi="宋体" w:eastAsia="宋体" w:cs="宋体"/>
          <w:color w:val="000000"/>
          <w:kern w:val="0"/>
          <w:sz w:val="24"/>
          <w:shd w:val="clear" w:color="auto" w:fill="FFFFFF"/>
        </w:rPr>
        <w:t>　本准则所称职业道德是指资产评估机构及其资产评估专业人员开展资产评估业务应当具备的道德品质和体现的道德行为。</w:t>
      </w:r>
    </w:p>
    <w:p w14:paraId="78DC42FA">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第三条</w:t>
      </w:r>
      <w:r>
        <w:rPr>
          <w:rFonts w:hint="eastAsia" w:ascii="宋体" w:hAnsi="宋体" w:eastAsia="宋体" w:cs="宋体"/>
          <w:color w:val="000000"/>
          <w:kern w:val="0"/>
          <w:sz w:val="24"/>
          <w:shd w:val="clear" w:color="auto" w:fill="FFFFFF"/>
        </w:rPr>
        <w:t>　资产评估机构及其资产评估专业人员开展资产评估业务，应当遵守本准则。</w:t>
      </w:r>
    </w:p>
    <w:p w14:paraId="48673C35">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第二章　基本遵循</w:t>
      </w:r>
    </w:p>
    <w:p w14:paraId="66CC417A">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第四条</w:t>
      </w:r>
      <w:r>
        <w:rPr>
          <w:rFonts w:hint="eastAsia" w:ascii="宋体" w:hAnsi="宋体" w:eastAsia="宋体" w:cs="宋体"/>
          <w:color w:val="000000"/>
          <w:kern w:val="0"/>
          <w:sz w:val="24"/>
          <w:shd w:val="clear" w:color="auto" w:fill="FFFFFF"/>
        </w:rPr>
        <w:t>　资产评估机构及其资产评估专业人员应当诚实守信，勤勉尽责，谨慎从业，坚持独立、客观、公正的原则，不得出具或者签署虚假资产评估报告或者有重大遗漏的资产评估报告。</w:t>
      </w:r>
    </w:p>
    <w:p w14:paraId="7B67CFA7">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第五条</w:t>
      </w:r>
      <w:r>
        <w:rPr>
          <w:rFonts w:hint="eastAsia" w:ascii="宋体" w:hAnsi="宋体" w:eastAsia="宋体" w:cs="宋体"/>
          <w:color w:val="000000"/>
          <w:kern w:val="0"/>
          <w:sz w:val="24"/>
          <w:shd w:val="clear" w:color="auto" w:fill="FFFFFF"/>
        </w:rPr>
        <w:t>　资产评估机构及其资产评估专业人员开展资产评估业务，应当遵守法律、行政法规和资产评估准则，履行资产评估委托合同规定的义务。　</w:t>
      </w:r>
    </w:p>
    <w:p w14:paraId="6D540EF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资产评估机构应当对本机构的资产评估专业人员遵守法律、行政法规和资产评估准则的情况进行监督。</w:t>
      </w:r>
    </w:p>
    <w:p w14:paraId="702BA4FE">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第六条</w:t>
      </w:r>
      <w:r>
        <w:rPr>
          <w:rFonts w:hint="eastAsia" w:ascii="宋体" w:hAnsi="宋体" w:eastAsia="宋体" w:cs="宋体"/>
          <w:color w:val="000000"/>
          <w:kern w:val="0"/>
          <w:sz w:val="24"/>
          <w:shd w:val="clear" w:color="auto" w:fill="FFFFFF"/>
        </w:rPr>
        <w:t>　资产评估机构及其资产评估专业人员应当自觉维护职业形象，不得从事损害职业形象的活动。</w:t>
      </w:r>
    </w:p>
    <w:p w14:paraId="0622EE36">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第三章　专业能力</w:t>
      </w:r>
    </w:p>
    <w:p w14:paraId="2BE5282C">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第七条</w:t>
      </w:r>
      <w:r>
        <w:rPr>
          <w:rFonts w:hint="eastAsia" w:ascii="宋体" w:hAnsi="宋体" w:eastAsia="宋体" w:cs="宋体"/>
          <w:color w:val="000000"/>
          <w:kern w:val="0"/>
          <w:sz w:val="24"/>
          <w:shd w:val="clear" w:color="auto" w:fill="FFFFFF"/>
        </w:rPr>
        <w:t>　资产评估专业人员应当具备相应的评估专业知识和实践经验，能够胜任所执行的资产评估业务。</w:t>
      </w:r>
    </w:p>
    <w:p w14:paraId="3E60E21F">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第八条</w:t>
      </w:r>
      <w:r>
        <w:rPr>
          <w:rFonts w:hint="eastAsia" w:ascii="宋体" w:hAnsi="宋体" w:eastAsia="宋体" w:cs="宋体"/>
          <w:color w:val="000000"/>
          <w:kern w:val="0"/>
          <w:sz w:val="24"/>
          <w:shd w:val="clear" w:color="auto" w:fill="FFFFFF"/>
        </w:rPr>
        <w:t>　资产评估专业人员应当完成规定的继续教育，保持和提高专业能力。</w:t>
      </w:r>
    </w:p>
    <w:p w14:paraId="6C328228">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第九条</w:t>
      </w:r>
      <w:r>
        <w:rPr>
          <w:rFonts w:hint="eastAsia" w:ascii="宋体" w:hAnsi="宋体" w:eastAsia="宋体" w:cs="宋体"/>
          <w:color w:val="000000"/>
          <w:kern w:val="0"/>
          <w:sz w:val="24"/>
          <w:shd w:val="clear" w:color="auto" w:fill="FFFFFF"/>
        </w:rPr>
        <w:t>　资产评估机构及其资产评估专业人员应当如实声明其具有的专业能力和执业经验，不得对其专业能力和执业经验进行夸张、虚假和误导性宣传。</w:t>
      </w:r>
    </w:p>
    <w:p w14:paraId="36FA5208">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第十条</w:t>
      </w:r>
      <w:r>
        <w:rPr>
          <w:rFonts w:hint="eastAsia" w:ascii="宋体" w:hAnsi="宋体" w:eastAsia="宋体" w:cs="宋体"/>
          <w:color w:val="000000"/>
          <w:kern w:val="0"/>
          <w:sz w:val="24"/>
          <w:shd w:val="clear" w:color="auto" w:fill="FFFFFF"/>
        </w:rPr>
        <w:t>　资产评估机构执行某项特定业务缺乏特定的专业知识和经验时，应当采取弥补措施，包括利用专家及相关报告等。</w:t>
      </w:r>
    </w:p>
    <w:p w14:paraId="2E6F3F24">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第四章　独立性</w:t>
      </w:r>
    </w:p>
    <w:p w14:paraId="73C248B0">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第十一条</w:t>
      </w:r>
      <w:r>
        <w:rPr>
          <w:rFonts w:hint="eastAsia" w:ascii="宋体" w:hAnsi="宋体" w:eastAsia="宋体" w:cs="宋体"/>
          <w:color w:val="000000"/>
          <w:kern w:val="0"/>
          <w:sz w:val="24"/>
          <w:shd w:val="clear" w:color="auto" w:fill="FFFFFF"/>
        </w:rPr>
        <w:t>　资产评估机构及其资产评估专业人员开展资产评估业务，应当采取恰当措施保持独立性。</w:t>
      </w:r>
    </w:p>
    <w:p w14:paraId="44F9FE9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资产评估机构不得受理与自身有利害关系的资产评估业务。</w:t>
      </w:r>
    </w:p>
    <w:p w14:paraId="45C6044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资产评估专业人员与委托人、其他相关当事人和评估对象有利害关系的，应当回避。</w:t>
      </w:r>
    </w:p>
    <w:p w14:paraId="0BB701C6">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第十二条</w:t>
      </w:r>
      <w:r>
        <w:rPr>
          <w:rFonts w:hint="eastAsia" w:ascii="宋体" w:hAnsi="宋体" w:eastAsia="宋体" w:cs="宋体"/>
          <w:color w:val="000000"/>
          <w:kern w:val="0"/>
          <w:sz w:val="24"/>
          <w:shd w:val="clear" w:color="auto" w:fill="FFFFFF"/>
        </w:rPr>
        <w:t>　资产评估机构及其资产评估专业人员开展资产评估业务，应当识别可能影响独立性的情形，合理判断其对独立性的影响。</w:t>
      </w:r>
    </w:p>
    <w:p w14:paraId="4A36A47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可能影响独立性的情形通常包括资产评估机构及其资产评估专业人员或者其亲属与委托人或者其他相关当事人之间存在经济利益关联、人员关联或者业务关联。</w:t>
      </w:r>
    </w:p>
    <w:p w14:paraId="1F51828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（一）亲属是指配偶、父母、子女及其配偶。</w:t>
      </w:r>
    </w:p>
    <w:p w14:paraId="08D8CD9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（二）经济利益关联是指资产评估机构及其资产评估专业人员或者其亲属拥有委托人或者其他相关当事人的股权、债权、有价证券、债务，或者存在担保等可能影响独立性的经济利益关系。</w:t>
      </w:r>
    </w:p>
    <w:p w14:paraId="028EB71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（三）人员关联是指资产评估专业人员或者其亲属在委托人或者其他相关当事人担任董事、监事、高级管理人员或者其他可能对评估结论施加重大影响的特定职务。</w:t>
      </w:r>
    </w:p>
    <w:p w14:paraId="217AFB4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（四）业务关联是指资产评估机构从事的不同业务之间可能存在利益输送或者利益冲突关系。</w:t>
      </w:r>
    </w:p>
    <w:p w14:paraId="7452B88C">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第十三条</w:t>
      </w:r>
      <w:r>
        <w:rPr>
          <w:rFonts w:hint="eastAsia" w:ascii="宋体" w:hAnsi="宋体" w:eastAsia="宋体" w:cs="宋体"/>
          <w:color w:val="000000"/>
          <w:kern w:val="0"/>
          <w:sz w:val="24"/>
          <w:shd w:val="clear" w:color="auto" w:fill="FFFFFF"/>
        </w:rPr>
        <w:t>　资产评估机构不得分别接受利益冲突双方的委托，对同一评估对象进行评估。</w:t>
      </w:r>
    </w:p>
    <w:p w14:paraId="2208CECA">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第五章　与委托人和其他相关当事人的关系</w:t>
      </w:r>
    </w:p>
    <w:p w14:paraId="0B331491">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第十四条</w:t>
      </w:r>
      <w:r>
        <w:rPr>
          <w:rFonts w:hint="eastAsia" w:ascii="宋体" w:hAnsi="宋体" w:eastAsia="宋体" w:cs="宋体"/>
          <w:color w:val="000000"/>
          <w:kern w:val="0"/>
          <w:sz w:val="24"/>
          <w:shd w:val="clear" w:color="auto" w:fill="FFFFFF"/>
        </w:rPr>
        <w:t>　资产评估机构及其资产评估专业人员不得以恶性压价、支付回扣、虚假宣传，或者采用欺骗、利诱、胁迫等不正当手段招揽业务。</w:t>
      </w:r>
    </w:p>
    <w:p w14:paraId="1C022A6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资产评估专业人员不得私自接受委托从事资产评估业务并收取费用。</w:t>
      </w:r>
    </w:p>
    <w:p w14:paraId="101AD676">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第十五条</w:t>
      </w:r>
      <w:r>
        <w:rPr>
          <w:rFonts w:hint="eastAsia" w:ascii="宋体" w:hAnsi="宋体" w:eastAsia="宋体" w:cs="宋体"/>
          <w:color w:val="000000"/>
          <w:kern w:val="0"/>
          <w:sz w:val="24"/>
          <w:shd w:val="clear" w:color="auto" w:fill="FFFFFF"/>
        </w:rPr>
        <w:t>　资产评估机构及其资产评估专业人员不得利用开展业务之便，为自己或者他人谋取不正当利益，不得向委托人或者其他相关当事人索要、收受或者变相索要、收受资产评估委托合同约定以外的酬金、财物等。</w:t>
      </w:r>
    </w:p>
    <w:p w14:paraId="46F02B39">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第十六条</w:t>
      </w:r>
      <w:r>
        <w:rPr>
          <w:rFonts w:hint="eastAsia" w:ascii="宋体" w:hAnsi="宋体" w:eastAsia="宋体" w:cs="宋体"/>
          <w:color w:val="000000"/>
          <w:kern w:val="0"/>
          <w:sz w:val="24"/>
          <w:shd w:val="clear" w:color="auto" w:fill="FFFFFF"/>
        </w:rPr>
        <w:t>　资产评估机构及其资产评估专业人员执行资产评估业务，应当保持公正的态度，以客观事实为依据，实事求是地进行分析和判断，拒绝委托人或者其他相关当事人的非法干预，不得直接以预先设定的价值作为评估结论。</w:t>
      </w:r>
    </w:p>
    <w:p w14:paraId="3E21794C">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第十七条</w:t>
      </w:r>
      <w:r>
        <w:rPr>
          <w:rFonts w:hint="eastAsia" w:ascii="宋体" w:hAnsi="宋体" w:eastAsia="宋体" w:cs="宋体"/>
          <w:color w:val="000000"/>
          <w:kern w:val="0"/>
          <w:sz w:val="24"/>
          <w:shd w:val="clear" w:color="auto" w:fill="FFFFFF"/>
        </w:rPr>
        <w:t>　资产评估机构及其资产评估专业人员执行资产评估业务，应当与委托人进行必要沟通，提醒资产评估报告使用人正确理解评估结论。</w:t>
      </w:r>
    </w:p>
    <w:p w14:paraId="0B6301CB">
      <w:pPr>
        <w:shd w:val="clear" w:color="auto" w:fill="FFFFFF"/>
        <w:spacing w:line="440" w:lineRule="atLeast"/>
        <w:ind w:firstLine="482" w:firstLineChars="200"/>
        <w:rPr>
          <w:rFonts w:ascii="宋体" w:hAnsi="宋体" w:eastAsia="宋体" w:cs="宋体"/>
          <w:b/>
          <w:color w:val="000000"/>
          <w:kern w:val="0"/>
          <w:sz w:val="24"/>
          <w:shd w:val="clear" w:color="auto" w:fill="FFFFFF"/>
        </w:rPr>
      </w:pPr>
      <w:r>
        <w:rPr>
          <w:rFonts w:hint="eastAsia" w:ascii="宋体" w:hAnsi="宋体" w:eastAsia="宋体" w:cs="宋体"/>
          <w:b/>
          <w:color w:val="000000"/>
          <w:kern w:val="0"/>
          <w:sz w:val="24"/>
          <w:shd w:val="clear" w:color="auto" w:fill="FFFFFF"/>
        </w:rPr>
        <w:t>第十八条</w:t>
      </w:r>
      <w:r>
        <w:rPr>
          <w:rFonts w:hint="eastAsia" w:ascii="宋体" w:hAnsi="宋体" w:eastAsia="宋体" w:cs="宋体"/>
          <w:color w:val="000000"/>
          <w:kern w:val="0"/>
          <w:sz w:val="24"/>
          <w:shd w:val="clear" w:color="auto" w:fill="FFFFFF"/>
        </w:rPr>
        <w:t>　资产评估机构及其资产评估专业人员应当遵守保密原则，对评估活动中知悉的国家秘密、商业秘密和个人隐私予以保密，不得在保密期限内向委托人以外的</w:t>
      </w:r>
      <w:r>
        <w:rPr>
          <w:rFonts w:hint="eastAsia" w:ascii="宋体" w:hAnsi="宋体" w:eastAsia="宋体" w:cs="宋体"/>
          <w:bCs/>
          <w:color w:val="000000"/>
          <w:kern w:val="0"/>
          <w:sz w:val="24"/>
          <w:shd w:val="clear" w:color="auto" w:fill="FFFFFF"/>
        </w:rPr>
        <w:t>第三方提供保密信息，除非得到委托人的同意或者属于法律、行政法规允许的范围</w:t>
      </w:r>
      <w:r>
        <w:rPr>
          <w:rFonts w:hint="eastAsia" w:ascii="宋体" w:hAnsi="宋体" w:eastAsia="宋体" w:cs="宋体"/>
          <w:b/>
          <w:color w:val="000000"/>
          <w:kern w:val="0"/>
          <w:sz w:val="24"/>
          <w:shd w:val="clear" w:color="auto" w:fill="FFFFFF"/>
        </w:rPr>
        <w:t>。</w:t>
      </w:r>
    </w:p>
    <w:p w14:paraId="4C7028B9">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第六章　与其他资产评估机构及资产评估专业人员的关系</w:t>
      </w:r>
    </w:p>
    <w:p w14:paraId="3DAAB532">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第十九条</w:t>
      </w:r>
      <w:r>
        <w:rPr>
          <w:rFonts w:hint="eastAsia" w:ascii="宋体" w:hAnsi="宋体" w:eastAsia="宋体" w:cs="宋体"/>
          <w:color w:val="000000"/>
          <w:kern w:val="0"/>
          <w:sz w:val="24"/>
          <w:shd w:val="clear" w:color="auto" w:fill="FFFFFF"/>
        </w:rPr>
        <w:t>　资产评估机构不得允许其他资产评估机构以本机构名义开展资产评估业务，或者冒用其他资产评估机构名义开展资产评估业务。</w:t>
      </w:r>
    </w:p>
    <w:p w14:paraId="18D4444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资产评估专业人员不得签署本人未承办业务的资产评估报告，也不得允许他人以本人名义从事资产评估业务，或者冒用他人名义从事资产评估业务。</w:t>
      </w:r>
    </w:p>
    <w:p w14:paraId="696AE851">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第二十条</w:t>
      </w:r>
      <w:r>
        <w:rPr>
          <w:rFonts w:hint="eastAsia" w:ascii="宋体" w:hAnsi="宋体" w:eastAsia="宋体" w:cs="宋体"/>
          <w:color w:val="000000"/>
          <w:kern w:val="0"/>
          <w:sz w:val="24"/>
          <w:shd w:val="clear" w:color="auto" w:fill="FFFFFF"/>
        </w:rPr>
        <w:t>　资产评估机构及其资产评估专业人员在开展资产评估业务过程中，应当与其他资产评估专业人员保持良好的工作关系。</w:t>
      </w:r>
    </w:p>
    <w:p w14:paraId="78CD564A">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第二十一条</w:t>
      </w:r>
      <w:r>
        <w:rPr>
          <w:rFonts w:hint="eastAsia" w:ascii="宋体" w:hAnsi="宋体" w:eastAsia="宋体" w:cs="宋体"/>
          <w:color w:val="000000"/>
          <w:kern w:val="0"/>
          <w:sz w:val="24"/>
          <w:shd w:val="clear" w:color="auto" w:fill="FFFFFF"/>
        </w:rPr>
        <w:t>　资产评估机构及其资产评估专业人员不得贬损或者诋毁其他资产评估机构及资产评估专业人员。</w:t>
      </w:r>
    </w:p>
    <w:p w14:paraId="068DF2B5">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第七章　附则</w:t>
      </w:r>
    </w:p>
    <w:p w14:paraId="40F1F6F4">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第二十二条</w:t>
      </w:r>
      <w:r>
        <w:rPr>
          <w:rFonts w:hint="eastAsia" w:ascii="宋体" w:hAnsi="宋体" w:eastAsia="宋体" w:cs="宋体"/>
          <w:color w:val="000000"/>
          <w:kern w:val="0"/>
          <w:sz w:val="24"/>
          <w:shd w:val="clear" w:color="auto" w:fill="FFFFFF"/>
        </w:rPr>
        <w:t>　资产评估机构及其资产评估专业人员在执行资产评估业务过程中，应当指导专家和相关业务助理人员遵守本准则相关条款。</w:t>
      </w:r>
    </w:p>
    <w:p w14:paraId="4CA0862D">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第二十三条</w:t>
      </w:r>
      <w:r>
        <w:rPr>
          <w:rFonts w:hint="eastAsia" w:ascii="宋体" w:hAnsi="宋体" w:eastAsia="宋体" w:cs="宋体"/>
          <w:color w:val="000000"/>
          <w:kern w:val="0"/>
          <w:sz w:val="24"/>
          <w:shd w:val="clear" w:color="auto" w:fill="FFFFFF"/>
        </w:rPr>
        <w:t>　本准则自2017年10月1日起施行。中国资产评估协会于2012年12月28日发布的《关于印发〈资产评估职业道德准则——独立性〉的通知》（中评协〔2012〕248号）同时废止。</w:t>
      </w:r>
    </w:p>
    <w:p w14:paraId="40FC680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br w:type="page"/>
      </w:r>
    </w:p>
    <w:p w14:paraId="106C7CB6">
      <w:pPr>
        <w:pStyle w:val="5"/>
        <w:spacing w:line="440" w:lineRule="atLeast"/>
        <w:jc w:val="center"/>
        <w:rPr>
          <w:rFonts w:ascii="宋体" w:hAnsi="宋体" w:eastAsia="宋体" w:cs="宋体"/>
        </w:rPr>
      </w:pPr>
      <w:bookmarkStart w:id="103" w:name="_Toc2156"/>
      <w:r>
        <w:rPr>
          <w:rFonts w:hint="eastAsia" w:ascii="宋体" w:hAnsi="宋体" w:eastAsia="宋体" w:cs="宋体"/>
        </w:rPr>
        <w:t>资产评估执业准则——资产评估程序</w:t>
      </w:r>
      <w:bookmarkEnd w:id="103"/>
    </w:p>
    <w:p w14:paraId="63BF8043">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第一章　总则</w:t>
      </w:r>
    </w:p>
    <w:p w14:paraId="3B11E675">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第一条</w:t>
      </w:r>
      <w:r>
        <w:rPr>
          <w:rFonts w:hint="eastAsia" w:ascii="宋体" w:hAnsi="宋体" w:eastAsia="宋体" w:cs="宋体"/>
          <w:color w:val="000000"/>
          <w:kern w:val="0"/>
          <w:sz w:val="24"/>
          <w:shd w:val="clear" w:color="auto" w:fill="FFFFFF"/>
        </w:rPr>
        <w:t>　为规范资产评估机构及其资产评估专业人员履行资产评估程序行为，保护资产评估当事人合法权益和公共利益，根据《资产评估基本准则》制定本准则。</w:t>
      </w:r>
    </w:p>
    <w:p w14:paraId="6C7856C1">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第二条</w:t>
      </w:r>
      <w:r>
        <w:rPr>
          <w:rFonts w:hint="eastAsia" w:ascii="宋体" w:hAnsi="宋体" w:eastAsia="宋体" w:cs="宋体"/>
          <w:color w:val="000000"/>
          <w:kern w:val="0"/>
          <w:sz w:val="24"/>
          <w:shd w:val="clear" w:color="auto" w:fill="FFFFFF"/>
        </w:rPr>
        <w:t>　本准则所称资产评估程序，是指执行资产评估业务所履行的系统性工作步骤。</w:t>
      </w:r>
    </w:p>
    <w:p w14:paraId="768F2910">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第三条</w:t>
      </w:r>
      <w:r>
        <w:rPr>
          <w:rFonts w:hint="eastAsia" w:ascii="宋体" w:hAnsi="宋体" w:eastAsia="宋体" w:cs="宋体"/>
          <w:color w:val="000000"/>
          <w:kern w:val="0"/>
          <w:sz w:val="24"/>
          <w:shd w:val="clear" w:color="auto" w:fill="FFFFFF"/>
        </w:rPr>
        <w:t>　执行资产评估业务，应当遵守本准则。</w:t>
      </w:r>
    </w:p>
    <w:p w14:paraId="6CACBFC2">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第二章　基本遵循</w:t>
      </w:r>
    </w:p>
    <w:p w14:paraId="44668C47">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第四条</w:t>
      </w:r>
      <w:r>
        <w:rPr>
          <w:rFonts w:hint="eastAsia" w:ascii="宋体" w:hAnsi="宋体" w:eastAsia="宋体" w:cs="宋体"/>
          <w:color w:val="000000"/>
          <w:kern w:val="0"/>
          <w:sz w:val="24"/>
          <w:shd w:val="clear" w:color="auto" w:fill="FFFFFF"/>
        </w:rPr>
        <w:t>　执行资产评估业务，应当遵守法律、行政法规和资产评估准则，坚持独立、客观、公正的原则，履行适当的资产评估程序。</w:t>
      </w:r>
    </w:p>
    <w:p w14:paraId="19C0B4D3">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第五条</w:t>
      </w:r>
      <w:r>
        <w:rPr>
          <w:rFonts w:hint="eastAsia" w:ascii="宋体" w:hAnsi="宋体" w:eastAsia="宋体" w:cs="宋体"/>
          <w:color w:val="000000"/>
          <w:kern w:val="0"/>
          <w:sz w:val="24"/>
          <w:shd w:val="clear" w:color="auto" w:fill="FFFFFF"/>
        </w:rPr>
        <w:t>　资产评估基本程序包括：明确业务基本事项；订立业务委托合同；编制资产评估计划；进行评估现场调查；收集整理评估资料；评定估算形成结论；编制出具评估报告；整理归集评估档案。</w:t>
      </w:r>
    </w:p>
    <w:p w14:paraId="28CB9C5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资产评估机构及其资产评估专业人员应当根据资产评估业务的具体情况以及重要性原则确定所履行各基本程序的繁简程度。</w:t>
      </w:r>
    </w:p>
    <w:p w14:paraId="3AD0B7E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资产评估机构及其资产评估专业人员不得随意减少资产评估基本程序。</w:t>
      </w:r>
    </w:p>
    <w:p w14:paraId="64F133B8">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第六条</w:t>
      </w:r>
      <w:r>
        <w:rPr>
          <w:rFonts w:hint="eastAsia" w:ascii="宋体" w:hAnsi="宋体" w:eastAsia="宋体" w:cs="宋体"/>
          <w:color w:val="000000"/>
          <w:kern w:val="0"/>
          <w:sz w:val="24"/>
          <w:shd w:val="clear" w:color="auto" w:fill="FFFFFF"/>
        </w:rPr>
        <w:t>　执行资产评估业务，因法律法规规定、客观条件限制，无法或者不能完全履行资产评估基本程序，经采取措施弥补程序缺失，且未对评估结论产生重大影响时，资产评估机构及其资产评估专业人员可以继续开展业务，对评估结论产生重大影响或者无法判断其影响程度的，不得出具资产评估报告。</w:t>
      </w:r>
    </w:p>
    <w:p w14:paraId="45E7A0AC">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第七条</w:t>
      </w:r>
      <w:r>
        <w:rPr>
          <w:rFonts w:hint="eastAsia" w:ascii="宋体" w:hAnsi="宋体" w:eastAsia="宋体" w:cs="宋体"/>
          <w:color w:val="000000"/>
          <w:kern w:val="0"/>
          <w:sz w:val="24"/>
          <w:shd w:val="clear" w:color="auto" w:fill="FFFFFF"/>
        </w:rPr>
        <w:t>　资产评估专业人员应当记录评估程序履行情况，形成工作底稿。</w:t>
      </w:r>
    </w:p>
    <w:p w14:paraId="106DBFC2">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第三章　实施要求</w:t>
      </w:r>
    </w:p>
    <w:p w14:paraId="01D67C50">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第八条</w:t>
      </w:r>
      <w:r>
        <w:rPr>
          <w:rFonts w:hint="eastAsia" w:ascii="宋体" w:hAnsi="宋体" w:eastAsia="宋体" w:cs="宋体"/>
          <w:color w:val="000000"/>
          <w:kern w:val="0"/>
          <w:sz w:val="24"/>
          <w:shd w:val="clear" w:color="auto" w:fill="FFFFFF"/>
        </w:rPr>
        <w:t>　资产评估机构受理资产评估业务前，应当明确下列资产评估业务基本事项：</w:t>
      </w:r>
    </w:p>
    <w:p w14:paraId="2D35895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（一）委托人、产权持有人和委托人以外的其他资产评估报告使用人；</w:t>
      </w:r>
    </w:p>
    <w:p w14:paraId="2BB429C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（二）评估目的；</w:t>
      </w:r>
    </w:p>
    <w:p w14:paraId="3E9454C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（三）评估对象和评估范围；</w:t>
      </w:r>
    </w:p>
    <w:p w14:paraId="38227E4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（四）价值类型；</w:t>
      </w:r>
    </w:p>
    <w:p w14:paraId="5F0B303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（五）评估基准日；</w:t>
      </w:r>
    </w:p>
    <w:p w14:paraId="5FC7011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（六）资产评估项目所涉及的需要批准的经济行为的审批情况；</w:t>
      </w:r>
    </w:p>
    <w:p w14:paraId="131F503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（七）资产评估报告使用范围；</w:t>
      </w:r>
    </w:p>
    <w:p w14:paraId="78D8EC4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（八）资产评估报告提交期限及方式；</w:t>
      </w:r>
    </w:p>
    <w:p w14:paraId="628B204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（九）评估服务费及支付方式；</w:t>
      </w:r>
    </w:p>
    <w:p w14:paraId="4DD2F8E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（十）委托人、其他相关当事人与资产评估机构及其资产评估专业人员工作配合和协助等需要明确的重要事项。</w:t>
      </w:r>
    </w:p>
    <w:p w14:paraId="27482B85">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第九条</w:t>
      </w:r>
      <w:r>
        <w:rPr>
          <w:rFonts w:hint="eastAsia" w:ascii="宋体" w:hAnsi="宋体" w:eastAsia="宋体" w:cs="宋体"/>
          <w:color w:val="000000"/>
          <w:kern w:val="0"/>
          <w:sz w:val="24"/>
          <w:shd w:val="clear" w:color="auto" w:fill="FFFFFF"/>
        </w:rPr>
        <w:t>　资产评估机构应当对专业能力、独立性和业务风险进行综合分析和评价。受理资产评估业务应当满足专业能力、独立性和业务风险控制要求，否则不得受理。</w:t>
      </w:r>
    </w:p>
    <w:p w14:paraId="7E622066">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第十条</w:t>
      </w:r>
      <w:r>
        <w:rPr>
          <w:rFonts w:hint="eastAsia" w:ascii="宋体" w:hAnsi="宋体" w:eastAsia="宋体" w:cs="宋体"/>
          <w:color w:val="000000"/>
          <w:kern w:val="0"/>
          <w:sz w:val="24"/>
          <w:shd w:val="clear" w:color="auto" w:fill="FFFFFF"/>
        </w:rPr>
        <w:t>　资产评估机构受理资产评估业务应当与委托人依法订立资产评估委托合同，约定资产评估机构和委托人权利、义务、违约责任和争议解决等内容。</w:t>
      </w:r>
    </w:p>
    <w:p w14:paraId="59F6B294">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第十一条</w:t>
      </w:r>
      <w:r>
        <w:rPr>
          <w:rFonts w:hint="eastAsia" w:ascii="宋体" w:hAnsi="宋体" w:eastAsia="宋体" w:cs="宋体"/>
          <w:color w:val="000000"/>
          <w:kern w:val="0"/>
          <w:sz w:val="24"/>
          <w:shd w:val="clear" w:color="auto" w:fill="FFFFFF"/>
        </w:rPr>
        <w:t>　资产评估专业人员应当根据资产评估业务具体情况编制资产评估计划，并合理确定资产评估计划的繁简程度。资产评估计划包括资产评估业务实施的主要过程及时间进度、人员安排等。</w:t>
      </w:r>
    </w:p>
    <w:p w14:paraId="0D9C4B85">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第十二条</w:t>
      </w:r>
      <w:r>
        <w:rPr>
          <w:rFonts w:hint="eastAsia" w:ascii="宋体" w:hAnsi="宋体" w:eastAsia="宋体" w:cs="宋体"/>
          <w:color w:val="000000"/>
          <w:kern w:val="0"/>
          <w:sz w:val="24"/>
          <w:shd w:val="clear" w:color="auto" w:fill="FFFFFF"/>
        </w:rPr>
        <w:t>　执行资产评估业务，应当对评估对象进行现场调查，获取评估业务需要的资料，了解评估对象现状，关注评估对象法律权属。</w:t>
      </w:r>
    </w:p>
    <w:p w14:paraId="41A9307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现场调查手段通常包括询问、访谈、核对、监盘、勘查等。</w:t>
      </w:r>
    </w:p>
    <w:p w14:paraId="367507A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资产评估专业人员可以根据重要性原则采用逐项或者抽样的方式进行现场调查。</w:t>
      </w:r>
    </w:p>
    <w:p w14:paraId="621B1B27">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第十三条</w:t>
      </w:r>
      <w:r>
        <w:rPr>
          <w:rFonts w:hint="eastAsia" w:ascii="宋体" w:hAnsi="宋体" w:eastAsia="宋体" w:cs="宋体"/>
          <w:color w:val="000000"/>
          <w:kern w:val="0"/>
          <w:sz w:val="24"/>
          <w:shd w:val="clear" w:color="auto" w:fill="FFFFFF"/>
        </w:rPr>
        <w:t>　资产评估专业人员应当根据资产评估业务具体情况收集资产评估业务需要的资料。包括：委托人或者其他相关当事人提供的涉及评估对象和评估范围等资料；从政府部门、各类专业机构以及市场等渠道获取的其他资料。</w:t>
      </w:r>
    </w:p>
    <w:p w14:paraId="44998203">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第十四条</w:t>
      </w:r>
      <w:r>
        <w:rPr>
          <w:rFonts w:hint="eastAsia" w:ascii="宋体" w:hAnsi="宋体" w:eastAsia="宋体" w:cs="宋体"/>
          <w:color w:val="000000"/>
          <w:kern w:val="0"/>
          <w:sz w:val="24"/>
          <w:shd w:val="clear" w:color="auto" w:fill="FFFFFF"/>
        </w:rPr>
        <w:t>　资产评估专业人员应当要求委托人或者其他相关当事人提供涉及评估对象和评估范围的必要资料。</w:t>
      </w:r>
    </w:p>
    <w:p w14:paraId="5181BFD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资产评估专业人员应当要求委托人或者其他相关当事人对其提供的资产评估明细表及其他重要资料进行确认，确认方式包括签字、盖章及法律允许的其他方式。</w:t>
      </w:r>
    </w:p>
    <w:p w14:paraId="4CB44056">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第十五条</w:t>
      </w:r>
      <w:r>
        <w:rPr>
          <w:rFonts w:hint="eastAsia" w:ascii="宋体" w:hAnsi="宋体" w:eastAsia="宋体" w:cs="宋体"/>
          <w:color w:val="000000"/>
          <w:kern w:val="0"/>
          <w:sz w:val="24"/>
          <w:shd w:val="clear" w:color="auto" w:fill="FFFFFF"/>
        </w:rPr>
        <w:t>　资产评估专业人员应当依法对资产评估活动中使用的资料进行核查验证。核查验证的方式通常包括观察、询问、书面审查、实地调查、查询、函证、复核等。</w:t>
      </w:r>
    </w:p>
    <w:p w14:paraId="0357F108">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第十六条</w:t>
      </w:r>
      <w:r>
        <w:rPr>
          <w:rFonts w:hint="eastAsia" w:ascii="宋体" w:hAnsi="宋体" w:eastAsia="宋体" w:cs="宋体"/>
          <w:color w:val="000000"/>
          <w:kern w:val="0"/>
          <w:sz w:val="24"/>
          <w:shd w:val="clear" w:color="auto" w:fill="FFFFFF"/>
        </w:rPr>
        <w:t>　超出资产评估专业人员专业能力范畴的核查验证事项，资产评估机构应当委托或者要求委托人委托其他专业机构或者专家出具意见。</w:t>
      </w:r>
    </w:p>
    <w:p w14:paraId="2A16DFB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因法律法规规定、客观条件限制无法实施核查验证的事项，资产评估专业人员应当在工作底稿中予以说明，分析其对评估结论的影响程度,并在资产评估报告中予以披露。如果上述事项对评估结论产生重大影响或者无法判断其影响程度，资产评估机构不得出具资产评估报告。</w:t>
      </w:r>
    </w:p>
    <w:p w14:paraId="34DEB66B">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第十七条</w:t>
      </w:r>
      <w:r>
        <w:rPr>
          <w:rFonts w:hint="eastAsia" w:ascii="宋体" w:hAnsi="宋体" w:eastAsia="宋体" w:cs="宋体"/>
          <w:color w:val="000000"/>
          <w:kern w:val="0"/>
          <w:sz w:val="24"/>
          <w:shd w:val="clear" w:color="auto" w:fill="FFFFFF"/>
        </w:rPr>
        <w:t>　资产评估专业人员应当根据资产评估业务具体情况对收集的评估资料进行分析、归纳和整理，形成评定估算和编制资产评估报告的依据。</w:t>
      </w:r>
    </w:p>
    <w:p w14:paraId="0F098299">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第十八条</w:t>
      </w:r>
      <w:r>
        <w:rPr>
          <w:rFonts w:hint="eastAsia" w:ascii="宋体" w:hAnsi="宋体" w:eastAsia="宋体" w:cs="宋体"/>
          <w:color w:val="000000"/>
          <w:kern w:val="0"/>
          <w:sz w:val="24"/>
          <w:shd w:val="clear" w:color="auto" w:fill="FFFFFF"/>
        </w:rPr>
        <w:t>　资产评估专业人员应当根据评估目的、评估对象、价值类型、资料收集等情况，分析市场法、收益法和成本法三种资产评估基本方法的适用性，选择评估方法。</w:t>
      </w:r>
    </w:p>
    <w:p w14:paraId="25FD49D6">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第十九条</w:t>
      </w:r>
      <w:r>
        <w:rPr>
          <w:rFonts w:hint="eastAsia" w:ascii="宋体" w:hAnsi="宋体" w:eastAsia="宋体" w:cs="宋体"/>
          <w:color w:val="000000"/>
          <w:kern w:val="0"/>
          <w:sz w:val="24"/>
          <w:shd w:val="clear" w:color="auto" w:fill="FFFFFF"/>
        </w:rPr>
        <w:t>　资产评估专业人员应当根据所采用的评估方法，选取相应的公式和参数进行分析、计算和判断，形成测算结果。</w:t>
      </w:r>
    </w:p>
    <w:p w14:paraId="6A477F80">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第二十条</w:t>
      </w:r>
      <w:r>
        <w:rPr>
          <w:rFonts w:hint="eastAsia" w:ascii="宋体" w:hAnsi="宋体" w:eastAsia="宋体" w:cs="宋体"/>
          <w:color w:val="000000"/>
          <w:kern w:val="0"/>
          <w:sz w:val="24"/>
          <w:shd w:val="clear" w:color="auto" w:fill="FFFFFF"/>
        </w:rPr>
        <w:t>　资产评估专业人员执行资产评估业务，应当合理使用评估假设，并在资产评估报告中披露评估假设。</w:t>
      </w:r>
    </w:p>
    <w:p w14:paraId="781FAEFB">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第二十一条</w:t>
      </w:r>
      <w:r>
        <w:rPr>
          <w:rFonts w:hint="eastAsia" w:ascii="宋体" w:hAnsi="宋体" w:eastAsia="宋体" w:cs="宋体"/>
          <w:color w:val="000000"/>
          <w:kern w:val="0"/>
          <w:sz w:val="24"/>
          <w:shd w:val="clear" w:color="auto" w:fill="FFFFFF"/>
        </w:rPr>
        <w:t>　资产评估专业人员应当对形成的测算结果进行综合分析，形成合理评估结论。</w:t>
      </w:r>
    </w:p>
    <w:p w14:paraId="113ACD3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对同一评估对象采用多种评估方法时，应当对采用各种方法评估形成的测算结果进行分析比较，形成合理评估结论。</w:t>
      </w:r>
    </w:p>
    <w:p w14:paraId="6B06F424">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第二十二条</w:t>
      </w:r>
      <w:r>
        <w:rPr>
          <w:rFonts w:hint="eastAsia" w:ascii="宋体" w:hAnsi="宋体" w:eastAsia="宋体" w:cs="宋体"/>
          <w:color w:val="000000"/>
          <w:kern w:val="0"/>
          <w:sz w:val="24"/>
          <w:shd w:val="clear" w:color="auto" w:fill="FFFFFF"/>
        </w:rPr>
        <w:t>　资产评估专业人员应当在评定、估算形成评估结论后，编制初步资产评估报告。</w:t>
      </w:r>
    </w:p>
    <w:p w14:paraId="4DA5D6B6">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第二十三条</w:t>
      </w:r>
      <w:r>
        <w:rPr>
          <w:rFonts w:hint="eastAsia" w:ascii="宋体" w:hAnsi="宋体" w:eastAsia="宋体" w:cs="宋体"/>
          <w:color w:val="000000"/>
          <w:kern w:val="0"/>
          <w:sz w:val="24"/>
          <w:shd w:val="clear" w:color="auto" w:fill="FFFFFF"/>
        </w:rPr>
        <w:t>　资产评估机构应当按照法律、行政法规、资产评估准则和资产评估机构内部质量控制制度，对初步资产评估报告进行内部审核。</w:t>
      </w:r>
    </w:p>
    <w:p w14:paraId="512352E6">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第二十四条</w:t>
      </w:r>
      <w:r>
        <w:rPr>
          <w:rFonts w:hint="eastAsia" w:ascii="宋体" w:hAnsi="宋体" w:eastAsia="宋体" w:cs="宋体"/>
          <w:color w:val="000000"/>
          <w:kern w:val="0"/>
          <w:sz w:val="24"/>
          <w:shd w:val="clear" w:color="auto" w:fill="FFFFFF"/>
        </w:rPr>
        <w:t>　资产评估机构出具资产评估报告前，在不影响对评估结论进行独立判断的前提下，可以与委托人或者委托人同意的其他相关当事人就资产评估报告有关内容进行沟通，对沟通情况进行独立分析，并决定是否对资产评估报告进行调整。</w:t>
      </w:r>
    </w:p>
    <w:p w14:paraId="1057A308">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第二十五条</w:t>
      </w:r>
      <w:r>
        <w:rPr>
          <w:rFonts w:hint="eastAsia" w:ascii="宋体" w:hAnsi="宋体" w:eastAsia="宋体" w:cs="宋体"/>
          <w:color w:val="000000"/>
          <w:kern w:val="0"/>
          <w:sz w:val="24"/>
          <w:shd w:val="clear" w:color="auto" w:fill="FFFFFF"/>
        </w:rPr>
        <w:t>　资产评估机构及其资产评估专业人员完成上述资产评估程序后，由资产评估机构出具并提交正式资产评估报告。</w:t>
      </w:r>
    </w:p>
    <w:p w14:paraId="61FC5680">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第二十六条</w:t>
      </w:r>
      <w:r>
        <w:rPr>
          <w:rFonts w:hint="eastAsia" w:ascii="宋体" w:hAnsi="宋体" w:eastAsia="宋体" w:cs="宋体"/>
          <w:color w:val="000000"/>
          <w:kern w:val="0"/>
          <w:sz w:val="24"/>
          <w:shd w:val="clear" w:color="auto" w:fill="FFFFFF"/>
        </w:rPr>
        <w:t>　资产评估机构应当对工作底稿、资产评估报告及其他相关资料进行整理，形成资产评估档案。</w:t>
      </w:r>
    </w:p>
    <w:p w14:paraId="19994E40">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第四章　附则</w:t>
      </w:r>
    </w:p>
    <w:p w14:paraId="2126892E">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第二十七条</w:t>
      </w:r>
      <w:r>
        <w:rPr>
          <w:rFonts w:hint="eastAsia" w:ascii="宋体" w:hAnsi="宋体" w:eastAsia="宋体" w:cs="宋体"/>
          <w:color w:val="000000"/>
          <w:kern w:val="0"/>
          <w:sz w:val="24"/>
          <w:shd w:val="clear" w:color="auto" w:fill="FFFFFF"/>
        </w:rPr>
        <w:t>　本准则自2019年1月1日起施行。中国资产评估协会于2017年9月8日发布的《关于印发&lt;资产评估执业准则——资产评估程序&gt;的通知》（中评协〔2017〕31号）中的《资产评估执业准则——资产评估程序》同时废止。</w:t>
      </w:r>
    </w:p>
    <w:p w14:paraId="5C4AF22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br w:type="page"/>
      </w:r>
    </w:p>
    <w:p w14:paraId="78B45A24">
      <w:pPr>
        <w:pStyle w:val="5"/>
        <w:spacing w:line="440" w:lineRule="atLeast"/>
        <w:jc w:val="center"/>
        <w:rPr>
          <w:rFonts w:ascii="宋体" w:hAnsi="宋体" w:eastAsia="宋体" w:cs="宋体"/>
        </w:rPr>
      </w:pPr>
      <w:bookmarkStart w:id="104" w:name="_Toc31217"/>
      <w:r>
        <w:rPr>
          <w:rFonts w:hint="eastAsia" w:ascii="宋体" w:hAnsi="宋体" w:eastAsia="宋体" w:cs="宋体"/>
        </w:rPr>
        <w:t>资产评估执业准则——资产评估报告</w:t>
      </w:r>
      <w:bookmarkEnd w:id="104"/>
    </w:p>
    <w:p w14:paraId="12B8C76C">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第一章　总则</w:t>
      </w:r>
    </w:p>
    <w:p w14:paraId="3183D776">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第一条</w:t>
      </w:r>
      <w:r>
        <w:rPr>
          <w:rFonts w:hint="eastAsia" w:ascii="宋体" w:hAnsi="宋体" w:eastAsia="宋体" w:cs="宋体"/>
          <w:color w:val="000000"/>
          <w:kern w:val="0"/>
          <w:sz w:val="24"/>
          <w:shd w:val="clear" w:color="auto" w:fill="FFFFFF"/>
        </w:rPr>
        <w:t>　为规范资产评估报告编制和出具行为，保护资产评估当事人合法权益和公共利益，根据《资产评估基本准则》制定本准则。</w:t>
      </w:r>
    </w:p>
    <w:p w14:paraId="4A91B4B2">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第二条</w:t>
      </w:r>
      <w:r>
        <w:rPr>
          <w:rFonts w:hint="eastAsia" w:ascii="宋体" w:hAnsi="宋体" w:eastAsia="宋体" w:cs="宋体"/>
          <w:color w:val="000000"/>
          <w:kern w:val="0"/>
          <w:sz w:val="24"/>
          <w:shd w:val="clear" w:color="auto" w:fill="FFFFFF"/>
        </w:rPr>
        <w:t>　本准则所称资产评估报告是指资产评估机构及其资产评估专业人员遵守法律、行政法规和资产评估准则，根据委托履行必要的资产评估程序后，由资产评估机构对评估对象在评估基准日特定目的下的价值出具的专业报告。</w:t>
      </w:r>
    </w:p>
    <w:p w14:paraId="23B0A7A9">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第三条</w:t>
      </w:r>
      <w:r>
        <w:rPr>
          <w:rFonts w:hint="eastAsia" w:ascii="宋体" w:hAnsi="宋体" w:eastAsia="宋体" w:cs="宋体"/>
          <w:color w:val="000000"/>
          <w:kern w:val="0"/>
          <w:sz w:val="24"/>
          <w:shd w:val="clear" w:color="auto" w:fill="FFFFFF"/>
        </w:rPr>
        <w:t>　资产评估机构及其资产评估专业人员以“资产评估报告”名义出具书面专业报告，应当遵守本准则。</w:t>
      </w:r>
    </w:p>
    <w:p w14:paraId="77205D3C">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第二章　基本遵循</w:t>
      </w:r>
    </w:p>
    <w:p w14:paraId="2FD20A31">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第四条</w:t>
      </w:r>
      <w:r>
        <w:rPr>
          <w:rFonts w:hint="eastAsia" w:ascii="宋体" w:hAnsi="宋体" w:eastAsia="宋体" w:cs="宋体"/>
          <w:color w:val="000000"/>
          <w:kern w:val="0"/>
          <w:sz w:val="24"/>
          <w:shd w:val="clear" w:color="auto" w:fill="FFFFFF"/>
        </w:rPr>
        <w:t>　资产评估报告陈述的内容应当清晰、准确，不得有误导性的表述。</w:t>
      </w:r>
    </w:p>
    <w:p w14:paraId="17472E44">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第五条</w:t>
      </w:r>
      <w:r>
        <w:rPr>
          <w:rFonts w:hint="eastAsia" w:ascii="宋体" w:hAnsi="宋体" w:eastAsia="宋体" w:cs="宋体"/>
          <w:color w:val="000000"/>
          <w:kern w:val="0"/>
          <w:sz w:val="24"/>
          <w:shd w:val="clear" w:color="auto" w:fill="FFFFFF"/>
        </w:rPr>
        <w:t>　资产评估报告应当提供必要信息，使资产评估报告使用人能够正确理解评估结论。</w:t>
      </w:r>
    </w:p>
    <w:p w14:paraId="4430A718">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第六条</w:t>
      </w:r>
      <w:r>
        <w:rPr>
          <w:rFonts w:hint="eastAsia" w:ascii="宋体" w:hAnsi="宋体" w:eastAsia="宋体" w:cs="宋体"/>
          <w:color w:val="000000"/>
          <w:kern w:val="0"/>
          <w:sz w:val="24"/>
          <w:shd w:val="clear" w:color="auto" w:fill="FFFFFF"/>
        </w:rPr>
        <w:t>　资产评估报告的详略程度可以根据评估对象的复杂程度、委托人要求合理确定。</w:t>
      </w:r>
    </w:p>
    <w:p w14:paraId="075C925E">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第七条</w:t>
      </w:r>
      <w:r>
        <w:rPr>
          <w:rFonts w:hint="eastAsia" w:ascii="宋体" w:hAnsi="宋体" w:eastAsia="宋体" w:cs="宋体"/>
          <w:color w:val="000000"/>
          <w:kern w:val="0"/>
          <w:sz w:val="24"/>
          <w:shd w:val="clear" w:color="auto" w:fill="FFFFFF"/>
        </w:rPr>
        <w:t>　执行资产评估业务，因法律法规规定、客观条件限制，无法或者不能完全履行资产评估基本程序，经采取措施弥补程序缺失，且未对评估结论产生重大影响的，可以出具资产评估报告，但应当在资产评估报告中说明资产评估程序受限情况、处理方式及其对评估结论的影响。如果程序受限对评估结论产生重大影响或者无法判断其影响程度的，不得出具资产评估报告。</w:t>
      </w:r>
    </w:p>
    <w:p w14:paraId="7B270913">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第八条</w:t>
      </w:r>
      <w:r>
        <w:rPr>
          <w:rFonts w:hint="eastAsia" w:ascii="宋体" w:hAnsi="宋体" w:eastAsia="宋体" w:cs="宋体"/>
          <w:color w:val="000000"/>
          <w:kern w:val="0"/>
          <w:sz w:val="24"/>
          <w:shd w:val="clear" w:color="auto" w:fill="FFFFFF"/>
        </w:rPr>
        <w:t>　资产评估报告应当由至少两名承办该项业务的资产评估专业人员签名并加盖资产评估机构印章。</w:t>
      </w:r>
    </w:p>
    <w:p w14:paraId="018205B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法定资产评估业务的资产评估报告应当由至少两名承办该项业务的资产评估师签名并加盖资产评估机构印章。</w:t>
      </w:r>
    </w:p>
    <w:p w14:paraId="12CD357B">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第九条</w:t>
      </w:r>
      <w:r>
        <w:rPr>
          <w:rFonts w:hint="eastAsia" w:ascii="宋体" w:hAnsi="宋体" w:eastAsia="宋体" w:cs="宋体"/>
          <w:color w:val="000000"/>
          <w:kern w:val="0"/>
          <w:sz w:val="24"/>
          <w:shd w:val="clear" w:color="auto" w:fill="FFFFFF"/>
        </w:rPr>
        <w:t>　资产评估报告应当使用中文撰写。同时出具中外文资产评估报告的，中外文资产评估报告存在不一致的，以中文资产评估报告为准。</w:t>
      </w:r>
    </w:p>
    <w:p w14:paraId="4FC64DE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资产评估报告一般以人民币为计量币种，使用其他币种计量的，应当注明该币种在评估基准日与人民币的汇率。</w:t>
      </w:r>
    </w:p>
    <w:p w14:paraId="310F04C9">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第十条</w:t>
      </w:r>
      <w:r>
        <w:rPr>
          <w:rFonts w:hint="eastAsia" w:ascii="宋体" w:hAnsi="宋体" w:eastAsia="宋体" w:cs="宋体"/>
          <w:color w:val="000000"/>
          <w:kern w:val="0"/>
          <w:sz w:val="24"/>
          <w:shd w:val="clear" w:color="auto" w:fill="FFFFFF"/>
        </w:rPr>
        <w:t>　资产评估报告应当明确评估结论的使用有效期。通常，只有当评估基准日与经济行为实现日相距不超过一年时，才可以使用资产评估报告。</w:t>
      </w:r>
    </w:p>
    <w:p w14:paraId="387FF8A2">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第三章　资产评估报告的内容</w:t>
      </w:r>
    </w:p>
    <w:p w14:paraId="0CA79503">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第十一条</w:t>
      </w:r>
      <w:r>
        <w:rPr>
          <w:rFonts w:hint="eastAsia" w:ascii="宋体" w:hAnsi="宋体" w:eastAsia="宋体" w:cs="宋体"/>
          <w:color w:val="000000"/>
          <w:kern w:val="0"/>
          <w:sz w:val="24"/>
          <w:shd w:val="clear" w:color="auto" w:fill="FFFFFF"/>
        </w:rPr>
        <w:t>　资产评估报告的内容包括：标题及文号、目录、声明、摘要、正文、附件。</w:t>
      </w:r>
    </w:p>
    <w:p w14:paraId="0B0CF571">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第十二条</w:t>
      </w:r>
      <w:r>
        <w:rPr>
          <w:rFonts w:hint="eastAsia" w:ascii="宋体" w:hAnsi="宋体" w:eastAsia="宋体" w:cs="宋体"/>
          <w:color w:val="000000"/>
          <w:kern w:val="0"/>
          <w:sz w:val="24"/>
          <w:shd w:val="clear" w:color="auto" w:fill="FFFFFF"/>
        </w:rPr>
        <w:t>　资产评估报告的声明通常包括以下内容：</w:t>
      </w:r>
    </w:p>
    <w:p w14:paraId="0A40EAC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（一）本资产评估报告依据财政部发布的资产评估基本准则和中国资产评估协会发布的资产评估执业准则和职业道德准则编制。</w:t>
      </w:r>
    </w:p>
    <w:p w14:paraId="7DB1A92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委托人或者其他资产评估报告使用人应当按照法律、行政法规规定和资产评估报告载明的使用范围使用资产评估报告；委托人或者其他资产评估报告使用人违反前述规定使用资产评估报告的，资产评估机构及其资产评估专业人员不承担责任。</w:t>
      </w:r>
    </w:p>
    <w:p w14:paraId="76DD4C8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（三）资产评估报告仅供委托人、资产评估委托合同中约定的其他资产评估报告使用人和法律、行政法规规定的资产评估报告使用人使用；除此之外，其他任何机构和个人不能成为资产评估报告的使用人。</w:t>
      </w:r>
    </w:p>
    <w:p w14:paraId="47C6A7E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（四）资产评估报告使用人应当正确理解和使用评估结论，评估结论不等同于评估对象可实现价格，评估结论不应当被认为是对评估对象可实现价格的保证。</w:t>
      </w:r>
    </w:p>
    <w:p w14:paraId="3FD8394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（五）资产评估报告使用人应当关注评估结论成立的假设前提、资产评估报告特别事项说明和使用限制。</w:t>
      </w:r>
    </w:p>
    <w:p w14:paraId="3E4DD76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（六）资产评估机构及其资产评估专业人员遵守法律、行政法规和资产评估准则，坚持独立、客观、公正的原则，并对所出具的资产评估报告依法承担责任。</w:t>
      </w:r>
    </w:p>
    <w:p w14:paraId="00995B8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（七）其他需要声明的内容。</w:t>
      </w:r>
    </w:p>
    <w:p w14:paraId="6AE96A6E">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第十三条</w:t>
      </w:r>
      <w:r>
        <w:rPr>
          <w:rFonts w:hint="eastAsia" w:ascii="宋体" w:hAnsi="宋体" w:eastAsia="宋体" w:cs="宋体"/>
          <w:color w:val="000000"/>
          <w:kern w:val="0"/>
          <w:sz w:val="24"/>
          <w:shd w:val="clear" w:color="auto" w:fill="FFFFFF"/>
        </w:rPr>
        <w:t>　资产评估报告摘要通常提供资产评估业务的主要信息及评估结论。</w:t>
      </w:r>
    </w:p>
    <w:p w14:paraId="662F3CE8">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第十四条</w:t>
      </w:r>
      <w:r>
        <w:rPr>
          <w:rFonts w:hint="eastAsia" w:ascii="宋体" w:hAnsi="宋体" w:eastAsia="宋体" w:cs="宋体"/>
          <w:color w:val="000000"/>
          <w:kern w:val="0"/>
          <w:sz w:val="24"/>
          <w:shd w:val="clear" w:color="auto" w:fill="FFFFFF"/>
        </w:rPr>
        <w:t>　资产评估报告正文应当包括下列内容：</w:t>
      </w:r>
    </w:p>
    <w:p w14:paraId="74418A2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（一）委托人及其他资产评估报告使用人；</w:t>
      </w:r>
    </w:p>
    <w:p w14:paraId="7B2B8C1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（二）评估目的；</w:t>
      </w:r>
    </w:p>
    <w:p w14:paraId="3082644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（三）评估对象和评估范围；</w:t>
      </w:r>
    </w:p>
    <w:p w14:paraId="5B4B6AC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（四）价值类型；</w:t>
      </w:r>
    </w:p>
    <w:p w14:paraId="2622DC3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（五）评估基准日；</w:t>
      </w:r>
    </w:p>
    <w:p w14:paraId="772994E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（六）评估依据；</w:t>
      </w:r>
    </w:p>
    <w:p w14:paraId="09B1247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（七）评估方法；</w:t>
      </w:r>
    </w:p>
    <w:p w14:paraId="07AC5D8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（八）评估程序实施过程和情况；</w:t>
      </w:r>
    </w:p>
    <w:p w14:paraId="1F20132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（九）评估假设；</w:t>
      </w:r>
    </w:p>
    <w:p w14:paraId="243860F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（十）评估结论；</w:t>
      </w:r>
    </w:p>
    <w:p w14:paraId="19DDDFB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（十一）特别事项说明；</w:t>
      </w:r>
    </w:p>
    <w:p w14:paraId="6688A28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（十二）资产评估报告使用限制说明；</w:t>
      </w:r>
    </w:p>
    <w:p w14:paraId="1D14E3B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（十三）资产评估报告日；</w:t>
      </w:r>
    </w:p>
    <w:p w14:paraId="184DD96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（十四）资产评估专业人员签名和资产评估机构印章。</w:t>
      </w:r>
    </w:p>
    <w:p w14:paraId="397A8F9A">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第十五条</w:t>
      </w:r>
      <w:r>
        <w:rPr>
          <w:rFonts w:hint="eastAsia" w:ascii="宋体" w:hAnsi="宋体" w:eastAsia="宋体" w:cs="宋体"/>
          <w:color w:val="000000"/>
          <w:kern w:val="0"/>
          <w:sz w:val="24"/>
          <w:shd w:val="clear" w:color="auto" w:fill="FFFFFF"/>
        </w:rPr>
        <w:t>　资产评估报告使用人包括委托人、资产评估委托合同中约定的其他资产评估报告使用人和法律、行政法规规定的资产评估报告使用人。</w:t>
      </w:r>
    </w:p>
    <w:p w14:paraId="05FD7215">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第十六条</w:t>
      </w:r>
      <w:r>
        <w:rPr>
          <w:rFonts w:hint="eastAsia" w:ascii="宋体" w:hAnsi="宋体" w:eastAsia="宋体" w:cs="宋体"/>
          <w:color w:val="000000"/>
          <w:kern w:val="0"/>
          <w:sz w:val="24"/>
          <w:shd w:val="clear" w:color="auto" w:fill="FFFFFF"/>
        </w:rPr>
        <w:t>　资产评估报告载明的评估目的应当唯一。</w:t>
      </w:r>
    </w:p>
    <w:p w14:paraId="695C0AA0">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第十七条</w:t>
      </w:r>
      <w:r>
        <w:rPr>
          <w:rFonts w:hint="eastAsia" w:ascii="宋体" w:hAnsi="宋体" w:eastAsia="宋体" w:cs="宋体"/>
          <w:color w:val="000000"/>
          <w:kern w:val="0"/>
          <w:sz w:val="24"/>
          <w:shd w:val="clear" w:color="auto" w:fill="FFFFFF"/>
        </w:rPr>
        <w:t>　资产评估报告中应当载明评估对象和评估范围，并描述评估对象的基本情况。</w:t>
      </w:r>
    </w:p>
    <w:p w14:paraId="05D08554">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第十八条</w:t>
      </w:r>
      <w:r>
        <w:rPr>
          <w:rFonts w:hint="eastAsia" w:ascii="宋体" w:hAnsi="宋体" w:eastAsia="宋体" w:cs="宋体"/>
          <w:color w:val="000000"/>
          <w:kern w:val="0"/>
          <w:sz w:val="24"/>
          <w:shd w:val="clear" w:color="auto" w:fill="FFFFFF"/>
        </w:rPr>
        <w:t>　资产评估报告应当说明选择价值类型的理由，并明确其定义。</w:t>
      </w:r>
    </w:p>
    <w:p w14:paraId="14D9C9AE">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第十九条</w:t>
      </w:r>
      <w:r>
        <w:rPr>
          <w:rFonts w:hint="eastAsia" w:ascii="宋体" w:hAnsi="宋体" w:eastAsia="宋体" w:cs="宋体"/>
          <w:color w:val="000000"/>
          <w:kern w:val="0"/>
          <w:sz w:val="24"/>
          <w:shd w:val="clear" w:color="auto" w:fill="FFFFFF"/>
        </w:rPr>
        <w:t>　资产评估报告载明的评估基准日应当与资产评估委托合同约定的评估基准日保持一致，可以是过去、现在或者未来的时点。</w:t>
      </w:r>
    </w:p>
    <w:p w14:paraId="375631DA">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第二十条</w:t>
      </w:r>
      <w:r>
        <w:rPr>
          <w:rFonts w:hint="eastAsia" w:ascii="宋体" w:hAnsi="宋体" w:eastAsia="宋体" w:cs="宋体"/>
          <w:color w:val="000000"/>
          <w:kern w:val="0"/>
          <w:sz w:val="24"/>
          <w:shd w:val="clear" w:color="auto" w:fill="FFFFFF"/>
        </w:rPr>
        <w:t>　资产评估报告应当说明资产评估采用的法律法规依据、准则依据、权属依据及取价依据等。</w:t>
      </w:r>
    </w:p>
    <w:p w14:paraId="281C6504">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第二十一条</w:t>
      </w:r>
      <w:r>
        <w:rPr>
          <w:rFonts w:hint="eastAsia" w:ascii="宋体" w:hAnsi="宋体" w:eastAsia="宋体" w:cs="宋体"/>
          <w:color w:val="000000"/>
          <w:kern w:val="0"/>
          <w:sz w:val="24"/>
          <w:shd w:val="clear" w:color="auto" w:fill="FFFFFF"/>
        </w:rPr>
        <w:t>　资产评估报告应当说明所选用的评估方法及其理由，因适用性受限或者操作条件受限等原因而选择一种评估方法的，应当在资产评估报告中披露并说明原因。</w:t>
      </w:r>
    </w:p>
    <w:p w14:paraId="396872DE">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第二十二条</w:t>
      </w:r>
      <w:r>
        <w:rPr>
          <w:rFonts w:hint="eastAsia" w:ascii="宋体" w:hAnsi="宋体" w:eastAsia="宋体" w:cs="宋体"/>
          <w:color w:val="000000"/>
          <w:kern w:val="0"/>
          <w:sz w:val="24"/>
          <w:shd w:val="clear" w:color="auto" w:fill="FFFFFF"/>
        </w:rPr>
        <w:t>　资产评估报告应当说明资产评估程序实施过程中现场调查、收集整理评估资料、评定估算等主要内容。</w:t>
      </w:r>
    </w:p>
    <w:p w14:paraId="1259E63D">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第二十三条</w:t>
      </w:r>
      <w:r>
        <w:rPr>
          <w:rFonts w:hint="eastAsia" w:ascii="宋体" w:hAnsi="宋体" w:eastAsia="宋体" w:cs="宋体"/>
          <w:color w:val="000000"/>
          <w:kern w:val="0"/>
          <w:sz w:val="24"/>
          <w:shd w:val="clear" w:color="auto" w:fill="FFFFFF"/>
        </w:rPr>
        <w:t>　资产评估报告应当披露所使用的资产评估假设。</w:t>
      </w:r>
    </w:p>
    <w:p w14:paraId="70D26C9D">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第二十四条</w:t>
      </w:r>
      <w:r>
        <w:rPr>
          <w:rFonts w:hint="eastAsia" w:ascii="宋体" w:hAnsi="宋体" w:eastAsia="宋体" w:cs="宋体"/>
          <w:color w:val="000000"/>
          <w:kern w:val="0"/>
          <w:sz w:val="24"/>
          <w:shd w:val="clear" w:color="auto" w:fill="FFFFFF"/>
        </w:rPr>
        <w:t>　资产评估报告应当以文字和数字形式表述评估结论，并明确评估结论的使用有效期。</w:t>
      </w:r>
    </w:p>
    <w:p w14:paraId="592D481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评估结论通常是确定的数值。经与委托人沟通，评估结论可以是区间值或者其他形式的专业意见。</w:t>
      </w:r>
    </w:p>
    <w:p w14:paraId="012A15A4">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第二十五条</w:t>
      </w:r>
      <w:r>
        <w:rPr>
          <w:rFonts w:hint="eastAsia" w:ascii="宋体" w:hAnsi="宋体" w:eastAsia="宋体" w:cs="宋体"/>
          <w:color w:val="000000"/>
          <w:kern w:val="0"/>
          <w:sz w:val="24"/>
          <w:shd w:val="clear" w:color="auto" w:fill="FFFFFF"/>
        </w:rPr>
        <w:t>　资产评估报告的特别事项说明包括：</w:t>
      </w:r>
    </w:p>
    <w:p w14:paraId="0669C7B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（一）权属等主要资料不完整或者存在瑕疵的情形；</w:t>
      </w:r>
    </w:p>
    <w:p w14:paraId="0E74024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（二）委托人未提供的其他关键资料情况；</w:t>
      </w:r>
    </w:p>
    <w:p w14:paraId="03892D6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（三）未决事项、法律纠纷等不确定因素；</w:t>
      </w:r>
    </w:p>
    <w:p w14:paraId="507D98D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（四）重要的利用专家工作及相关报告情况；</w:t>
      </w:r>
    </w:p>
    <w:p w14:paraId="45BED71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（五）重大期后事项；</w:t>
      </w:r>
    </w:p>
    <w:p w14:paraId="41678A4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（六）评估程序受限的有关情况、评估机构采取的弥补措施及对评估结论影响的情况；</w:t>
      </w:r>
    </w:p>
    <w:p w14:paraId="56F049C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（七）其他需要说明的事项。</w:t>
      </w:r>
    </w:p>
    <w:p w14:paraId="7E9899B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资产评估报告应当重点提示资产评估报告使用人对特别事项予以关注。</w:t>
      </w:r>
    </w:p>
    <w:p w14:paraId="1B216C5C">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第二十六条</w:t>
      </w:r>
      <w:r>
        <w:rPr>
          <w:rFonts w:hint="eastAsia" w:ascii="宋体" w:hAnsi="宋体" w:eastAsia="宋体" w:cs="宋体"/>
          <w:color w:val="000000"/>
          <w:kern w:val="0"/>
          <w:sz w:val="24"/>
          <w:shd w:val="clear" w:color="auto" w:fill="FFFFFF"/>
        </w:rPr>
        <w:t>　资产评估报告的使用限制说明应当载明：</w:t>
      </w:r>
    </w:p>
    <w:p w14:paraId="42A4E53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（一）使用范围；</w:t>
      </w:r>
    </w:p>
    <w:p w14:paraId="48C55AD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（二）委托人或者其他资产评估报告使用人未按照法律、行政法规规定和资产评估报告载明的使用范围使用资产评估报告的，资产评估机构及其资产评估专业人员不承担责任；</w:t>
      </w:r>
    </w:p>
    <w:p w14:paraId="4C91876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（三）除委托人、资产评估委托合同中约定的其他资产评估报告使用人和法律、行政法规规定的资产评估报告使用人之外，其他任何机构和个人不能成为资产评估报告的使用人；</w:t>
      </w:r>
    </w:p>
    <w:p w14:paraId="64362C0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（四）资产评估报告使用人应当正确理解和使用评估结论。评估结论不等同于评估对象可实现价格，评估结论不应当被认为是对评估对象可实现价格的保证。</w:t>
      </w:r>
    </w:p>
    <w:p w14:paraId="5EE40E54">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第二十七条</w:t>
      </w:r>
      <w:r>
        <w:rPr>
          <w:rFonts w:hint="eastAsia" w:ascii="宋体" w:hAnsi="宋体" w:eastAsia="宋体" w:cs="宋体"/>
          <w:color w:val="000000"/>
          <w:kern w:val="0"/>
          <w:sz w:val="24"/>
          <w:shd w:val="clear" w:color="auto" w:fill="FFFFFF"/>
        </w:rPr>
        <w:t>　资产评估报告载明的资产评估报告日通常为评估结论形成的日期，可以不同于资产评估报告的签署日。</w:t>
      </w:r>
    </w:p>
    <w:p w14:paraId="19CE2AF8">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第二十八条</w:t>
      </w:r>
      <w:r>
        <w:rPr>
          <w:rFonts w:hint="eastAsia" w:ascii="宋体" w:hAnsi="宋体" w:eastAsia="宋体" w:cs="宋体"/>
          <w:color w:val="000000"/>
          <w:kern w:val="0"/>
          <w:sz w:val="24"/>
          <w:shd w:val="clear" w:color="auto" w:fill="FFFFFF"/>
        </w:rPr>
        <w:t>　资产评估报告附件通常包括：</w:t>
      </w:r>
    </w:p>
    <w:p w14:paraId="38ED5F8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（一）评估对象所涉及的主要权属证明资料；</w:t>
      </w:r>
    </w:p>
    <w:p w14:paraId="6C64CA6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（二）委托人和其他相关当事人的承诺函；</w:t>
      </w:r>
    </w:p>
    <w:p w14:paraId="18027B5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（三）资产评估机构及签名资产评估专业人员的备案文件或者资格证明文件；</w:t>
      </w:r>
    </w:p>
    <w:p w14:paraId="3BC928B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（四）资产评估汇总表或者明细表；</w:t>
      </w:r>
    </w:p>
    <w:p w14:paraId="47E6FE4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（五）资产账面价值与评估结论存在较大差异的说明。</w:t>
      </w:r>
    </w:p>
    <w:p w14:paraId="0FAD21C4">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第四章　附则</w:t>
      </w:r>
    </w:p>
    <w:p w14:paraId="72312736">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第二十九条</w:t>
      </w:r>
      <w:r>
        <w:rPr>
          <w:rFonts w:hint="eastAsia" w:ascii="宋体" w:hAnsi="宋体" w:eastAsia="宋体" w:cs="宋体"/>
          <w:color w:val="000000"/>
          <w:kern w:val="0"/>
          <w:sz w:val="24"/>
          <w:shd w:val="clear" w:color="auto" w:fill="FFFFFF"/>
        </w:rPr>
        <w:t>　本准则自2019年1月1日起施行。中国资产评估协会于2017年9月8日发布的《关于印发&lt;资产评估执业准则——资产评估报告&gt;的通知》（中评协〔2017〕32号）中的《资产评估执业准则——资产评估报告》同时废止。</w:t>
      </w:r>
    </w:p>
    <w:p w14:paraId="3CC85D0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附：1.资产评估报告封面参考样式</w:t>
      </w:r>
    </w:p>
    <w:p w14:paraId="436FEA2D">
      <w:pPr>
        <w:shd w:val="clear" w:color="auto" w:fill="FFFFFF"/>
        <w:spacing w:line="440" w:lineRule="atLeast"/>
        <w:ind w:firstLine="960" w:firstLineChars="4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2.资产评估报告封面参考样式说明</w:t>
      </w:r>
    </w:p>
    <w:p w14:paraId="02FADA53">
      <w:pPr>
        <w:shd w:val="clear" w:color="auto" w:fill="FFFFFF"/>
        <w:spacing w:line="440" w:lineRule="atLeast"/>
        <w:ind w:firstLine="960" w:firstLineChars="4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3.资产评估报告声明参考样式</w:t>
      </w:r>
    </w:p>
    <w:p w14:paraId="0F7D2029">
      <w:pPr>
        <w:spacing w:line="440" w:lineRule="atLeast"/>
        <w:ind w:firstLine="480" w:firstLineChars="200"/>
        <w:rPr>
          <w:rFonts w:ascii="仿宋_GB2312" w:hAnsi="Calibri" w:eastAsia="仿宋_GB2312"/>
          <w:sz w:val="24"/>
        </w:rPr>
      </w:pPr>
    </w:p>
    <w:p w14:paraId="2668E898">
      <w:pPr>
        <w:spacing w:line="440" w:lineRule="atLeast"/>
        <w:rPr>
          <w:rFonts w:ascii="仿宋_GB2312" w:hAnsi="Calibri" w:eastAsia="仿宋_GB2312"/>
          <w:sz w:val="32"/>
        </w:rPr>
      </w:pPr>
    </w:p>
    <w:p w14:paraId="66E7BDE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附1</w:t>
      </w:r>
    </w:p>
    <w:p w14:paraId="3C8CA4D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本报告依据中国资产评估准则编制</w:t>
      </w:r>
    </w:p>
    <w:p w14:paraId="7C1451AE">
      <w:pPr>
        <w:spacing w:line="440" w:lineRule="atLeast"/>
        <w:ind w:firstLine="480" w:firstLineChars="200"/>
        <w:rPr>
          <w:rFonts w:ascii="仿宋_GB2312" w:hAnsi="Calibri" w:eastAsia="仿宋_GB2312"/>
          <w:sz w:val="24"/>
        </w:rPr>
      </w:pPr>
      <w:r>
        <w:rPr>
          <w:rFonts w:hint="eastAsia" w:ascii="仿宋_GB2312" w:hAnsi="Calibri" w:eastAsia="仿宋_GB2312"/>
          <w:sz w:val="24"/>
        </w:rPr>
        <mc:AlternateContent>
          <mc:Choice Requires="wps">
            <w:drawing>
              <wp:anchor distT="0" distB="0" distL="114300" distR="114300" simplePos="0" relativeHeight="251662336" behindDoc="0" locked="0" layoutInCell="1" allowOverlap="1">
                <wp:simplePos x="0" y="0"/>
                <wp:positionH relativeFrom="column">
                  <wp:posOffset>300355</wp:posOffset>
                </wp:positionH>
                <wp:positionV relativeFrom="paragraph">
                  <wp:posOffset>368300</wp:posOffset>
                </wp:positionV>
                <wp:extent cx="4709795" cy="1972945"/>
                <wp:effectExtent l="4445" t="4445" r="10160" b="22860"/>
                <wp:wrapNone/>
                <wp:docPr id="3" name="文本框 3"/>
                <wp:cNvGraphicFramePr/>
                <a:graphic xmlns:a="http://schemas.openxmlformats.org/drawingml/2006/main">
                  <a:graphicData uri="http://schemas.microsoft.com/office/word/2010/wordprocessingShape">
                    <wps:wsp>
                      <wps:cNvSpPr txBox="1">
                        <a:spLocks noChangeArrowheads="1"/>
                      </wps:cNvSpPr>
                      <wps:spPr bwMode="auto">
                        <a:xfrm>
                          <a:off x="0" y="0"/>
                          <a:ext cx="4019550" cy="1972945"/>
                        </a:xfrm>
                        <a:prstGeom prst="rect">
                          <a:avLst/>
                        </a:prstGeom>
                        <a:noFill/>
                        <a:ln w="9525">
                          <a:solidFill>
                            <a:srgbClr val="FFFFFF"/>
                          </a:solidFill>
                          <a:miter lim="800000"/>
                        </a:ln>
                        <a:effectLst/>
                      </wps:spPr>
                      <wps:txbx>
                        <w:txbxContent>
                          <w:p w14:paraId="0863EB37">
                            <w:pPr>
                              <w:spacing w:before="156" w:beforeLines="50" w:line="360" w:lineRule="auto"/>
                              <w:jc w:val="center"/>
                              <w:rPr>
                                <w:rFonts w:ascii="仿宋_GB2312" w:eastAsia="仿宋_GB2312" w:hAnsiTheme="minorEastAsia"/>
                                <w:sz w:val="24"/>
                              </w:rPr>
                            </w:pPr>
                            <w:r>
                              <w:rPr>
                                <w:rFonts w:ascii="仿宋_GB2312" w:eastAsia="仿宋_GB2312" w:hAnsiTheme="minorEastAsia"/>
                                <w:sz w:val="24"/>
                              </w:rPr>
                              <w:t>A公司拟XX涉及的B有限公司YY</w:t>
                            </w:r>
                          </w:p>
                          <w:p w14:paraId="22915CAB">
                            <w:pPr>
                              <w:spacing w:before="156" w:beforeLines="50" w:line="360" w:lineRule="auto"/>
                              <w:jc w:val="center"/>
                              <w:rPr>
                                <w:rFonts w:ascii="仿宋_GB2312" w:eastAsia="仿宋_GB2312" w:hAnsiTheme="minorEastAsia"/>
                                <w:sz w:val="24"/>
                              </w:rPr>
                            </w:pPr>
                            <w:r>
                              <w:rPr>
                                <w:rFonts w:ascii="仿宋_GB2312" w:eastAsia="仿宋_GB2312" w:hAnsiTheme="minorEastAsia"/>
                                <w:sz w:val="24"/>
                              </w:rPr>
                              <w:t>资产评估</w:t>
                            </w:r>
                            <w:r>
                              <w:rPr>
                                <w:rFonts w:hint="eastAsia" w:ascii="仿宋_GB2312" w:eastAsia="仿宋_GB2312" w:hAnsiTheme="minorEastAsia"/>
                                <w:sz w:val="24"/>
                              </w:rPr>
                              <w:t>报告</w:t>
                            </w:r>
                          </w:p>
                          <w:p w14:paraId="5A0632C3">
                            <w:pPr>
                              <w:spacing w:before="156" w:beforeLines="50" w:line="360" w:lineRule="auto"/>
                              <w:jc w:val="center"/>
                              <w:rPr>
                                <w:rFonts w:ascii="仿宋_GB2312" w:eastAsia="仿宋_GB2312" w:hAnsiTheme="minorEastAsia"/>
                                <w:sz w:val="24"/>
                              </w:rPr>
                            </w:pPr>
                            <w:r>
                              <w:rPr>
                                <w:rFonts w:ascii="仿宋_GB2312" w:eastAsia="仿宋_GB2312" w:hAnsiTheme="minorEastAsia"/>
                                <w:sz w:val="24"/>
                              </w:rPr>
                              <w:t>XX评报字（201X）第XXXX号</w:t>
                            </w:r>
                          </w:p>
                          <w:p w14:paraId="12BB21D0">
                            <w:pPr>
                              <w:spacing w:after="156" w:afterLines="50" w:line="360" w:lineRule="auto"/>
                              <w:jc w:val="center"/>
                            </w:pPr>
                            <w:r>
                              <w:rPr>
                                <w:rFonts w:ascii="仿宋_GB2312" w:eastAsia="仿宋_GB2312" w:hAnsiTheme="minorEastAsia"/>
                                <w:sz w:val="24"/>
                              </w:rPr>
                              <w:t>（</w:t>
                            </w:r>
                            <w:r>
                              <w:rPr>
                                <w:rFonts w:hint="eastAsia" w:ascii="仿宋_GB2312" w:eastAsia="仿宋_GB2312" w:hAnsiTheme="minorEastAsia"/>
                                <w:sz w:val="24"/>
                              </w:rPr>
                              <w:t>共</w:t>
                            </w:r>
                            <w:r>
                              <w:rPr>
                                <w:rFonts w:ascii="仿宋_GB2312" w:eastAsia="仿宋_GB2312" w:hAnsiTheme="minorEastAsia"/>
                                <w:sz w:val="24"/>
                              </w:rPr>
                              <w:t>X册，第</w:t>
                            </w:r>
                            <w:r>
                              <w:rPr>
                                <w:rFonts w:hint="eastAsia" w:ascii="仿宋_GB2312" w:eastAsia="仿宋_GB2312" w:hAnsiTheme="minorEastAsia"/>
                                <w:sz w:val="24"/>
                              </w:rPr>
                              <w:t>1册</w:t>
                            </w:r>
                            <w:r>
                              <w:rPr>
                                <w:rFonts w:ascii="仿宋_GB2312" w:eastAsia="仿宋_GB2312" w:hAnsiTheme="minorEastAsia"/>
                                <w:sz w:val="24"/>
                              </w:rPr>
                              <w:t>）</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3.65pt;margin-top:29pt;height:155.35pt;width:370.85pt;z-index:251662336;mso-width-relative:page;mso-height-relative:page;" filled="f" stroked="t" coordsize="21600,21600" o:gfxdata="UEsDBAoAAAAAAIdO4kAAAAAAAAAAAAAAAAAEAAAAZHJzL1BLAwQUAAAACACHTuJAEFJkwtkAAAAJ&#10;AQAADwAAAGRycy9kb3ducmV2LnhtbE2PwU7DMBBE70j8g7VIXCrqlJbEhDg9IHHgUKClH+DGJg7Y&#10;6yh2kvL3LCe47WhGs2+q7dk7NpkhdgElrJYZMINN0B22Eo7vTzcCWEwKtXIBjYRvE2FbX15UqtRh&#10;xr2ZDqllVIKxVBJsSn3JeWys8SouQ2+QvI8weJVIDi3Xg5qp3Dt+m2U596pD+mBVbx6tab4Oo5ew&#10;f7ZvC9zsdk7zKf88voyvs1hIeX21yh6AJXNOf2H4xSd0qInpFEbUkTkJm2JNSQl3giaRX4h7Ok4S&#10;1rkogNcV/7+g/gFQSwMEFAAAAAgAh07iQJD09VpHAgAAbQQAAA4AAABkcnMvZTJvRG9jLnhtbK1U&#10;zW7bMAy+D9g7CLqvTtJkbYw6Rdeiw4DuB+j2AIosx8IkUaOU2N0DbG+w0y6777nyHKNktwu6Sw/z&#10;QSBF6iP5kfTZeW8N2ykMGlzFp0cTzpSTUGu3qfinj9cvTjkLUbhaGHCq4ncq8PPV82dnnS/VDFow&#10;tUJGIC6Una94G6MviyLIVlkRjsArR8YG0IpIKm6KGkVH6NYUs8nkZdEB1h5BqhDo9mow8hERnwII&#10;TaOlugK5tcrFARWVEZFKCq32ga9ytk2jZHzfNEFFZipOlcZ8UhCS1+ksVmei3KDwrZZjCuIpKTyq&#10;yQrtKOgD1JWIgm1R/wNltUQI0MQjCbYYCsmMUBXTySNublvhVa6FqA7+gfTw/2Dlu90HZLqu+DFn&#10;Tlhq+P7H9/3P3/tf39hxoqfzoSSvW09+sX8FPQ1NLjX4G5CfA3Nw2Qq3UReI0LVK1JTeNL0sDp4O&#10;OCGBrLu3UFMcsY2QgfoGbeKO2GCETq25e2iN6iOTdDmfTJeLBZkk2abLk9lyvsgxRHn/3GOIrxVY&#10;loSKI/U+w4vdTYgpHVHeu6RoDq61Mbn/xrGu4svFbDEUBkbXyZjcAm7WlwbZTtAEXedvjBsO3ayO&#10;tBVG24qfTtI3OhmXQFSexDGNxEoiYqAk9ut+ZHkN9R3xgzBMKe0oCS3gV846mtCKhy9bgYoz88YR&#10;x8vpfJ5GOivzxcmMFDy0rA8twkmCqnjkbBAv47AGW49601KkoasOLqgvjc6MpVSHrMZu0hRmIseN&#10;SWN+qGevv3+J1R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QUmTC2QAAAAkBAAAPAAAAAAAAAAEA&#10;IAAAACIAAABkcnMvZG93bnJldi54bWxQSwECFAAUAAAACACHTuJAkPT1WkcCAABtBAAADgAAAAAA&#10;AAABACAAAAAoAQAAZHJzL2Uyb0RvYy54bWxQSwUGAAAAAAYABgBZAQAA4QUAAAAA&#10;">
                <v:fill on="f" focussize="0,0"/>
                <v:stroke color="#FFFFFF" miterlimit="8" joinstyle="miter"/>
                <v:imagedata o:title=""/>
                <o:lock v:ext="edit" aspectratio="f"/>
                <v:textbox>
                  <w:txbxContent>
                    <w:p w14:paraId="0863EB37">
                      <w:pPr>
                        <w:spacing w:before="156" w:beforeLines="50" w:line="360" w:lineRule="auto"/>
                        <w:jc w:val="center"/>
                        <w:rPr>
                          <w:rFonts w:ascii="仿宋_GB2312" w:eastAsia="仿宋_GB2312" w:hAnsiTheme="minorEastAsia"/>
                          <w:sz w:val="24"/>
                        </w:rPr>
                      </w:pPr>
                      <w:r>
                        <w:rPr>
                          <w:rFonts w:ascii="仿宋_GB2312" w:eastAsia="仿宋_GB2312" w:hAnsiTheme="minorEastAsia"/>
                          <w:sz w:val="24"/>
                        </w:rPr>
                        <w:t>A公司拟XX涉及的B有限公司YY</w:t>
                      </w:r>
                    </w:p>
                    <w:p w14:paraId="22915CAB">
                      <w:pPr>
                        <w:spacing w:before="156" w:beforeLines="50" w:line="360" w:lineRule="auto"/>
                        <w:jc w:val="center"/>
                        <w:rPr>
                          <w:rFonts w:ascii="仿宋_GB2312" w:eastAsia="仿宋_GB2312" w:hAnsiTheme="minorEastAsia"/>
                          <w:sz w:val="24"/>
                        </w:rPr>
                      </w:pPr>
                      <w:r>
                        <w:rPr>
                          <w:rFonts w:ascii="仿宋_GB2312" w:eastAsia="仿宋_GB2312" w:hAnsiTheme="minorEastAsia"/>
                          <w:sz w:val="24"/>
                        </w:rPr>
                        <w:t>资产评估</w:t>
                      </w:r>
                      <w:r>
                        <w:rPr>
                          <w:rFonts w:hint="eastAsia" w:ascii="仿宋_GB2312" w:eastAsia="仿宋_GB2312" w:hAnsiTheme="minorEastAsia"/>
                          <w:sz w:val="24"/>
                        </w:rPr>
                        <w:t>报告</w:t>
                      </w:r>
                    </w:p>
                    <w:p w14:paraId="5A0632C3">
                      <w:pPr>
                        <w:spacing w:before="156" w:beforeLines="50" w:line="360" w:lineRule="auto"/>
                        <w:jc w:val="center"/>
                        <w:rPr>
                          <w:rFonts w:ascii="仿宋_GB2312" w:eastAsia="仿宋_GB2312" w:hAnsiTheme="minorEastAsia"/>
                          <w:sz w:val="24"/>
                        </w:rPr>
                      </w:pPr>
                      <w:r>
                        <w:rPr>
                          <w:rFonts w:ascii="仿宋_GB2312" w:eastAsia="仿宋_GB2312" w:hAnsiTheme="minorEastAsia"/>
                          <w:sz w:val="24"/>
                        </w:rPr>
                        <w:t>XX评报字（201X）第XXXX号</w:t>
                      </w:r>
                    </w:p>
                    <w:p w14:paraId="12BB21D0">
                      <w:pPr>
                        <w:spacing w:after="156" w:afterLines="50" w:line="360" w:lineRule="auto"/>
                        <w:jc w:val="center"/>
                      </w:pPr>
                      <w:r>
                        <w:rPr>
                          <w:rFonts w:ascii="仿宋_GB2312" w:eastAsia="仿宋_GB2312" w:hAnsiTheme="minorEastAsia"/>
                          <w:sz w:val="24"/>
                        </w:rPr>
                        <w:t>（</w:t>
                      </w:r>
                      <w:r>
                        <w:rPr>
                          <w:rFonts w:hint="eastAsia" w:ascii="仿宋_GB2312" w:eastAsia="仿宋_GB2312" w:hAnsiTheme="minorEastAsia"/>
                          <w:sz w:val="24"/>
                        </w:rPr>
                        <w:t>共</w:t>
                      </w:r>
                      <w:r>
                        <w:rPr>
                          <w:rFonts w:ascii="仿宋_GB2312" w:eastAsia="仿宋_GB2312" w:hAnsiTheme="minorEastAsia"/>
                          <w:sz w:val="24"/>
                        </w:rPr>
                        <w:t>X册，第</w:t>
                      </w:r>
                      <w:r>
                        <w:rPr>
                          <w:rFonts w:hint="eastAsia" w:ascii="仿宋_GB2312" w:eastAsia="仿宋_GB2312" w:hAnsiTheme="minorEastAsia"/>
                          <w:sz w:val="24"/>
                        </w:rPr>
                        <w:t>1册</w:t>
                      </w:r>
                      <w:r>
                        <w:rPr>
                          <w:rFonts w:ascii="仿宋_GB2312" w:eastAsia="仿宋_GB2312" w:hAnsiTheme="minorEastAsia"/>
                          <w:sz w:val="24"/>
                        </w:rPr>
                        <w:t>）</w:t>
                      </w:r>
                    </w:p>
                  </w:txbxContent>
                </v:textbox>
              </v:shape>
            </w:pict>
          </mc:Fallback>
        </mc:AlternateContent>
      </w:r>
    </w:p>
    <w:p w14:paraId="40789370">
      <w:pPr>
        <w:spacing w:line="440" w:lineRule="atLeast"/>
        <w:ind w:firstLine="480" w:firstLineChars="200"/>
        <w:rPr>
          <w:rFonts w:ascii="仿宋_GB2312" w:hAnsi="Calibri" w:eastAsia="仿宋_GB2312"/>
          <w:sz w:val="24"/>
        </w:rPr>
      </w:pPr>
    </w:p>
    <w:p w14:paraId="4A0C4F5E">
      <w:pPr>
        <w:spacing w:line="440" w:lineRule="atLeast"/>
        <w:ind w:firstLine="480" w:firstLineChars="200"/>
        <w:rPr>
          <w:rFonts w:ascii="仿宋_GB2312" w:hAnsi="Calibri" w:eastAsia="仿宋_GB2312"/>
          <w:sz w:val="24"/>
        </w:rPr>
      </w:pPr>
    </w:p>
    <w:p w14:paraId="1963B061">
      <w:pPr>
        <w:spacing w:line="440" w:lineRule="atLeast"/>
        <w:ind w:firstLine="480" w:firstLineChars="200"/>
        <w:rPr>
          <w:rFonts w:ascii="仿宋_GB2312" w:hAnsi="Calibri" w:eastAsia="仿宋_GB2312"/>
          <w:sz w:val="24"/>
        </w:rPr>
      </w:pPr>
    </w:p>
    <w:p w14:paraId="7955A0A6">
      <w:pPr>
        <w:spacing w:line="440" w:lineRule="atLeast"/>
        <w:ind w:firstLine="480" w:firstLineChars="200"/>
        <w:rPr>
          <w:rFonts w:ascii="仿宋_GB2312" w:hAnsi="Calibri" w:eastAsia="仿宋_GB2312"/>
          <w:sz w:val="24"/>
        </w:rPr>
      </w:pPr>
    </w:p>
    <w:p w14:paraId="46448E5D">
      <w:pPr>
        <w:spacing w:line="440" w:lineRule="atLeast"/>
        <w:ind w:firstLine="480" w:firstLineChars="200"/>
        <w:rPr>
          <w:rFonts w:ascii="仿宋_GB2312" w:hAnsi="Calibri" w:eastAsia="仿宋_GB2312"/>
          <w:sz w:val="24"/>
        </w:rPr>
      </w:pPr>
    </w:p>
    <w:p w14:paraId="4C5CEC2D">
      <w:pPr>
        <w:spacing w:line="440" w:lineRule="atLeast"/>
        <w:jc w:val="left"/>
        <w:rPr>
          <w:rFonts w:ascii="仿宋_GB2312" w:eastAsia="仿宋_GB2312"/>
          <w:bCs/>
          <w:color w:val="FF6600"/>
          <w:spacing w:val="30"/>
          <w:sz w:val="32"/>
          <w:szCs w:val="32"/>
        </w:rPr>
      </w:pPr>
    </w:p>
    <w:p w14:paraId="1B9876A8">
      <w:pPr>
        <w:spacing w:line="440" w:lineRule="atLeast"/>
        <w:jc w:val="left"/>
        <w:rPr>
          <w:rFonts w:ascii="仿宋_GB2312" w:eastAsia="仿宋_GB2312"/>
          <w:bCs/>
          <w:sz w:val="32"/>
          <w:szCs w:val="32"/>
        </w:rPr>
      </w:pPr>
    </w:p>
    <w:p w14:paraId="6C80F196">
      <w:pPr>
        <w:spacing w:line="440" w:lineRule="atLeast"/>
        <w:jc w:val="left"/>
        <w:rPr>
          <w:rFonts w:ascii="仿宋_GB2312" w:eastAsia="仿宋_GB2312"/>
          <w:bCs/>
          <w:sz w:val="32"/>
          <w:szCs w:val="32"/>
        </w:rPr>
      </w:pPr>
    </w:p>
    <w:p w14:paraId="673D19DC">
      <w:pPr>
        <w:spacing w:line="440" w:lineRule="atLeast"/>
        <w:jc w:val="left"/>
        <w:rPr>
          <w:rFonts w:ascii="仿宋_GB2312" w:eastAsia="仿宋_GB2312"/>
          <w:bCs/>
          <w:sz w:val="32"/>
          <w:szCs w:val="32"/>
        </w:rPr>
      </w:pPr>
    </w:p>
    <w:p w14:paraId="6C7296CA">
      <w:pPr>
        <w:spacing w:line="440" w:lineRule="atLeast"/>
        <w:jc w:val="left"/>
        <w:rPr>
          <w:rFonts w:ascii="仿宋_GB2312" w:eastAsia="仿宋_GB2312"/>
          <w:bCs/>
          <w:sz w:val="32"/>
          <w:szCs w:val="32"/>
        </w:rPr>
      </w:pPr>
    </w:p>
    <w:p w14:paraId="3E1C4CFF">
      <w:pPr>
        <w:spacing w:line="440" w:lineRule="atLeast"/>
        <w:jc w:val="center"/>
        <w:rPr>
          <w:rFonts w:ascii="仿宋_GB2312" w:eastAsia="仿宋_GB2312"/>
          <w:bCs/>
          <w:sz w:val="32"/>
          <w:szCs w:val="32"/>
        </w:rPr>
      </w:pPr>
    </w:p>
    <w:p w14:paraId="626BE5B7">
      <w:pPr>
        <w:spacing w:line="440" w:lineRule="atLeast"/>
        <w:jc w:val="center"/>
        <w:rPr>
          <w:rFonts w:ascii="仿宋_GB2312" w:hAnsi="仿宋" w:eastAsia="仿宋_GB2312"/>
          <w:sz w:val="24"/>
          <w:szCs w:val="21"/>
        </w:rPr>
      </w:pPr>
      <w:r>
        <w:rPr>
          <w:rFonts w:hint="eastAsia" w:ascii="仿宋_GB2312" w:eastAsia="仿宋_GB2312" w:hAnsiTheme="minorEastAsia"/>
          <w:sz w:val="24"/>
        </w:rPr>
        <w:t>XXXX</w:t>
      </w:r>
      <w:r>
        <w:rPr>
          <w:rFonts w:hint="eastAsia" w:ascii="仿宋_GB2312" w:hAnsi="仿宋" w:eastAsia="仿宋_GB2312"/>
          <w:sz w:val="24"/>
          <w:szCs w:val="21"/>
        </w:rPr>
        <w:t>资产评估</w:t>
      </w:r>
      <w:r>
        <w:rPr>
          <w:rFonts w:hint="eastAsia" w:ascii="仿宋_GB2312" w:eastAsia="仿宋_GB2312" w:hAnsiTheme="minorEastAsia"/>
          <w:sz w:val="24"/>
        </w:rPr>
        <w:t>有限公司</w:t>
      </w:r>
    </w:p>
    <w:p w14:paraId="68C27D9A">
      <w:pPr>
        <w:spacing w:line="440" w:lineRule="atLeast"/>
        <w:jc w:val="center"/>
        <w:rPr>
          <w:rFonts w:ascii="仿宋_GB2312" w:hAnsi="仿宋" w:eastAsia="仿宋_GB2312"/>
          <w:sz w:val="24"/>
          <w:szCs w:val="21"/>
        </w:rPr>
      </w:pPr>
      <w:r>
        <w:rPr>
          <w:rFonts w:hint="eastAsia" w:ascii="仿宋_GB2312" w:hAnsi="仿宋" w:eastAsia="仿宋_GB2312"/>
          <w:sz w:val="24"/>
          <w:szCs w:val="21"/>
        </w:rPr>
        <w:t>201X年X月X日</w:t>
      </w:r>
    </w:p>
    <w:p w14:paraId="7E7ED55E">
      <w:pPr>
        <w:spacing w:line="440" w:lineRule="atLeast"/>
        <w:ind w:firstLine="607"/>
        <w:rPr>
          <w:rFonts w:ascii="仿宋" w:hAnsi="仿宋"/>
          <w:sz w:val="32"/>
        </w:rPr>
      </w:pPr>
    </w:p>
    <w:p w14:paraId="555BE7BE">
      <w:pPr>
        <w:spacing w:line="440" w:lineRule="atLeast"/>
        <w:ind w:firstLine="607"/>
        <w:rPr>
          <w:rFonts w:ascii="仿宋" w:hAnsi="仿宋"/>
          <w:sz w:val="32"/>
        </w:rPr>
      </w:pPr>
    </w:p>
    <w:p w14:paraId="255817E7">
      <w:pPr>
        <w:spacing w:line="440" w:lineRule="atLeast"/>
        <w:rPr>
          <w:rFonts w:ascii="仿宋" w:hAnsi="仿宋"/>
          <w:sz w:val="32"/>
        </w:rPr>
      </w:pPr>
    </w:p>
    <w:p w14:paraId="05F90EBA">
      <w:r>
        <w:br w:type="page"/>
      </w:r>
    </w:p>
    <w:p w14:paraId="4397883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附2</w:t>
      </w:r>
    </w:p>
    <w:p w14:paraId="2B58838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编制依据</w:t>
      </w:r>
    </w:p>
    <w:p w14:paraId="1934C81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（参考格式，如：本报告依据中国资产评估准则编制）</w:t>
      </w:r>
    </w:p>
    <w:p w14:paraId="30A418BC">
      <w:pPr>
        <w:spacing w:line="440" w:lineRule="atLeast"/>
        <w:rPr>
          <w:rFonts w:ascii="仿宋_GB2312" w:hAnsi="仿宋" w:eastAsia="仿宋_GB2312"/>
          <w:sz w:val="32"/>
        </w:rPr>
      </w:pPr>
    </w:p>
    <w:p w14:paraId="662DFFE5">
      <w:pPr>
        <w:spacing w:line="440" w:lineRule="atLeast"/>
        <w:jc w:val="center"/>
        <w:rPr>
          <w:rFonts w:ascii="黑体" w:hAnsi="黑体" w:eastAsia="黑体"/>
          <w:sz w:val="32"/>
        </w:rPr>
      </w:pPr>
      <w:r>
        <w:rPr>
          <w:rFonts w:hint="eastAsia" w:ascii="黑体" w:hAnsi="黑体" w:eastAsia="黑体"/>
          <w:sz w:val="32"/>
        </w:rPr>
        <w:t>资产评估报告标题</w:t>
      </w:r>
    </w:p>
    <w:p w14:paraId="191B9217">
      <w:pPr>
        <w:spacing w:line="440" w:lineRule="atLeast"/>
        <w:jc w:val="center"/>
        <w:rPr>
          <w:rFonts w:ascii="仿宋_GB2312" w:hAnsi="仿宋" w:eastAsia="仿宋_GB2312"/>
          <w:sz w:val="32"/>
        </w:rPr>
      </w:pPr>
      <w:r>
        <w:rPr>
          <w:rFonts w:hint="eastAsia" w:ascii="仿宋_GB2312" w:hAnsi="仿宋" w:eastAsia="仿宋_GB2312"/>
          <w:sz w:val="32"/>
        </w:rPr>
        <w:t>（格式要求：“企业名称+经济行为关键词+评估对象+资产</w:t>
      </w:r>
      <w:r>
        <w:rPr>
          <w:rFonts w:hint="eastAsia" w:ascii="仿宋_GB2312" w:hAnsi="黑体" w:eastAsia="仿宋_GB2312"/>
          <w:sz w:val="32"/>
          <w:szCs w:val="32"/>
        </w:rPr>
        <w:t>评估报告</w:t>
      </w:r>
      <w:r>
        <w:rPr>
          <w:rFonts w:hint="eastAsia" w:ascii="仿宋_GB2312" w:eastAsia="仿宋_GB2312"/>
          <w:sz w:val="32"/>
          <w:szCs w:val="32"/>
        </w:rPr>
        <w:t>”</w:t>
      </w:r>
    </w:p>
    <w:p w14:paraId="73420FD6">
      <w:pPr>
        <w:spacing w:line="440" w:lineRule="atLeast"/>
        <w:jc w:val="center"/>
        <w:rPr>
          <w:rFonts w:ascii="仿宋_GB2312" w:hAnsi="仿宋" w:eastAsia="仿宋_GB2312"/>
          <w:sz w:val="32"/>
        </w:rPr>
      </w:pPr>
    </w:p>
    <w:p w14:paraId="3042F637">
      <w:pPr>
        <w:spacing w:line="440" w:lineRule="atLeast"/>
        <w:jc w:val="center"/>
        <w:rPr>
          <w:rFonts w:ascii="仿宋_GB2312" w:hAnsi="仿宋" w:eastAsia="仿宋_GB2312"/>
          <w:sz w:val="32"/>
        </w:rPr>
      </w:pPr>
      <w:r>
        <w:rPr>
          <w:rFonts w:hint="eastAsia" w:ascii="仿宋_GB2312" w:hAnsi="仿宋" w:eastAsia="仿宋_GB2312"/>
          <w:sz w:val="32"/>
        </w:rPr>
        <w:t>参考格式，如：　A　公司拟　XX　涉及的　B　公司　YY　资产评估报告）</w:t>
      </w:r>
    </w:p>
    <w:p w14:paraId="1BD6AD37">
      <w:pPr>
        <w:spacing w:line="440" w:lineRule="atLeast"/>
        <w:jc w:val="center"/>
        <w:rPr>
          <w:rFonts w:ascii="黑体" w:hAnsi="黑体" w:eastAsia="黑体"/>
          <w:sz w:val="32"/>
        </w:rPr>
      </w:pPr>
      <w:r>
        <w:rPr>
          <w:rFonts w:hint="eastAsia" w:ascii="黑体" w:hAnsi="黑体" w:eastAsia="黑体"/>
          <w:sz w:val="32"/>
        </w:rPr>
        <w:t>资产评估报告文号</w:t>
      </w:r>
    </w:p>
    <w:p w14:paraId="6B25AE7E">
      <w:pPr>
        <w:spacing w:line="440" w:lineRule="atLeast"/>
        <w:jc w:val="center"/>
        <w:rPr>
          <w:rFonts w:ascii="仿宋_GB2312" w:hAnsi="仿宋" w:eastAsia="仿宋_GB2312"/>
          <w:sz w:val="32"/>
        </w:rPr>
      </w:pPr>
      <w:r>
        <w:rPr>
          <w:rFonts w:hint="eastAsia" w:ascii="仿宋_GB2312" w:hAnsi="仿宋" w:eastAsia="仿宋_GB2312"/>
          <w:sz w:val="32"/>
        </w:rPr>
        <w:t>（格式要求：包括资产评估机构特征字、种类特征字、年份、</w:t>
      </w:r>
    </w:p>
    <w:p w14:paraId="1B18042C">
      <w:pPr>
        <w:spacing w:line="440" w:lineRule="atLeast"/>
        <w:jc w:val="center"/>
        <w:rPr>
          <w:rFonts w:ascii="仿宋_GB2312" w:hAnsi="仿宋" w:eastAsia="仿宋_GB2312"/>
          <w:sz w:val="32"/>
        </w:rPr>
      </w:pPr>
      <w:r>
        <w:rPr>
          <w:rFonts w:hint="eastAsia" w:ascii="仿宋_GB2312" w:hAnsi="仿宋" w:eastAsia="仿宋_GB2312"/>
          <w:sz w:val="32"/>
        </w:rPr>
        <w:t>报告序号）</w:t>
      </w:r>
    </w:p>
    <w:p w14:paraId="2D13AA3E">
      <w:pPr>
        <w:shd w:val="clear" w:color="auto" w:fill="FFFFFF"/>
        <w:spacing w:line="440" w:lineRule="atLeast"/>
        <w:ind w:firstLine="640" w:firstLineChars="200"/>
        <w:rPr>
          <w:rFonts w:ascii="仿宋_GB2312" w:hAnsi="仿宋" w:eastAsia="仿宋_GB2312"/>
          <w:bCs/>
          <w:sz w:val="32"/>
        </w:rPr>
      </w:pPr>
      <w:r>
        <w:rPr>
          <w:rFonts w:hint="eastAsia" w:ascii="仿宋_GB2312" w:hAnsi="仿宋" w:eastAsia="仿宋_GB2312"/>
          <w:sz w:val="32"/>
        </w:rPr>
        <w:t>参考格式，如：XX　评报字（201X）</w:t>
      </w:r>
      <w:r>
        <w:rPr>
          <w:rFonts w:hint="eastAsia" w:ascii="仿宋_GB2312" w:hAnsi="仿宋" w:eastAsia="仿宋_GB2312"/>
          <w:bCs/>
          <w:sz w:val="32"/>
        </w:rPr>
        <w:t>第　XXXX　号</w:t>
      </w:r>
    </w:p>
    <w:p w14:paraId="0CC7F953">
      <w:pPr>
        <w:shd w:val="clear" w:color="auto" w:fill="FFFFFF"/>
        <w:spacing w:line="440" w:lineRule="atLeast"/>
        <w:ind w:firstLine="640" w:firstLineChars="200"/>
        <w:rPr>
          <w:rFonts w:ascii="仿宋_GB2312" w:hAnsi="仿宋" w:eastAsia="仿宋_GB2312"/>
          <w:bCs/>
          <w:sz w:val="32"/>
        </w:rPr>
      </w:pPr>
      <w:r>
        <w:rPr>
          <w:rFonts w:hint="eastAsia" w:ascii="仿宋_GB2312" w:hAnsi="仿宋" w:eastAsia="仿宋_GB2312"/>
          <w:bCs/>
          <w:sz w:val="32"/>
        </w:rPr>
        <w:t>资产评估报告册数</w:t>
      </w:r>
    </w:p>
    <w:p w14:paraId="7A824667">
      <w:pPr>
        <w:shd w:val="clear" w:color="auto" w:fill="FFFFFF"/>
        <w:spacing w:line="440" w:lineRule="atLeast"/>
        <w:ind w:firstLine="640" w:firstLineChars="200"/>
        <w:rPr>
          <w:rFonts w:ascii="仿宋_GB2312" w:hAnsi="仿宋" w:eastAsia="仿宋_GB2312"/>
          <w:bCs/>
          <w:sz w:val="32"/>
        </w:rPr>
      </w:pPr>
      <w:r>
        <w:rPr>
          <w:rFonts w:hint="eastAsia" w:ascii="仿宋_GB2312" w:hAnsi="仿宋" w:eastAsia="仿宋_GB2312"/>
          <w:bCs/>
          <w:sz w:val="32"/>
        </w:rPr>
        <w:t>（格式要求：包括装订总册数、装订序号</w:t>
      </w:r>
    </w:p>
    <w:p w14:paraId="47BBD559">
      <w:pPr>
        <w:shd w:val="clear" w:color="auto" w:fill="FFFFFF"/>
        <w:spacing w:line="440" w:lineRule="atLeast"/>
        <w:ind w:firstLine="640" w:firstLineChars="200"/>
        <w:rPr>
          <w:rFonts w:ascii="仿宋_GB2312" w:hAnsi="仿宋" w:eastAsia="仿宋_GB2312"/>
          <w:b/>
          <w:sz w:val="32"/>
        </w:rPr>
      </w:pPr>
      <w:r>
        <w:rPr>
          <w:rFonts w:hint="eastAsia" w:ascii="仿宋_GB2312" w:hAnsi="仿宋" w:eastAsia="仿宋_GB2312"/>
          <w:bCs/>
          <w:sz w:val="32"/>
        </w:rPr>
        <w:t>参考格式，如：共　X　册，第　1　册）</w:t>
      </w:r>
    </w:p>
    <w:p w14:paraId="462D9976">
      <w:pPr>
        <w:shd w:val="clear" w:color="auto" w:fill="FFFFFF"/>
        <w:spacing w:line="440" w:lineRule="atLeast"/>
        <w:ind w:firstLine="482" w:firstLineChars="200"/>
        <w:rPr>
          <w:rFonts w:ascii="宋体" w:hAnsi="宋体" w:eastAsia="宋体" w:cs="宋体"/>
          <w:b/>
          <w:color w:val="000000"/>
          <w:kern w:val="0"/>
          <w:sz w:val="24"/>
          <w:shd w:val="clear" w:color="auto" w:fill="FFFFFF"/>
        </w:rPr>
      </w:pPr>
    </w:p>
    <w:p w14:paraId="530D0C4E">
      <w:pPr>
        <w:shd w:val="clear" w:color="auto" w:fill="FFFFFF"/>
        <w:spacing w:line="440" w:lineRule="atLeast"/>
        <w:ind w:firstLine="482" w:firstLineChars="200"/>
        <w:rPr>
          <w:rFonts w:ascii="宋体" w:hAnsi="宋体" w:eastAsia="宋体" w:cs="宋体"/>
          <w:b/>
          <w:color w:val="000000"/>
          <w:kern w:val="0"/>
          <w:sz w:val="24"/>
          <w:shd w:val="clear" w:color="auto" w:fill="FFFFFF"/>
        </w:rPr>
      </w:pPr>
    </w:p>
    <w:p w14:paraId="2584F0B4">
      <w:pPr>
        <w:shd w:val="clear" w:color="auto" w:fill="FFFFFF"/>
        <w:spacing w:line="440" w:lineRule="atLeast"/>
        <w:ind w:firstLine="482" w:firstLineChars="200"/>
        <w:rPr>
          <w:rFonts w:ascii="宋体" w:hAnsi="宋体" w:eastAsia="宋体" w:cs="宋体"/>
          <w:b/>
          <w:color w:val="000000"/>
          <w:kern w:val="0"/>
          <w:sz w:val="24"/>
          <w:shd w:val="clear" w:color="auto" w:fill="FFFFFF"/>
        </w:rPr>
      </w:pPr>
    </w:p>
    <w:p w14:paraId="43AE9219">
      <w:pPr>
        <w:shd w:val="clear" w:color="auto" w:fill="FFFFFF"/>
        <w:spacing w:line="440" w:lineRule="atLeast"/>
        <w:ind w:firstLine="482" w:firstLineChars="200"/>
        <w:rPr>
          <w:rFonts w:ascii="宋体" w:hAnsi="宋体" w:eastAsia="宋体" w:cs="宋体"/>
          <w:b/>
          <w:color w:val="000000"/>
          <w:kern w:val="0"/>
          <w:sz w:val="24"/>
          <w:shd w:val="clear" w:color="auto" w:fill="FFFFFF"/>
        </w:rPr>
      </w:pPr>
    </w:p>
    <w:p w14:paraId="3F2C156E">
      <w:pPr>
        <w:shd w:val="clear" w:color="auto" w:fill="FFFFFF"/>
        <w:spacing w:line="440" w:lineRule="atLeast"/>
        <w:ind w:firstLine="482" w:firstLineChars="200"/>
        <w:rPr>
          <w:rFonts w:ascii="宋体" w:hAnsi="宋体" w:eastAsia="宋体" w:cs="宋体"/>
          <w:b/>
          <w:color w:val="000000"/>
          <w:kern w:val="0"/>
          <w:sz w:val="24"/>
          <w:shd w:val="clear" w:color="auto" w:fill="FFFFFF"/>
        </w:rPr>
      </w:pPr>
    </w:p>
    <w:p w14:paraId="1448D799">
      <w:pPr>
        <w:rPr>
          <w:rFonts w:ascii="宋体" w:hAnsi="宋体" w:eastAsia="宋体" w:cs="宋体"/>
          <w:b/>
          <w:color w:val="000000"/>
          <w:kern w:val="0"/>
          <w:sz w:val="24"/>
          <w:shd w:val="clear" w:color="auto" w:fill="FFFFFF"/>
        </w:rPr>
      </w:pPr>
      <w:r>
        <w:rPr>
          <w:rFonts w:hint="eastAsia" w:ascii="宋体" w:hAnsi="宋体" w:eastAsia="宋体" w:cs="宋体"/>
          <w:b/>
          <w:color w:val="000000"/>
          <w:kern w:val="0"/>
          <w:sz w:val="24"/>
          <w:shd w:val="clear" w:color="auto" w:fill="FFFFFF"/>
        </w:rPr>
        <w:br w:type="page"/>
      </w:r>
    </w:p>
    <w:p w14:paraId="388E2FA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附3</w:t>
      </w:r>
    </w:p>
    <w:p w14:paraId="1859F07D">
      <w:pPr>
        <w:shd w:val="clear" w:color="auto" w:fill="FFFFFF"/>
        <w:spacing w:line="440" w:lineRule="atLeast"/>
        <w:ind w:firstLine="480" w:firstLineChars="200"/>
        <w:jc w:val="center"/>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声明</w:t>
      </w:r>
    </w:p>
    <w:p w14:paraId="11E3A1D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委托人或者其他资产评估报告使用人应当按照法律、行政法规规定和本资产评估报告载明的使用范围使用本资产评估报告；委托人或者其他资产评估报告使用人违反前述规定使用本资产评估报告的，本资产评估机构及资产评估专业人员不承担责任。</w:t>
      </w:r>
    </w:p>
    <w:p w14:paraId="2C4C12F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2.本资产评估报告仅供委托人、资产评估委托合同中约定的其他资产评估报告使用人和法律、行政法规规定的资产评估报告使用人使用；除此之外，其他任何机构和个人不能成为本资产评估报告的使用人。</w:t>
      </w:r>
    </w:p>
    <w:p w14:paraId="0C2A69A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3.本资产评估机构及资产评估专业人员提示资产评估报告使用人应当正确理解评估结论，评估结论不等同于评估对象可实现价格，评估结论不应当被认为是对评估对象可实现价格的保证。</w:t>
      </w:r>
    </w:p>
    <w:p w14:paraId="226DB37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（其他需要声明的内容此参考样式略）</w:t>
      </w:r>
    </w:p>
    <w:p w14:paraId="6AB05C21">
      <w:pPr>
        <w:shd w:val="clear" w:color="auto" w:fill="FFFFFF"/>
        <w:spacing w:line="440" w:lineRule="atLeast"/>
        <w:ind w:firstLine="482" w:firstLineChars="200"/>
        <w:rPr>
          <w:rFonts w:ascii="宋体" w:hAnsi="宋体" w:eastAsia="宋体" w:cs="宋体"/>
          <w:b/>
          <w:color w:val="000000"/>
          <w:kern w:val="0"/>
          <w:sz w:val="24"/>
          <w:shd w:val="clear" w:color="auto" w:fill="FFFFFF"/>
        </w:rPr>
      </w:pPr>
      <w:r>
        <w:rPr>
          <w:rFonts w:hint="eastAsia" w:ascii="宋体" w:hAnsi="宋体" w:eastAsia="宋体" w:cs="宋体"/>
          <w:b/>
          <w:color w:val="000000"/>
          <w:kern w:val="0"/>
          <w:sz w:val="24"/>
          <w:shd w:val="clear" w:color="auto" w:fill="FFFFFF"/>
        </w:rPr>
        <w:br w:type="page"/>
      </w:r>
    </w:p>
    <w:p w14:paraId="102E51DF">
      <w:pPr>
        <w:pStyle w:val="5"/>
        <w:spacing w:line="440" w:lineRule="atLeast"/>
        <w:jc w:val="center"/>
        <w:rPr>
          <w:rFonts w:ascii="宋体" w:hAnsi="宋体" w:eastAsia="宋体" w:cs="宋体"/>
        </w:rPr>
      </w:pPr>
      <w:bookmarkStart w:id="105" w:name="_Toc16258"/>
      <w:r>
        <w:rPr>
          <w:rFonts w:hint="eastAsia" w:ascii="宋体" w:hAnsi="宋体" w:eastAsia="宋体" w:cs="宋体"/>
        </w:rPr>
        <w:t>资产评估执业准则——资产评估委托合同</w:t>
      </w:r>
      <w:bookmarkEnd w:id="105"/>
    </w:p>
    <w:p w14:paraId="1029B700">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第一章　总则</w:t>
      </w:r>
    </w:p>
    <w:p w14:paraId="05AE96B4">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第一条</w:t>
      </w:r>
      <w:r>
        <w:rPr>
          <w:rFonts w:hint="eastAsia" w:ascii="宋体" w:hAnsi="宋体" w:eastAsia="宋体" w:cs="宋体"/>
          <w:color w:val="000000"/>
          <w:kern w:val="0"/>
          <w:sz w:val="24"/>
          <w:shd w:val="clear" w:color="auto" w:fill="FFFFFF"/>
        </w:rPr>
        <w:t>　为规范资产评估委托合同的订立、履行等行为，保护资产评估当事人合法权益和公共利益，根据《资产评估基本准则》制定本准则。</w:t>
      </w:r>
    </w:p>
    <w:p w14:paraId="5D318AED">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第二条</w:t>
      </w:r>
      <w:r>
        <w:rPr>
          <w:rFonts w:hint="eastAsia" w:ascii="宋体" w:hAnsi="宋体" w:eastAsia="宋体" w:cs="宋体"/>
          <w:color w:val="000000"/>
          <w:kern w:val="0"/>
          <w:sz w:val="24"/>
          <w:shd w:val="clear" w:color="auto" w:fill="FFFFFF"/>
        </w:rPr>
        <w:t>　本准则所称资产评估委托合同，是指资产评估机构与委托人订立的，明确资产评估业务基本事项，约定资产评估机构和委托人权利、义务、违约责任和争议解决等内容的书面合同。</w:t>
      </w:r>
    </w:p>
    <w:p w14:paraId="447F91D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资产评估机构开展资产评估业务应当与委托人订立资产评估委托合同。</w:t>
      </w:r>
    </w:p>
    <w:p w14:paraId="13F43779">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第三条</w:t>
      </w:r>
      <w:r>
        <w:rPr>
          <w:rFonts w:hint="eastAsia" w:ascii="宋体" w:hAnsi="宋体" w:eastAsia="宋体" w:cs="宋体"/>
          <w:color w:val="000000"/>
          <w:kern w:val="0"/>
          <w:sz w:val="24"/>
          <w:shd w:val="clear" w:color="auto" w:fill="FFFFFF"/>
        </w:rPr>
        <w:t>　执行资产评估业务，应当遵守本准则。</w:t>
      </w:r>
    </w:p>
    <w:p w14:paraId="32B64CE3">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第二章　资产评估委托合同的订立</w:t>
      </w:r>
    </w:p>
    <w:p w14:paraId="176FD27B">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第四条</w:t>
      </w:r>
      <w:r>
        <w:rPr>
          <w:rFonts w:hint="eastAsia" w:ascii="宋体" w:hAnsi="宋体" w:eastAsia="宋体" w:cs="宋体"/>
          <w:color w:val="000000"/>
          <w:kern w:val="0"/>
          <w:sz w:val="24"/>
          <w:shd w:val="clear" w:color="auto" w:fill="FFFFFF"/>
        </w:rPr>
        <w:t>　资产评估机构受理资产评估业务应当要求委托人依法订立资产评估委托合同。</w:t>
      </w:r>
    </w:p>
    <w:p w14:paraId="0DD82F9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资产评估委托合同应当由资产评估机构的法定代表人（或者执行合伙事务合伙人）签字并加盖资产评估机构印章。</w:t>
      </w:r>
    </w:p>
    <w:p w14:paraId="0061A978">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第五条</w:t>
      </w:r>
      <w:r>
        <w:rPr>
          <w:rFonts w:hint="eastAsia" w:ascii="宋体" w:hAnsi="宋体" w:eastAsia="宋体" w:cs="宋体"/>
          <w:color w:val="000000"/>
          <w:kern w:val="0"/>
          <w:sz w:val="24"/>
          <w:shd w:val="clear" w:color="auto" w:fill="FFFFFF"/>
        </w:rPr>
        <w:t>　资产评估机构及其资产评估专业人员应当关注未及时订立资产评估委托合同开展资产评估业务可能产生的风险。如果因委托人等原因导致无法及时订立资产评估委托合同，资产评估机构及其资产评估专业人员应当采取措施保护自身的合法权益。</w:t>
      </w:r>
    </w:p>
    <w:p w14:paraId="27E28373">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第三章　资产评估委托合同的内容</w:t>
      </w:r>
    </w:p>
    <w:p w14:paraId="6111D803">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第六条</w:t>
      </w:r>
      <w:r>
        <w:rPr>
          <w:rFonts w:hint="eastAsia" w:ascii="宋体" w:hAnsi="宋体" w:eastAsia="宋体" w:cs="宋体"/>
          <w:color w:val="000000"/>
          <w:kern w:val="0"/>
          <w:sz w:val="24"/>
          <w:shd w:val="clear" w:color="auto" w:fill="FFFFFF"/>
        </w:rPr>
        <w:t>　资产评估委托合同通常包括下列内容：</w:t>
      </w:r>
    </w:p>
    <w:p w14:paraId="36C0D2A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（一）资产评估机构和委托人的名称、住所、联系人及联系方式；</w:t>
      </w:r>
    </w:p>
    <w:p w14:paraId="18C1885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（二）评估目的；</w:t>
      </w:r>
    </w:p>
    <w:p w14:paraId="18C1002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（三）评估对象和评估范围；</w:t>
      </w:r>
    </w:p>
    <w:p w14:paraId="04FDC4C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（四）评估基准日；</w:t>
      </w:r>
    </w:p>
    <w:p w14:paraId="3992E84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（五）评估报告使用范围；</w:t>
      </w:r>
    </w:p>
    <w:p w14:paraId="2BEAE40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（六）评估报告提交期限和方式；</w:t>
      </w:r>
    </w:p>
    <w:p w14:paraId="454C1D4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（七）评估服务费总额或者支付标准、支付时间及支付方式；</w:t>
      </w:r>
    </w:p>
    <w:p w14:paraId="13DC0E8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（八）资产评估机构和委托人的其他权利和义务；</w:t>
      </w:r>
    </w:p>
    <w:p w14:paraId="537D314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（九）违约责任和争议解决；</w:t>
      </w:r>
    </w:p>
    <w:p w14:paraId="2948B30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（十）合同当事人签字或者盖章的时间；</w:t>
      </w:r>
    </w:p>
    <w:p w14:paraId="54FA842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（十一）合同当事人签字或者盖章的地点。</w:t>
      </w:r>
    </w:p>
    <w:p w14:paraId="4041AAC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订立资产评估委托合同时未明确的内容，资产评估委托合同当事人可以采取订立补充合同或者法律允许的其他形式做出后续约定。</w:t>
      </w:r>
    </w:p>
    <w:p w14:paraId="6EFDA475">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第七条</w:t>
      </w:r>
      <w:r>
        <w:rPr>
          <w:rFonts w:hint="eastAsia" w:ascii="宋体" w:hAnsi="宋体" w:eastAsia="宋体" w:cs="宋体"/>
          <w:color w:val="000000"/>
          <w:kern w:val="0"/>
          <w:sz w:val="24"/>
          <w:shd w:val="clear" w:color="auto" w:fill="FFFFFF"/>
        </w:rPr>
        <w:t>　资产评估委托合同载明的评估目的应当表述明确、清晰。</w:t>
      </w:r>
    </w:p>
    <w:p w14:paraId="5047E747">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第八条</w:t>
      </w:r>
      <w:r>
        <w:rPr>
          <w:rFonts w:hint="eastAsia" w:ascii="宋体" w:hAnsi="宋体" w:eastAsia="宋体" w:cs="宋体"/>
          <w:color w:val="000000"/>
          <w:kern w:val="0"/>
          <w:sz w:val="24"/>
          <w:shd w:val="clear" w:color="auto" w:fill="FFFFFF"/>
        </w:rPr>
        <w:t>　资产评估机构应当与委托人进行沟通，根据资产评估业务的要求和特点，在资产评估委托合同中表述评估对象和评估范围。</w:t>
      </w:r>
    </w:p>
    <w:p w14:paraId="592767BD">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第九条</w:t>
      </w:r>
      <w:r>
        <w:rPr>
          <w:rFonts w:hint="eastAsia" w:ascii="宋体" w:hAnsi="宋体" w:eastAsia="宋体" w:cs="宋体"/>
          <w:color w:val="000000"/>
          <w:kern w:val="0"/>
          <w:sz w:val="24"/>
          <w:shd w:val="clear" w:color="auto" w:fill="FFFFFF"/>
        </w:rPr>
        <w:t>　资产评估委托合同应当明确资产评估基准日。</w:t>
      </w:r>
    </w:p>
    <w:p w14:paraId="67C9291B">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第十条</w:t>
      </w:r>
      <w:r>
        <w:rPr>
          <w:rFonts w:hint="eastAsia" w:ascii="宋体" w:hAnsi="宋体" w:eastAsia="宋体" w:cs="宋体"/>
          <w:color w:val="000000"/>
          <w:kern w:val="0"/>
          <w:sz w:val="24"/>
          <w:shd w:val="clear" w:color="auto" w:fill="FFFFFF"/>
        </w:rPr>
        <w:t>　资产评估委托合同应当明确资产评估报告的使用范围。使用范围包括资产评估报告使用人、用途、评估结论的使用有效期及资产评估报告的摘抄、引用或者披露。</w:t>
      </w:r>
    </w:p>
    <w:p w14:paraId="32C2F31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（一）资产评估委托合同应当明确资产评估报告使用人。如果存在委托人以外的其他使用人，资产评估委托合同应当明确约定。</w:t>
      </w:r>
    </w:p>
    <w:p w14:paraId="4AFE381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资产评估委托合同应当约定，资产评估报告仅供资产评估委托合同约定的和法律、行政法规规定的使用人使用，其他任何机构和个人不能成为资产评估报告的使用人。</w:t>
      </w:r>
    </w:p>
    <w:p w14:paraId="07AAF9A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（二）资产评估委托合同应当约定，委托人或者其他资产评估报告使用人应当按照法律、行政法规规定和资产评估报告载明的使用目的及用途使用资产评估报告。</w:t>
      </w:r>
    </w:p>
    <w:p w14:paraId="7724107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委托人或者其他资产评估报告使用人违反前述约定使用资产评估报告的，资产评估机构及其资产评估专业人员不承担责任。</w:t>
      </w:r>
    </w:p>
    <w:p w14:paraId="19CB0A1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（三）资产评估委托合同应当约定在载明的评估结论使用有效期内使用资产评估报告。</w:t>
      </w:r>
    </w:p>
    <w:p w14:paraId="3C99878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（四）资产评估委托合同应当约定，未经委托人书面许可，资产评估机构及其资产评估专业人员不得将资产评估报告的内容向第三方提供或者公开，法律、行政法规另有规定的除外。</w:t>
      </w:r>
    </w:p>
    <w:p w14:paraId="4EF0B1B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（五）资产评估委托合同应当约定，未征得资产评估机构同意，资产评估报告的内容不得被摘抄、引用或者披露于公开媒体，法律、行政法规规定以及相关当事人另有约定的除外。</w:t>
      </w:r>
    </w:p>
    <w:p w14:paraId="77D6F92E">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第十一条</w:t>
      </w:r>
      <w:r>
        <w:rPr>
          <w:rFonts w:hint="eastAsia" w:ascii="宋体" w:hAnsi="宋体" w:eastAsia="宋体" w:cs="宋体"/>
          <w:color w:val="000000"/>
          <w:kern w:val="0"/>
          <w:sz w:val="24"/>
          <w:shd w:val="clear" w:color="auto" w:fill="FFFFFF"/>
        </w:rPr>
        <w:t>　资产评估委托合同应当约定完成资产评估业务并提交资产评估报告的期限和方式。</w:t>
      </w:r>
    </w:p>
    <w:p w14:paraId="48F80AF4">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第十二条</w:t>
      </w:r>
      <w:r>
        <w:rPr>
          <w:rFonts w:hint="eastAsia" w:ascii="宋体" w:hAnsi="宋体" w:eastAsia="宋体" w:cs="宋体"/>
          <w:color w:val="000000"/>
          <w:kern w:val="0"/>
          <w:sz w:val="24"/>
          <w:shd w:val="clear" w:color="auto" w:fill="FFFFFF"/>
        </w:rPr>
        <w:t>　资产评估委托合同应当明确资产评估服务费总额或者支付标准、计价货币种类、支付时间及支付方式，并明确资产评估服务费未包括的与资产评估服务相关的其他费用的内容及承担方式。</w:t>
      </w:r>
    </w:p>
    <w:p w14:paraId="4A172747">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第十三条</w:t>
      </w:r>
      <w:r>
        <w:rPr>
          <w:rFonts w:hint="eastAsia" w:ascii="宋体" w:hAnsi="宋体" w:eastAsia="宋体" w:cs="宋体"/>
          <w:color w:val="000000"/>
          <w:kern w:val="0"/>
          <w:sz w:val="24"/>
          <w:shd w:val="clear" w:color="auto" w:fill="FFFFFF"/>
        </w:rPr>
        <w:t>　资产评估委托合同应当约定，委托人应当为资产评估机构及其资产评估专业人员开展资产评估业务提供必要的工作条件和协助；委托人应当根据资产评估业务需要，负责资产评估机构及其资产评估专业人员与其他相关当事人之间的协调。</w:t>
      </w:r>
    </w:p>
    <w:p w14:paraId="3B3A29B0">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第十四条</w:t>
      </w:r>
      <w:r>
        <w:rPr>
          <w:rFonts w:hint="eastAsia" w:ascii="宋体" w:hAnsi="宋体" w:eastAsia="宋体" w:cs="宋体"/>
          <w:color w:val="000000"/>
          <w:kern w:val="0"/>
          <w:sz w:val="24"/>
          <w:shd w:val="clear" w:color="auto" w:fill="FFFFFF"/>
        </w:rPr>
        <w:t>　资产评估委托合同应当约定，遵守相关法律、行政法规和资产评估准则，对评估对象在评估基准日特定目的下的价值进行分析和估算并出具资产评估报告，是资产评估机构及其资产评估专业人员的责任。</w:t>
      </w:r>
    </w:p>
    <w:p w14:paraId="67267C15">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第十五条</w:t>
      </w:r>
      <w:r>
        <w:rPr>
          <w:rFonts w:hint="eastAsia" w:ascii="宋体" w:hAnsi="宋体" w:eastAsia="宋体" w:cs="宋体"/>
          <w:color w:val="000000"/>
          <w:kern w:val="0"/>
          <w:sz w:val="24"/>
          <w:shd w:val="clear" w:color="auto" w:fill="FFFFFF"/>
        </w:rPr>
        <w:t>　资产评估委托合同应当约定，依法提供资产评估业务需要的资料并保证资料的真实性、完整性、合法性，恰当使用资产评估报告是委托人和其他相关当事人的责任；委托人或者其他相关当事人应当对其提供的资产评估明细表及其他重要资料的真实性、完整性、合法性进行确认，确认方式包括签字、盖章或者法律允许的其他方式；委托人和其他相关当事人如果拒绝提供或者不如实提供开展资产评估业务所需的权属证明、财务会计信息或者其他相关资料的，资产评估机构有权拒绝履行资产评估委托合同。</w:t>
      </w:r>
    </w:p>
    <w:p w14:paraId="3BEFAD84">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第十六条</w:t>
      </w:r>
      <w:r>
        <w:rPr>
          <w:rFonts w:hint="eastAsia" w:ascii="宋体" w:hAnsi="宋体" w:eastAsia="宋体" w:cs="宋体"/>
          <w:color w:val="000000"/>
          <w:kern w:val="0"/>
          <w:sz w:val="24"/>
          <w:shd w:val="clear" w:color="auto" w:fill="FFFFFF"/>
        </w:rPr>
        <w:t>　资产评估委托合同应当约定，委托人提前终止资产评估业务、解除资产评估委托合同的，委托人应当按照已经开展资产评估业务的时间、进度，或者已经完成的工作量支付相应的评估服务费。</w:t>
      </w:r>
    </w:p>
    <w:p w14:paraId="0F2C0C2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委托人要求出具虚假资产评估报告或者有其他非法干预评估结论情形的，资产评估机构有权单方解除资产评估委托合同。资产评估委托合同当事人可以约定由委托人按照已经开展资产评估业务的时间、进度，或者已经完成的工作量支付相应的评估服务费。</w:t>
      </w:r>
    </w:p>
    <w:p w14:paraId="27BBF9F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因委托人或者其他相关当事人原因导致资产评估程序受限，资产评估机构无法履行资产评估委托合同，资产评估机构可以单方解除资产评估委托合同；当事人可以在资产评估委托合同中约定由委托人按照已经开展资产评估业务的时间、进度，或者已经完成的工作量支付相应的评估服务费。</w:t>
      </w:r>
    </w:p>
    <w:p w14:paraId="1CEF28AD">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第十七条</w:t>
      </w:r>
      <w:r>
        <w:rPr>
          <w:rFonts w:hint="eastAsia" w:ascii="宋体" w:hAnsi="宋体" w:eastAsia="宋体" w:cs="宋体"/>
          <w:color w:val="000000"/>
          <w:kern w:val="0"/>
          <w:sz w:val="24"/>
          <w:shd w:val="clear" w:color="auto" w:fill="FFFFFF"/>
        </w:rPr>
        <w:t>　资产评估委托合同应当约定当事人的违约责任。资产评估委托合同当事人因不可抗力无法履行资产评估委托合同的，根据不可抗力的影响，部分或者全部免除责任，法律另有规定的除外。</w:t>
      </w:r>
    </w:p>
    <w:p w14:paraId="1543E40F">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第十八条</w:t>
      </w:r>
      <w:r>
        <w:rPr>
          <w:rFonts w:hint="eastAsia" w:ascii="宋体" w:hAnsi="宋体" w:eastAsia="宋体" w:cs="宋体"/>
          <w:color w:val="000000"/>
          <w:kern w:val="0"/>
          <w:sz w:val="24"/>
          <w:shd w:val="clear" w:color="auto" w:fill="FFFFFF"/>
        </w:rPr>
        <w:t>　资产评估委托合同应当约定资产评估委托合同履行过程中产生争议时争议解决的方式和地点。</w:t>
      </w:r>
    </w:p>
    <w:p w14:paraId="32FE100F">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第十九条</w:t>
      </w:r>
      <w:r>
        <w:rPr>
          <w:rFonts w:hint="eastAsia" w:ascii="宋体" w:hAnsi="宋体" w:eastAsia="宋体" w:cs="宋体"/>
          <w:color w:val="000000"/>
          <w:kern w:val="0"/>
          <w:sz w:val="24"/>
          <w:shd w:val="clear" w:color="auto" w:fill="FFFFFF"/>
        </w:rPr>
        <w:t>　资产评估委托合同订立后发现相关事项存在遗漏、约定不明确，或者在合同履行中约定内容发生变化的，资产评估机构可以要求与委托人订立补充合同或者重新订立资产评估委托合同，或者以法律允许的其他方式对资产评估委托合同的相关条款进行变更。</w:t>
      </w:r>
    </w:p>
    <w:p w14:paraId="34596B1D">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第四章　附则</w:t>
      </w:r>
    </w:p>
    <w:p w14:paraId="68C02FDE">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第二十条</w:t>
      </w:r>
      <w:r>
        <w:rPr>
          <w:rFonts w:hint="eastAsia" w:ascii="宋体" w:hAnsi="宋体" w:eastAsia="宋体" w:cs="宋体"/>
          <w:color w:val="000000"/>
          <w:kern w:val="0"/>
          <w:sz w:val="24"/>
          <w:shd w:val="clear" w:color="auto" w:fill="FFFFFF"/>
        </w:rPr>
        <w:t>　以其他形式建立委托关系的，应当符合法律的要求。</w:t>
      </w:r>
    </w:p>
    <w:p w14:paraId="326E0C23">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第二十一条</w:t>
      </w:r>
      <w:r>
        <w:rPr>
          <w:rFonts w:hint="eastAsia" w:ascii="宋体" w:hAnsi="宋体" w:eastAsia="宋体" w:cs="宋体"/>
          <w:color w:val="000000"/>
          <w:kern w:val="0"/>
          <w:sz w:val="24"/>
          <w:shd w:val="clear" w:color="auto" w:fill="FFFFFF"/>
        </w:rPr>
        <w:t>　本准则自2017年10月1日起施行。中国资产评估协会于2011年12月30日发布的《关于修改评估报告等准则中有关签章条款的通知》（中评协〔2011〕230号）中的《资产评估准则——业务约定书》同时废止。</w:t>
      </w:r>
    </w:p>
    <w:p w14:paraId="40BBB7A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br w:type="page"/>
      </w:r>
    </w:p>
    <w:p w14:paraId="1770051C">
      <w:pPr>
        <w:pStyle w:val="5"/>
        <w:spacing w:line="440" w:lineRule="atLeast"/>
        <w:jc w:val="center"/>
        <w:rPr>
          <w:rFonts w:ascii="宋体" w:hAnsi="宋体" w:eastAsia="宋体" w:cs="宋体"/>
        </w:rPr>
      </w:pPr>
      <w:bookmarkStart w:id="106" w:name="_Toc10975"/>
      <w:r>
        <w:rPr>
          <w:rFonts w:hint="eastAsia" w:ascii="宋体" w:hAnsi="宋体" w:eastAsia="宋体" w:cs="宋体"/>
        </w:rPr>
        <w:t>资产评估执业准则——资产评估档案</w:t>
      </w:r>
      <w:bookmarkEnd w:id="106"/>
    </w:p>
    <w:p w14:paraId="21D1D35B">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第一章　总则</w:t>
      </w:r>
    </w:p>
    <w:p w14:paraId="4709BBA4">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第一条</w:t>
      </w:r>
      <w:r>
        <w:rPr>
          <w:rFonts w:hint="eastAsia" w:ascii="宋体" w:hAnsi="宋体" w:eastAsia="宋体" w:cs="宋体"/>
          <w:color w:val="000000"/>
          <w:kern w:val="0"/>
          <w:sz w:val="24"/>
          <w:shd w:val="clear" w:color="auto" w:fill="FFFFFF"/>
        </w:rPr>
        <w:t>　为规范资产评估档案的形成及管理行为，保护资产评估当事人合法权益和公共利益，根据《资产评估基本准则》制定本准则。</w:t>
      </w:r>
    </w:p>
    <w:p w14:paraId="54C5A39E">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第二条</w:t>
      </w:r>
      <w:r>
        <w:rPr>
          <w:rFonts w:hint="eastAsia" w:ascii="宋体" w:hAnsi="宋体" w:eastAsia="宋体" w:cs="宋体"/>
          <w:color w:val="000000"/>
          <w:kern w:val="0"/>
          <w:sz w:val="24"/>
          <w:shd w:val="clear" w:color="auto" w:fill="FFFFFF"/>
        </w:rPr>
        <w:t>　本准则所称资产评估档案，是指资产评估机构开展资产评估业务形成的，反映资产评估程序实施情况、支持评估结论的工作底稿、资产评估报告及其他相关资料。</w:t>
      </w:r>
    </w:p>
    <w:p w14:paraId="0F8B268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纳入资产评估档案的资产评估报告应当包括初步资产评估报告和正式资产评估报告。</w:t>
      </w:r>
    </w:p>
    <w:p w14:paraId="50B5ED25">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第三条</w:t>
      </w:r>
      <w:r>
        <w:rPr>
          <w:rFonts w:hint="eastAsia" w:ascii="宋体" w:hAnsi="宋体" w:eastAsia="宋体" w:cs="宋体"/>
          <w:color w:val="000000"/>
          <w:kern w:val="0"/>
          <w:sz w:val="24"/>
          <w:shd w:val="clear" w:color="auto" w:fill="FFFFFF"/>
        </w:rPr>
        <w:t>　资产评估机构应当按照法律、行政法规和本准则的规定建立健全资产评估档案管理制度并妥善管理资产评估档案。</w:t>
      </w:r>
    </w:p>
    <w:p w14:paraId="7244ED28">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第四条</w:t>
      </w:r>
      <w:r>
        <w:rPr>
          <w:rFonts w:hint="eastAsia" w:ascii="宋体" w:hAnsi="宋体" w:eastAsia="宋体" w:cs="宋体"/>
          <w:color w:val="000000"/>
          <w:kern w:val="0"/>
          <w:sz w:val="24"/>
          <w:shd w:val="clear" w:color="auto" w:fill="FFFFFF"/>
        </w:rPr>
        <w:t>　执行资产评估业务，应当遵守本准则。</w:t>
      </w:r>
    </w:p>
    <w:p w14:paraId="04914944">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第二章　工作底稿的编制</w:t>
      </w:r>
    </w:p>
    <w:p w14:paraId="3FB5BDF9">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第五条</w:t>
      </w:r>
      <w:r>
        <w:rPr>
          <w:rFonts w:hint="eastAsia" w:ascii="宋体" w:hAnsi="宋体" w:eastAsia="宋体" w:cs="宋体"/>
          <w:color w:val="000000"/>
          <w:kern w:val="0"/>
          <w:sz w:val="24"/>
          <w:shd w:val="clear" w:color="auto" w:fill="FFFFFF"/>
        </w:rPr>
        <w:t>　执行资产评估业务，应当遵守法律、行政法规和资产评估准则，编制工作底稿。</w:t>
      </w:r>
    </w:p>
    <w:p w14:paraId="1E01112C">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第六条</w:t>
      </w:r>
      <w:r>
        <w:rPr>
          <w:rFonts w:hint="eastAsia" w:ascii="宋体" w:hAnsi="宋体" w:eastAsia="宋体" w:cs="宋体"/>
          <w:color w:val="000000"/>
          <w:kern w:val="0"/>
          <w:sz w:val="24"/>
          <w:shd w:val="clear" w:color="auto" w:fill="FFFFFF"/>
        </w:rPr>
        <w:t>　工作底稿应当反映资产评估程序实施情况，支持评估结论。</w:t>
      </w:r>
    </w:p>
    <w:p w14:paraId="49E36901">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第七条</w:t>
      </w:r>
      <w:r>
        <w:rPr>
          <w:rFonts w:hint="eastAsia" w:ascii="宋体" w:hAnsi="宋体" w:eastAsia="宋体" w:cs="宋体"/>
          <w:color w:val="000000"/>
          <w:kern w:val="0"/>
          <w:sz w:val="24"/>
          <w:shd w:val="clear" w:color="auto" w:fill="FFFFFF"/>
        </w:rPr>
        <w:t>　工作底稿应当真实完整、重点突出、记录清晰。资产评估机构及其资产评估专业人员可以根据资产评估业务具体情况，合理确定工作底稿的繁简程度。</w:t>
      </w:r>
    </w:p>
    <w:p w14:paraId="05684AE3">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第八条</w:t>
      </w:r>
      <w:r>
        <w:rPr>
          <w:rFonts w:hint="eastAsia" w:ascii="宋体" w:hAnsi="宋体" w:eastAsia="宋体" w:cs="宋体"/>
          <w:color w:val="000000"/>
          <w:kern w:val="0"/>
          <w:sz w:val="24"/>
          <w:shd w:val="clear" w:color="auto" w:fill="FFFFFF"/>
        </w:rPr>
        <w:t>　工作底稿可以是纸质文档、电子文档或者其他介质形式的文档，资产评估机构及其资产评估专业人员应当根据资产评估业务具体情况和工作底稿介质的理化特性谨慎选择工作底稿的介质形式。</w:t>
      </w:r>
    </w:p>
    <w:p w14:paraId="330556C3">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第九条</w:t>
      </w:r>
      <w:r>
        <w:rPr>
          <w:rFonts w:hint="eastAsia" w:ascii="宋体" w:hAnsi="宋体" w:eastAsia="宋体" w:cs="宋体"/>
          <w:color w:val="000000"/>
          <w:kern w:val="0"/>
          <w:sz w:val="24"/>
          <w:shd w:val="clear" w:color="auto" w:fill="FFFFFF"/>
        </w:rPr>
        <w:t>　工作底稿通常分为管理类工作底稿和操作类工作底稿。</w:t>
      </w:r>
    </w:p>
    <w:p w14:paraId="668DB69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管理类工作底稿是指在执行资产评估业务过程中，为受理、计划、控制和管理资产评估业务所形成的工作记录及相关资料。</w:t>
      </w:r>
    </w:p>
    <w:p w14:paraId="420C0EF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操作类工作底稿是指在履行现场调查、收集评估资料和评定估算程序时所形成的工作记录及相关资料。</w:t>
      </w:r>
    </w:p>
    <w:p w14:paraId="71E1A984">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第十条</w:t>
      </w:r>
      <w:r>
        <w:rPr>
          <w:rFonts w:hint="eastAsia" w:ascii="宋体" w:hAnsi="宋体" w:eastAsia="宋体" w:cs="宋体"/>
          <w:color w:val="000000"/>
          <w:kern w:val="0"/>
          <w:sz w:val="24"/>
          <w:shd w:val="clear" w:color="auto" w:fill="FFFFFF"/>
        </w:rPr>
        <w:t>　管理类工作底稿通常包括以下内容:</w:t>
      </w:r>
    </w:p>
    <w:p w14:paraId="45265FB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（一）资产评估业务基本事项的记录；</w:t>
      </w:r>
    </w:p>
    <w:p w14:paraId="1EBC920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（二）资产评估委托合同；</w:t>
      </w:r>
    </w:p>
    <w:p w14:paraId="33E5A70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（三）资产评估计划；</w:t>
      </w:r>
    </w:p>
    <w:p w14:paraId="5624FC0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（四）资产评估业务执行过程中重大问题处理记录；</w:t>
      </w:r>
    </w:p>
    <w:p w14:paraId="6A46885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（五）资产评估报告的审核意见。</w:t>
      </w:r>
    </w:p>
    <w:p w14:paraId="481F7B57">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第十一条</w:t>
      </w:r>
      <w:r>
        <w:rPr>
          <w:rFonts w:hint="eastAsia" w:ascii="宋体" w:hAnsi="宋体" w:eastAsia="宋体" w:cs="宋体"/>
          <w:color w:val="000000"/>
          <w:kern w:val="0"/>
          <w:sz w:val="24"/>
          <w:shd w:val="clear" w:color="auto" w:fill="FFFFFF"/>
        </w:rPr>
        <w:t>　操作类工作底稿的内容因评估目的、评估对象和评估方法等不同而有所差异，通常包括以下内容：</w:t>
      </w:r>
    </w:p>
    <w:p w14:paraId="2B6385E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（一）现场调查记录与相关资料，通常包括：</w:t>
      </w:r>
    </w:p>
    <w:p w14:paraId="20C4F14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1.委托人或者其他相关当事人提供的资料，如：资产评估明细表，评估对象的权属证明资料，与评估业务相关的历史、预测、财务、审计等资料，以及相关说明、证明和承诺等；</w:t>
      </w:r>
    </w:p>
    <w:p w14:paraId="59D2683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2.现场勘查记录、书面询问记录、函证记录等；</w:t>
      </w:r>
    </w:p>
    <w:p w14:paraId="0A02D8F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3.其他相关资料。</w:t>
      </w:r>
    </w:p>
    <w:p w14:paraId="5980977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（二）收集的评估资料，通常包括：市场调查及数据分析资料，询价记录，其他专家鉴定及专业人士报告，其他相关资料。</w:t>
      </w:r>
    </w:p>
    <w:p w14:paraId="1D9CD47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（三）评定估算过程记录，通常包括：重要参数的选取和形成过程记录，价值分析、计算、判断过程记录，评估结论形成过程记录，与委托人或者其他相关当事人的沟通记录，其他相关资料。</w:t>
      </w:r>
    </w:p>
    <w:p w14:paraId="5A461F33">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第十二条</w:t>
      </w:r>
      <w:r>
        <w:rPr>
          <w:rFonts w:hint="eastAsia" w:ascii="宋体" w:hAnsi="宋体" w:eastAsia="宋体" w:cs="宋体"/>
          <w:color w:val="000000"/>
          <w:kern w:val="0"/>
          <w:sz w:val="24"/>
          <w:shd w:val="clear" w:color="auto" w:fill="FFFFFF"/>
        </w:rPr>
        <w:t>　资产评估专业人员收集委托人或者其他相关当事人提供的资产评估明细表及其他重要资料作为工作底稿，应当由提供方对相关资料进行确认，确认方式包括签字、盖章或者法律允许的其他方式。</w:t>
      </w:r>
    </w:p>
    <w:p w14:paraId="77E974F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资产评估项目所涉及的经济行为需要批准的，应当将批准文件归档。</w:t>
      </w:r>
    </w:p>
    <w:p w14:paraId="3E6E7CED">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第十三条</w:t>
      </w:r>
      <w:r>
        <w:rPr>
          <w:rFonts w:hint="eastAsia" w:ascii="宋体" w:hAnsi="宋体" w:eastAsia="宋体" w:cs="宋体"/>
          <w:color w:val="000000"/>
          <w:kern w:val="0"/>
          <w:sz w:val="24"/>
          <w:shd w:val="clear" w:color="auto" w:fill="FFFFFF"/>
        </w:rPr>
        <w:t>　工作底稿中应当反映内部审核过程。</w:t>
      </w:r>
    </w:p>
    <w:p w14:paraId="6E92914F">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第十四条</w:t>
      </w:r>
      <w:r>
        <w:rPr>
          <w:rFonts w:hint="eastAsia" w:ascii="宋体" w:hAnsi="宋体" w:eastAsia="宋体" w:cs="宋体"/>
          <w:color w:val="000000"/>
          <w:kern w:val="0"/>
          <w:sz w:val="24"/>
          <w:shd w:val="clear" w:color="auto" w:fill="FFFFFF"/>
        </w:rPr>
        <w:t>　资产评估专业人员应当根据资产评估业务特点和工作底稿类别，编制工作底稿目录，建立必要的索引号，以反映工作底稿间的勾稽关系。</w:t>
      </w:r>
    </w:p>
    <w:p w14:paraId="430D427B">
      <w:pPr>
        <w:shd w:val="clear" w:color="auto" w:fill="FFFFFF"/>
        <w:spacing w:line="440" w:lineRule="atLeast"/>
        <w:ind w:firstLine="480" w:firstLineChars="200"/>
        <w:rPr>
          <w:rFonts w:ascii="宋体" w:hAnsi="宋体" w:eastAsia="宋体" w:cs="宋体"/>
          <w:color w:val="000000"/>
          <w:kern w:val="0"/>
          <w:sz w:val="24"/>
          <w:shd w:val="clear" w:color="auto" w:fill="FFFFFF"/>
        </w:rPr>
      </w:pPr>
    </w:p>
    <w:p w14:paraId="5AF15F6E">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第三章　资产评估档案的归集和管理</w:t>
      </w:r>
    </w:p>
    <w:p w14:paraId="33AF18C0">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第十五条</w:t>
      </w:r>
      <w:r>
        <w:rPr>
          <w:rFonts w:hint="eastAsia" w:ascii="宋体" w:hAnsi="宋体" w:eastAsia="宋体" w:cs="宋体"/>
          <w:color w:val="000000"/>
          <w:kern w:val="0"/>
          <w:sz w:val="24"/>
          <w:shd w:val="clear" w:color="auto" w:fill="FFFFFF"/>
        </w:rPr>
        <w:t>　资产评估专业人员通常应当在资产评估报告日后90日内将工作底稿、资产评估报告及其他相关资料归集形成资产评估档案，并在归档目录中注明文档介质形式。重大或者特殊项目的归档时限为评估结论使用有效期届满后30日内。</w:t>
      </w:r>
    </w:p>
    <w:p w14:paraId="578B156D">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第十六条</w:t>
      </w:r>
      <w:r>
        <w:rPr>
          <w:rFonts w:hint="eastAsia" w:ascii="宋体" w:hAnsi="宋体" w:eastAsia="宋体" w:cs="宋体"/>
          <w:color w:val="000000"/>
          <w:kern w:val="0"/>
          <w:sz w:val="24"/>
          <w:shd w:val="clear" w:color="auto" w:fill="FFFFFF"/>
        </w:rPr>
        <w:t>　资产评估委托合同、资产评估报告应当形成纸质文档。评估明细表、评估说明可以是纸质文档、电子文档或者其他介质形式的文档。</w:t>
      </w:r>
    </w:p>
    <w:p w14:paraId="6895A07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同时以纸质和其他介质形式保存的文档，其内容应当相互匹配，不一致的以纸质文档为准。</w:t>
      </w:r>
    </w:p>
    <w:p w14:paraId="27CCB0EF">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第十七条</w:t>
      </w:r>
      <w:r>
        <w:rPr>
          <w:rFonts w:hint="eastAsia" w:ascii="宋体" w:hAnsi="宋体" w:eastAsia="宋体" w:cs="宋体"/>
          <w:color w:val="000000"/>
          <w:kern w:val="0"/>
          <w:sz w:val="24"/>
          <w:shd w:val="clear" w:color="auto" w:fill="FFFFFF"/>
        </w:rPr>
        <w:t>　资产评估机构应当在法定保存期内妥善保存资产评估档案，保证资产评估档案安全和持续使用。资产评估档案自资产评估报告日起保存期限不少于十五年；属于法定资产评估业务的，不少于三十年。资产评估档案应当由资产评估机构集中统一管理，不得由原制作人单独分散保存。</w:t>
      </w:r>
    </w:p>
    <w:p w14:paraId="088553B0">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第十八条</w:t>
      </w:r>
      <w:r>
        <w:rPr>
          <w:rFonts w:hint="eastAsia" w:ascii="宋体" w:hAnsi="宋体" w:eastAsia="宋体" w:cs="宋体"/>
          <w:color w:val="000000"/>
          <w:kern w:val="0"/>
          <w:sz w:val="24"/>
          <w:shd w:val="clear" w:color="auto" w:fill="FFFFFF"/>
        </w:rPr>
        <w:t>　资产评估机构不得对在法定保存期内的资产评估档案非法删改或者销毁。</w:t>
      </w:r>
    </w:p>
    <w:p w14:paraId="0255F503">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第十九条</w:t>
      </w:r>
      <w:r>
        <w:rPr>
          <w:rFonts w:hint="eastAsia" w:ascii="宋体" w:hAnsi="宋体" w:eastAsia="宋体" w:cs="宋体"/>
          <w:color w:val="000000"/>
          <w:kern w:val="0"/>
          <w:sz w:val="24"/>
          <w:shd w:val="clear" w:color="auto" w:fill="FFFFFF"/>
        </w:rPr>
        <w:t>　资产评估档案的管理应当严格执行保密制度。除下列情形外，资产评估档案不得对外提供：</w:t>
      </w:r>
    </w:p>
    <w:p w14:paraId="2729F6A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（一）国家机关依法调阅的；</w:t>
      </w:r>
    </w:p>
    <w:p w14:paraId="4BBEAB7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（二）资产评估协会依法依规调阅的；</w:t>
      </w:r>
    </w:p>
    <w:p w14:paraId="3DEE614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（三）其他依法依规查阅的。</w:t>
      </w:r>
    </w:p>
    <w:p w14:paraId="2569C769">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第四章　附则</w:t>
      </w:r>
    </w:p>
    <w:p w14:paraId="6E005689">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第二十条</w:t>
      </w:r>
      <w:r>
        <w:rPr>
          <w:rFonts w:hint="eastAsia" w:ascii="宋体" w:hAnsi="宋体" w:eastAsia="宋体" w:cs="宋体"/>
          <w:color w:val="000000"/>
          <w:kern w:val="0"/>
          <w:sz w:val="24"/>
          <w:shd w:val="clear" w:color="auto" w:fill="FFFFFF"/>
        </w:rPr>
        <w:t>　本准则自2019年1月1日起施行。中国资产评估协会于2017年9月8日发布的《关于印发&lt;资产评估执业准则——资产评估档案&gt;的通知》（中评协〔2017〕34号）中的《资产评估执业准则——资产评估档案》同时废止。</w:t>
      </w:r>
    </w:p>
    <w:p w14:paraId="08F53BF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br w:type="page"/>
      </w:r>
    </w:p>
    <w:p w14:paraId="3DDD49EE">
      <w:pPr>
        <w:pStyle w:val="5"/>
        <w:spacing w:line="440" w:lineRule="atLeast"/>
        <w:jc w:val="center"/>
        <w:rPr>
          <w:rFonts w:ascii="宋体" w:hAnsi="宋体" w:eastAsia="宋体" w:cs="宋体"/>
        </w:rPr>
      </w:pPr>
      <w:bookmarkStart w:id="107" w:name="_Toc21831"/>
      <w:r>
        <w:rPr>
          <w:rFonts w:hint="eastAsia" w:ascii="宋体" w:hAnsi="宋体" w:eastAsia="宋体" w:cs="宋体"/>
        </w:rPr>
        <w:t>资产评估执业准则——资产评估方法</w:t>
      </w:r>
      <w:bookmarkEnd w:id="107"/>
    </w:p>
    <w:p w14:paraId="0E73F45B">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第一章　总则</w:t>
      </w:r>
    </w:p>
    <w:p w14:paraId="50D0E08C">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第一条</w:t>
      </w:r>
      <w:r>
        <w:rPr>
          <w:rFonts w:hint="eastAsia" w:ascii="宋体" w:hAnsi="宋体" w:eastAsia="宋体" w:cs="宋体"/>
          <w:color w:val="000000"/>
          <w:kern w:val="0"/>
          <w:sz w:val="24"/>
          <w:shd w:val="clear" w:color="auto" w:fill="FFFFFF"/>
        </w:rPr>
        <w:t>　为规范资产评估机构及其资产评估专业人员在执行资产评估业务时使用资产评估方法的行为，根据《资产评估基本准则》制定本准则。</w:t>
      </w:r>
    </w:p>
    <w:p w14:paraId="26224D21">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第二条</w:t>
      </w:r>
      <w:r>
        <w:rPr>
          <w:rFonts w:hint="eastAsia" w:ascii="宋体" w:hAnsi="宋体" w:eastAsia="宋体" w:cs="宋体"/>
          <w:color w:val="000000"/>
          <w:kern w:val="0"/>
          <w:sz w:val="24"/>
          <w:shd w:val="clear" w:color="auto" w:fill="FFFFFF"/>
        </w:rPr>
        <w:t>　本准则所称资产评估方法，是指评定估算资产价值的途径和手段。资产评估方法主要包括市场法、收益法和成本法三种基本方法及其衍生方法。</w:t>
      </w:r>
    </w:p>
    <w:p w14:paraId="477A3ACA">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第三条</w:t>
      </w:r>
      <w:r>
        <w:rPr>
          <w:rFonts w:hint="eastAsia" w:ascii="宋体" w:hAnsi="宋体" w:eastAsia="宋体" w:cs="宋体"/>
          <w:color w:val="000000"/>
          <w:kern w:val="0"/>
          <w:sz w:val="24"/>
          <w:shd w:val="clear" w:color="auto" w:fill="FFFFFF"/>
        </w:rPr>
        <w:t>　执行资产评估业务，应当遵守本准则。</w:t>
      </w:r>
    </w:p>
    <w:p w14:paraId="76E1261B">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第二章　市场法</w:t>
      </w:r>
    </w:p>
    <w:p w14:paraId="0F3F02A2">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第四条</w:t>
      </w:r>
      <w:r>
        <w:rPr>
          <w:rFonts w:hint="eastAsia" w:ascii="宋体" w:hAnsi="宋体" w:eastAsia="宋体" w:cs="宋体"/>
          <w:color w:val="000000"/>
          <w:kern w:val="0"/>
          <w:sz w:val="24"/>
          <w:shd w:val="clear" w:color="auto" w:fill="FFFFFF"/>
        </w:rPr>
        <w:t>　市场法也称比较法、市场比较法，是指通过将评估对象与可比参照物进行比较，以可比参照物的市场价格为基础确定评估对象价值的评估方法的总称。</w:t>
      </w:r>
    </w:p>
    <w:p w14:paraId="2BFB4A8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市场法包括多种具体方法。例如，企业价值评估中的交易案例比较法和上市公司比较法，单项资产评估中的直接比较法和间接比较法等。</w:t>
      </w:r>
    </w:p>
    <w:p w14:paraId="6D0C025E">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第五条</w:t>
      </w:r>
      <w:r>
        <w:rPr>
          <w:rFonts w:hint="eastAsia" w:ascii="宋体" w:hAnsi="宋体" w:eastAsia="宋体" w:cs="宋体"/>
          <w:color w:val="000000"/>
          <w:kern w:val="0"/>
          <w:sz w:val="24"/>
          <w:shd w:val="clear" w:color="auto" w:fill="FFFFFF"/>
        </w:rPr>
        <w:t>　资产评估专业人员选择和使用市场法时应当考虑市场法应用的前提条件：</w:t>
      </w:r>
    </w:p>
    <w:p w14:paraId="770AB1E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（一）评估对象的可比参照物具有公开的市场，以及活跃的交易；</w:t>
      </w:r>
    </w:p>
    <w:p w14:paraId="31C5DCC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（二）有关交易的必要信息可以获得。</w:t>
      </w:r>
    </w:p>
    <w:p w14:paraId="7AB60205">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第六条</w:t>
      </w:r>
      <w:r>
        <w:rPr>
          <w:rFonts w:hint="eastAsia" w:ascii="宋体" w:hAnsi="宋体" w:eastAsia="宋体" w:cs="宋体"/>
          <w:color w:val="000000"/>
          <w:kern w:val="0"/>
          <w:sz w:val="24"/>
          <w:shd w:val="clear" w:color="auto" w:fill="FFFFFF"/>
        </w:rPr>
        <w:t>　资产评估专业人员应当根据评估对象特点,基于以下原则选择可比参照物：</w:t>
      </w:r>
    </w:p>
    <w:p w14:paraId="4C7EA46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（一）选择在交易市场方面与评估对象相同或者可比的参照物；</w:t>
      </w:r>
    </w:p>
    <w:p w14:paraId="61503DB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（二）选择适当数量的与评估对象相同或者可比的参照物；</w:t>
      </w:r>
    </w:p>
    <w:p w14:paraId="71C7A3A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（三）选择与评估对象在价值影响因素方面相同或者相似的参照物；</w:t>
      </w:r>
    </w:p>
    <w:p w14:paraId="5F415BD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（四）选择交易时间与评估基准日接近的参照物；</w:t>
      </w:r>
    </w:p>
    <w:p w14:paraId="4375BA6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（五）选择交易类型与评估目的相适合的参照物；</w:t>
      </w:r>
    </w:p>
    <w:p w14:paraId="724AEC1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（六）选择正常或者可以修正为正常交易价格的参照物。</w:t>
      </w:r>
    </w:p>
    <w:p w14:paraId="0826DBD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市场法的比较基准通常因评估对象的资产类型、所处行业等差异有所区别，可以表现为价值比率、交易单价等形式。</w:t>
      </w:r>
    </w:p>
    <w:p w14:paraId="0609557E">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第七条</w:t>
      </w:r>
      <w:r>
        <w:rPr>
          <w:rFonts w:hint="eastAsia" w:ascii="宋体" w:hAnsi="宋体" w:eastAsia="宋体" w:cs="宋体"/>
          <w:color w:val="000000"/>
          <w:kern w:val="0"/>
          <w:sz w:val="24"/>
          <w:shd w:val="clear" w:color="auto" w:fill="FFFFFF"/>
        </w:rPr>
        <w:t>　资产评估专业人员在运用市场法时应当对评估对象与可比参照物进行比较分析，并对价值影响因素和交易条件存在的差异做出合理修正。</w:t>
      </w:r>
    </w:p>
    <w:p w14:paraId="5C39AD57">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第八条</w:t>
      </w:r>
      <w:r>
        <w:rPr>
          <w:rFonts w:hint="eastAsia" w:ascii="宋体" w:hAnsi="宋体" w:eastAsia="宋体" w:cs="宋体"/>
          <w:color w:val="000000"/>
          <w:kern w:val="0"/>
          <w:sz w:val="24"/>
          <w:shd w:val="clear" w:color="auto" w:fill="FFFFFF"/>
        </w:rPr>
        <w:t>　运用市场法时，应当关注以下影响评估测算结果可靠性的因素：</w:t>
      </w:r>
    </w:p>
    <w:p w14:paraId="47F563A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（一）市场的活跃程度；</w:t>
      </w:r>
    </w:p>
    <w:p w14:paraId="4E13F7A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（二）参照物的相似程度；</w:t>
      </w:r>
    </w:p>
    <w:p w14:paraId="1B4E6F1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（三）参照物的交易时间与评估基准日的接近程度；</w:t>
      </w:r>
    </w:p>
    <w:p w14:paraId="7067ED3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（四）参照物的交易目的及条件的可比程度；</w:t>
      </w:r>
    </w:p>
    <w:p w14:paraId="6FC4A60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（五）参照物信息资料的充分程度。</w:t>
      </w:r>
    </w:p>
    <w:p w14:paraId="246BCA8E">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第三章　收益法</w:t>
      </w:r>
    </w:p>
    <w:p w14:paraId="1DD3C9DD">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第九条</w:t>
      </w:r>
      <w:r>
        <w:rPr>
          <w:rFonts w:hint="eastAsia" w:ascii="宋体" w:hAnsi="宋体" w:eastAsia="宋体" w:cs="宋体"/>
          <w:color w:val="000000"/>
          <w:kern w:val="0"/>
          <w:sz w:val="24"/>
          <w:shd w:val="clear" w:color="auto" w:fill="FFFFFF"/>
        </w:rPr>
        <w:t>　收益法是指通过将评估对象的预期收益资本化或者折现，来确定其价值的各种评估方法的总称。</w:t>
      </w:r>
    </w:p>
    <w:p w14:paraId="2299430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收益法包括多种具体方法。例如，企业价值评估中的现金流量折现法、股利折现法等；无形资产评估中的增量收益法、超额收益法、节省许可费法、收益分成法等。</w:t>
      </w:r>
    </w:p>
    <w:p w14:paraId="58E7C130">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第十条</w:t>
      </w:r>
      <w:r>
        <w:rPr>
          <w:rFonts w:hint="eastAsia" w:ascii="宋体" w:hAnsi="宋体" w:eastAsia="宋体" w:cs="宋体"/>
          <w:color w:val="000000"/>
          <w:kern w:val="0"/>
          <w:sz w:val="24"/>
          <w:shd w:val="clear" w:color="auto" w:fill="FFFFFF"/>
        </w:rPr>
        <w:t>　资产评估专业人员选择和使用收益法时应当考虑收益法应用的前提条件：</w:t>
      </w:r>
    </w:p>
    <w:p w14:paraId="597E364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（一）评估对象的未来收益可以合理预期并用货币计量；</w:t>
      </w:r>
    </w:p>
    <w:p w14:paraId="668B2AC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（二）预期收益所对应的风险能够度量；</w:t>
      </w:r>
    </w:p>
    <w:p w14:paraId="28FA167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（三）收益期限能够确定或者合理预期。</w:t>
      </w:r>
    </w:p>
    <w:p w14:paraId="65A43FA9">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第十一条</w:t>
      </w:r>
      <w:r>
        <w:rPr>
          <w:rFonts w:hint="eastAsia" w:ascii="宋体" w:hAnsi="宋体" w:eastAsia="宋体" w:cs="宋体"/>
          <w:color w:val="000000"/>
          <w:kern w:val="0"/>
          <w:sz w:val="24"/>
          <w:shd w:val="clear" w:color="auto" w:fill="FFFFFF"/>
        </w:rPr>
        <w:t>　资产评估专业人员在确定预期收益时应当重点关注：</w:t>
      </w:r>
    </w:p>
    <w:p w14:paraId="6A2AA38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（一）预期收益类型与口径。例如，收入、利润、股利或者现金流量，以及整体资产或者部分权益的收益、税前或者税后收益、名义或者实际收益等。</w:t>
      </w:r>
    </w:p>
    <w:p w14:paraId="23419C4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名义收益包括预期的通货膨胀水平，实际收益则会剔除通货膨胀的影响。</w:t>
      </w:r>
    </w:p>
    <w:p w14:paraId="1D85875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（二）收益预测应当根据资产的性质、可以获取的信息和所要求的价值类型等作出。</w:t>
      </w:r>
    </w:p>
    <w:p w14:paraId="0380D9E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资产评估专业人员应当对收益预测所利用的财务信息以及其他相关信息、假设及其对评估目的的恰当性进行分析评价。</w:t>
      </w:r>
    </w:p>
    <w:p w14:paraId="24F18A5F">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第十二条</w:t>
      </w:r>
      <w:r>
        <w:rPr>
          <w:rFonts w:hint="eastAsia" w:ascii="宋体" w:hAnsi="宋体" w:eastAsia="宋体" w:cs="宋体"/>
          <w:color w:val="000000"/>
          <w:kern w:val="0"/>
          <w:sz w:val="24"/>
          <w:shd w:val="clear" w:color="auto" w:fill="FFFFFF"/>
        </w:rPr>
        <w:t>　资产评估专业人员在确定收益期时应当考虑评估对象的预期寿命、法律法规和相关合同等限制，详细预测期的选择应当考虑使评估对象达到稳定收益的期限、周期性等因素。</w:t>
      </w:r>
    </w:p>
    <w:p w14:paraId="71891288">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第十三条</w:t>
      </w:r>
      <w:r>
        <w:rPr>
          <w:rFonts w:hint="eastAsia" w:ascii="宋体" w:hAnsi="宋体" w:eastAsia="宋体" w:cs="宋体"/>
          <w:color w:val="000000"/>
          <w:kern w:val="0"/>
          <w:sz w:val="24"/>
          <w:shd w:val="clear" w:color="auto" w:fill="FFFFFF"/>
        </w:rPr>
        <w:t>　收益法评估所采用的折现率不仅要反映资金的时间价值，还应当体现与收益类型和评估对象未来经营相关的风险，与所选择的收益类型与口径相匹配。</w:t>
      </w:r>
    </w:p>
    <w:p w14:paraId="5CD42D45">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第十四条</w:t>
      </w:r>
      <w:r>
        <w:rPr>
          <w:rFonts w:hint="eastAsia" w:ascii="宋体" w:hAnsi="宋体" w:eastAsia="宋体" w:cs="宋体"/>
          <w:color w:val="000000"/>
          <w:kern w:val="0"/>
          <w:sz w:val="24"/>
          <w:shd w:val="clear" w:color="auto" w:fill="FFFFFF"/>
        </w:rPr>
        <w:t>　运用收益法时，应当关注以下影响评估测算结果可靠性的因素：</w:t>
      </w:r>
    </w:p>
    <w:p w14:paraId="382D202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（一）无法获得支持专业判断的必要信息；</w:t>
      </w:r>
    </w:p>
    <w:p w14:paraId="6F141F2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（二）评估对象没有历史收益记录或者尚未开始产生收益，对收益的预测仅基于预期；</w:t>
      </w:r>
    </w:p>
    <w:p w14:paraId="505FF91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（三）未来的经营模式或者盈利模式发生重大变化。</w:t>
      </w:r>
    </w:p>
    <w:p w14:paraId="628777F8">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第四章　成本法</w:t>
      </w:r>
    </w:p>
    <w:p w14:paraId="4135754F">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第十五条</w:t>
      </w:r>
      <w:r>
        <w:rPr>
          <w:rFonts w:hint="eastAsia" w:ascii="宋体" w:hAnsi="宋体" w:eastAsia="宋体" w:cs="宋体"/>
          <w:color w:val="000000"/>
          <w:kern w:val="0"/>
          <w:sz w:val="24"/>
          <w:shd w:val="clear" w:color="auto" w:fill="FFFFFF"/>
        </w:rPr>
        <w:t>　成本法是指按照重建或者重置被评估对象的思路，将重建或者重置成本作为确定评估对象价值的基础，扣除相关贬值，以此确定评估对象价值的评估方法的总称。</w:t>
      </w:r>
    </w:p>
    <w:p w14:paraId="74B64B5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成本法包括多种具体方法。例如，复原重置成本法、更新重置成本法、成本加和法（也称资产基础法）等。</w:t>
      </w:r>
    </w:p>
    <w:p w14:paraId="5BED53AE">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第十六条</w:t>
      </w:r>
      <w:r>
        <w:rPr>
          <w:rFonts w:hint="eastAsia" w:ascii="宋体" w:hAnsi="宋体" w:eastAsia="宋体" w:cs="宋体"/>
          <w:color w:val="000000"/>
          <w:kern w:val="0"/>
          <w:sz w:val="24"/>
          <w:shd w:val="clear" w:color="auto" w:fill="FFFFFF"/>
        </w:rPr>
        <w:t>　资产评估专业人员选择和使用成本法时应当考虑成本法应用的前提条件：</w:t>
      </w:r>
    </w:p>
    <w:p w14:paraId="76DBAE7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（一）评估对象能正常使用或者在用；</w:t>
      </w:r>
    </w:p>
    <w:p w14:paraId="71E7D77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（二）评估对象能够通过重置途径获得；</w:t>
      </w:r>
    </w:p>
    <w:p w14:paraId="0A3EABC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（三）评估对象的重置成本以及相关贬值能够合理估算。</w:t>
      </w:r>
    </w:p>
    <w:p w14:paraId="338A2D90">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第十七条</w:t>
      </w:r>
      <w:r>
        <w:rPr>
          <w:rFonts w:hint="eastAsia" w:ascii="宋体" w:hAnsi="宋体" w:eastAsia="宋体" w:cs="宋体"/>
          <w:color w:val="000000"/>
          <w:kern w:val="0"/>
          <w:sz w:val="24"/>
          <w:shd w:val="clear" w:color="auto" w:fill="FFFFFF"/>
        </w:rPr>
        <w:t>　当出现下列情况，一般不适用成本法：</w:t>
      </w:r>
    </w:p>
    <w:p w14:paraId="4ED43BC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（一）因法律、行政法规或者产业政策的限制使重置评估对象的前提不存在；</w:t>
      </w:r>
    </w:p>
    <w:p w14:paraId="1B7679F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（二）不可以用重置途径获取的评估对象。</w:t>
      </w:r>
    </w:p>
    <w:p w14:paraId="69B97785">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第十八条</w:t>
      </w:r>
      <w:r>
        <w:rPr>
          <w:rFonts w:hint="eastAsia" w:ascii="宋体" w:hAnsi="宋体" w:eastAsia="宋体" w:cs="宋体"/>
          <w:color w:val="000000"/>
          <w:kern w:val="0"/>
          <w:sz w:val="24"/>
          <w:shd w:val="clear" w:color="auto" w:fill="FFFFFF"/>
        </w:rPr>
        <w:t>　重置成本可区分为复原重置成本和更新重置成本。</w:t>
      </w:r>
    </w:p>
    <w:p w14:paraId="7D659D1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更新重置成本通常适用于使用当前条件所重置的资产可以提供与评估对象相似或者相同的功能，并且更新重置成本低于其复原重置成本。</w:t>
      </w:r>
    </w:p>
    <w:p w14:paraId="5B53063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复原重置成本适用于评估对象的效用只能通过按原条件重新复制评估对象的方式提供。</w:t>
      </w:r>
    </w:p>
    <w:p w14:paraId="223171D4">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第十九条</w:t>
      </w:r>
      <w:r>
        <w:rPr>
          <w:rFonts w:hint="eastAsia" w:ascii="宋体" w:hAnsi="宋体" w:eastAsia="宋体" w:cs="宋体"/>
          <w:color w:val="000000"/>
          <w:kern w:val="0"/>
          <w:sz w:val="24"/>
          <w:shd w:val="clear" w:color="auto" w:fill="FFFFFF"/>
        </w:rPr>
        <w:t>　资产评估专业人员应当根据评估目的、评估对象和评估假设合理确定重置成本的构成要素。</w:t>
      </w:r>
    </w:p>
    <w:p w14:paraId="07472A2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重置成本的构成要素一般包括建造或者购置评估对象的直接成本、间接成本、资金成本、税费及合理的利润。</w:t>
      </w:r>
    </w:p>
    <w:p w14:paraId="064DD10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重置成本应当是社会一般生产力水平的客观必要成本，而不是个别成本。</w:t>
      </w:r>
    </w:p>
    <w:p w14:paraId="17AE7400">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第二十条</w:t>
      </w:r>
      <w:r>
        <w:rPr>
          <w:rFonts w:hint="eastAsia" w:ascii="宋体" w:hAnsi="宋体" w:eastAsia="宋体" w:cs="宋体"/>
          <w:color w:val="000000"/>
          <w:kern w:val="0"/>
          <w:sz w:val="24"/>
          <w:shd w:val="clear" w:color="auto" w:fill="FFFFFF"/>
        </w:rPr>
        <w:t>　资产评估专业人员应当结合评估对象的实际情况以及影响其价值变化的条件，充分考虑可能影响资产贬值的因素，合理确定各项贬值。以实体形式存在的评估对象的主要贬值形式有实体性贬值、功能性贬值和经济性贬值。</w:t>
      </w:r>
    </w:p>
    <w:p w14:paraId="492F0E6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实体性贬值，也称有形损耗，是指由于使用和自然力的作用导致资产的物理性能损耗或者下降引起的资产价值损失。</w:t>
      </w:r>
    </w:p>
    <w:p w14:paraId="756FD53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功能性贬值是指由于技术进步引起资产功能相对落后造成的资产价值损失。</w:t>
      </w:r>
    </w:p>
    <w:p w14:paraId="4671D36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经济性贬值是指由于外部条件变化引起资产闲置、收益下降等造成的资产价值损失。</w:t>
      </w:r>
    </w:p>
    <w:p w14:paraId="27E9CD0D">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第五章　评估方法的选择</w:t>
      </w:r>
    </w:p>
    <w:p w14:paraId="0D7A8471">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第二十一条</w:t>
      </w:r>
      <w:r>
        <w:rPr>
          <w:rFonts w:hint="eastAsia" w:ascii="宋体" w:hAnsi="宋体" w:eastAsia="宋体" w:cs="宋体"/>
          <w:color w:val="000000"/>
          <w:kern w:val="0"/>
          <w:sz w:val="24"/>
          <w:shd w:val="clear" w:color="auto" w:fill="FFFFFF"/>
        </w:rPr>
        <w:t>　资产评估专业人员应当熟知、理解并恰当选择评估方法。资产评估专业人员在选择评估方法时，应当充分考虑影响评估方法选择的因素。选择评估方法所考虑的因素包括：</w:t>
      </w:r>
    </w:p>
    <w:p w14:paraId="1E8E60A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（一）评估目的和价值类型；</w:t>
      </w:r>
    </w:p>
    <w:p w14:paraId="6E92FB0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（二）评估对象；</w:t>
      </w:r>
    </w:p>
    <w:p w14:paraId="7B84F18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（三）评估方法的适用条件；</w:t>
      </w:r>
    </w:p>
    <w:p w14:paraId="5A68BC7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（四）评估方法应用所依据数据的质量和数量；</w:t>
      </w:r>
    </w:p>
    <w:p w14:paraId="5BADA89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（五）影响评估方法选择的其他因素。</w:t>
      </w:r>
    </w:p>
    <w:p w14:paraId="098EF18E">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第二十二条</w:t>
      </w:r>
      <w:r>
        <w:rPr>
          <w:rFonts w:hint="eastAsia" w:ascii="宋体" w:hAnsi="宋体" w:eastAsia="宋体" w:cs="宋体"/>
          <w:color w:val="000000"/>
          <w:kern w:val="0"/>
          <w:sz w:val="24"/>
          <w:shd w:val="clear" w:color="auto" w:fill="FFFFFF"/>
        </w:rPr>
        <w:t>　当满足采用不同评估方法的条件时，资产评估专业人员应当选择两种或者两种以上评估方法，通过综合分析形成合理评估结论。</w:t>
      </w:r>
    </w:p>
    <w:p w14:paraId="333B6C79">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第二十三条</w:t>
      </w:r>
      <w:r>
        <w:rPr>
          <w:rFonts w:hint="eastAsia" w:ascii="宋体" w:hAnsi="宋体" w:eastAsia="宋体" w:cs="宋体"/>
          <w:color w:val="000000"/>
          <w:kern w:val="0"/>
          <w:sz w:val="24"/>
          <w:shd w:val="clear" w:color="auto" w:fill="FFFFFF"/>
        </w:rPr>
        <w:t>　当存在下列情形时，资产评估专业人员可以采用一种评估方法：</w:t>
      </w:r>
    </w:p>
    <w:p w14:paraId="5761051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（一）基于相关法律、行政法规和财政部部门规章的规定可以采用一种评估方法；</w:t>
      </w:r>
    </w:p>
    <w:p w14:paraId="56E09D2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（二）由于评估对象仅满足一种评估方法的适用条件而采用一种评估方法；</w:t>
      </w:r>
    </w:p>
    <w:p w14:paraId="47AE131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（三）因操作条件限制而采用一种评估方法。操作条件限制应当是资产评估行业通常的执业方式普遍无法排除的，而不得以个别资产评估机构或者个别资产评估专业人员的操作能力和条件作为判断标准。</w:t>
      </w:r>
    </w:p>
    <w:p w14:paraId="2A6CDD79">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第二十四条</w:t>
      </w:r>
      <w:r>
        <w:rPr>
          <w:rFonts w:hint="eastAsia" w:ascii="宋体" w:hAnsi="宋体" w:eastAsia="宋体" w:cs="宋体"/>
          <w:color w:val="000000"/>
          <w:kern w:val="0"/>
          <w:sz w:val="24"/>
          <w:shd w:val="clear" w:color="auto" w:fill="FFFFFF"/>
        </w:rPr>
        <w:t>　资产评估报告应当对评估方法的选择及其理由进行披露。</w:t>
      </w:r>
    </w:p>
    <w:p w14:paraId="02E4583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因适用性受限而选择一种评估方法的，应当在资产评估报告中披露其他基本评估方法不适用的原因；因操作条件受限而选择一种评估方法的，应当对所受的操作条件限制进行分析、说明和披露。</w:t>
      </w:r>
    </w:p>
    <w:p w14:paraId="1A0E785B">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第六章　附则</w:t>
      </w:r>
    </w:p>
    <w:p w14:paraId="03A0B557">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第二十五条</w:t>
      </w:r>
      <w:r>
        <w:rPr>
          <w:rFonts w:hint="eastAsia" w:ascii="宋体" w:hAnsi="宋体" w:eastAsia="宋体" w:cs="宋体"/>
          <w:color w:val="000000"/>
          <w:kern w:val="0"/>
          <w:sz w:val="24"/>
          <w:shd w:val="clear" w:color="auto" w:fill="FFFFFF"/>
        </w:rPr>
        <w:t>　本准则自2020年3月1日起施行。</w:t>
      </w:r>
    </w:p>
    <w:p w14:paraId="214CF1B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br w:type="page"/>
      </w:r>
    </w:p>
    <w:p w14:paraId="191F7DC1">
      <w:pPr>
        <w:pStyle w:val="5"/>
        <w:spacing w:line="440" w:lineRule="atLeast"/>
        <w:jc w:val="center"/>
        <w:rPr>
          <w:rFonts w:ascii="宋体" w:hAnsi="宋体" w:eastAsia="宋体" w:cs="宋体"/>
        </w:rPr>
      </w:pPr>
      <w:bookmarkStart w:id="108" w:name="_Toc28293"/>
      <w:r>
        <w:rPr>
          <w:rFonts w:hint="eastAsia" w:ascii="宋体" w:hAnsi="宋体" w:eastAsia="宋体" w:cs="宋体"/>
        </w:rPr>
        <w:t>资产评估执业准则——利用专家及相关报告</w:t>
      </w:r>
      <w:bookmarkEnd w:id="108"/>
    </w:p>
    <w:p w14:paraId="2C572B5D">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第一章　总则</w:t>
      </w:r>
    </w:p>
    <w:p w14:paraId="0ED03E1A">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第一条</w:t>
      </w:r>
      <w:r>
        <w:rPr>
          <w:rFonts w:hint="eastAsia" w:ascii="宋体" w:hAnsi="宋体" w:eastAsia="宋体" w:cs="宋体"/>
          <w:color w:val="000000"/>
          <w:kern w:val="0"/>
          <w:sz w:val="24"/>
          <w:shd w:val="clear" w:color="auto" w:fill="FFFFFF"/>
        </w:rPr>
        <w:t>　为规范资产评估机构及其资产评估专业人员利用专家及相关报告行为，保护资产评估当事人的合法权益和公共利益，根据《资产评估基本准则》制定本准则。</w:t>
      </w:r>
    </w:p>
    <w:p w14:paraId="314F7110">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第二条</w:t>
      </w:r>
      <w:r>
        <w:rPr>
          <w:rFonts w:hint="eastAsia" w:ascii="宋体" w:hAnsi="宋体" w:eastAsia="宋体" w:cs="宋体"/>
          <w:color w:val="000000"/>
          <w:kern w:val="0"/>
          <w:sz w:val="24"/>
          <w:shd w:val="clear" w:color="auto" w:fill="FFFFFF"/>
        </w:rPr>
        <w:t>　本准则所称利用专家及相关报告，是指资产评估机构在执行资产评估业务过程中，聘请专家个人协助工作、利用专业报告和引用单项资产评估报告的行为。</w:t>
      </w:r>
    </w:p>
    <w:p w14:paraId="4F5B9A8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聘请专家个人协助工作是指因涉及特殊专业知识和经验，聘请某一领域中具有专门知识、技能和经验的个人协助工作，作为资产评估专业支持。</w:t>
      </w:r>
    </w:p>
    <w:p w14:paraId="22336B3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利用专业报告是指因涉及特殊专业知识和经验，利用某一领域中具有专门资质或者相关经验的机构所出具的专业报告，作为资产评估依据。</w:t>
      </w:r>
    </w:p>
    <w:p w14:paraId="6B0A6D7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引用单项资产评估报告是指资产评估机构根据法律、行政法规等要求，引用其他评估机构出具的单项资产评估报告，作为资产评估报告的组成部分。</w:t>
      </w:r>
    </w:p>
    <w:p w14:paraId="119AC698">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第三条</w:t>
      </w:r>
      <w:r>
        <w:rPr>
          <w:rFonts w:hint="eastAsia" w:ascii="宋体" w:hAnsi="宋体" w:eastAsia="宋体" w:cs="宋体"/>
          <w:color w:val="000000"/>
          <w:kern w:val="0"/>
          <w:sz w:val="24"/>
          <w:shd w:val="clear" w:color="auto" w:fill="FFFFFF"/>
        </w:rPr>
        <w:t>　执行资产评估业务过程中利用专家及相关报告，应当遵守本准则。</w:t>
      </w:r>
    </w:p>
    <w:p w14:paraId="7E92D5B7">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第二章　聘请专家个人协助工作</w:t>
      </w:r>
    </w:p>
    <w:p w14:paraId="1F28E569">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第四条</w:t>
      </w:r>
      <w:r>
        <w:rPr>
          <w:rFonts w:hint="eastAsia" w:ascii="宋体" w:hAnsi="宋体" w:eastAsia="宋体" w:cs="宋体"/>
          <w:color w:val="000000"/>
          <w:kern w:val="0"/>
          <w:sz w:val="24"/>
          <w:shd w:val="clear" w:color="auto" w:fill="FFFFFF"/>
        </w:rPr>
        <w:t>　资产评估机构执行资产评估业务，需要特殊专业知识和经验的专家个人提供协助时，可以聘请其协助工作。</w:t>
      </w:r>
    </w:p>
    <w:p w14:paraId="5593A913">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第五条</w:t>
      </w:r>
      <w:r>
        <w:rPr>
          <w:rFonts w:hint="eastAsia" w:ascii="宋体" w:hAnsi="宋体" w:eastAsia="宋体" w:cs="宋体"/>
          <w:color w:val="000000"/>
          <w:kern w:val="0"/>
          <w:sz w:val="24"/>
          <w:shd w:val="clear" w:color="auto" w:fill="FFFFFF"/>
        </w:rPr>
        <w:t>　资产评估机构聘请相关专家协助工作的内容通常包括：</w:t>
      </w:r>
    </w:p>
    <w:p w14:paraId="3A0A4D0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（一）对资产性能、先进性等的专业判断；</w:t>
      </w:r>
    </w:p>
    <w:p w14:paraId="016E024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（二）对特殊资产实物状况、技术状况和使用状况的判断；</w:t>
      </w:r>
    </w:p>
    <w:p w14:paraId="30ADB29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（三）对特殊行业企业运营、市场状况等的判断；</w:t>
      </w:r>
    </w:p>
    <w:p w14:paraId="0F73A20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（四）资产评估过程中可能利用专家协助的其他工作。</w:t>
      </w:r>
    </w:p>
    <w:p w14:paraId="45A65B8B">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第六条</w:t>
      </w:r>
      <w:r>
        <w:rPr>
          <w:rFonts w:hint="eastAsia" w:ascii="宋体" w:hAnsi="宋体" w:eastAsia="宋体" w:cs="宋体"/>
          <w:color w:val="000000"/>
          <w:kern w:val="0"/>
          <w:sz w:val="24"/>
          <w:shd w:val="clear" w:color="auto" w:fill="FFFFFF"/>
        </w:rPr>
        <w:t>　资产评估机构在聘请专家时，应当：</w:t>
      </w:r>
    </w:p>
    <w:p w14:paraId="631CCBD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（一）综合考虑拟聘专家的专业特长、职称、专业资格、声望等因素，综合分析评判专家的专业能力；</w:t>
      </w:r>
    </w:p>
    <w:p w14:paraId="74A48A4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（二）关注专家的独立性。通常，专家与委托人或者其他相关当事人存在关联关系，专家工作的独立性可能受到影响。</w:t>
      </w:r>
    </w:p>
    <w:p w14:paraId="6EA16959">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第七条</w:t>
      </w:r>
      <w:r>
        <w:rPr>
          <w:rFonts w:hint="eastAsia" w:ascii="宋体" w:hAnsi="宋体" w:eastAsia="宋体" w:cs="宋体"/>
          <w:color w:val="000000"/>
          <w:kern w:val="0"/>
          <w:sz w:val="24"/>
          <w:shd w:val="clear" w:color="auto" w:fill="FFFFFF"/>
        </w:rPr>
        <w:t>　资产评估机构聘请相关专家协助工作，必要时应当征得委托人同意，并由资产评估机构与专家明确下列基本事项：</w:t>
      </w:r>
    </w:p>
    <w:p w14:paraId="10B5D57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（一）工作的目标、范围和成果；</w:t>
      </w:r>
    </w:p>
    <w:p w14:paraId="36147A3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（二）工作成果的归属及预定用途；</w:t>
      </w:r>
    </w:p>
    <w:p w14:paraId="4850EDF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（三）对信息保密的要求。</w:t>
      </w:r>
    </w:p>
    <w:p w14:paraId="302A4CC4">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第八条</w:t>
      </w:r>
      <w:r>
        <w:rPr>
          <w:rFonts w:hint="eastAsia" w:ascii="宋体" w:hAnsi="宋体" w:eastAsia="宋体" w:cs="宋体"/>
          <w:color w:val="000000"/>
          <w:kern w:val="0"/>
          <w:sz w:val="24"/>
          <w:shd w:val="clear" w:color="auto" w:fill="FFFFFF"/>
        </w:rPr>
        <w:t>　资产评估机构聘请专家协助工作时，应当向专家介绍资产评估相关规定和评估业务相关情况，提出具体工作要求。</w:t>
      </w:r>
    </w:p>
    <w:p w14:paraId="56114C47">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第九条</w:t>
      </w:r>
      <w:r>
        <w:rPr>
          <w:rFonts w:hint="eastAsia" w:ascii="宋体" w:hAnsi="宋体" w:eastAsia="宋体" w:cs="宋体"/>
          <w:color w:val="000000"/>
          <w:kern w:val="0"/>
          <w:sz w:val="24"/>
          <w:shd w:val="clear" w:color="auto" w:fill="FFFFFF"/>
        </w:rPr>
        <w:t>　资产评估专业人员应当在工作底稿中记录聘请专家协助工作的情况以及专家工作成果。</w:t>
      </w:r>
    </w:p>
    <w:p w14:paraId="06B49F11">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第十条</w:t>
      </w:r>
      <w:r>
        <w:rPr>
          <w:rFonts w:hint="eastAsia" w:ascii="宋体" w:hAnsi="宋体" w:eastAsia="宋体" w:cs="宋体"/>
          <w:color w:val="000000"/>
          <w:kern w:val="0"/>
          <w:sz w:val="24"/>
          <w:shd w:val="clear" w:color="auto" w:fill="FFFFFF"/>
        </w:rPr>
        <w:t>　资产评估机构和资产评估专业人员不因聘请专家协助工作而减轻或者免除法律责任。</w:t>
      </w:r>
    </w:p>
    <w:p w14:paraId="01DEF8A2">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第三章　利用专业报告</w:t>
      </w:r>
    </w:p>
    <w:p w14:paraId="19B42011">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第十一条</w:t>
      </w:r>
      <w:r>
        <w:rPr>
          <w:rFonts w:hint="eastAsia" w:ascii="宋体" w:hAnsi="宋体" w:eastAsia="宋体" w:cs="宋体"/>
          <w:color w:val="000000"/>
          <w:kern w:val="0"/>
          <w:sz w:val="24"/>
          <w:shd w:val="clear" w:color="auto" w:fill="FFFFFF"/>
        </w:rPr>
        <w:t>　执行资产评估业务，涉及特殊专业知识和经验时，可以利用专业机构出具的专业报告作为评估依据。</w:t>
      </w:r>
    </w:p>
    <w:p w14:paraId="24B8ED10">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第十二条</w:t>
      </w:r>
      <w:r>
        <w:rPr>
          <w:rFonts w:hint="eastAsia" w:ascii="宋体" w:hAnsi="宋体" w:eastAsia="宋体" w:cs="宋体"/>
          <w:color w:val="000000"/>
          <w:kern w:val="0"/>
          <w:sz w:val="24"/>
          <w:shd w:val="clear" w:color="auto" w:fill="FFFFFF"/>
        </w:rPr>
        <w:t>　资产评估机构及其资产评估专业人员利用的专业报告，应当通过合法途径获得，通常包括：</w:t>
      </w:r>
    </w:p>
    <w:p w14:paraId="26E3EF9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（一）公开发表的相关专业报告；</w:t>
      </w:r>
    </w:p>
    <w:p w14:paraId="38EDE47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（二）已经正式出具的相关专业报告；</w:t>
      </w:r>
    </w:p>
    <w:p w14:paraId="4F70BB6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（三）专门聘请专业机构完成相关工作，并出具的相应专业报告。</w:t>
      </w:r>
    </w:p>
    <w:p w14:paraId="3A6D5368">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第十三条</w:t>
      </w:r>
      <w:r>
        <w:rPr>
          <w:rFonts w:hint="eastAsia" w:ascii="宋体" w:hAnsi="宋体" w:eastAsia="宋体" w:cs="宋体"/>
          <w:color w:val="000000"/>
          <w:kern w:val="0"/>
          <w:sz w:val="24"/>
          <w:shd w:val="clear" w:color="auto" w:fill="FFFFFF"/>
        </w:rPr>
        <w:t>　资产评估专业人员利用的专业报告类型通常包括：</w:t>
      </w:r>
    </w:p>
    <w:p w14:paraId="3A5CA34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（一）对资产数量和实物状况的测定报告；</w:t>
      </w:r>
    </w:p>
    <w:p w14:paraId="2DBAC55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（二）需用特殊技术或者方法的相关测算报告；</w:t>
      </w:r>
    </w:p>
    <w:p w14:paraId="294865B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（三）特殊资产清查，必要的技术鉴定或者检测报告；</w:t>
      </w:r>
    </w:p>
    <w:p w14:paraId="2B82285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（四）相关行业或者业务的分析判断报告；</w:t>
      </w:r>
    </w:p>
    <w:p w14:paraId="2E035C8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（五）审计报告；</w:t>
      </w:r>
    </w:p>
    <w:p w14:paraId="252FEA0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（六）针对预测性财务信息的审核报告；</w:t>
      </w:r>
    </w:p>
    <w:p w14:paraId="2204D29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（七）对资产权属、相关文件和合同等的法律意见；</w:t>
      </w:r>
    </w:p>
    <w:p w14:paraId="334F42B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（八）评估过程中可能利用的其他专业资料。</w:t>
      </w:r>
    </w:p>
    <w:p w14:paraId="5E1B1190">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第十四条</w:t>
      </w:r>
      <w:r>
        <w:rPr>
          <w:rFonts w:hint="eastAsia" w:ascii="宋体" w:hAnsi="宋体" w:eastAsia="宋体" w:cs="宋体"/>
          <w:color w:val="000000"/>
          <w:kern w:val="0"/>
          <w:sz w:val="24"/>
          <w:shd w:val="clear" w:color="auto" w:fill="FFFFFF"/>
        </w:rPr>
        <w:t>　资产评估机构聘请专业机构出具专业报告时，应当：</w:t>
      </w:r>
    </w:p>
    <w:p w14:paraId="178D297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（一）综合考虑专业机构的业务范围、执业资质、业绩、地位等因素，判断其所出具的专业报告作为评估依据的可靠性；</w:t>
      </w:r>
    </w:p>
    <w:p w14:paraId="7186E8B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（二）关注专业机构的独立性。</w:t>
      </w:r>
    </w:p>
    <w:p w14:paraId="36CC2CF9">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第十五条</w:t>
      </w:r>
      <w:r>
        <w:rPr>
          <w:rFonts w:hint="eastAsia" w:ascii="宋体" w:hAnsi="宋体" w:eastAsia="宋体" w:cs="宋体"/>
          <w:color w:val="000000"/>
          <w:kern w:val="0"/>
          <w:sz w:val="24"/>
          <w:shd w:val="clear" w:color="auto" w:fill="FFFFFF"/>
        </w:rPr>
        <w:t>　资产评估机构聘请专业机构出具专业报告，应当由资产评估机构与专业机构签署约定文件，明确下列基本事项：</w:t>
      </w:r>
    </w:p>
    <w:p w14:paraId="5BC81B1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（一）工作的目标、范围和成果；</w:t>
      </w:r>
    </w:p>
    <w:p w14:paraId="22E1838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（二）工作成果的归属及预定用途；</w:t>
      </w:r>
    </w:p>
    <w:p w14:paraId="49BE34A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（三）对信息保密的要求。</w:t>
      </w:r>
    </w:p>
    <w:p w14:paraId="764676B9">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第十六条</w:t>
      </w:r>
      <w:r>
        <w:rPr>
          <w:rFonts w:hint="eastAsia" w:ascii="宋体" w:hAnsi="宋体" w:eastAsia="宋体" w:cs="宋体"/>
          <w:color w:val="000000"/>
          <w:kern w:val="0"/>
          <w:sz w:val="24"/>
          <w:shd w:val="clear" w:color="auto" w:fill="FFFFFF"/>
        </w:rPr>
        <w:t>　资产评估机构聘请专业机构出具专业报告，必要时应当征得委托人同意。</w:t>
      </w:r>
    </w:p>
    <w:p w14:paraId="76B0905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资产评估机构可以要求委托人聘请专业机构出具专业报告，并要求所出具的专业报告满足资产评估业务的需要。</w:t>
      </w:r>
    </w:p>
    <w:p w14:paraId="7497545D">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第十七条</w:t>
      </w:r>
      <w:r>
        <w:rPr>
          <w:rFonts w:hint="eastAsia" w:ascii="宋体" w:hAnsi="宋体" w:eastAsia="宋体" w:cs="宋体"/>
          <w:color w:val="000000"/>
          <w:kern w:val="0"/>
          <w:sz w:val="24"/>
          <w:shd w:val="clear" w:color="auto" w:fill="FFFFFF"/>
        </w:rPr>
        <w:t>　资产评估专业人员利用专业报告，通常应当关注以下事项：</w:t>
      </w:r>
    </w:p>
    <w:p w14:paraId="5F3D189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（一）利用与资产评估同时开展相关工作的专业机构出具的专业报告作为评估依据时，应当考虑其与资产评估的专业衔接关系；</w:t>
      </w:r>
    </w:p>
    <w:p w14:paraId="6A0A198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（二）利用委托人提供的、资产评估前已经正式出具的专业报告作为评估依据时，应当判断其作为评估依据的时效性和可靠性；</w:t>
      </w:r>
    </w:p>
    <w:p w14:paraId="65CF92E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（三）向专业机构介绍资产评估相关规定和资产评估业务相关情况，提出出具专业报告的具体要求。</w:t>
      </w:r>
    </w:p>
    <w:p w14:paraId="2EA61B74">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第十八条</w:t>
      </w:r>
      <w:r>
        <w:rPr>
          <w:rFonts w:hint="eastAsia" w:ascii="宋体" w:hAnsi="宋体" w:eastAsia="宋体" w:cs="宋体"/>
          <w:color w:val="000000"/>
          <w:kern w:val="0"/>
          <w:sz w:val="24"/>
          <w:shd w:val="clear" w:color="auto" w:fill="FFFFFF"/>
        </w:rPr>
        <w:t>　资产评估专业人员利用专业机构出具的专业报告，应当关注其披露的、对专业报告结论存在重大影响的事项。</w:t>
      </w:r>
    </w:p>
    <w:p w14:paraId="216D8088">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第十九条</w:t>
      </w:r>
      <w:r>
        <w:rPr>
          <w:rFonts w:hint="eastAsia" w:ascii="宋体" w:hAnsi="宋体" w:eastAsia="宋体" w:cs="宋体"/>
          <w:color w:val="000000"/>
          <w:kern w:val="0"/>
          <w:sz w:val="24"/>
          <w:shd w:val="clear" w:color="auto" w:fill="FFFFFF"/>
        </w:rPr>
        <w:t>　资产评估专业人员应当将利用的专业报告作为工作底稿，必要时作为资产评估报告附件。</w:t>
      </w:r>
    </w:p>
    <w:p w14:paraId="0BEE5FDF">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第四章　引用单项资产评估报告</w:t>
      </w:r>
    </w:p>
    <w:p w14:paraId="5B4FC8BB">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第二十条</w:t>
      </w:r>
      <w:r>
        <w:rPr>
          <w:rFonts w:hint="eastAsia" w:ascii="宋体" w:hAnsi="宋体" w:eastAsia="宋体" w:cs="宋体"/>
          <w:color w:val="000000"/>
          <w:kern w:val="0"/>
          <w:sz w:val="24"/>
          <w:shd w:val="clear" w:color="auto" w:fill="FFFFFF"/>
        </w:rPr>
        <w:t>　资产评估机构应当根据法律、行政法规等要求，确定是否引用以及如何引用相关单项资产评估报告。引用单项资产评估报告应当与委托人事先约定。</w:t>
      </w:r>
    </w:p>
    <w:p w14:paraId="5B48B1AB">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第二十一条</w:t>
      </w:r>
      <w:r>
        <w:rPr>
          <w:rFonts w:hint="eastAsia" w:ascii="宋体" w:hAnsi="宋体" w:eastAsia="宋体" w:cs="宋体"/>
          <w:color w:val="000000"/>
          <w:kern w:val="0"/>
          <w:sz w:val="24"/>
          <w:shd w:val="clear" w:color="auto" w:fill="FFFFFF"/>
        </w:rPr>
        <w:t>　资产评估专业人员应当获取正式出具的单项资产评估报告，并全面理解单项资产评估报告以及相关附件。</w:t>
      </w:r>
    </w:p>
    <w:p w14:paraId="4FC8DF77">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第二十二条</w:t>
      </w:r>
      <w:r>
        <w:rPr>
          <w:rFonts w:hint="eastAsia" w:ascii="宋体" w:hAnsi="宋体" w:eastAsia="宋体" w:cs="宋体"/>
          <w:color w:val="000000"/>
          <w:kern w:val="0"/>
          <w:sz w:val="24"/>
          <w:shd w:val="clear" w:color="auto" w:fill="FFFFFF"/>
        </w:rPr>
        <w:t>　资产评估专业人员应当关注拟引用单项资产评估报告的性质、评估目的、评估基准日、评估对象、评估依据、参数选取、假设前提、使用限制等是否满足资产评估报告的引用要求；不满足资产评估报告引用要求的，不得引用。</w:t>
      </w:r>
    </w:p>
    <w:p w14:paraId="7DEEC768">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第二十三条</w:t>
      </w:r>
      <w:r>
        <w:rPr>
          <w:rFonts w:hint="eastAsia" w:ascii="宋体" w:hAnsi="宋体" w:eastAsia="宋体" w:cs="宋体"/>
          <w:color w:val="000000"/>
          <w:kern w:val="0"/>
          <w:sz w:val="24"/>
          <w:shd w:val="clear" w:color="auto" w:fill="FFFFFF"/>
        </w:rPr>
        <w:t>　资产评估专业人员应当分析拟引用单项资产评估报告载明的评估结论，判断其对应的资产类型与资产评估的资产类型的一致性；分析是否存在相关负债，并予以恰当处理。</w:t>
      </w:r>
    </w:p>
    <w:p w14:paraId="048328E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对于账面无记录的单项资产，应当考虑引用或者确认的资产类型是否符合相关规定；分析是否存在相关负债，并予以恰当处理。</w:t>
      </w:r>
    </w:p>
    <w:p w14:paraId="46F6B848">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第二十四条</w:t>
      </w:r>
      <w:r>
        <w:rPr>
          <w:rFonts w:hint="eastAsia" w:ascii="宋体" w:hAnsi="宋体" w:eastAsia="宋体" w:cs="宋体"/>
          <w:color w:val="000000"/>
          <w:kern w:val="0"/>
          <w:sz w:val="24"/>
          <w:shd w:val="clear" w:color="auto" w:fill="FFFFFF"/>
        </w:rPr>
        <w:t>　资产评估专业人员应当关注拟引用单项资产评估报告的相关备案审核文件资料，分析其可能对拟引用单项资产评估报告评估结论产生的影响。</w:t>
      </w:r>
    </w:p>
    <w:p w14:paraId="0C08DADD">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第二十五条</w:t>
      </w:r>
      <w:r>
        <w:rPr>
          <w:rFonts w:hint="eastAsia" w:ascii="宋体" w:hAnsi="宋体" w:eastAsia="宋体" w:cs="宋体"/>
          <w:color w:val="000000"/>
          <w:kern w:val="0"/>
          <w:sz w:val="24"/>
          <w:shd w:val="clear" w:color="auto" w:fill="FFFFFF"/>
        </w:rPr>
        <w:t>　资产评估专业人员应当对所引用单项资产评估报告的评估结论与账面价值的变动情况进行客观分析，不得发表超出自身执业能力和范围的评论意见。</w:t>
      </w:r>
    </w:p>
    <w:p w14:paraId="67823030">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第二十六条</w:t>
      </w:r>
      <w:r>
        <w:rPr>
          <w:rFonts w:hint="eastAsia" w:ascii="宋体" w:hAnsi="宋体" w:eastAsia="宋体" w:cs="宋体"/>
          <w:color w:val="000000"/>
          <w:kern w:val="0"/>
          <w:sz w:val="24"/>
          <w:shd w:val="clear" w:color="auto" w:fill="FFFFFF"/>
        </w:rPr>
        <w:t>　资产评估专业人员应当关注所引用单项资产评估报告披露的特殊事项说明，判断其是否可以引用及其对资产评估结论的影响。</w:t>
      </w:r>
    </w:p>
    <w:p w14:paraId="6585FA4E">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第二十七条</w:t>
      </w:r>
      <w:r>
        <w:rPr>
          <w:rFonts w:hint="eastAsia" w:ascii="宋体" w:hAnsi="宋体" w:eastAsia="宋体" w:cs="宋体"/>
          <w:color w:val="000000"/>
          <w:kern w:val="0"/>
          <w:sz w:val="24"/>
          <w:shd w:val="clear" w:color="auto" w:fill="FFFFFF"/>
        </w:rPr>
        <w:t>　资产评估专业人员应当将所引用单项资产评估报告作为工作底稿。</w:t>
      </w:r>
    </w:p>
    <w:p w14:paraId="5F74932A">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第五章　披露要求</w:t>
      </w:r>
    </w:p>
    <w:p w14:paraId="006DCABF">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第二十八条</w:t>
      </w:r>
      <w:r>
        <w:rPr>
          <w:rFonts w:hint="eastAsia" w:ascii="宋体" w:hAnsi="宋体" w:eastAsia="宋体" w:cs="宋体"/>
          <w:color w:val="000000"/>
          <w:kern w:val="0"/>
          <w:sz w:val="24"/>
          <w:shd w:val="clear" w:color="auto" w:fill="FFFFFF"/>
        </w:rPr>
        <w:t>　聘请专家个人协助工作作为资产评估专业支持，应当在资产评估报告中说明聘请专家工作的内容。</w:t>
      </w:r>
    </w:p>
    <w:p w14:paraId="7E120003">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第二十九条</w:t>
      </w:r>
      <w:r>
        <w:rPr>
          <w:rFonts w:hint="eastAsia" w:ascii="宋体" w:hAnsi="宋体" w:eastAsia="宋体" w:cs="宋体"/>
          <w:color w:val="000000"/>
          <w:kern w:val="0"/>
          <w:sz w:val="24"/>
          <w:shd w:val="clear" w:color="auto" w:fill="FFFFFF"/>
        </w:rPr>
        <w:t>　利用相关专业机构出具的专业报告作为资产评估依据，应当在资产评估报告中披露以下内容：</w:t>
      </w:r>
    </w:p>
    <w:p w14:paraId="6B6B3EB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（一）专业机构名称、专业报告名称、专业报告编号以及出具日期；</w:t>
      </w:r>
    </w:p>
    <w:p w14:paraId="5227943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（二）专业报告结论及其相关补充性或者解释性说明；</w:t>
      </w:r>
    </w:p>
    <w:p w14:paraId="650A844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（三）其他需要披露的重要事项。</w:t>
      </w:r>
    </w:p>
    <w:p w14:paraId="6F0E7A21">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第三十条</w:t>
      </w:r>
      <w:r>
        <w:rPr>
          <w:rFonts w:hint="eastAsia" w:ascii="宋体" w:hAnsi="宋体" w:eastAsia="宋体" w:cs="宋体"/>
          <w:color w:val="000000"/>
          <w:kern w:val="0"/>
          <w:sz w:val="24"/>
          <w:shd w:val="clear" w:color="auto" w:fill="FFFFFF"/>
        </w:rPr>
        <w:t>　引用单项资产评估报告作为资产评估报告的组成部分，应当在资产评估报告中披露以下内容：</w:t>
      </w:r>
    </w:p>
    <w:p w14:paraId="43B6436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（一）引用单项资产评估报告的评估机构名称、报告名称、报告编号、出具日期等；</w:t>
      </w:r>
    </w:p>
    <w:p w14:paraId="28492A0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（二）引用单项资产评估报告的资产、数量、产权权属等；</w:t>
      </w:r>
    </w:p>
    <w:p w14:paraId="0C4FCBD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（三）引用单项资产评估报告的评估方法、假设前提、使用限制以及相关事项；</w:t>
      </w:r>
    </w:p>
    <w:p w14:paraId="51260CC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（四）引用单项资产评估报告的评估结论；</w:t>
      </w:r>
    </w:p>
    <w:p w14:paraId="0A4D370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（五）其他需要披露的重要事项。</w:t>
      </w:r>
    </w:p>
    <w:p w14:paraId="686F58C1">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第六章　附则</w:t>
      </w:r>
    </w:p>
    <w:p w14:paraId="2E06F1D3">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第三十一条</w:t>
      </w:r>
      <w:r>
        <w:rPr>
          <w:rFonts w:hint="eastAsia" w:ascii="宋体" w:hAnsi="宋体" w:eastAsia="宋体" w:cs="宋体"/>
          <w:color w:val="000000"/>
          <w:kern w:val="0"/>
          <w:sz w:val="24"/>
          <w:shd w:val="clear" w:color="auto" w:fill="FFFFFF"/>
        </w:rPr>
        <w:t>　本准则自2017年10月1日起施行。中国资产评估协会于2012年12月28日发布的《关于印发〈资产评估准则——利用专家工作〉的通知》（中评协〔2012〕244号）同时废止。</w:t>
      </w:r>
    </w:p>
    <w:p w14:paraId="2EF143B4">
      <w:pPr>
        <w:shd w:val="clear" w:color="auto" w:fill="FFFFFF"/>
        <w:spacing w:line="440" w:lineRule="atLeast"/>
        <w:ind w:firstLine="480" w:firstLineChars="200"/>
        <w:rPr>
          <w:rFonts w:ascii="宋体" w:hAnsi="宋体" w:eastAsia="宋体" w:cs="宋体"/>
          <w:color w:val="000000"/>
          <w:kern w:val="0"/>
          <w:sz w:val="24"/>
          <w:shd w:val="clear" w:color="auto" w:fill="FFFFFF"/>
        </w:rPr>
      </w:pPr>
    </w:p>
    <w:p w14:paraId="6845518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br w:type="page"/>
      </w:r>
    </w:p>
    <w:p w14:paraId="50581379">
      <w:pPr>
        <w:pStyle w:val="5"/>
        <w:spacing w:line="440" w:lineRule="atLeast"/>
        <w:jc w:val="center"/>
        <w:rPr>
          <w:rFonts w:ascii="宋体" w:hAnsi="宋体" w:eastAsia="宋体" w:cs="宋体"/>
        </w:rPr>
      </w:pPr>
      <w:bookmarkStart w:id="109" w:name="_Toc32670"/>
      <w:r>
        <w:rPr>
          <w:rFonts w:hint="eastAsia" w:ascii="宋体" w:hAnsi="宋体" w:eastAsia="宋体" w:cs="宋体"/>
        </w:rPr>
        <w:t>资产评估执业准则——企业价值</w:t>
      </w:r>
      <w:bookmarkEnd w:id="109"/>
    </w:p>
    <w:p w14:paraId="7E4A8131">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第一章　总则</w:t>
      </w:r>
    </w:p>
    <w:p w14:paraId="27FD7E3E">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第一条</w:t>
      </w:r>
      <w:r>
        <w:rPr>
          <w:rFonts w:hint="eastAsia" w:ascii="宋体" w:hAnsi="宋体" w:eastAsia="宋体" w:cs="宋体"/>
          <w:color w:val="000000"/>
          <w:kern w:val="0"/>
          <w:sz w:val="24"/>
          <w:shd w:val="clear" w:color="auto" w:fill="FFFFFF"/>
        </w:rPr>
        <w:t>　为规范企业价值评估行为，保护资产评估当事人合法权益和公共利益，根据《资产评估基本准则》制定本准则。</w:t>
      </w:r>
    </w:p>
    <w:p w14:paraId="48BB9FFB">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第二条</w:t>
      </w:r>
      <w:r>
        <w:rPr>
          <w:rFonts w:hint="eastAsia" w:ascii="宋体" w:hAnsi="宋体" w:eastAsia="宋体" w:cs="宋体"/>
          <w:color w:val="000000"/>
          <w:kern w:val="0"/>
          <w:sz w:val="24"/>
          <w:shd w:val="clear" w:color="auto" w:fill="FFFFFF"/>
        </w:rPr>
        <w:t>　本准则所称企业价值评估，是指资产评估机构及其资产评估专业人员遵守法律、行政法规和资产评估准则，根据委托对评估基准日特定目的下的企业整体价值、股东全部权益价值或者股东部分权益价值等进行评定和估算，并出具资产评估报告的专业服务行为。</w:t>
      </w:r>
    </w:p>
    <w:p w14:paraId="4D882D90">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第三条</w:t>
      </w:r>
      <w:r>
        <w:rPr>
          <w:rFonts w:hint="eastAsia" w:ascii="宋体" w:hAnsi="宋体" w:eastAsia="宋体" w:cs="宋体"/>
          <w:color w:val="000000"/>
          <w:kern w:val="0"/>
          <w:sz w:val="24"/>
          <w:shd w:val="clear" w:color="auto" w:fill="FFFFFF"/>
        </w:rPr>
        <w:t>　执行企业价值评估业务，应当遵守本准则。</w:t>
      </w:r>
    </w:p>
    <w:p w14:paraId="283F904B">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第二章　基本遵循</w:t>
      </w:r>
    </w:p>
    <w:p w14:paraId="61FF61B2">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第四条</w:t>
      </w:r>
      <w:r>
        <w:rPr>
          <w:rFonts w:hint="eastAsia" w:ascii="宋体" w:hAnsi="宋体" w:eastAsia="宋体" w:cs="宋体"/>
          <w:color w:val="000000"/>
          <w:kern w:val="0"/>
          <w:sz w:val="24"/>
          <w:shd w:val="clear" w:color="auto" w:fill="FFFFFF"/>
        </w:rPr>
        <w:t>　执行企业价值评估业务，应当具备企业价值评估的专业知识和实践经验，能够胜任所执行的企业价值评估业务。</w:t>
      </w:r>
    </w:p>
    <w:p w14:paraId="48C5FE0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执行某项特定业务缺乏特定的专业知识和经验时，应当采取弥补措施，包括利用专家工作及相关报告等。</w:t>
      </w:r>
    </w:p>
    <w:p w14:paraId="30F342BC">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第五条</w:t>
      </w:r>
      <w:r>
        <w:rPr>
          <w:rFonts w:hint="eastAsia" w:ascii="宋体" w:hAnsi="宋体" w:eastAsia="宋体" w:cs="宋体"/>
          <w:color w:val="000000"/>
          <w:kern w:val="0"/>
          <w:sz w:val="24"/>
          <w:shd w:val="clear" w:color="auto" w:fill="FFFFFF"/>
        </w:rPr>
        <w:t>　执行企业价值评估业务，应当坚持独立、客观、公正的原则，勤勉尽责，保持应有的职业谨慎，独立进行分析和估算并形成专业意见。</w:t>
      </w:r>
    </w:p>
    <w:p w14:paraId="50820156">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第六条</w:t>
      </w:r>
      <w:r>
        <w:rPr>
          <w:rFonts w:hint="eastAsia" w:ascii="宋体" w:hAnsi="宋体" w:eastAsia="宋体" w:cs="宋体"/>
          <w:color w:val="000000"/>
          <w:kern w:val="0"/>
          <w:sz w:val="24"/>
          <w:shd w:val="clear" w:color="auto" w:fill="FFFFFF"/>
        </w:rPr>
        <w:t>　执行企业价值评估业务，应当根据评估目的，明确评估对象，合理使用评估假设，选择适当的价值类型，恰当运用评估方法，履行必要评估程序，形成评估结论。</w:t>
      </w:r>
    </w:p>
    <w:p w14:paraId="0F9727F0">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第七条</w:t>
      </w:r>
      <w:r>
        <w:rPr>
          <w:rFonts w:hint="eastAsia" w:ascii="宋体" w:hAnsi="宋体" w:eastAsia="宋体" w:cs="宋体"/>
          <w:color w:val="000000"/>
          <w:kern w:val="0"/>
          <w:sz w:val="24"/>
          <w:shd w:val="clear" w:color="auto" w:fill="FFFFFF"/>
        </w:rPr>
        <w:t>　资产评估专业人员应当依法对企业价值评估活动中使用的资料进行核查验证。</w:t>
      </w:r>
    </w:p>
    <w:p w14:paraId="6D4B7AA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因法律法规规定、客观条件限制无法实施核查验证的事项，资产评估专业人员应当在工作底稿中予以说明，分析其对评估结论的影响程度，并在资产评估报告中予以披露。如果上述事项对评估结论产生重大影响或者无法判断其影响程度，资产评估机构不得出具资产评估报告。</w:t>
      </w:r>
    </w:p>
    <w:p w14:paraId="236DA974">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第三章　操作要求</w:t>
      </w:r>
    </w:p>
    <w:p w14:paraId="586480A2">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第八条</w:t>
      </w:r>
      <w:r>
        <w:rPr>
          <w:rFonts w:hint="eastAsia" w:ascii="宋体" w:hAnsi="宋体" w:eastAsia="宋体" w:cs="宋体"/>
          <w:color w:val="000000"/>
          <w:kern w:val="0"/>
          <w:sz w:val="24"/>
          <w:shd w:val="clear" w:color="auto" w:fill="FFFFFF"/>
        </w:rPr>
        <w:t>　资产评估机构受理企业价值评估业务前，应当明确下列基本事项：</w:t>
      </w:r>
    </w:p>
    <w:p w14:paraId="234C576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（一）委托人的基本情况；</w:t>
      </w:r>
    </w:p>
    <w:p w14:paraId="3C26884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（二）被评估单位的基本情况；</w:t>
      </w:r>
    </w:p>
    <w:p w14:paraId="335EE43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（三）评估目的；</w:t>
      </w:r>
    </w:p>
    <w:p w14:paraId="578C7EF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（四）评估对象和评估范围；</w:t>
      </w:r>
    </w:p>
    <w:p w14:paraId="4D7F585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（五）价值类型；</w:t>
      </w:r>
    </w:p>
    <w:p w14:paraId="57FA4B0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（六）评估基准日；</w:t>
      </w:r>
    </w:p>
    <w:p w14:paraId="457CBD0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（七）资产评估报告使用范围；</w:t>
      </w:r>
    </w:p>
    <w:p w14:paraId="6FFC139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（八）评估假设；</w:t>
      </w:r>
    </w:p>
    <w:p w14:paraId="4302D58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（九）需要明确的其他事项。</w:t>
      </w:r>
    </w:p>
    <w:p w14:paraId="60699DE8">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第九条</w:t>
      </w:r>
      <w:r>
        <w:rPr>
          <w:rFonts w:hint="eastAsia" w:ascii="宋体" w:hAnsi="宋体" w:eastAsia="宋体" w:cs="宋体"/>
          <w:color w:val="000000"/>
          <w:kern w:val="0"/>
          <w:sz w:val="24"/>
          <w:shd w:val="clear" w:color="auto" w:fill="FFFFFF"/>
        </w:rPr>
        <w:t>　资产评估专业人员应当根据委托事项和评估目的，与委托人协商明确评估对象。企业价值评估中的评估对象包括企业整体价值、股东全部权益价值和股东部分权益价值等。</w:t>
      </w:r>
    </w:p>
    <w:p w14:paraId="4AFBDE89">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第十条</w:t>
      </w:r>
      <w:r>
        <w:rPr>
          <w:rFonts w:hint="eastAsia" w:ascii="宋体" w:hAnsi="宋体" w:eastAsia="宋体" w:cs="宋体"/>
          <w:color w:val="000000"/>
          <w:kern w:val="0"/>
          <w:sz w:val="24"/>
          <w:shd w:val="clear" w:color="auto" w:fill="FFFFFF"/>
        </w:rPr>
        <w:t>　执行企业价值评估业务，应当充分考虑评估目的、市场条件、评估对象自身条件等因素，恰当选择价值类型。企业价值评估中常见的价值类型有市场价值和投资价值。</w:t>
      </w:r>
    </w:p>
    <w:p w14:paraId="3142FECA">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第十一条</w:t>
      </w:r>
      <w:r>
        <w:rPr>
          <w:rFonts w:hint="eastAsia" w:ascii="宋体" w:hAnsi="宋体" w:eastAsia="宋体" w:cs="宋体"/>
          <w:color w:val="000000"/>
          <w:kern w:val="0"/>
          <w:sz w:val="24"/>
          <w:shd w:val="clear" w:color="auto" w:fill="FFFFFF"/>
        </w:rPr>
        <w:t>　执行企业价值评估业务，应当根据评估业务的具体情况，确定所需资料的清单并收集相关资料，通常包括：</w:t>
      </w:r>
    </w:p>
    <w:p w14:paraId="4B53BD7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（一）评估对象权益状况相关的协议、章程、股权证明等有关法律文件、评估对象涉及的主要资产权属证明资料；</w:t>
      </w:r>
    </w:p>
    <w:p w14:paraId="72A761C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（二）被评估单位历史沿革、控股股东及股东持股比例、经营管理结构和产权架构资料；</w:t>
      </w:r>
    </w:p>
    <w:p w14:paraId="33F2D89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（三）被评估单位的业务、资产、财务、人员及经营状况资料；</w:t>
      </w:r>
    </w:p>
    <w:p w14:paraId="63C89D9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（四）被评估单位经营计划、发展规划和收益预测资料；</w:t>
      </w:r>
    </w:p>
    <w:p w14:paraId="70DD576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（五）评估对象、被评估单位以往的评估及交易资料；</w:t>
      </w:r>
    </w:p>
    <w:p w14:paraId="0DAC05C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（六）影响被评估单位经营的宏观、区域经济因素资料；</w:t>
      </w:r>
    </w:p>
    <w:p w14:paraId="3111353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（七）被评估单位所在行业现状与发展前景资料；</w:t>
      </w:r>
    </w:p>
    <w:p w14:paraId="18FADF5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（八）证券市场、产权交易市场等市场的有关资料；</w:t>
      </w:r>
    </w:p>
    <w:p w14:paraId="0F554C7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（九）可比企业的经营情况、财务信息、股票价格或者股权交易价格等资料。</w:t>
      </w:r>
    </w:p>
    <w:p w14:paraId="69CBFE83">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第十二条</w:t>
      </w:r>
      <w:r>
        <w:rPr>
          <w:rFonts w:hint="eastAsia" w:ascii="宋体" w:hAnsi="宋体" w:eastAsia="宋体" w:cs="宋体"/>
          <w:color w:val="000000"/>
          <w:kern w:val="0"/>
          <w:sz w:val="24"/>
          <w:shd w:val="clear" w:color="auto" w:fill="FFFFFF"/>
        </w:rPr>
        <w:t>　资产评估专业人员应当尽可能获取被评估单位和可比企业经审计后的财务报表或者公开财务资料，无论财务报表是否经过审计，资产评估专业人员都应当根据所采用评估方法对财务报表的使用要求对其进行分析和判断，但对相关财务报表是否公允反映评估基准日的财务状况和当期经营成果、现金流量发表专业意见并非资产评估专业人员的责任。</w:t>
      </w:r>
    </w:p>
    <w:p w14:paraId="320CBBA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采用资产基础法评估，应当对所采用的被评估单位于评估基准日的资产及负债账面值的真实性进行分析和判断；采用收益法或者市场法评估，应当对所采用的被评估单位和可比企业财务指标的合理性进行分析和判断。</w:t>
      </w:r>
    </w:p>
    <w:p w14:paraId="00F1D3C3">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第十三条</w:t>
      </w:r>
      <w:r>
        <w:rPr>
          <w:rFonts w:hint="eastAsia" w:ascii="宋体" w:hAnsi="宋体" w:eastAsia="宋体" w:cs="宋体"/>
          <w:color w:val="000000"/>
          <w:kern w:val="0"/>
          <w:sz w:val="24"/>
          <w:shd w:val="clear" w:color="auto" w:fill="FFFFFF"/>
        </w:rPr>
        <w:t>　采用收益法或者市场法进行企业价值评估时，可以根据评估对象、评估假设、价值类型等相关条件，在与委托人和其他相关当事人协商并获得有关信息的基础上，对被评估单位和可比企业财务报表进行分析和必要的调整，以使评估中采用的财务数据以及相关参数适用、可比。根据评估业务的具体情况，分析和调整事项通常包括：</w:t>
      </w:r>
    </w:p>
    <w:p w14:paraId="091B98E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（一）财务报表编制基础；</w:t>
      </w:r>
    </w:p>
    <w:p w14:paraId="32D183B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（二）非经常性收入和支出；</w:t>
      </w:r>
    </w:p>
    <w:p w14:paraId="7205457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（三）非经营性资产、负债和溢余资产及其相关的收入和支出。</w:t>
      </w:r>
    </w:p>
    <w:p w14:paraId="0A5D020E">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第十四条</w:t>
      </w:r>
      <w:r>
        <w:rPr>
          <w:rFonts w:hint="eastAsia" w:ascii="宋体" w:hAnsi="宋体" w:eastAsia="宋体" w:cs="宋体"/>
          <w:color w:val="000000"/>
          <w:kern w:val="0"/>
          <w:sz w:val="24"/>
          <w:shd w:val="clear" w:color="auto" w:fill="FFFFFF"/>
        </w:rPr>
        <w:t>　采用收益法或者市场法进行企业价值评估，应当与委托人和其他相关当事人进行沟通，了解被评估单位资产配置和使用情况，谨慎识别非经营性资产、负债和溢余资产，并根据相关信息获得情况以及对评估结论的影响程度，确定是否单独评估。</w:t>
      </w:r>
    </w:p>
    <w:p w14:paraId="790C5C57">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第十五条</w:t>
      </w:r>
      <w:r>
        <w:rPr>
          <w:rFonts w:hint="eastAsia" w:ascii="宋体" w:hAnsi="宋体" w:eastAsia="宋体" w:cs="宋体"/>
          <w:color w:val="000000"/>
          <w:kern w:val="0"/>
          <w:sz w:val="24"/>
          <w:shd w:val="clear" w:color="auto" w:fill="FFFFFF"/>
        </w:rPr>
        <w:t>　资产评估专业人员应当知晓评估对象在持续经营前提下的价值并不必然大于在清算前提下的价值。</w:t>
      </w:r>
    </w:p>
    <w:p w14:paraId="0239F0D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如果相关当事人有权启动清算程序，资产评估专业人员应当根据委托评估事项，分析评估对象在清算前提下价值大于在持续经营前提下价值的可能性。</w:t>
      </w:r>
    </w:p>
    <w:p w14:paraId="3C91D343">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第十六条</w:t>
      </w:r>
      <w:r>
        <w:rPr>
          <w:rFonts w:hint="eastAsia" w:ascii="宋体" w:hAnsi="宋体" w:eastAsia="宋体" w:cs="宋体"/>
          <w:color w:val="000000"/>
          <w:kern w:val="0"/>
          <w:sz w:val="24"/>
          <w:shd w:val="clear" w:color="auto" w:fill="FFFFFF"/>
        </w:rPr>
        <w:t>　在对具有多种业务类型、涉及多种行业的企业进行企业价值评估时，应当根据业务关联性界定业务单元，并根据被评估单位和业务单元的具体情况，采用适宜的财务数据口径进行评估。</w:t>
      </w:r>
    </w:p>
    <w:p w14:paraId="3080BDC7">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第四章　评估方法</w:t>
      </w:r>
    </w:p>
    <w:p w14:paraId="5134E259">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第十七条</w:t>
      </w:r>
      <w:r>
        <w:rPr>
          <w:rFonts w:hint="eastAsia" w:ascii="宋体" w:hAnsi="宋体" w:eastAsia="宋体" w:cs="宋体"/>
          <w:color w:val="000000"/>
          <w:kern w:val="0"/>
          <w:sz w:val="24"/>
          <w:shd w:val="clear" w:color="auto" w:fill="FFFFFF"/>
        </w:rPr>
        <w:t>　执行企业价值评估业务，应当根据评估目的、评估对象、价值类型、资料收集等情况，分析收益法、市场法、成本法（资产基础法）三种基本方法的适用性，选择评估方法。</w:t>
      </w:r>
    </w:p>
    <w:p w14:paraId="69FE3B42">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第十八条</w:t>
      </w:r>
      <w:r>
        <w:rPr>
          <w:rFonts w:hint="eastAsia" w:ascii="宋体" w:hAnsi="宋体" w:eastAsia="宋体" w:cs="宋体"/>
          <w:color w:val="000000"/>
          <w:kern w:val="0"/>
          <w:sz w:val="24"/>
          <w:shd w:val="clear" w:color="auto" w:fill="FFFFFF"/>
        </w:rPr>
        <w:t>　对于适合采用不同评估方法进行企业价值评估的，资产评估专业人员应当采用两种以上评估方法进行评估。</w:t>
      </w:r>
    </w:p>
    <w:p w14:paraId="0FB41184">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第十九条</w:t>
      </w:r>
      <w:r>
        <w:rPr>
          <w:rFonts w:hint="eastAsia" w:ascii="宋体" w:hAnsi="宋体" w:eastAsia="宋体" w:cs="宋体"/>
          <w:color w:val="000000"/>
          <w:kern w:val="0"/>
          <w:sz w:val="24"/>
          <w:shd w:val="clear" w:color="auto" w:fill="FFFFFF"/>
        </w:rPr>
        <w:t>　企业价值评估中的收益法，是指将预期收益资本化或者折现，确定评估对象价值的评估方法。</w:t>
      </w:r>
    </w:p>
    <w:p w14:paraId="256979E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资产评估专业人员应当结合被评估单位的企业性质、资产规模、历史经营情况、未来收益可预测情况、所获取评估资料的充分性，恰当考虑收益法的适用性。</w:t>
      </w:r>
    </w:p>
    <w:p w14:paraId="78C45289">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第二十条</w:t>
      </w:r>
      <w:r>
        <w:rPr>
          <w:rFonts w:hint="eastAsia" w:ascii="宋体" w:hAnsi="宋体" w:eastAsia="宋体" w:cs="宋体"/>
          <w:color w:val="000000"/>
          <w:kern w:val="0"/>
          <w:sz w:val="24"/>
          <w:shd w:val="clear" w:color="auto" w:fill="FFFFFF"/>
        </w:rPr>
        <w:t>　收益法常用的具体方法包括股利折现法和现金流量折现法。</w:t>
      </w:r>
    </w:p>
    <w:p w14:paraId="6FA0B879">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第二十一条</w:t>
      </w:r>
      <w:r>
        <w:rPr>
          <w:rFonts w:hint="eastAsia" w:ascii="宋体" w:hAnsi="宋体" w:eastAsia="宋体" w:cs="宋体"/>
          <w:color w:val="000000"/>
          <w:kern w:val="0"/>
          <w:sz w:val="24"/>
          <w:shd w:val="clear" w:color="auto" w:fill="FFFFFF"/>
        </w:rPr>
        <w:t>　股利折现法是将预期股利进行折现以确定评估对象价值的具体方法，通常适用于缺乏控制权的股东部分权益价值评估。</w:t>
      </w:r>
    </w:p>
    <w:p w14:paraId="1AAF602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股利折现法的预期股利一般应当体现市场参与者的通常预期，适用的价值类型通常为市场价值。</w:t>
      </w:r>
    </w:p>
    <w:p w14:paraId="0EFC52C1">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第二十二条</w:t>
      </w:r>
      <w:r>
        <w:rPr>
          <w:rFonts w:hint="eastAsia" w:ascii="宋体" w:hAnsi="宋体" w:eastAsia="宋体" w:cs="宋体"/>
          <w:color w:val="000000"/>
          <w:kern w:val="0"/>
          <w:sz w:val="24"/>
          <w:shd w:val="clear" w:color="auto" w:fill="FFFFFF"/>
        </w:rPr>
        <w:t>　现金流量折现法通常包括企业自由现金流折现模型和股权自由现金流折现模型。资产评估专业人员应当根据被评估单位所处行业、经营模式、资本结构、发展趋势等，恰当选择现金流折现模型。</w:t>
      </w:r>
    </w:p>
    <w:p w14:paraId="4CBFAA1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预测现金流量，既可以从市场参与者角度进行，也可以选择特定投资者的角度。从特定投资者的角度预测现金流量时，适用的价值类型通常为投资价值。</w:t>
      </w:r>
    </w:p>
    <w:p w14:paraId="1AD4E7E6">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第二十三条</w:t>
      </w:r>
      <w:r>
        <w:rPr>
          <w:rFonts w:hint="eastAsia" w:ascii="宋体" w:hAnsi="宋体" w:eastAsia="宋体" w:cs="宋体"/>
          <w:color w:val="000000"/>
          <w:kern w:val="0"/>
          <w:sz w:val="24"/>
          <w:shd w:val="clear" w:color="auto" w:fill="FFFFFF"/>
        </w:rPr>
        <w:t>　资产评估专业人员应当对委托人和其他相关当事人提供的企业未来收益资料进行必要的分析、判断和调整,结合被评估单位的人力资源、技术水平、资本结构、经营状况、历史业绩、发展趋势，考虑宏观经济因素、所在行业现状与发展前景，合理确定评估假设，形成未来收益预测。</w:t>
      </w:r>
    </w:p>
    <w:p w14:paraId="59E7CDC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当委托人和其他相关当事人未提供收益预测，资产评估专业人员应当收集和利用形成未来收益预测的相关资料，并履行核查验证程序，在具备预测条件的情况下编制收益预测表。</w:t>
      </w:r>
    </w:p>
    <w:p w14:paraId="4854434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资产评估专业人员应当关注未来收益预测中经营管理、业务架构、主营业务收入、毛利率、营运资金、资本性支出、资本结构等主要参数与评估假设、价值类型的一致性。当预测趋势与历史业绩和现实经营状况存在重大差异时，资产评估专业人员应当在资产评估报告中予以披露，并对产生差异的原因及其合理性进行说明。</w:t>
      </w:r>
    </w:p>
    <w:p w14:paraId="7BAAF139">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第二十四条</w:t>
      </w:r>
      <w:r>
        <w:rPr>
          <w:rFonts w:hint="eastAsia" w:ascii="宋体" w:hAnsi="宋体" w:eastAsia="宋体" w:cs="宋体"/>
          <w:color w:val="000000"/>
          <w:kern w:val="0"/>
          <w:sz w:val="24"/>
          <w:shd w:val="clear" w:color="auto" w:fill="FFFFFF"/>
        </w:rPr>
        <w:t>　资产评估专业人员应当按照法律、行政法规规定，以及被评估单位企业性质、企业类型、所在行业现状与发展前景、协议与章程约定、经营状况、资产特点和资源条件等，恰当确定收益期。</w:t>
      </w:r>
    </w:p>
    <w:p w14:paraId="5E09EA97">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第二十五条</w:t>
      </w:r>
      <w:r>
        <w:rPr>
          <w:rFonts w:hint="eastAsia" w:ascii="宋体" w:hAnsi="宋体" w:eastAsia="宋体" w:cs="宋体"/>
          <w:color w:val="000000"/>
          <w:kern w:val="0"/>
          <w:sz w:val="24"/>
          <w:shd w:val="clear" w:color="auto" w:fill="FFFFFF"/>
        </w:rPr>
        <w:t>　企业经营达到相对稳定前的时间区间是确定详细预测期的主要因素。</w:t>
      </w:r>
    </w:p>
    <w:p w14:paraId="7A82DB5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资产评估专业人员应当在对企业产品或者服务的剩余经济寿命以及替代产品或者服务的研发情况、收入结构、成本结构、资本结构、资本性支出、营运资金、投资收益和风险水平等综合分析的基础上，结合宏观政策、行业周期及其他影响企业进入稳定期的因素合理确定详细预测期。</w:t>
      </w:r>
    </w:p>
    <w:p w14:paraId="3DEBFE64">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第二十六条</w:t>
      </w:r>
      <w:r>
        <w:rPr>
          <w:rFonts w:hint="eastAsia" w:ascii="宋体" w:hAnsi="宋体" w:eastAsia="宋体" w:cs="宋体"/>
          <w:color w:val="000000"/>
          <w:kern w:val="0"/>
          <w:sz w:val="24"/>
          <w:shd w:val="clear" w:color="auto" w:fill="FFFFFF"/>
        </w:rPr>
        <w:t>　资产评估专业人员确定折现率，应当综合考虑评估基准日的利率水平、市场投资收益率等资本市场相关信息和所在行业、被评估单位的特定风险等相关因素。</w:t>
      </w:r>
    </w:p>
    <w:p w14:paraId="3E053FCB">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第二十七条</w:t>
      </w:r>
      <w:r>
        <w:rPr>
          <w:rFonts w:hint="eastAsia" w:ascii="宋体" w:hAnsi="宋体" w:eastAsia="宋体" w:cs="宋体"/>
          <w:color w:val="000000"/>
          <w:kern w:val="0"/>
          <w:sz w:val="24"/>
          <w:shd w:val="clear" w:color="auto" w:fill="FFFFFF"/>
        </w:rPr>
        <w:t>　资产评估专业人员应当根据企业提供产品或者服务的剩余经济寿命期情况、进入稳定期的因素分析详细预测期后的收益趋势、终止经营后的处置方式等，选择恰当的方法估算详细预测期后的价值。</w:t>
      </w:r>
    </w:p>
    <w:p w14:paraId="5579D47C">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第二十八条</w:t>
      </w:r>
      <w:r>
        <w:rPr>
          <w:rFonts w:hint="eastAsia" w:ascii="宋体" w:hAnsi="宋体" w:eastAsia="宋体" w:cs="宋体"/>
          <w:color w:val="000000"/>
          <w:kern w:val="0"/>
          <w:sz w:val="24"/>
          <w:shd w:val="clear" w:color="auto" w:fill="FFFFFF"/>
        </w:rPr>
        <w:t>　执行企业价值评估业务可以根据评估对象特点选择收益法的不同具体方法进行评估。资产评估专业人员应当根据被评估单位的具体情况选择恰当的预期收益口径，并确信折现率与预期收益的口径保持一致。</w:t>
      </w:r>
    </w:p>
    <w:p w14:paraId="143D967A">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第二十九条</w:t>
      </w:r>
      <w:r>
        <w:rPr>
          <w:rFonts w:hint="eastAsia" w:ascii="宋体" w:hAnsi="宋体" w:eastAsia="宋体" w:cs="宋体"/>
          <w:color w:val="000000"/>
          <w:kern w:val="0"/>
          <w:sz w:val="24"/>
          <w:shd w:val="clear" w:color="auto" w:fill="FFFFFF"/>
        </w:rPr>
        <w:t>　企业价值评估中的市场法，是指将评估对象与可比上市公司或者可比交易案例进行比较，确定评估对象价值的评估方法。</w:t>
      </w:r>
    </w:p>
    <w:p w14:paraId="047A650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资产评估专业人员应当根据所获取可比企业经营和财务数据的充分性和可靠性、可收集到的可比企业数量，考虑市场法的适用性。</w:t>
      </w:r>
    </w:p>
    <w:p w14:paraId="6C6A5290">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第三十条</w:t>
      </w:r>
      <w:r>
        <w:rPr>
          <w:rFonts w:hint="eastAsia" w:ascii="宋体" w:hAnsi="宋体" w:eastAsia="宋体" w:cs="宋体"/>
          <w:color w:val="000000"/>
          <w:kern w:val="0"/>
          <w:sz w:val="24"/>
          <w:shd w:val="clear" w:color="auto" w:fill="FFFFFF"/>
        </w:rPr>
        <w:t>　市场法常用的两种具体方法是上市公司比较法和交易案例比较法。</w:t>
      </w:r>
    </w:p>
    <w:p w14:paraId="3335CEDD">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第三十一条</w:t>
      </w:r>
      <w:r>
        <w:rPr>
          <w:rFonts w:hint="eastAsia" w:ascii="宋体" w:hAnsi="宋体" w:eastAsia="宋体" w:cs="宋体"/>
          <w:color w:val="000000"/>
          <w:kern w:val="0"/>
          <w:sz w:val="24"/>
          <w:shd w:val="clear" w:color="auto" w:fill="FFFFFF"/>
        </w:rPr>
        <w:t>　上市公司比较法是指获取并分析可比上市公司的经营和财务数据，计算价值比率，在与被评估单位比较分析的基础上，确定评估对象价值的具体方法。</w:t>
      </w:r>
    </w:p>
    <w:p w14:paraId="7C12EB1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上市公司比较法中的可比企业应当是公开市场上正常交易的上市公司。在切实可行的情况下，评估结论应当考虑控制权和流动性对评估对象价值的影响。</w:t>
      </w:r>
    </w:p>
    <w:p w14:paraId="6B9C3A98">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第三十二条</w:t>
      </w:r>
      <w:r>
        <w:rPr>
          <w:rFonts w:hint="eastAsia" w:ascii="宋体" w:hAnsi="宋体" w:eastAsia="宋体" w:cs="宋体"/>
          <w:color w:val="000000"/>
          <w:kern w:val="0"/>
          <w:sz w:val="24"/>
          <w:shd w:val="clear" w:color="auto" w:fill="FFFFFF"/>
        </w:rPr>
        <w:t>　交易案例比较法是指获取并分析可比企业的买卖、收购及合并案例资料，计算价值比率，在与被评估单位比较分析的基础上，确定评估对象价值的具体方法。</w:t>
      </w:r>
    </w:p>
    <w:p w14:paraId="4C6648F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控制权以及交易数量可能影响交易案例比较法中的可比企业交易价格。在切实可行的情况下，应当考虑评估对象与交易案例在控制权和流动性方面的差异及其对评估对象价值的影响。</w:t>
      </w:r>
    </w:p>
    <w:p w14:paraId="1D3367B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如因客观条件限制无法考虑控制权和流动性对评估对象价值的影响,应当在资产评估报告中披露其原因以及可能造成的影响。</w:t>
      </w:r>
    </w:p>
    <w:p w14:paraId="6058CA75">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第三十三条</w:t>
      </w:r>
      <w:r>
        <w:rPr>
          <w:rFonts w:hint="eastAsia" w:ascii="宋体" w:hAnsi="宋体" w:eastAsia="宋体" w:cs="宋体"/>
          <w:color w:val="000000"/>
          <w:kern w:val="0"/>
          <w:sz w:val="24"/>
          <w:shd w:val="clear" w:color="auto" w:fill="FFFFFF"/>
        </w:rPr>
        <w:t>　资产评估专业人员应当关注业务结构、经营模式、企业规模、资产配置和使用情况、企业所处经营阶段、成长性、经营风险、财务风险等因素，恰当选择与被评估单位进行比较分析的可比企业。</w:t>
      </w:r>
    </w:p>
    <w:p w14:paraId="407B514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资产评估专业人员所选择的可比企业与被评估单位应当具有可比性。可比企业应当与被评估单位属于同一行业，或者受相同经济因素的影响。</w:t>
      </w:r>
    </w:p>
    <w:p w14:paraId="0D31FD37">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第三十四条</w:t>
      </w:r>
      <w:r>
        <w:rPr>
          <w:rFonts w:hint="eastAsia" w:ascii="宋体" w:hAnsi="宋体" w:eastAsia="宋体" w:cs="宋体"/>
          <w:color w:val="000000"/>
          <w:kern w:val="0"/>
          <w:sz w:val="24"/>
          <w:shd w:val="clear" w:color="auto" w:fill="FFFFFF"/>
        </w:rPr>
        <w:t>　价值比率通常包括盈利比率、资产比率、收入比率和其他特定比率。</w:t>
      </w:r>
    </w:p>
    <w:p w14:paraId="79B1F7F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在选择、计算、应用价值比率时，应当考虑：</w:t>
      </w:r>
    </w:p>
    <w:p w14:paraId="75864B5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（一）选择的价值比率有利于合理确定评估对象的价值；</w:t>
      </w:r>
    </w:p>
    <w:p w14:paraId="57E4A9A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（二）计算价值比率的数据口径及计算方式一致；</w:t>
      </w:r>
    </w:p>
    <w:p w14:paraId="64C139C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（三）对可比企业和被评估单位间的差异进行合理调整。</w:t>
      </w:r>
    </w:p>
    <w:p w14:paraId="2B84711B">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第三十五条</w:t>
      </w:r>
      <w:r>
        <w:rPr>
          <w:rFonts w:hint="eastAsia" w:ascii="宋体" w:hAnsi="宋体" w:eastAsia="宋体" w:cs="宋体"/>
          <w:color w:val="000000"/>
          <w:kern w:val="0"/>
          <w:sz w:val="24"/>
          <w:shd w:val="clear" w:color="auto" w:fill="FFFFFF"/>
        </w:rPr>
        <w:t>　企业价值评估中的资产基础法，是指以被评估单位评估基准日的资产负债表为基础，合理评估企业表内及可识别的表外各项资产、负债价值，确定评估对象价值的评估方法。</w:t>
      </w:r>
    </w:p>
    <w:p w14:paraId="62D74AE3">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第三十六条</w:t>
      </w:r>
      <w:r>
        <w:rPr>
          <w:rFonts w:hint="eastAsia" w:ascii="宋体" w:hAnsi="宋体" w:eastAsia="宋体" w:cs="宋体"/>
          <w:color w:val="000000"/>
          <w:kern w:val="0"/>
          <w:sz w:val="24"/>
          <w:shd w:val="clear" w:color="auto" w:fill="FFFFFF"/>
        </w:rPr>
        <w:t>　资产评估专业人员应当根据会计政策、企业经营等情况，要求被评估单位对资产负债表表内及表外的各项资产、负债进行识别。</w:t>
      </w:r>
    </w:p>
    <w:p w14:paraId="6675461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资产评估专业人员应当知晓并非每项资产和负债都可以被识别并单独评估。识别出的表外资产与负债应当纳入评估申报文件，并要求委托人或者其指定的相关当事方确认评估范围。当存在对评估对象价值有重大影响且难以识别和评估的资产或者负债时，应当考虑不同评估方法的适用性。</w:t>
      </w:r>
    </w:p>
    <w:p w14:paraId="67C4CC4C">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第三十七条</w:t>
      </w:r>
      <w:r>
        <w:rPr>
          <w:rFonts w:hint="eastAsia" w:ascii="宋体" w:hAnsi="宋体" w:eastAsia="宋体" w:cs="宋体"/>
          <w:color w:val="000000"/>
          <w:kern w:val="0"/>
          <w:sz w:val="24"/>
          <w:shd w:val="clear" w:color="auto" w:fill="FFFFFF"/>
        </w:rPr>
        <w:t>　采用资产基础法进行企业价值评估，各项资产的价值应当根据其具体情况选用适当的具体评估方法得出，所选评估方法可能有别于其作为单项资产评估对象时的具体评估方法，应当考虑其对企业价值的贡献。</w:t>
      </w:r>
    </w:p>
    <w:p w14:paraId="40A8834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资产评估专业人员应当知晓，在对持续经营前提下的企业价值进行评估时，单项资产或者资产组合作为企业资产的组成部分，其价值通常受其对企业贡献程度的影响。</w:t>
      </w:r>
    </w:p>
    <w:p w14:paraId="13F27557">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第三十八条</w:t>
      </w:r>
      <w:r>
        <w:rPr>
          <w:rFonts w:hint="eastAsia" w:ascii="宋体" w:hAnsi="宋体" w:eastAsia="宋体" w:cs="宋体"/>
          <w:color w:val="000000"/>
          <w:kern w:val="0"/>
          <w:sz w:val="24"/>
          <w:shd w:val="clear" w:color="auto" w:fill="FFFFFF"/>
        </w:rPr>
        <w:t>　采用资产基础法进行企业价值评估，应当对长期股权投资项目进行分析，根据被评估单位对长期股权投资项目的实际控制情况以及对评估对象价值的影响程度等因素，确定是否将其单独评估。</w:t>
      </w:r>
    </w:p>
    <w:p w14:paraId="633E855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对专门从长期股权投资获取收益的控股型企业进行评估时，应当考虑控股型企业总部的成本和效益对企业价值的影响。对专门从长期股权投资获取收益的控股型企业的子公司单独进行评估时，应当考虑控股型企业管理机构分摊管理费对企业价值的影响。</w:t>
      </w:r>
    </w:p>
    <w:p w14:paraId="762B0DE5">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第三十九条</w:t>
      </w:r>
      <w:r>
        <w:rPr>
          <w:rFonts w:hint="eastAsia" w:ascii="宋体" w:hAnsi="宋体" w:eastAsia="宋体" w:cs="宋体"/>
          <w:color w:val="000000"/>
          <w:kern w:val="0"/>
          <w:sz w:val="24"/>
          <w:shd w:val="clear" w:color="auto" w:fill="FFFFFF"/>
        </w:rPr>
        <w:t>　对同一评估对象采用多种评估方法时，应当结合评估目的、不同评估方法使用数据的质量和数量，采用定性或者定量分析方式形成评估结论。</w:t>
      </w:r>
    </w:p>
    <w:p w14:paraId="5E043FC1">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第五章　披露要求</w:t>
      </w:r>
    </w:p>
    <w:p w14:paraId="6A9EDF95">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第四十条</w:t>
      </w:r>
      <w:r>
        <w:rPr>
          <w:rFonts w:hint="eastAsia" w:ascii="宋体" w:hAnsi="宋体" w:eastAsia="宋体" w:cs="宋体"/>
          <w:color w:val="000000"/>
          <w:kern w:val="0"/>
          <w:sz w:val="24"/>
          <w:shd w:val="clear" w:color="auto" w:fill="FFFFFF"/>
        </w:rPr>
        <w:t>　采用收益法或者市场法进行企业价值评估，通常在资产评估报告中重点披露下列内容：</w:t>
      </w:r>
    </w:p>
    <w:p w14:paraId="73DBD62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（一）影响企业经营的宏观、区域经济因素；</w:t>
      </w:r>
    </w:p>
    <w:p w14:paraId="172DF84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（二）所在行业现状与发展前景；</w:t>
      </w:r>
    </w:p>
    <w:p w14:paraId="5D8A46A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（三）企业的业务分析情况；</w:t>
      </w:r>
    </w:p>
    <w:p w14:paraId="55B046A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（四）企业主要产品或者服务的经济寿命情况以及预期替代产品或者服务的情况；</w:t>
      </w:r>
    </w:p>
    <w:p w14:paraId="2877917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（五）企业的资产、财务分析和调整情况；</w:t>
      </w:r>
    </w:p>
    <w:p w14:paraId="7D8D823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（六）评估方法的运用过程。</w:t>
      </w:r>
    </w:p>
    <w:p w14:paraId="67263414">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第四十一条</w:t>
      </w:r>
      <w:r>
        <w:rPr>
          <w:rFonts w:hint="eastAsia" w:ascii="宋体" w:hAnsi="宋体" w:eastAsia="宋体" w:cs="宋体"/>
          <w:color w:val="000000"/>
          <w:kern w:val="0"/>
          <w:sz w:val="24"/>
          <w:shd w:val="clear" w:color="auto" w:fill="FFFFFF"/>
        </w:rPr>
        <w:t>　在资产评估报告中披露影响企业经营的宏观、区域经济因素时，通常包括下列内容：</w:t>
      </w:r>
    </w:p>
    <w:p w14:paraId="05FBBFF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（一）国家、地区有关企业经营的法律、行政法规和其他相关文件；</w:t>
      </w:r>
    </w:p>
    <w:p w14:paraId="0E13690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（二）国家、地区经济形势及未来发展趋势；</w:t>
      </w:r>
    </w:p>
    <w:p w14:paraId="6A8414C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（三）有关财政、货币政策等。</w:t>
      </w:r>
    </w:p>
    <w:p w14:paraId="750B2B5F">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第四十二条</w:t>
      </w:r>
      <w:r>
        <w:rPr>
          <w:rFonts w:hint="eastAsia" w:ascii="宋体" w:hAnsi="宋体" w:eastAsia="宋体" w:cs="宋体"/>
          <w:color w:val="000000"/>
          <w:kern w:val="0"/>
          <w:sz w:val="24"/>
          <w:shd w:val="clear" w:color="auto" w:fill="FFFFFF"/>
        </w:rPr>
        <w:t>　在资产评估报告中披露所在行业现状与发展前景时，通常包括下列内容：</w:t>
      </w:r>
    </w:p>
    <w:p w14:paraId="741C7CF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（一）行业主要政策规定；</w:t>
      </w:r>
    </w:p>
    <w:p w14:paraId="3D561E0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（二）行业竞争情况；</w:t>
      </w:r>
    </w:p>
    <w:p w14:paraId="781BEE7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（三）行业发展的有利和不利因素；</w:t>
      </w:r>
    </w:p>
    <w:p w14:paraId="5303CE8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（四）行业特有的经营模式，行业的周期性、区域性和季节性特征等；</w:t>
      </w:r>
    </w:p>
    <w:p w14:paraId="3F91BE2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（五）企业所在行业与上下游行业之间的关联性，上下游行业发展对本行业发展的有利和不利影响。</w:t>
      </w:r>
    </w:p>
    <w:p w14:paraId="0752EA8C">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第四十三条</w:t>
      </w:r>
      <w:r>
        <w:rPr>
          <w:rFonts w:hint="eastAsia" w:ascii="宋体" w:hAnsi="宋体" w:eastAsia="宋体" w:cs="宋体"/>
          <w:color w:val="000000"/>
          <w:kern w:val="0"/>
          <w:sz w:val="24"/>
          <w:shd w:val="clear" w:color="auto" w:fill="FFFFFF"/>
        </w:rPr>
        <w:t>　在资产评估报告中披露企业的业务分析情况时，通常包括下列内容：</w:t>
      </w:r>
    </w:p>
    <w:p w14:paraId="7D7B15C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（一）主要产品或者服务的用途；</w:t>
      </w:r>
    </w:p>
    <w:p w14:paraId="3357956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（二）经营模式；</w:t>
      </w:r>
    </w:p>
    <w:p w14:paraId="5BF60A4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（三）经营管理状况；</w:t>
      </w:r>
    </w:p>
    <w:p w14:paraId="2C5C570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（四）企业在行业中的地位、竞争优势及劣势；</w:t>
      </w:r>
    </w:p>
    <w:p w14:paraId="16313AB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（五）企业的发展战略及经营策略等。</w:t>
      </w:r>
    </w:p>
    <w:p w14:paraId="6DCFD827">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第四十四条</w:t>
      </w:r>
      <w:r>
        <w:rPr>
          <w:rFonts w:hint="eastAsia" w:ascii="宋体" w:hAnsi="宋体" w:eastAsia="宋体" w:cs="宋体"/>
          <w:color w:val="000000"/>
          <w:kern w:val="0"/>
          <w:sz w:val="24"/>
          <w:shd w:val="clear" w:color="auto" w:fill="FFFFFF"/>
        </w:rPr>
        <w:t>　在资产评估报告中披露企业的资产、财务分析和调整情况时，通常包括下列内容：</w:t>
      </w:r>
    </w:p>
    <w:p w14:paraId="7E4B4D5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（一）资产配置和使用的情况；</w:t>
      </w:r>
    </w:p>
    <w:p w14:paraId="5A827C1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（二）历史财务资料的分析总结，一般包括历史年度财务分析、与所在行业或者可比企业的财务比较分析等；</w:t>
      </w:r>
    </w:p>
    <w:p w14:paraId="647F522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（三）对财务报表及评估中使用的资料的重大或者实质性调整。</w:t>
      </w:r>
    </w:p>
    <w:p w14:paraId="4BA4305E">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第四十五条</w:t>
      </w:r>
      <w:r>
        <w:rPr>
          <w:rFonts w:hint="eastAsia" w:ascii="宋体" w:hAnsi="宋体" w:eastAsia="宋体" w:cs="宋体"/>
          <w:color w:val="000000"/>
          <w:kern w:val="0"/>
          <w:sz w:val="24"/>
          <w:shd w:val="clear" w:color="auto" w:fill="FFFFFF"/>
        </w:rPr>
        <w:t>　在资产评估报告中披露评估方法的运用过程时，通常包括下列内容：</w:t>
      </w:r>
    </w:p>
    <w:p w14:paraId="01E1506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（一）评估方法的选择及其理由；</w:t>
      </w:r>
    </w:p>
    <w:p w14:paraId="184FF5A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（二）评估方法的运用和逻辑推理过程；</w:t>
      </w:r>
    </w:p>
    <w:p w14:paraId="1FC4E89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（三）主要参数的来源、分析、比较和测算过程；</w:t>
      </w:r>
    </w:p>
    <w:p w14:paraId="4C194F2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（四）考虑的控制权和流动性影响；</w:t>
      </w:r>
    </w:p>
    <w:p w14:paraId="30FA532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（五）对测算结果进行分析，形成最终评估结论的过程。</w:t>
      </w:r>
    </w:p>
    <w:p w14:paraId="1E17CCCD">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第四十六条</w:t>
      </w:r>
      <w:r>
        <w:rPr>
          <w:rFonts w:hint="eastAsia" w:ascii="宋体" w:hAnsi="宋体" w:eastAsia="宋体" w:cs="宋体"/>
          <w:color w:val="000000"/>
          <w:kern w:val="0"/>
          <w:sz w:val="24"/>
          <w:shd w:val="clear" w:color="auto" w:fill="FFFFFF"/>
        </w:rPr>
        <w:t>　资产评估专业人员应当在资产评估报告中披露无法核查验证的事项及其对评估结论的影响。</w:t>
      </w:r>
    </w:p>
    <w:p w14:paraId="3C992DD5">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第四十七条</w:t>
      </w:r>
      <w:r>
        <w:rPr>
          <w:rFonts w:hint="eastAsia" w:ascii="宋体" w:hAnsi="宋体" w:eastAsia="宋体" w:cs="宋体"/>
          <w:color w:val="000000"/>
          <w:kern w:val="0"/>
          <w:sz w:val="24"/>
          <w:shd w:val="clear" w:color="auto" w:fill="FFFFFF"/>
        </w:rPr>
        <w:t>　资产评估报告应当载明：委托人或者其他资产评估报告使用人未按照法律、行政法规规定和资产评估报告载明的使用范围使用资产评估报告的，资产评估机构及其资产评估专业人员不承担责任；除委托人、资产评估委托合同中约定的其他资产评估报告使用人和法律、行政法规规定的资产评估报告使用人之外，其他任何机构和个人不能成为资产评估报告的使用人。</w:t>
      </w:r>
    </w:p>
    <w:p w14:paraId="5CDF33A8">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第四十八条</w:t>
      </w:r>
      <w:r>
        <w:rPr>
          <w:rFonts w:hint="eastAsia" w:ascii="宋体" w:hAnsi="宋体" w:eastAsia="宋体" w:cs="宋体"/>
          <w:color w:val="000000"/>
          <w:kern w:val="0"/>
          <w:sz w:val="24"/>
          <w:shd w:val="clear" w:color="auto" w:fill="FFFFFF"/>
        </w:rPr>
        <w:t>　资产评估专业人员应当在资产评估报告中提醒资产评估报告使用人正确理解评估结论，评估结论不等同于评估对象可实现价格，评估结论不应当被认为是对评估对象可实现价格的保证。</w:t>
      </w:r>
    </w:p>
    <w:p w14:paraId="13BA47B3">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第四十九条</w:t>
      </w:r>
      <w:r>
        <w:rPr>
          <w:rFonts w:hint="eastAsia" w:ascii="宋体" w:hAnsi="宋体" w:eastAsia="宋体" w:cs="宋体"/>
          <w:color w:val="000000"/>
          <w:kern w:val="0"/>
          <w:sz w:val="24"/>
          <w:shd w:val="clear" w:color="auto" w:fill="FFFFFF"/>
        </w:rPr>
        <w:t>　资产评估专业人员可以根据评估对象的复杂程度、委托人要求，确定资产评估报告的详略程度。</w:t>
      </w:r>
    </w:p>
    <w:p w14:paraId="675F4B8D">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第六章　附则</w:t>
      </w:r>
    </w:p>
    <w:p w14:paraId="4ED63D11">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第五十条</w:t>
      </w:r>
      <w:r>
        <w:rPr>
          <w:rFonts w:hint="eastAsia" w:ascii="宋体" w:hAnsi="宋体" w:eastAsia="宋体" w:cs="宋体"/>
          <w:color w:val="000000"/>
          <w:kern w:val="0"/>
          <w:sz w:val="24"/>
          <w:shd w:val="clear" w:color="auto" w:fill="FFFFFF"/>
        </w:rPr>
        <w:t>　本准则自2019年1月1日起施行。中国资产评估协会于2017年9月8日发布的《关于印发&lt;资产评估执业准则——企业价值&gt;的通知》（中评协〔2017〕36号）中的《资产评估执业准则——企业价值》同时废止。</w:t>
      </w:r>
    </w:p>
    <w:p w14:paraId="20CD97C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br w:type="page"/>
      </w:r>
    </w:p>
    <w:p w14:paraId="57FC6F3E">
      <w:pPr>
        <w:pStyle w:val="5"/>
        <w:spacing w:line="440" w:lineRule="atLeast"/>
        <w:jc w:val="center"/>
        <w:rPr>
          <w:rFonts w:ascii="宋体" w:hAnsi="宋体" w:eastAsia="宋体" w:cs="宋体"/>
        </w:rPr>
      </w:pPr>
      <w:bookmarkStart w:id="110" w:name="_Toc838"/>
      <w:r>
        <w:rPr>
          <w:rFonts w:hint="eastAsia" w:ascii="宋体" w:hAnsi="宋体" w:eastAsia="宋体" w:cs="宋体"/>
        </w:rPr>
        <w:t>资产评估执业准则——不动产</w:t>
      </w:r>
      <w:bookmarkEnd w:id="110"/>
    </w:p>
    <w:p w14:paraId="2DD7F96A">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第一章　总则</w:t>
      </w:r>
    </w:p>
    <w:p w14:paraId="1C3C6B12">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第一条</w:t>
      </w:r>
      <w:r>
        <w:rPr>
          <w:rFonts w:hint="eastAsia" w:ascii="宋体" w:hAnsi="宋体" w:eastAsia="宋体" w:cs="宋体"/>
          <w:color w:val="000000"/>
          <w:kern w:val="0"/>
          <w:sz w:val="24"/>
          <w:shd w:val="clear" w:color="auto" w:fill="FFFFFF"/>
        </w:rPr>
        <w:t>　为规范不动产评估行为，保护资产评估当事人合法权益和公共利益，根据《资产评估基本准则》制定本准则。</w:t>
      </w:r>
    </w:p>
    <w:p w14:paraId="380C9C84">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第二条</w:t>
      </w:r>
      <w:r>
        <w:rPr>
          <w:rFonts w:hint="eastAsia" w:ascii="宋体" w:hAnsi="宋体" w:eastAsia="宋体" w:cs="宋体"/>
          <w:color w:val="000000"/>
          <w:kern w:val="0"/>
          <w:sz w:val="24"/>
          <w:shd w:val="clear" w:color="auto" w:fill="FFFFFF"/>
        </w:rPr>
        <w:t>　本准则所称不动产是指土地、建筑物及其他附着于土地上的定着物，包括物质实体及其相关权益。</w:t>
      </w:r>
    </w:p>
    <w:p w14:paraId="173A9DE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本准则所称不动产不包含海域、林木等。</w:t>
      </w:r>
    </w:p>
    <w:p w14:paraId="09578194">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第三条</w:t>
      </w:r>
      <w:r>
        <w:rPr>
          <w:rFonts w:hint="eastAsia" w:ascii="宋体" w:hAnsi="宋体" w:eastAsia="宋体" w:cs="宋体"/>
          <w:color w:val="000000"/>
          <w:kern w:val="0"/>
          <w:sz w:val="24"/>
          <w:shd w:val="clear" w:color="auto" w:fill="FFFFFF"/>
        </w:rPr>
        <w:t>　本准则所称不动产评估是指资产评估机构及其资产评估专业人员遵守法律、行政法规和资产评估准则，根据委托对评估基准日特定目的下的不动产价值进行评定和估算，并出具资产评估报告的专业服务行为。</w:t>
      </w:r>
    </w:p>
    <w:p w14:paraId="2488158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不动产评估包括单独的不动产评估和企业价值评估中的不动产评估。</w:t>
      </w:r>
    </w:p>
    <w:p w14:paraId="296E6290">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第四条</w:t>
      </w:r>
      <w:r>
        <w:rPr>
          <w:rFonts w:hint="eastAsia" w:ascii="宋体" w:hAnsi="宋体" w:eastAsia="宋体" w:cs="宋体"/>
          <w:color w:val="000000"/>
          <w:kern w:val="0"/>
          <w:sz w:val="24"/>
          <w:shd w:val="clear" w:color="auto" w:fill="FFFFFF"/>
        </w:rPr>
        <w:t>　执行不动产评估业务，应当遵守本准则，但法律、行政法规规定应当执行其他准则的，从其规定。</w:t>
      </w:r>
    </w:p>
    <w:p w14:paraId="67EA34C6">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第二章　基本遵循</w:t>
      </w:r>
    </w:p>
    <w:p w14:paraId="7FBBC992">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第五条</w:t>
      </w:r>
      <w:r>
        <w:rPr>
          <w:rFonts w:hint="eastAsia" w:ascii="宋体" w:hAnsi="宋体" w:eastAsia="宋体" w:cs="宋体"/>
          <w:color w:val="000000"/>
          <w:kern w:val="0"/>
          <w:sz w:val="24"/>
          <w:shd w:val="clear" w:color="auto" w:fill="FFFFFF"/>
        </w:rPr>
        <w:t>　执行不动产评估业务，应当具备不动产评估的专业知识和实践经验，能够胜任所执行的不动产评估业务。</w:t>
      </w:r>
    </w:p>
    <w:p w14:paraId="62732F1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当执行某项特定业务缺乏特定的专业知识和经验时，应当采取弥补措施，包括利用专家及相关报告等。</w:t>
      </w:r>
    </w:p>
    <w:p w14:paraId="0839AD0B">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第七条</w:t>
      </w:r>
      <w:r>
        <w:rPr>
          <w:rFonts w:hint="eastAsia" w:ascii="宋体" w:hAnsi="宋体" w:eastAsia="宋体" w:cs="宋体"/>
          <w:color w:val="000000"/>
          <w:kern w:val="0"/>
          <w:sz w:val="24"/>
          <w:shd w:val="clear" w:color="auto" w:fill="FFFFFF"/>
        </w:rPr>
        <w:t>　资产评估专业人员应当关注不动产的权属，收集相关的权属证明文件，对于没有权属证明文件的不动产应当要求委托人或者其他相关当事人对其权属做出承诺或说明。</w:t>
      </w:r>
    </w:p>
    <w:p w14:paraId="6B0C5FBF">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第八条</w:t>
      </w:r>
      <w:r>
        <w:rPr>
          <w:rFonts w:hint="eastAsia" w:ascii="宋体" w:hAnsi="宋体" w:eastAsia="宋体" w:cs="宋体"/>
          <w:color w:val="000000"/>
          <w:kern w:val="0"/>
          <w:sz w:val="24"/>
          <w:shd w:val="clear" w:color="auto" w:fill="FFFFFF"/>
        </w:rPr>
        <w:t>　不动产评估应当在评估对象符合用途管制要求的情况下进行。对于不动产使用的限制条件，应当以有关部门依法规定的用途、面积、高度、建筑密度、容积率、年限等技术指标为依据。</w:t>
      </w:r>
    </w:p>
    <w:p w14:paraId="5B981309">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第九条</w:t>
      </w:r>
      <w:r>
        <w:rPr>
          <w:rFonts w:hint="eastAsia" w:ascii="宋体" w:hAnsi="宋体" w:eastAsia="宋体" w:cs="宋体"/>
          <w:color w:val="000000"/>
          <w:kern w:val="0"/>
          <w:sz w:val="24"/>
          <w:shd w:val="clear" w:color="auto" w:fill="FFFFFF"/>
        </w:rPr>
        <w:t>　当不动产存在多种利用方式时，应当在合法的前提下，结合经济行为、评估目的、价值类型等情况，选择和使用最优利用方式进行评估。</w:t>
      </w:r>
    </w:p>
    <w:p w14:paraId="53018CEF">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第三章　操作要求</w:t>
      </w:r>
    </w:p>
    <w:p w14:paraId="00282E88">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第十条</w:t>
      </w:r>
      <w:r>
        <w:rPr>
          <w:rFonts w:hint="eastAsia" w:ascii="宋体" w:hAnsi="宋体" w:eastAsia="宋体" w:cs="宋体"/>
          <w:color w:val="000000"/>
          <w:kern w:val="0"/>
          <w:sz w:val="24"/>
          <w:shd w:val="clear" w:color="auto" w:fill="FFFFFF"/>
        </w:rPr>
        <w:t>　执行不动产评估业务，应当要求委托人明确资产评估报告的用途、评估对象、范围和评估目的。不动产评估对象，可以是不动产对应的全部权益，也可以是不动产对应的部分权益。</w:t>
      </w:r>
    </w:p>
    <w:p w14:paraId="2B7B93FE">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第十一条</w:t>
      </w:r>
      <w:r>
        <w:rPr>
          <w:rFonts w:hint="eastAsia" w:ascii="宋体" w:hAnsi="宋体" w:eastAsia="宋体" w:cs="宋体"/>
          <w:color w:val="000000"/>
          <w:kern w:val="0"/>
          <w:sz w:val="24"/>
          <w:shd w:val="clear" w:color="auto" w:fill="FFFFFF"/>
        </w:rPr>
        <w:t>　执行不动产评估业务，应当全面了解不动产的实物状况、权益状况和区位状况，掌握评估对象的主要特征。</w:t>
      </w:r>
    </w:p>
    <w:p w14:paraId="402945A3">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第十二条</w:t>
      </w:r>
      <w:r>
        <w:rPr>
          <w:rFonts w:hint="eastAsia" w:ascii="宋体" w:hAnsi="宋体" w:eastAsia="宋体" w:cs="宋体"/>
          <w:color w:val="000000"/>
          <w:kern w:val="0"/>
          <w:sz w:val="24"/>
          <w:shd w:val="clear" w:color="auto" w:fill="FFFFFF"/>
        </w:rPr>
        <w:t>　执行不动产评估业务，应当根据评估目的和不动产具体情况进行合理假设，并在资产评估报告中予以披露。</w:t>
      </w:r>
    </w:p>
    <w:p w14:paraId="4ED421F1">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第十三条</w:t>
      </w:r>
      <w:r>
        <w:rPr>
          <w:rFonts w:hint="eastAsia" w:ascii="宋体" w:hAnsi="宋体" w:eastAsia="宋体" w:cs="宋体"/>
          <w:color w:val="000000"/>
          <w:kern w:val="0"/>
          <w:sz w:val="24"/>
          <w:shd w:val="clear" w:color="auto" w:fill="FFFFFF"/>
        </w:rPr>
        <w:t>　不动产组成部分的价值存在相互影响关系。建筑物对于其所占有的土地使用权存在价值减损的可能。如果建筑物对于其所占有的土地使用权存在价值减损情形，评估土地使用权价值时应当计算该损失金额并加以扣除。</w:t>
      </w:r>
    </w:p>
    <w:p w14:paraId="50B4C1E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对于土建工程与机器设备安装为一体或者形成紧密关联的不动产，应当关注机器设备与不动产的关系，合理进行区分，并考虑机器设备等资产对不动产价值的影响。</w:t>
      </w:r>
    </w:p>
    <w:p w14:paraId="313C2821">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第十四条</w:t>
      </w:r>
      <w:r>
        <w:rPr>
          <w:rFonts w:hint="eastAsia" w:ascii="宋体" w:hAnsi="宋体" w:eastAsia="宋体" w:cs="宋体"/>
          <w:color w:val="000000"/>
          <w:kern w:val="0"/>
          <w:sz w:val="24"/>
          <w:shd w:val="clear" w:color="auto" w:fill="FFFFFF"/>
        </w:rPr>
        <w:t>　执行不动产评估业务，一般情况下，应当对所评估的不动产进行现场调查，明确不动产存在状态并关注其权属状况。特殊情况下，如需采用抽样等方法对不动产进行现场调查，应当充分考虑抽样风险。</w:t>
      </w:r>
    </w:p>
    <w:p w14:paraId="14C90A1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对于不动产处于隐蔽状况或者因客观原因无法进行实地查看的部分，应当采取适当措施加以判断并予以披露。</w:t>
      </w:r>
    </w:p>
    <w:p w14:paraId="36E14645">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第十五条</w:t>
      </w:r>
      <w:r>
        <w:rPr>
          <w:rFonts w:hint="eastAsia" w:ascii="宋体" w:hAnsi="宋体" w:eastAsia="宋体" w:cs="宋体"/>
          <w:color w:val="000000"/>
          <w:kern w:val="0"/>
          <w:sz w:val="24"/>
          <w:shd w:val="clear" w:color="auto" w:fill="FFFFFF"/>
        </w:rPr>
        <w:t>　对于水利工程、码头、桥涵、道路等不动产，应当根据不动产的价值特性和资产特点，通过设计概算、工程图纸、竣工决算、定额标准等技术资料，结合对不动产的现场查看，了解不动产的结构、工程量、工程费用分摊、建设周期以及收益等情况。</w:t>
      </w:r>
    </w:p>
    <w:p w14:paraId="3E0AE03C">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第十六条</w:t>
      </w:r>
      <w:r>
        <w:rPr>
          <w:rFonts w:hint="eastAsia" w:ascii="宋体" w:hAnsi="宋体" w:eastAsia="宋体" w:cs="宋体"/>
          <w:color w:val="000000"/>
          <w:kern w:val="0"/>
          <w:sz w:val="24"/>
          <w:shd w:val="clear" w:color="auto" w:fill="FFFFFF"/>
        </w:rPr>
        <w:t>　执行不动产评估业务，应当关注不动产的相邻关系、租约限制和动产对不动产价值的影响。</w:t>
      </w:r>
    </w:p>
    <w:p w14:paraId="0AF2B5E5">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第四章　评估方法</w:t>
      </w:r>
    </w:p>
    <w:p w14:paraId="2F6DB94A">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第十七条</w:t>
      </w:r>
      <w:r>
        <w:rPr>
          <w:rFonts w:hint="eastAsia" w:ascii="宋体" w:hAnsi="宋体" w:eastAsia="宋体" w:cs="宋体"/>
          <w:color w:val="000000"/>
          <w:kern w:val="0"/>
          <w:sz w:val="24"/>
          <w:shd w:val="clear" w:color="auto" w:fill="FFFFFF"/>
        </w:rPr>
        <w:t>　执行不动产评估业务，应当根据评估目的、评估对象、价值类型、资料收集等情况，分析市场法、收益法和成本法三种资产评估基本方法以及假设开发法、基准地价修正法等衍生方法的适用性，选择评估方法。</w:t>
      </w:r>
    </w:p>
    <w:p w14:paraId="787D5BD0">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第十八条</w:t>
      </w:r>
      <w:r>
        <w:rPr>
          <w:rFonts w:hint="eastAsia" w:ascii="宋体" w:hAnsi="宋体" w:eastAsia="宋体" w:cs="宋体"/>
          <w:color w:val="000000"/>
          <w:kern w:val="0"/>
          <w:sz w:val="24"/>
          <w:shd w:val="clear" w:color="auto" w:fill="FFFFFF"/>
        </w:rPr>
        <w:t>　采用市场法评估不动产时，应当收集足够的交易实例。收集交易实例的信息包括：</w:t>
      </w:r>
    </w:p>
    <w:p w14:paraId="3CC2896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（一）交易实例的基本状况，主要包括：名称、坐落、四至、面积、用途、产权状况、土地形状、土地使用期限、建筑物建成日期、建筑结构、周围环境等；</w:t>
      </w:r>
    </w:p>
    <w:p w14:paraId="3968290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（二）成交日期；</w:t>
      </w:r>
    </w:p>
    <w:p w14:paraId="726D94E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（三）成交价格，包括总价、单价及计价方式；</w:t>
      </w:r>
    </w:p>
    <w:p w14:paraId="233A737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（四）付款方式；</w:t>
      </w:r>
    </w:p>
    <w:p w14:paraId="0957D16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（五）交易情况，主要有交易目的、交易方式、交易税费负担方式、交易人之间的特殊利害关系、特殊交易动机等。</w:t>
      </w:r>
    </w:p>
    <w:p w14:paraId="2133F333">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第十九条</w:t>
      </w:r>
      <w:r>
        <w:rPr>
          <w:rFonts w:hint="eastAsia" w:ascii="宋体" w:hAnsi="宋体" w:eastAsia="宋体" w:cs="宋体"/>
          <w:color w:val="000000"/>
          <w:kern w:val="0"/>
          <w:sz w:val="24"/>
          <w:shd w:val="clear" w:color="auto" w:fill="FFFFFF"/>
        </w:rPr>
        <w:t>　用作参照物的交易实例应当具备下列条件：</w:t>
      </w:r>
    </w:p>
    <w:p w14:paraId="4C1E3F8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（一）在区位、用途、规模、建筑结构、档次、权利性质等方面与评估对象类似；</w:t>
      </w:r>
    </w:p>
    <w:p w14:paraId="5555CE5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（二）成交日期与评估基准日接近；</w:t>
      </w:r>
    </w:p>
    <w:p w14:paraId="5A995EB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（三）交易类型与评估目的相适合；</w:t>
      </w:r>
    </w:p>
    <w:p w14:paraId="2F32EBE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（四）成交价格为正常价格或者可以修正为正常价格。</w:t>
      </w:r>
    </w:p>
    <w:p w14:paraId="38127261">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第二十条</w:t>
      </w:r>
      <w:r>
        <w:rPr>
          <w:rFonts w:hint="eastAsia" w:ascii="宋体" w:hAnsi="宋体" w:eastAsia="宋体" w:cs="宋体"/>
          <w:color w:val="000000"/>
          <w:kern w:val="0"/>
          <w:sz w:val="24"/>
          <w:shd w:val="clear" w:color="auto" w:fill="FFFFFF"/>
        </w:rPr>
        <w:t>　采用市场法评估不动产时，应当进行交易情况修正、交易日期修正和不动产状况修正。</w:t>
      </w:r>
    </w:p>
    <w:p w14:paraId="5431EBC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交易情况修正是将参照物实际交易情况下的价格修正为正常交易情况下的价值。交易日期修正是将参照物成交日期的价格修正为评估基准日的价值。不动产状况修正是将参照物状况下的价格修正为评估对象状况下的价值，可以分为区位状况修正、权益状况修正和实物状况修正。</w:t>
      </w:r>
    </w:p>
    <w:p w14:paraId="330AEFB4">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第二十一条</w:t>
      </w:r>
      <w:r>
        <w:rPr>
          <w:rFonts w:hint="eastAsia" w:ascii="宋体" w:hAnsi="宋体" w:eastAsia="宋体" w:cs="宋体"/>
          <w:color w:val="000000"/>
          <w:kern w:val="0"/>
          <w:sz w:val="24"/>
          <w:shd w:val="clear" w:color="auto" w:fill="FFFFFF"/>
        </w:rPr>
        <w:t>　采用收益法评估不动产时，应当了解：</w:t>
      </w:r>
    </w:p>
    <w:p w14:paraId="0588628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（一）不动产应当具有经济收益或者潜在经济收益；</w:t>
      </w:r>
    </w:p>
    <w:p w14:paraId="4575FA2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（二）不动产未来收益及风险能够较准确地预测与量化；</w:t>
      </w:r>
    </w:p>
    <w:p w14:paraId="7A92C8E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（三）不动产未来收益应当是不动产本身带来的收益；</w:t>
      </w:r>
    </w:p>
    <w:p w14:paraId="36D61DE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（四）不动产未来收益包含有形收益和无形收益。</w:t>
      </w:r>
    </w:p>
    <w:p w14:paraId="0928805A">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第二十二条</w:t>
      </w:r>
      <w:r>
        <w:rPr>
          <w:rFonts w:hint="eastAsia" w:ascii="宋体" w:hAnsi="宋体" w:eastAsia="宋体" w:cs="宋体"/>
          <w:color w:val="000000"/>
          <w:kern w:val="0"/>
          <w:sz w:val="24"/>
          <w:shd w:val="clear" w:color="auto" w:fill="FFFFFF"/>
        </w:rPr>
        <w:t>　采用收益法评估不动产时，应当合理确定收益期限、净收益与折现率：</w:t>
      </w:r>
    </w:p>
    <w:p w14:paraId="04EFB6D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（一）收益期限应当根据建筑物剩余经济寿命年限与土地使用权剩余使用年限等参数，并根据法律、行政法规的规定确定；</w:t>
      </w:r>
    </w:p>
    <w:p w14:paraId="1268F2B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（二）确定净收益时应当考虑未来收益和风险的合理预期；</w:t>
      </w:r>
    </w:p>
    <w:p w14:paraId="262D5FD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（三）折现率与不动产的收益方式、收益预测方法、风险状况有关，也因不动产的组成部分不同而存在差异。折现率的口径应当与预期收益口径保持一致。</w:t>
      </w:r>
    </w:p>
    <w:p w14:paraId="00C497DD">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第二十三条</w:t>
      </w:r>
      <w:r>
        <w:rPr>
          <w:rFonts w:hint="eastAsia" w:ascii="宋体" w:hAnsi="宋体" w:eastAsia="宋体" w:cs="宋体"/>
          <w:color w:val="000000"/>
          <w:kern w:val="0"/>
          <w:sz w:val="24"/>
          <w:shd w:val="clear" w:color="auto" w:fill="FFFFFF"/>
        </w:rPr>
        <w:t>　采用收益法评估不动产时，有租约限制的，租约期内的租金宜采用租约所确定的租金，租约期外的租金应当采用正常客观的租金，并在资产评估报告中披露租约情况。</w:t>
      </w:r>
    </w:p>
    <w:p w14:paraId="01F1DC8F">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第二十四条</w:t>
      </w:r>
      <w:r>
        <w:rPr>
          <w:rFonts w:hint="eastAsia" w:ascii="宋体" w:hAnsi="宋体" w:eastAsia="宋体" w:cs="宋体"/>
          <w:color w:val="000000"/>
          <w:kern w:val="0"/>
          <w:sz w:val="24"/>
          <w:shd w:val="clear" w:color="auto" w:fill="FFFFFF"/>
        </w:rPr>
        <w:t>　采用成本法评估不动产，估算重置成本时，应当了解：</w:t>
      </w:r>
    </w:p>
    <w:p w14:paraId="6528130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（一）重置成本采用客观成本；</w:t>
      </w:r>
    </w:p>
    <w:p w14:paraId="2989F62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（二）不动产重置成本采取土地使用权与建筑物分别估算、然后加总的评估方式时，重置成本的相关成本构成应当在两者之间合理划分或者分摊，避免重复计算或者漏算；</w:t>
      </w:r>
    </w:p>
    <w:p w14:paraId="2BBB700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（三）不动产的重置成本通常采用更新重置成本。当评估对象为具有特定历史文化价值的不动产时，应当尽量采用复原重置成本。</w:t>
      </w:r>
    </w:p>
    <w:p w14:paraId="1A492005">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第二十五条</w:t>
      </w:r>
      <w:r>
        <w:rPr>
          <w:rFonts w:hint="eastAsia" w:ascii="宋体" w:hAnsi="宋体" w:eastAsia="宋体" w:cs="宋体"/>
          <w:color w:val="000000"/>
          <w:kern w:val="0"/>
          <w:sz w:val="24"/>
          <w:shd w:val="clear" w:color="auto" w:fill="FFFFFF"/>
        </w:rPr>
        <w:t>　资产评估专业人员应当对不动产所涉及的土地使用权剩余年限、建筑物经济寿命年限及设施设备的经济寿命年限进行分析判断，确定不动产的经济寿命年限。</w:t>
      </w:r>
    </w:p>
    <w:p w14:paraId="06D3288E">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第二十六条</w:t>
      </w:r>
      <w:r>
        <w:rPr>
          <w:rFonts w:hint="eastAsia" w:ascii="宋体" w:hAnsi="宋体" w:eastAsia="宋体" w:cs="宋体"/>
          <w:color w:val="000000"/>
          <w:kern w:val="0"/>
          <w:sz w:val="24"/>
          <w:shd w:val="clear" w:color="auto" w:fill="FFFFFF"/>
        </w:rPr>
        <w:t>　资产评估专业人员应当综合考虑可能引起不动产贬值的主要因素，估算各种贬值。建筑物的贬值包括实体性贬值、功能性贬值和经济性贬值。确定建筑物的实体性贬值时，通常综合考虑建筑物已使用年限、经济寿命年限和土地使用权剩余年限的影响。</w:t>
      </w:r>
    </w:p>
    <w:p w14:paraId="18D7434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确定住宅用途建筑物实体性贬值时，需要考虑土地使用权自动续期的影响。当土地使用权自动续期时，可以根据建筑物的经济寿命年限确定其贬值额。</w:t>
      </w:r>
    </w:p>
    <w:p w14:paraId="2E844B2B">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第二十七条</w:t>
      </w:r>
      <w:r>
        <w:rPr>
          <w:rFonts w:hint="eastAsia" w:ascii="宋体" w:hAnsi="宋体" w:eastAsia="宋体" w:cs="宋体"/>
          <w:color w:val="000000"/>
          <w:kern w:val="0"/>
          <w:sz w:val="24"/>
          <w:shd w:val="clear" w:color="auto" w:fill="FFFFFF"/>
        </w:rPr>
        <w:t>　采用假设开发法评估不动产时，应当了解：</w:t>
      </w:r>
    </w:p>
    <w:p w14:paraId="06DA1ED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（一）假设开发法适用于具有开发和再开发潜力，并且其开发完成后的价值可以确定的不动产；</w:t>
      </w:r>
    </w:p>
    <w:p w14:paraId="52900F4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（二）开发完成后的不动产价值是开发完成后不动产状况所对应的价值；</w:t>
      </w:r>
    </w:p>
    <w:p w14:paraId="7602F1E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（三）后续开发建设的必要支出和应得利润包括：后续开发成本、管理费用、销售费用、投资利息、销售税费、开发利润和取得待开发不动产的税费等；</w:t>
      </w:r>
    </w:p>
    <w:p w14:paraId="0074CB5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（四）假设开发方式通常是满足规划条件下的最佳开发利用方式。</w:t>
      </w:r>
    </w:p>
    <w:p w14:paraId="30B19EDE">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第二十八条</w:t>
      </w:r>
      <w:r>
        <w:rPr>
          <w:rFonts w:hint="eastAsia" w:ascii="宋体" w:hAnsi="宋体" w:eastAsia="宋体" w:cs="宋体"/>
          <w:color w:val="000000"/>
          <w:kern w:val="0"/>
          <w:sz w:val="24"/>
          <w:shd w:val="clear" w:color="auto" w:fill="FFFFFF"/>
        </w:rPr>
        <w:t>　采用基准地价修正法评估土地使用权价值时，应当根据评估对象的价值内涵与基准地价内涵的差异，确定调整内容。在土地级别、用途、权益性质等要素一致的情况下，调整内容包括交易日期修正、区域因素修正、个别因素修正、使用年期修正和开发程度修正等。</w:t>
      </w:r>
    </w:p>
    <w:p w14:paraId="7E1DD6BF">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第五章　企业价值评估中的不动产评估</w:t>
      </w:r>
    </w:p>
    <w:p w14:paraId="223AC91C">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第二十九条</w:t>
      </w:r>
      <w:r>
        <w:rPr>
          <w:rFonts w:hint="eastAsia" w:ascii="宋体" w:hAnsi="宋体" w:eastAsia="宋体" w:cs="宋体"/>
          <w:color w:val="000000"/>
          <w:kern w:val="0"/>
          <w:sz w:val="24"/>
          <w:shd w:val="clear" w:color="auto" w:fill="FFFFFF"/>
        </w:rPr>
        <w:t>　企业所拥有的不动产通常在存货、投资性房地产、固定资产、在建工程以及无形资产等科目中核算，且可能存在同一不动产账面价值由多笔余额构成的情形。作为存货的房地产、投资性房地产和自用房地产等，其价值影响因素存在差异。</w:t>
      </w:r>
    </w:p>
    <w:p w14:paraId="2903E3E6">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第三十条</w:t>
      </w:r>
      <w:r>
        <w:rPr>
          <w:rFonts w:hint="eastAsia" w:ascii="宋体" w:hAnsi="宋体" w:eastAsia="宋体" w:cs="宋体"/>
          <w:color w:val="000000"/>
          <w:kern w:val="0"/>
          <w:sz w:val="24"/>
          <w:shd w:val="clear" w:color="auto" w:fill="FFFFFF"/>
        </w:rPr>
        <w:t>　在企业价值评估中，应当关注企业经营方式及不动产实际使用方式对不动产价值的影响。</w:t>
      </w:r>
    </w:p>
    <w:p w14:paraId="3C6B8494">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第三十一条</w:t>
      </w:r>
      <w:r>
        <w:rPr>
          <w:rFonts w:hint="eastAsia" w:ascii="宋体" w:hAnsi="宋体" w:eastAsia="宋体" w:cs="宋体"/>
          <w:color w:val="000000"/>
          <w:kern w:val="0"/>
          <w:sz w:val="24"/>
          <w:shd w:val="clear" w:color="auto" w:fill="FFFFFF"/>
        </w:rPr>
        <w:t>　在企业价值评估中，应当结合企业价值评估的价值类型合理设定不动产评估的假设前提和限制条件。</w:t>
      </w:r>
    </w:p>
    <w:p w14:paraId="35D193B1">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第三十二条</w:t>
      </w:r>
      <w:r>
        <w:rPr>
          <w:rFonts w:hint="eastAsia" w:ascii="宋体" w:hAnsi="宋体" w:eastAsia="宋体" w:cs="宋体"/>
          <w:color w:val="000000"/>
          <w:kern w:val="0"/>
          <w:sz w:val="24"/>
          <w:shd w:val="clear" w:color="auto" w:fill="FFFFFF"/>
        </w:rPr>
        <w:t>　在企业价值评估中，应当分析不动产的财务核算方式以及是否存在不动产未结合同和尚未支付款项，明确不动产的评估价值内涵与实际已发生支出、尚未发生支出之间的关系，避免重复计算或者漏算。</w:t>
      </w:r>
    </w:p>
    <w:p w14:paraId="11E69E39">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第三十三条</w:t>
      </w:r>
      <w:r>
        <w:rPr>
          <w:rFonts w:hint="eastAsia" w:ascii="宋体" w:hAnsi="宋体" w:eastAsia="宋体" w:cs="宋体"/>
          <w:color w:val="000000"/>
          <w:kern w:val="0"/>
          <w:sz w:val="24"/>
          <w:shd w:val="clear" w:color="auto" w:fill="FFFFFF"/>
        </w:rPr>
        <w:t>　在企业价值评估中，不动产作为企业资产的组成部分，评估价值受其对企业贡献程度的影响。</w:t>
      </w:r>
    </w:p>
    <w:p w14:paraId="4A4B5D73">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第三十四条</w:t>
      </w:r>
      <w:r>
        <w:rPr>
          <w:rFonts w:hint="eastAsia" w:ascii="宋体" w:hAnsi="宋体" w:eastAsia="宋体" w:cs="宋体"/>
          <w:color w:val="000000"/>
          <w:kern w:val="0"/>
          <w:sz w:val="24"/>
          <w:shd w:val="clear" w:color="auto" w:fill="FFFFFF"/>
        </w:rPr>
        <w:t>　在企业价值评估中，对于溢余不动产，应当考虑不动产的持有目的、收益状况和实现交易的可能性，采用恰当的评估方法确定其评估价值。</w:t>
      </w:r>
    </w:p>
    <w:p w14:paraId="1A6A52F9">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第六章　披露要求</w:t>
      </w:r>
    </w:p>
    <w:p w14:paraId="0811AB57">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第三十五条</w:t>
      </w:r>
      <w:r>
        <w:rPr>
          <w:rFonts w:hint="eastAsia" w:ascii="宋体" w:hAnsi="宋体" w:eastAsia="宋体" w:cs="宋体"/>
          <w:color w:val="000000"/>
          <w:kern w:val="0"/>
          <w:sz w:val="24"/>
          <w:shd w:val="clear" w:color="auto" w:fill="FFFFFF"/>
        </w:rPr>
        <w:t>　无论单独出具不动产评估报告，还是将不动产评估作为资产评估报告的组成部分，都应当在资产评估报告中披露必要信息，使资产评估报告使用人能够正确理解评估结论。</w:t>
      </w:r>
    </w:p>
    <w:p w14:paraId="2CE34898">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第三十六条</w:t>
      </w:r>
      <w:r>
        <w:rPr>
          <w:rFonts w:hint="eastAsia" w:ascii="宋体" w:hAnsi="宋体" w:eastAsia="宋体" w:cs="宋体"/>
          <w:color w:val="000000"/>
          <w:kern w:val="0"/>
          <w:sz w:val="24"/>
          <w:shd w:val="clear" w:color="auto" w:fill="FFFFFF"/>
        </w:rPr>
        <w:t>　执行不动产评估业务，在编制资产评估报告时应当对不动产的总体情况、主要特点和权属状况进行披露。</w:t>
      </w:r>
    </w:p>
    <w:p w14:paraId="1BB7DCFD">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第七章　附则</w:t>
      </w:r>
    </w:p>
    <w:p w14:paraId="126BA470">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第三十七条</w:t>
      </w:r>
      <w:r>
        <w:rPr>
          <w:rFonts w:hint="eastAsia" w:ascii="宋体" w:hAnsi="宋体" w:eastAsia="宋体" w:cs="宋体"/>
          <w:color w:val="000000"/>
          <w:kern w:val="0"/>
          <w:sz w:val="24"/>
          <w:shd w:val="clear" w:color="auto" w:fill="FFFFFF"/>
        </w:rPr>
        <w:t>　本准则自2017年10月1日起施行。中国资产评估协会于2007年11月28日发布的《关于印发〈资产评估准则——评估报告〉等7项资产评估准则的通知》（中评协〔2007〕189号）中的《资产评估准则——不动产》同时废止。</w:t>
      </w:r>
    </w:p>
    <w:p w14:paraId="6A7B86C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br w:type="page"/>
      </w:r>
    </w:p>
    <w:p w14:paraId="126DF4EC">
      <w:pPr>
        <w:pStyle w:val="5"/>
        <w:spacing w:line="440" w:lineRule="atLeast"/>
        <w:jc w:val="center"/>
        <w:rPr>
          <w:rFonts w:ascii="宋体" w:hAnsi="宋体" w:eastAsia="宋体" w:cs="宋体"/>
        </w:rPr>
      </w:pPr>
      <w:bookmarkStart w:id="111" w:name="_Toc11048"/>
      <w:r>
        <w:rPr>
          <w:rFonts w:hint="eastAsia" w:ascii="宋体" w:hAnsi="宋体" w:eastAsia="宋体" w:cs="宋体"/>
        </w:rPr>
        <w:t>资产评估执业准则——机器设备</w:t>
      </w:r>
      <w:bookmarkEnd w:id="111"/>
    </w:p>
    <w:p w14:paraId="101DD898">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第一章　总则</w:t>
      </w:r>
    </w:p>
    <w:p w14:paraId="02457D7C">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第一条</w:t>
      </w:r>
      <w:r>
        <w:rPr>
          <w:rFonts w:hint="eastAsia" w:ascii="宋体" w:hAnsi="宋体" w:eastAsia="宋体" w:cs="宋体"/>
          <w:color w:val="000000"/>
          <w:kern w:val="0"/>
          <w:sz w:val="24"/>
          <w:shd w:val="clear" w:color="auto" w:fill="FFFFFF"/>
        </w:rPr>
        <w:t>　为规范机器设备评估行为，保护资产评估当事人合法权益和公共利益，根据《资产评估基本准则》制定本准则。</w:t>
      </w:r>
    </w:p>
    <w:p w14:paraId="4FA7D60F">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第二条</w:t>
      </w:r>
      <w:r>
        <w:rPr>
          <w:rFonts w:hint="eastAsia" w:ascii="宋体" w:hAnsi="宋体" w:eastAsia="宋体" w:cs="宋体"/>
          <w:color w:val="000000"/>
          <w:kern w:val="0"/>
          <w:sz w:val="24"/>
          <w:shd w:val="clear" w:color="auto" w:fill="FFFFFF"/>
        </w:rPr>
        <w:t>　本准则所称机器设备，是指人类利用机械原理以及其他科学原理制造的、特定主体拥有或者控制的有形资产,包括机器、仪器、器械、装置、附属的特殊建筑物等。</w:t>
      </w:r>
    </w:p>
    <w:p w14:paraId="66066BFB">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第三条</w:t>
      </w:r>
      <w:r>
        <w:rPr>
          <w:rFonts w:hint="eastAsia" w:ascii="宋体" w:hAnsi="宋体" w:eastAsia="宋体" w:cs="宋体"/>
          <w:color w:val="000000"/>
          <w:kern w:val="0"/>
          <w:sz w:val="24"/>
          <w:shd w:val="clear" w:color="auto" w:fill="FFFFFF"/>
        </w:rPr>
        <w:t>　本准则所称机器设备评估，是指资产评估机构及其资产评估专业人员遵守法律、行政法规和资产评估准则，根据委托对评估基准日特定目的下单独的机器设备、资产组合或者作为企业资产组成部分的机器设备价值进行评定和估算，并出具资产评估报告的专业服务行为。</w:t>
      </w:r>
    </w:p>
    <w:p w14:paraId="3280F582">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第四条</w:t>
      </w:r>
      <w:r>
        <w:rPr>
          <w:rFonts w:hint="eastAsia" w:ascii="宋体" w:hAnsi="宋体" w:eastAsia="宋体" w:cs="宋体"/>
          <w:color w:val="000000"/>
          <w:kern w:val="0"/>
          <w:sz w:val="24"/>
          <w:shd w:val="clear" w:color="auto" w:fill="FFFFFF"/>
        </w:rPr>
        <w:t>　执行机器设备评估业务，应当遵守本准则。</w:t>
      </w:r>
    </w:p>
    <w:p w14:paraId="34D90C8D">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第二章　基本遵循</w:t>
      </w:r>
    </w:p>
    <w:p w14:paraId="00FC95A2">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第五条</w:t>
      </w:r>
      <w:r>
        <w:rPr>
          <w:rFonts w:hint="eastAsia" w:ascii="宋体" w:hAnsi="宋体" w:eastAsia="宋体" w:cs="宋体"/>
          <w:color w:val="000000"/>
          <w:kern w:val="0"/>
          <w:sz w:val="24"/>
          <w:shd w:val="clear" w:color="auto" w:fill="FFFFFF"/>
        </w:rPr>
        <w:t>　执行机器设备评估业务，应当具备机器设备评估的专业知识和实践经验，能够胜任所执行的机器设备评估业务。</w:t>
      </w:r>
    </w:p>
    <w:p w14:paraId="672DBFA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当执行某项特定业务缺乏特定的专业知识和经验时，应当采取弥补措施，包括利用专家及相关报告等。</w:t>
      </w:r>
    </w:p>
    <w:p w14:paraId="2FFA3700">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第六条</w:t>
      </w:r>
      <w:r>
        <w:rPr>
          <w:rFonts w:hint="eastAsia" w:ascii="宋体" w:hAnsi="宋体" w:eastAsia="宋体" w:cs="宋体"/>
          <w:color w:val="000000"/>
          <w:kern w:val="0"/>
          <w:sz w:val="24"/>
          <w:shd w:val="clear" w:color="auto" w:fill="FFFFFF"/>
        </w:rPr>
        <w:t>　资产评估专业人员应当了解，机器设备的评估对象分为单台机器设备和机器设备组合对应的全部或者部分权益。单台机器设备是指以独立形态存在、可以单独发挥作用或者以单台的形式进行销售的机器设备。机器设备组合是指为了实现特定功能，由若干机器设备组成的有机整体。机器设备组合的价值不必然等于单台机器设备价值的简单相加。</w:t>
      </w:r>
    </w:p>
    <w:p w14:paraId="1BA58BAE">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第七条</w:t>
      </w:r>
      <w:r>
        <w:rPr>
          <w:rFonts w:hint="eastAsia" w:ascii="宋体" w:hAnsi="宋体" w:eastAsia="宋体" w:cs="宋体"/>
          <w:color w:val="000000"/>
          <w:kern w:val="0"/>
          <w:sz w:val="24"/>
          <w:shd w:val="clear" w:color="auto" w:fill="FFFFFF"/>
        </w:rPr>
        <w:t>　在对持续经营前提下的企业价值进行评估时，机器设备作为企业资产组成部分的价值可能有别于作为单项资产的价值，其价值取决于它对企业价值的贡献程度。</w:t>
      </w:r>
    </w:p>
    <w:p w14:paraId="6870D086">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第八条</w:t>
      </w:r>
      <w:r>
        <w:rPr>
          <w:rFonts w:hint="eastAsia" w:ascii="宋体" w:hAnsi="宋体" w:eastAsia="宋体" w:cs="宋体"/>
          <w:color w:val="000000"/>
          <w:kern w:val="0"/>
          <w:sz w:val="24"/>
          <w:shd w:val="clear" w:color="auto" w:fill="FFFFFF"/>
        </w:rPr>
        <w:t>　执行机器设备评估业务，应当关注机器设备所依存资源的有限性、所生产产品的市场寿命、所依附土地和房屋建筑物的使用期限、法律、行政法规以及环境保护、能源等产业政策对机器设备价值的影响。</w:t>
      </w:r>
    </w:p>
    <w:p w14:paraId="0597CD98">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第三章　操作要求</w:t>
      </w:r>
    </w:p>
    <w:p w14:paraId="5839D527">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第九条</w:t>
      </w:r>
      <w:r>
        <w:rPr>
          <w:rFonts w:hint="eastAsia" w:ascii="宋体" w:hAnsi="宋体" w:eastAsia="宋体" w:cs="宋体"/>
          <w:color w:val="000000"/>
          <w:kern w:val="0"/>
          <w:sz w:val="24"/>
          <w:shd w:val="clear" w:color="auto" w:fill="FFFFFF"/>
        </w:rPr>
        <w:t>　执行机器设备评估业务，应当了解评估结论的用途，明确评估目的。</w:t>
      </w:r>
    </w:p>
    <w:p w14:paraId="39280AC3">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第十条</w:t>
      </w:r>
      <w:r>
        <w:rPr>
          <w:rFonts w:hint="eastAsia" w:ascii="宋体" w:hAnsi="宋体" w:eastAsia="宋体" w:cs="宋体"/>
          <w:color w:val="000000"/>
          <w:kern w:val="0"/>
          <w:sz w:val="24"/>
          <w:shd w:val="clear" w:color="auto" w:fill="FFFFFF"/>
        </w:rPr>
        <w:t>　执行机器设备评估业务，应当根据评估目的等相关条件，选择恰当的价值类型。</w:t>
      </w:r>
    </w:p>
    <w:p w14:paraId="77553AB7">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第十一条</w:t>
      </w:r>
      <w:r>
        <w:rPr>
          <w:rFonts w:hint="eastAsia" w:ascii="宋体" w:hAnsi="宋体" w:eastAsia="宋体" w:cs="宋体"/>
          <w:color w:val="000000"/>
          <w:kern w:val="0"/>
          <w:sz w:val="24"/>
          <w:shd w:val="clear" w:color="auto" w:fill="FFFFFF"/>
        </w:rPr>
        <w:t>　资产评估专业人员应当根据机器设备的预期用途和评估目的，明确评估假设。包括：</w:t>
      </w:r>
    </w:p>
    <w:p w14:paraId="4B07EA9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（一）继续使用或者变现；</w:t>
      </w:r>
    </w:p>
    <w:p w14:paraId="43633EB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（二）原地使用或者移地使用；</w:t>
      </w:r>
    </w:p>
    <w:p w14:paraId="343C3B2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（三）现行用途使用或者改变用途使用。</w:t>
      </w:r>
    </w:p>
    <w:p w14:paraId="35D85381">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第十二条</w:t>
      </w:r>
      <w:r>
        <w:rPr>
          <w:rFonts w:hint="eastAsia" w:ascii="宋体" w:hAnsi="宋体" w:eastAsia="宋体" w:cs="宋体"/>
          <w:color w:val="000000"/>
          <w:kern w:val="0"/>
          <w:sz w:val="24"/>
          <w:shd w:val="clear" w:color="auto" w:fill="FFFFFF"/>
        </w:rPr>
        <w:t>　对需要改变使用地点，按原来的用途继续使用，或者改变用途继续使用的机器设备进行评估时，应当考虑机器设备移位或者改变用途对其价值产生的影响。</w:t>
      </w:r>
    </w:p>
    <w:p w14:paraId="776B4E87">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第十三条</w:t>
      </w:r>
      <w:r>
        <w:rPr>
          <w:rFonts w:hint="eastAsia" w:ascii="宋体" w:hAnsi="宋体" w:eastAsia="宋体" w:cs="宋体"/>
          <w:color w:val="000000"/>
          <w:kern w:val="0"/>
          <w:sz w:val="24"/>
          <w:shd w:val="clear" w:color="auto" w:fill="FFFFFF"/>
        </w:rPr>
        <w:t>　执行机器设备评估业务，应当根据评估目的、评估假设等条件，明确评估范围是否包括设备的安装、基础、附属设施，是否包括软件、技术服务、技术资料等无形资产。对于附属于不动产的机器设备，应当划分不动产与机器设备的评估范围，避免重复或者遗漏。</w:t>
      </w:r>
    </w:p>
    <w:p w14:paraId="0075E0EA">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第十四条</w:t>
      </w:r>
      <w:r>
        <w:rPr>
          <w:rFonts w:hint="eastAsia" w:ascii="宋体" w:hAnsi="宋体" w:eastAsia="宋体" w:cs="宋体"/>
          <w:color w:val="000000"/>
          <w:kern w:val="0"/>
          <w:sz w:val="24"/>
          <w:shd w:val="clear" w:color="auto" w:fill="FFFFFF"/>
        </w:rPr>
        <w:t>　执行机器设备评估业务，应当对机器设备进行现场逐项调查或者抽样调查，确定机器设备是否存在、明确机器设备存在状态并关注其权属。如果采用抽样的方法进行现场调查，应当充分考虑抽样风险。因客观原因等因素限制，无法实施现场调查的，应当采取措施加以判断，并予以披露。</w:t>
      </w:r>
    </w:p>
    <w:p w14:paraId="5C4F7C04">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第十五条</w:t>
      </w:r>
      <w:r>
        <w:rPr>
          <w:rFonts w:hint="eastAsia" w:ascii="宋体" w:hAnsi="宋体" w:eastAsia="宋体" w:cs="宋体"/>
          <w:color w:val="000000"/>
          <w:kern w:val="0"/>
          <w:sz w:val="24"/>
          <w:shd w:val="clear" w:color="auto" w:fill="FFFFFF"/>
        </w:rPr>
        <w:t>　执行机器设备评估业务应当根据评估对象的具体情况，确定现场调查内容。</w:t>
      </w:r>
    </w:p>
    <w:p w14:paraId="5DF2DE34">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第十六条</w:t>
      </w:r>
      <w:r>
        <w:rPr>
          <w:rFonts w:hint="eastAsia" w:ascii="宋体" w:hAnsi="宋体" w:eastAsia="宋体" w:cs="宋体"/>
          <w:color w:val="000000"/>
          <w:kern w:val="0"/>
          <w:sz w:val="24"/>
          <w:shd w:val="clear" w:color="auto" w:fill="FFFFFF"/>
        </w:rPr>
        <w:t>　资产评估专业人员通常可以通过现场观察，利用机器设备使用单位所提供的技术档案、检测报告、运行记录等历史资料，利用专业机构的检测结果，对机器设备的技术状态做出判断。必要时可以聘请专业机构对机器设备进行技术鉴定。</w:t>
      </w:r>
    </w:p>
    <w:p w14:paraId="1F8C278A">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第十七条</w:t>
      </w:r>
      <w:r>
        <w:rPr>
          <w:rFonts w:hint="eastAsia" w:ascii="宋体" w:hAnsi="宋体" w:eastAsia="宋体" w:cs="宋体"/>
          <w:color w:val="000000"/>
          <w:kern w:val="0"/>
          <w:sz w:val="24"/>
          <w:shd w:val="clear" w:color="auto" w:fill="FFFFFF"/>
        </w:rPr>
        <w:t>　资产评估专业人员应当关注机器设备的权属，收集相关的权属证明文件</w:t>
      </w:r>
    </w:p>
    <w:p w14:paraId="56437F8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，对于没有权属证明文件的机器设备应当要求委托人或者其他相关当事人对其权属做出承诺或者说明，并对相关资料进行核查验证。</w:t>
      </w:r>
    </w:p>
    <w:p w14:paraId="2589FE84">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第十八条</w:t>
      </w:r>
      <w:r>
        <w:rPr>
          <w:rFonts w:hint="eastAsia" w:ascii="宋体" w:hAnsi="宋体" w:eastAsia="宋体" w:cs="宋体"/>
          <w:color w:val="000000"/>
          <w:kern w:val="0"/>
          <w:sz w:val="24"/>
          <w:shd w:val="clear" w:color="auto" w:fill="FFFFFF"/>
        </w:rPr>
        <w:t>　资产评估专业人员应当获得真实、可靠的机器设备的市场信息。</w:t>
      </w:r>
    </w:p>
    <w:p w14:paraId="29D82745">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第四章　评估方法</w:t>
      </w:r>
    </w:p>
    <w:p w14:paraId="68C6C3DA">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第十九条</w:t>
      </w:r>
      <w:r>
        <w:rPr>
          <w:rFonts w:hint="eastAsia" w:ascii="宋体" w:hAnsi="宋体" w:eastAsia="宋体" w:cs="宋体"/>
          <w:color w:val="000000"/>
          <w:kern w:val="0"/>
          <w:sz w:val="24"/>
          <w:shd w:val="clear" w:color="auto" w:fill="FFFFFF"/>
        </w:rPr>
        <w:t>　执行机器设备评估业务，应当根据评估目的、评估对象、价值类型、资料收集等情况，分析成本法、市场法和收益法三种资产评估基本方法的适用性，选择评估方法。</w:t>
      </w:r>
    </w:p>
    <w:p w14:paraId="0853D357">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第二十条</w:t>
      </w:r>
      <w:r>
        <w:rPr>
          <w:rFonts w:hint="eastAsia" w:ascii="宋体" w:hAnsi="宋体" w:eastAsia="宋体" w:cs="宋体"/>
          <w:color w:val="000000"/>
          <w:kern w:val="0"/>
          <w:sz w:val="24"/>
          <w:shd w:val="clear" w:color="auto" w:fill="FFFFFF"/>
        </w:rPr>
        <w:t>　采用成本法评估机器设备时，应当：</w:t>
      </w:r>
    </w:p>
    <w:p w14:paraId="50F830E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（一）明确机器设备的重置成本包括购置或者购建设备所发生的必要的、合理的成本、利润和相关税费等，确定重置成本的构成要素；</w:t>
      </w:r>
    </w:p>
    <w:p w14:paraId="5750E3C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（二）明确重置成本可以划分为更新重置成本与复原重置成本；</w:t>
      </w:r>
    </w:p>
    <w:p w14:paraId="7DA82D8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（三）了解机器设备的实体性贬值、功能性贬值和经济性贬值，以及可能引起机器设备贬值的各种因素，采用科学的方法，估算各种贬值；</w:t>
      </w:r>
    </w:p>
    <w:p w14:paraId="45DADF0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（四）了解对具有独立运营能力或者独立获利能力的机器设备组合进行评估时，成本法一般不应当作为唯一使用的评估方法。</w:t>
      </w:r>
    </w:p>
    <w:p w14:paraId="4BBEC640">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第二十一条</w:t>
      </w:r>
      <w:r>
        <w:rPr>
          <w:rFonts w:hint="eastAsia" w:ascii="宋体" w:hAnsi="宋体" w:eastAsia="宋体" w:cs="宋体"/>
          <w:color w:val="000000"/>
          <w:kern w:val="0"/>
          <w:sz w:val="24"/>
          <w:shd w:val="clear" w:color="auto" w:fill="FFFFFF"/>
        </w:rPr>
        <w:t>　采用市场法评估机器设备时，应当：</w:t>
      </w:r>
    </w:p>
    <w:p w14:paraId="41450EE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（一）明确活跃的市场是采用市场法评估机器设备的前提条件，应当考虑市场是否能够提供足够数量的可比资产的交易数据、以及数据的可靠性；</w:t>
      </w:r>
    </w:p>
    <w:p w14:paraId="5C65AD1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（二）明确参照物与评估对象具有相似性和可比性是采用市场法的基础，应当对参照物与评估对象的差异进行调整；</w:t>
      </w:r>
    </w:p>
    <w:p w14:paraId="6EFE8BC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（三）了解不同交易市场的价格水平可能存在差异，应当根据评估目的和评估对象的具体情况，确定可以作为评估依据的合适的交易市场，或者对市场差异作出调整；</w:t>
      </w:r>
    </w:p>
    <w:p w14:paraId="58224B3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（四）明确拆除、运输、安装、调试等因素对评估结论的影响。</w:t>
      </w:r>
    </w:p>
    <w:p w14:paraId="69A07ABF">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第二十二条</w:t>
      </w:r>
      <w:r>
        <w:rPr>
          <w:rFonts w:hint="eastAsia" w:ascii="宋体" w:hAnsi="宋体" w:eastAsia="宋体" w:cs="宋体"/>
          <w:color w:val="000000"/>
          <w:kern w:val="0"/>
          <w:sz w:val="24"/>
          <w:shd w:val="clear" w:color="auto" w:fill="FFFFFF"/>
        </w:rPr>
        <w:t>　采用收益法评估机器设备时，应当：</w:t>
      </w:r>
    </w:p>
    <w:p w14:paraId="652FCE3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（一）明确收益法一般适用于具有独立获利能力或者获利能力可以量化的机器设备；</w:t>
      </w:r>
    </w:p>
    <w:p w14:paraId="54B0667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（二）合理确定收益期限、合理量化机器设备的未来收益；</w:t>
      </w:r>
    </w:p>
    <w:p w14:paraId="57776BC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（三）合理确定折现率。</w:t>
      </w:r>
    </w:p>
    <w:p w14:paraId="1F5D20C1">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第五章　披露要求</w:t>
      </w:r>
    </w:p>
    <w:p w14:paraId="3A57AC34">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第二十四条</w:t>
      </w:r>
      <w:r>
        <w:rPr>
          <w:rFonts w:hint="eastAsia" w:ascii="宋体" w:hAnsi="宋体" w:eastAsia="宋体" w:cs="宋体"/>
          <w:color w:val="000000"/>
          <w:kern w:val="0"/>
          <w:sz w:val="24"/>
          <w:shd w:val="clear" w:color="auto" w:fill="FFFFFF"/>
        </w:rPr>
        <w:t>　无论单独出具机器设备评估报告，还是将机器设备的评估作为资产评估报告的组成部分，都应当在资产评估报告中披露必要信息，使资产评估报告使用人能够正确理解评估结论。</w:t>
      </w:r>
    </w:p>
    <w:p w14:paraId="62E8D19A">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第二十五条</w:t>
      </w:r>
      <w:r>
        <w:rPr>
          <w:rFonts w:hint="eastAsia" w:ascii="宋体" w:hAnsi="宋体" w:eastAsia="宋体" w:cs="宋体"/>
          <w:color w:val="000000"/>
          <w:kern w:val="0"/>
          <w:sz w:val="24"/>
          <w:shd w:val="clear" w:color="auto" w:fill="FFFFFF"/>
        </w:rPr>
        <w:t>　编制机器设备评估报告应当反映机器设备的相关特点：</w:t>
      </w:r>
    </w:p>
    <w:p w14:paraId="74C7BA4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（一）对机器设备的描述一般包括物理特征、技术特征和经济特征，应当根据具体情况确定需要描述的内容；</w:t>
      </w:r>
    </w:p>
    <w:p w14:paraId="5ADD0AF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（二）除了机器设备评估明细表，在机器设备评估报告中应当对评估对象的概况进行描述；</w:t>
      </w:r>
    </w:p>
    <w:p w14:paraId="1EC341F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（三）对机器设备评估程序实施过程的描述，应当反映对设备的现场及市场调查、评定估算过程；说明设备的使用情况、维护保养情况、贬值情况等；</w:t>
      </w:r>
    </w:p>
    <w:p w14:paraId="181042B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（四）在评估假设中明确机器设备是否改变用途、改变使用地点等；</w:t>
      </w:r>
    </w:p>
    <w:p w14:paraId="74240CF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（五）机器设备抵（质）押及其他限制情况。</w:t>
      </w:r>
    </w:p>
    <w:p w14:paraId="5918F9E0">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第六章　附则</w:t>
      </w:r>
    </w:p>
    <w:p w14:paraId="0CAB9751">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第二十六条</w:t>
      </w:r>
      <w:r>
        <w:rPr>
          <w:rFonts w:hint="eastAsia" w:ascii="宋体" w:hAnsi="宋体" w:eastAsia="宋体" w:cs="宋体"/>
          <w:color w:val="000000"/>
          <w:kern w:val="0"/>
          <w:sz w:val="24"/>
          <w:shd w:val="clear" w:color="auto" w:fill="FFFFFF"/>
        </w:rPr>
        <w:t>　本准则自2017年10月1日起施行。中国资产评估协会于2007年11月28日发布的《关于印发〈资产评估准则——评估报告〉等7项资产评估准则的通知》（中评协〔2007〕189号）中的《资产评估准则——机器设备》同时废止。</w:t>
      </w:r>
    </w:p>
    <w:p w14:paraId="4FF537C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br w:type="page"/>
      </w:r>
    </w:p>
    <w:p w14:paraId="1D86964A">
      <w:pPr>
        <w:pStyle w:val="5"/>
        <w:spacing w:line="440" w:lineRule="atLeast"/>
        <w:jc w:val="center"/>
        <w:rPr>
          <w:rFonts w:ascii="宋体" w:hAnsi="宋体" w:eastAsia="宋体" w:cs="宋体"/>
        </w:rPr>
      </w:pPr>
      <w:bookmarkStart w:id="112" w:name="_Toc21475"/>
      <w:r>
        <w:rPr>
          <w:rFonts w:hint="eastAsia" w:ascii="宋体" w:hAnsi="宋体" w:eastAsia="宋体" w:cs="宋体"/>
        </w:rPr>
        <w:t>资产评估执业准则——无形资产</w:t>
      </w:r>
      <w:bookmarkEnd w:id="112"/>
    </w:p>
    <w:p w14:paraId="3EA8C1C4">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第一章　总则</w:t>
      </w:r>
    </w:p>
    <w:p w14:paraId="154EDBC8">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第一条</w:t>
      </w:r>
      <w:r>
        <w:rPr>
          <w:rFonts w:hint="eastAsia" w:ascii="宋体" w:hAnsi="宋体" w:eastAsia="宋体" w:cs="宋体"/>
          <w:color w:val="000000"/>
          <w:kern w:val="0"/>
          <w:sz w:val="24"/>
          <w:shd w:val="clear" w:color="auto" w:fill="FFFFFF"/>
        </w:rPr>
        <w:t>　为规范无形资产评估行为，保护资产评估当事人合法权益和公共利益，根据《资产评估基本准则》制定本准则。</w:t>
      </w:r>
    </w:p>
    <w:p w14:paraId="4388C706">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第二条</w:t>
      </w:r>
      <w:r>
        <w:rPr>
          <w:rFonts w:hint="eastAsia" w:ascii="宋体" w:hAnsi="宋体" w:eastAsia="宋体" w:cs="宋体"/>
          <w:color w:val="000000"/>
          <w:kern w:val="0"/>
          <w:sz w:val="24"/>
          <w:shd w:val="clear" w:color="auto" w:fill="FFFFFF"/>
        </w:rPr>
        <w:t>　本准则所称无形资产，是指特定主体拥有或者控制的，不具有实物形态，能持续发挥作用并且能带来经济利益的资源。</w:t>
      </w:r>
    </w:p>
    <w:p w14:paraId="5EA50926">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第三条</w:t>
      </w:r>
      <w:r>
        <w:rPr>
          <w:rFonts w:hint="eastAsia" w:ascii="宋体" w:hAnsi="宋体" w:eastAsia="宋体" w:cs="宋体"/>
          <w:color w:val="000000"/>
          <w:kern w:val="0"/>
          <w:sz w:val="24"/>
          <w:shd w:val="clear" w:color="auto" w:fill="FFFFFF"/>
        </w:rPr>
        <w:t>　本准则所称无形资产评估，是指资产评估机构及其资产评估专业人员遵守法律、行政法规和资产评估准则，根据委托对评估基准日特定目的下的无形资产价值进行评定和估算，并出具资产评估报告的专业服务行为。</w:t>
      </w:r>
    </w:p>
    <w:p w14:paraId="651CE275">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第四条</w:t>
      </w:r>
      <w:r>
        <w:rPr>
          <w:rFonts w:hint="eastAsia" w:ascii="宋体" w:hAnsi="宋体" w:eastAsia="宋体" w:cs="宋体"/>
          <w:color w:val="000000"/>
          <w:kern w:val="0"/>
          <w:sz w:val="24"/>
          <w:shd w:val="clear" w:color="auto" w:fill="FFFFFF"/>
        </w:rPr>
        <w:t>　涉及土地使用权、矿业权、水域使用权等的评估另行规范。</w:t>
      </w:r>
    </w:p>
    <w:p w14:paraId="502C6633">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第五条</w:t>
      </w:r>
      <w:r>
        <w:rPr>
          <w:rFonts w:hint="eastAsia" w:ascii="宋体" w:hAnsi="宋体" w:eastAsia="宋体" w:cs="宋体"/>
          <w:color w:val="000000"/>
          <w:kern w:val="0"/>
          <w:sz w:val="24"/>
          <w:shd w:val="clear" w:color="auto" w:fill="FFFFFF"/>
        </w:rPr>
        <w:t>　执行无形资产评估业务，应当遵守本准则。</w:t>
      </w:r>
    </w:p>
    <w:p w14:paraId="0BEF4187">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第二章　基本遵循</w:t>
      </w:r>
    </w:p>
    <w:p w14:paraId="0F40DAB6">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第六条</w:t>
      </w:r>
      <w:r>
        <w:rPr>
          <w:rFonts w:hint="eastAsia" w:ascii="宋体" w:hAnsi="宋体" w:eastAsia="宋体" w:cs="宋体"/>
          <w:color w:val="000000"/>
          <w:kern w:val="0"/>
          <w:sz w:val="24"/>
          <w:shd w:val="clear" w:color="auto" w:fill="FFFFFF"/>
        </w:rPr>
        <w:t>　资产评估机构及其资产评估专业人员开展无形资产评估业务，应当遵守法律、行政法规的规定，坚持独立、客观、公正的原则，诚实守信，勤勉尽责，谨慎从业，遵守职业道德规范，自觉维护职业形象，不得从事损害职业形象的活动。</w:t>
      </w:r>
    </w:p>
    <w:p w14:paraId="1DD811BE">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第七条</w:t>
      </w:r>
      <w:r>
        <w:rPr>
          <w:rFonts w:hint="eastAsia" w:ascii="宋体" w:hAnsi="宋体" w:eastAsia="宋体" w:cs="宋体"/>
          <w:color w:val="000000"/>
          <w:kern w:val="0"/>
          <w:sz w:val="24"/>
          <w:shd w:val="clear" w:color="auto" w:fill="FFFFFF"/>
        </w:rPr>
        <w:t>　资产评估机构及其资产评估专业人员开展无形资产评估业务，应当独立进行分析和估算并形成专业意见，拒绝委托人或者其他相关当事人的干预，不得直接以预先设定的价值作为评估结论。</w:t>
      </w:r>
    </w:p>
    <w:p w14:paraId="12B652CA">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第八条</w:t>
      </w:r>
      <w:r>
        <w:rPr>
          <w:rFonts w:hint="eastAsia" w:ascii="宋体" w:hAnsi="宋体" w:eastAsia="宋体" w:cs="宋体"/>
          <w:color w:val="000000"/>
          <w:kern w:val="0"/>
          <w:sz w:val="24"/>
          <w:shd w:val="clear" w:color="auto" w:fill="FFFFFF"/>
        </w:rPr>
        <w:t>　执行无形资产评估业务，应当具备无形资产评估的专业知识和实践经验，能够胜任所执行的无形资产评估业务。</w:t>
      </w:r>
    </w:p>
    <w:p w14:paraId="58289EE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执行某项特定业务缺乏特定的专业知识和经验时，应当采取弥补措施，包括利用专家及相关报告等。</w:t>
      </w:r>
    </w:p>
    <w:p w14:paraId="3896A57D">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第九条</w:t>
      </w:r>
      <w:r>
        <w:rPr>
          <w:rFonts w:hint="eastAsia" w:ascii="宋体" w:hAnsi="宋体" w:eastAsia="宋体" w:cs="宋体"/>
          <w:color w:val="000000"/>
          <w:kern w:val="0"/>
          <w:sz w:val="24"/>
          <w:shd w:val="clear" w:color="auto" w:fill="FFFFFF"/>
        </w:rPr>
        <w:t>　执行企业价值评估中的无形资产评估业务，应当了解在对持续经营前提下的企业价值进行评估时，无形资产作为企业资产组成部分的价值可能有别于作为单项资产的价值，其价值取决于它对企业价值的贡献程度。</w:t>
      </w:r>
    </w:p>
    <w:p w14:paraId="72B786FF">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第十条</w:t>
      </w:r>
      <w:r>
        <w:rPr>
          <w:rFonts w:hint="eastAsia" w:ascii="宋体" w:hAnsi="宋体" w:eastAsia="宋体" w:cs="宋体"/>
          <w:color w:val="000000"/>
          <w:kern w:val="0"/>
          <w:sz w:val="24"/>
          <w:shd w:val="clear" w:color="auto" w:fill="FFFFFF"/>
        </w:rPr>
        <w:t>　执行无形资产评估业务，应当根据评估业务具体情况，对评估对象进行现场调查，收集权属证明、财务会计信息和其他资料并进行核查验证、分析整理。</w:t>
      </w:r>
    </w:p>
    <w:p w14:paraId="2E358B81">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第十一条</w:t>
      </w:r>
      <w:r>
        <w:rPr>
          <w:rFonts w:hint="eastAsia" w:ascii="宋体" w:hAnsi="宋体" w:eastAsia="宋体" w:cs="宋体"/>
          <w:color w:val="000000"/>
          <w:kern w:val="0"/>
          <w:sz w:val="24"/>
          <w:shd w:val="clear" w:color="auto" w:fill="FFFFFF"/>
        </w:rPr>
        <w:t>　执行无形资产评估业务，应当合理使用评估假设和限制条件。</w:t>
      </w:r>
    </w:p>
    <w:p w14:paraId="6118117E">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第三章　评估对象</w:t>
      </w:r>
    </w:p>
    <w:p w14:paraId="7D6AE1B3">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第十二条</w:t>
      </w:r>
      <w:r>
        <w:rPr>
          <w:rFonts w:hint="eastAsia" w:ascii="宋体" w:hAnsi="宋体" w:eastAsia="宋体" w:cs="宋体"/>
          <w:color w:val="000000"/>
          <w:kern w:val="0"/>
          <w:sz w:val="24"/>
          <w:shd w:val="clear" w:color="auto" w:fill="FFFFFF"/>
        </w:rPr>
        <w:t>　执行无形资产评估业务，应当要求委托人明确评估对象，关注评估对象的权利状况及法律、经济、技术等具体特征。</w:t>
      </w:r>
    </w:p>
    <w:p w14:paraId="0084DF12">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第十三条</w:t>
      </w:r>
      <w:r>
        <w:rPr>
          <w:rFonts w:hint="eastAsia" w:ascii="宋体" w:hAnsi="宋体" w:eastAsia="宋体" w:cs="宋体"/>
          <w:color w:val="000000"/>
          <w:kern w:val="0"/>
          <w:sz w:val="24"/>
          <w:shd w:val="clear" w:color="auto" w:fill="FFFFFF"/>
        </w:rPr>
        <w:t>　执行无形资产评估业务，应当根据具体经济行为，谨慎区分可辨认无形资产和不可辨认无形资产，单项无形资产和无形资产组合。</w:t>
      </w:r>
    </w:p>
    <w:p w14:paraId="6CD615A2">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第十四条</w:t>
      </w:r>
      <w:r>
        <w:rPr>
          <w:rFonts w:hint="eastAsia" w:ascii="宋体" w:hAnsi="宋体" w:eastAsia="宋体" w:cs="宋体"/>
          <w:color w:val="000000"/>
          <w:kern w:val="0"/>
          <w:sz w:val="24"/>
          <w:shd w:val="clear" w:color="auto" w:fill="FFFFFF"/>
        </w:rPr>
        <w:t>　可辨认无形资产包括专利权、商标权、著作权、专有技术、销售网络、客户关系、特许经营权、合同权益、域名等。不可辨认无形资产是指商誉。</w:t>
      </w:r>
    </w:p>
    <w:p w14:paraId="7EB854E8">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第十五条</w:t>
      </w:r>
      <w:r>
        <w:rPr>
          <w:rFonts w:hint="eastAsia" w:ascii="宋体" w:hAnsi="宋体" w:eastAsia="宋体" w:cs="宋体"/>
          <w:color w:val="000000"/>
          <w:kern w:val="0"/>
          <w:sz w:val="24"/>
          <w:shd w:val="clear" w:color="auto" w:fill="FFFFFF"/>
        </w:rPr>
        <w:t>　执行无形资产评估业务，应当要求委托人根据评估对象的具体情况与评估目的，对无形资产进行合理的分离或者合并，恰当进行单项无形资产或者无形资产组合的评估。</w:t>
      </w:r>
    </w:p>
    <w:p w14:paraId="654B32BE">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第十六条</w:t>
      </w:r>
      <w:r>
        <w:rPr>
          <w:rFonts w:hint="eastAsia" w:ascii="宋体" w:hAnsi="宋体" w:eastAsia="宋体" w:cs="宋体"/>
          <w:color w:val="000000"/>
          <w:kern w:val="0"/>
          <w:sz w:val="24"/>
          <w:shd w:val="clear" w:color="auto" w:fill="FFFFFF"/>
        </w:rPr>
        <w:t>　执行无形资产评估业务，通常关注评估对象的产权因素、获利能力、成本因素、市场因素、有效期限、法律保护、风险因素等相关因素。</w:t>
      </w:r>
    </w:p>
    <w:p w14:paraId="55C64882">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第四章　操作要求</w:t>
      </w:r>
    </w:p>
    <w:p w14:paraId="53C48E77">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第十七条</w:t>
      </w:r>
      <w:r>
        <w:rPr>
          <w:rFonts w:hint="eastAsia" w:ascii="宋体" w:hAnsi="宋体" w:eastAsia="宋体" w:cs="宋体"/>
          <w:color w:val="000000"/>
          <w:kern w:val="0"/>
          <w:sz w:val="24"/>
          <w:shd w:val="clear" w:color="auto" w:fill="FFFFFF"/>
        </w:rPr>
        <w:t>　执行无形资产评估业务，应当明确评估对象、评估目的、评估基准日、评估范围、价值类型和资产评估报告使用人。</w:t>
      </w:r>
    </w:p>
    <w:p w14:paraId="34CC90D2">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第十八条</w:t>
      </w:r>
      <w:r>
        <w:rPr>
          <w:rFonts w:hint="eastAsia" w:ascii="宋体" w:hAnsi="宋体" w:eastAsia="宋体" w:cs="宋体"/>
          <w:color w:val="000000"/>
          <w:kern w:val="0"/>
          <w:sz w:val="24"/>
          <w:shd w:val="clear" w:color="auto" w:fill="FFFFFF"/>
        </w:rPr>
        <w:t>　执行无形资产评估业务，通常关注以下事项：</w:t>
      </w:r>
    </w:p>
    <w:p w14:paraId="05D5358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（一）无形资产权利的法律文件、权属有效性文件或者其他证明资料；</w:t>
      </w:r>
    </w:p>
    <w:p w14:paraId="0B0D579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（二）无形资产持续的可辨识经济利益；</w:t>
      </w:r>
    </w:p>
    <w:p w14:paraId="7B2523E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（三）无形资产的性质和特点，历史取得和目前的使用状况；</w:t>
      </w:r>
    </w:p>
    <w:p w14:paraId="00BB8F8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（四）无形资产的剩余经济寿命和法定寿命，无形资产的保护措施；</w:t>
      </w:r>
    </w:p>
    <w:p w14:paraId="72837B2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（五）无形资产实施的地域范围、领域范围与获利方式；</w:t>
      </w:r>
    </w:p>
    <w:p w14:paraId="175DC21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（六）无形资产以往的交易、质押、出资情况；</w:t>
      </w:r>
    </w:p>
    <w:p w14:paraId="7CBC818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（七）无形资产实施过程中所受到的法律、行政法规或者其他限制；</w:t>
      </w:r>
    </w:p>
    <w:p w14:paraId="6465367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（八）类似无形资产的市场价格信息；</w:t>
      </w:r>
    </w:p>
    <w:p w14:paraId="1871EC0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（九）宏观经济环境；</w:t>
      </w:r>
    </w:p>
    <w:p w14:paraId="32FB146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（十）行业状况及发展前景；</w:t>
      </w:r>
    </w:p>
    <w:p w14:paraId="1658DEC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（十一）企业状况及发展前景；</w:t>
      </w:r>
    </w:p>
    <w:p w14:paraId="0FD0F8B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（十二）其他相关信息。</w:t>
      </w:r>
    </w:p>
    <w:p w14:paraId="6869529E">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第十九条</w:t>
      </w:r>
      <w:r>
        <w:rPr>
          <w:rFonts w:hint="eastAsia" w:ascii="宋体" w:hAnsi="宋体" w:eastAsia="宋体" w:cs="宋体"/>
          <w:color w:val="000000"/>
          <w:kern w:val="0"/>
          <w:sz w:val="24"/>
          <w:shd w:val="clear" w:color="auto" w:fill="FFFFFF"/>
        </w:rPr>
        <w:t>　无形资产与其他资产共同发挥作用时，应当分析这些资产对无形资产价值的影响。</w:t>
      </w:r>
    </w:p>
    <w:p w14:paraId="54860EF7">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第二十条</w:t>
      </w:r>
      <w:r>
        <w:rPr>
          <w:rFonts w:hint="eastAsia" w:ascii="宋体" w:hAnsi="宋体" w:eastAsia="宋体" w:cs="宋体"/>
          <w:color w:val="000000"/>
          <w:kern w:val="0"/>
          <w:sz w:val="24"/>
          <w:shd w:val="clear" w:color="auto" w:fill="FFFFFF"/>
        </w:rPr>
        <w:t>　执行无形资产评估业务，通常关注宏观经济政策、行业政策、经营条件、生产能力、市场状况等各项因素对无形资产效能发挥的制约，关注其对无形资产价值产生的影响。</w:t>
      </w:r>
    </w:p>
    <w:p w14:paraId="303C912E">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第五章　评估方法</w:t>
      </w:r>
    </w:p>
    <w:p w14:paraId="3C8019FC">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第二十一条</w:t>
      </w:r>
      <w:r>
        <w:rPr>
          <w:rFonts w:hint="eastAsia" w:ascii="宋体" w:hAnsi="宋体" w:eastAsia="宋体" w:cs="宋体"/>
          <w:color w:val="000000"/>
          <w:kern w:val="0"/>
          <w:sz w:val="24"/>
          <w:shd w:val="clear" w:color="auto" w:fill="FFFFFF"/>
        </w:rPr>
        <w:t>　确定无形资产价值的评估方法包括市场法、收益法和成本法三种基本方法及其衍生方法。</w:t>
      </w:r>
    </w:p>
    <w:p w14:paraId="12E9502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执行无形资产评估业务，资产评估专业人员应当根据评估目的、评估对象、价值类型、资料收集等情况，分析上述三种基本方法的适用性，选择评估方法。</w:t>
      </w:r>
    </w:p>
    <w:p w14:paraId="38C5388B">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第二十二条</w:t>
      </w:r>
      <w:r>
        <w:rPr>
          <w:rFonts w:hint="eastAsia" w:ascii="宋体" w:hAnsi="宋体" w:eastAsia="宋体" w:cs="宋体"/>
          <w:color w:val="000000"/>
          <w:kern w:val="0"/>
          <w:sz w:val="24"/>
          <w:shd w:val="clear" w:color="auto" w:fill="FFFFFF"/>
        </w:rPr>
        <w:t>　采用收益法评估无形资产时应当：</w:t>
      </w:r>
    </w:p>
    <w:p w14:paraId="33E953A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在获取无形资产相关信息的基础上，根据该无形资产或者类似无形资产的历史实施情况及未来应用前景，结合无形资产实施或者拟实施企业经营状况，重点分析无形资产经济收益的可预测性，考虑收益法的适用性；</w:t>
      </w:r>
    </w:p>
    <w:p w14:paraId="231FF4E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（二）估算无形资产带来的预期收益，区分评估对象无形资产和其他无形资产与其他资产所获得的收益，分析与之有关的预期变动、收益期限，与收益有关的成本费用、配套资产、现金流量、风险因素；</w:t>
      </w:r>
    </w:p>
    <w:p w14:paraId="1E9C4CA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（三）保持预期收益口径与折现率口径一致；</w:t>
      </w:r>
    </w:p>
    <w:p w14:paraId="06F65FE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（四）根据无形资产实施过程中的风险因素及货币时间价值等因素估算折现率；</w:t>
      </w:r>
    </w:p>
    <w:p w14:paraId="3D36A02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（五）综合分析无形资产的剩余经济寿命、法定寿命及其他相关因素，确定收益期限。</w:t>
      </w:r>
    </w:p>
    <w:p w14:paraId="7E23E4C1">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第二十三条</w:t>
      </w:r>
      <w:r>
        <w:rPr>
          <w:rFonts w:hint="eastAsia" w:ascii="宋体" w:hAnsi="宋体" w:eastAsia="宋体" w:cs="宋体"/>
          <w:color w:val="000000"/>
          <w:kern w:val="0"/>
          <w:sz w:val="24"/>
          <w:shd w:val="clear" w:color="auto" w:fill="FFFFFF"/>
        </w:rPr>
        <w:t>　采用市场法评估无形资产时应当：</w:t>
      </w:r>
    </w:p>
    <w:p w14:paraId="23226F8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（一）考虑该无形资产或者类似无形资产是否存在活跃的市场，考虑市场法的适用性；</w:t>
      </w:r>
    </w:p>
    <w:p w14:paraId="2A06EF1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（二）收集类似无形资产交易案例的市场交易价格、交易时间及交易条件等交易信息；</w:t>
      </w:r>
    </w:p>
    <w:p w14:paraId="4A3A0B6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（三）选择具有比较基础的可比无形资产交易案例；</w:t>
      </w:r>
    </w:p>
    <w:p w14:paraId="6C99562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（四）收集评估对象近期的交易信息；</w:t>
      </w:r>
    </w:p>
    <w:p w14:paraId="21AE950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（五）对可比交易案例和评估对象近期交易信息进行必要调整。</w:t>
      </w:r>
    </w:p>
    <w:p w14:paraId="59AD89DA">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第二十四条</w:t>
      </w:r>
      <w:r>
        <w:rPr>
          <w:rFonts w:hint="eastAsia" w:ascii="宋体" w:hAnsi="宋体" w:eastAsia="宋体" w:cs="宋体"/>
          <w:color w:val="000000"/>
          <w:kern w:val="0"/>
          <w:sz w:val="24"/>
          <w:shd w:val="clear" w:color="auto" w:fill="FFFFFF"/>
        </w:rPr>
        <w:t>　采用成本法评估无形资产时应当：</w:t>
      </w:r>
    </w:p>
    <w:p w14:paraId="78E1292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（一）根据无形资产形成的全部投入，考虑无形资产价值与成本的相关程度，考虑成本法的适用性；</w:t>
      </w:r>
    </w:p>
    <w:p w14:paraId="10974D2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（二）确定无形资产的重置成本，无形资产的重置成本包括合理的成本、利润和相关税费；</w:t>
      </w:r>
    </w:p>
    <w:p w14:paraId="0639A3D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（三）确定无形资产贬值。</w:t>
      </w:r>
    </w:p>
    <w:p w14:paraId="7A5913A8">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第二十五条</w:t>
      </w:r>
      <w:r>
        <w:rPr>
          <w:rFonts w:hint="eastAsia" w:ascii="宋体" w:hAnsi="宋体" w:eastAsia="宋体" w:cs="宋体"/>
          <w:color w:val="000000"/>
          <w:kern w:val="0"/>
          <w:sz w:val="24"/>
          <w:shd w:val="clear" w:color="auto" w:fill="FFFFFF"/>
        </w:rPr>
        <w:t>　对同一无形资产采用多种评估方法时，应当对所获得的各种测算结果进行分析，形成评估结论。</w:t>
      </w:r>
    </w:p>
    <w:p w14:paraId="7EA8AEE4">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第六章　披露要求</w:t>
      </w:r>
    </w:p>
    <w:p w14:paraId="11C0CCF1">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第二十六条</w:t>
      </w:r>
      <w:r>
        <w:rPr>
          <w:rFonts w:hint="eastAsia" w:ascii="宋体" w:hAnsi="宋体" w:eastAsia="宋体" w:cs="宋体"/>
          <w:color w:val="000000"/>
          <w:kern w:val="0"/>
          <w:sz w:val="24"/>
          <w:shd w:val="clear" w:color="auto" w:fill="FFFFFF"/>
        </w:rPr>
        <w:t>　无论单独出具无形资产评估报告，还是将无形资产评估作为资产评估报告的组成部分，都应当在资产评估报告中披露必要信息，使资产评估报告使用人能够正确理解评估结论。</w:t>
      </w:r>
    </w:p>
    <w:p w14:paraId="61CB0EF9">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第二十七条</w:t>
      </w:r>
      <w:r>
        <w:rPr>
          <w:rFonts w:hint="eastAsia" w:ascii="宋体" w:hAnsi="宋体" w:eastAsia="宋体" w:cs="宋体"/>
          <w:color w:val="000000"/>
          <w:kern w:val="0"/>
          <w:sz w:val="24"/>
          <w:shd w:val="clear" w:color="auto" w:fill="FFFFFF"/>
        </w:rPr>
        <w:t>　　无形资产评估报告应当说明下列内容：</w:t>
      </w:r>
    </w:p>
    <w:p w14:paraId="623D085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（一）无形资产的性质、权利状况及限制条件；</w:t>
      </w:r>
    </w:p>
    <w:p w14:paraId="2BA1A7D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（二）无形资产实施的地域限制、领域限制及法律法规限制条件；</w:t>
      </w:r>
    </w:p>
    <w:p w14:paraId="138ACE5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（三）与无形资产相关的宏观经济和行业的前景；</w:t>
      </w:r>
    </w:p>
    <w:p w14:paraId="16FF075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（四）无形资产的历史、现实状况与发展前景；</w:t>
      </w:r>
    </w:p>
    <w:p w14:paraId="1FB552C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（五）评估依据的信息来源；</w:t>
      </w:r>
    </w:p>
    <w:p w14:paraId="30E2248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（六）其他必要信息。</w:t>
      </w:r>
    </w:p>
    <w:p w14:paraId="2925873C">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第二十八条</w:t>
      </w:r>
      <w:r>
        <w:rPr>
          <w:rFonts w:hint="eastAsia" w:ascii="宋体" w:hAnsi="宋体" w:eastAsia="宋体" w:cs="宋体"/>
          <w:color w:val="000000"/>
          <w:kern w:val="0"/>
          <w:sz w:val="24"/>
          <w:shd w:val="clear" w:color="auto" w:fill="FFFFFF"/>
        </w:rPr>
        <w:t>　无形资产评估报告应当说明有关评估方法的下列内容：</w:t>
      </w:r>
    </w:p>
    <w:p w14:paraId="6E1D537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（一）评估方法的选择及其理由；</w:t>
      </w:r>
    </w:p>
    <w:p w14:paraId="0986BD2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（二）各重要参数的来源、分析、比较与测算过程；</w:t>
      </w:r>
    </w:p>
    <w:p w14:paraId="08092BD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（三）对测算结果进行分析，形成评估结论的过程；</w:t>
      </w:r>
    </w:p>
    <w:p w14:paraId="133745B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（四）评估结论成立的假设前提和限制条件。</w:t>
      </w:r>
    </w:p>
    <w:p w14:paraId="7D0F8247">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第七章　附则</w:t>
      </w:r>
    </w:p>
    <w:p w14:paraId="60514A0F">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第二十九条</w:t>
      </w:r>
      <w:r>
        <w:rPr>
          <w:rFonts w:hint="eastAsia" w:ascii="宋体" w:hAnsi="宋体" w:eastAsia="宋体" w:cs="宋体"/>
          <w:color w:val="000000"/>
          <w:kern w:val="0"/>
          <w:sz w:val="24"/>
          <w:shd w:val="clear" w:color="auto" w:fill="FFFFFF"/>
        </w:rPr>
        <w:t>　本准则自2017年10月1日起施行。中国资产评估协会于2008年11月28日发布的《关于印发〈资产评估准则——无形资产〉和〈专利资产评估指导意见〉的通知》（中评协〔2008〕217号）中的《资产评估准则——无形资产》同时废止。</w:t>
      </w:r>
    </w:p>
    <w:p w14:paraId="53F509A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br w:type="page"/>
      </w:r>
    </w:p>
    <w:p w14:paraId="1D786BC0">
      <w:pPr>
        <w:pStyle w:val="5"/>
        <w:spacing w:line="440" w:lineRule="atLeast"/>
        <w:jc w:val="center"/>
        <w:rPr>
          <w:rFonts w:ascii="宋体" w:hAnsi="宋体" w:eastAsia="宋体" w:cs="宋体"/>
        </w:rPr>
      </w:pPr>
      <w:bookmarkStart w:id="113" w:name="_Toc3511"/>
      <w:r>
        <w:rPr>
          <w:rFonts w:hint="eastAsia" w:ascii="宋体" w:hAnsi="宋体" w:eastAsia="宋体" w:cs="宋体"/>
        </w:rPr>
        <w:t>资产评估执业准则——森林资源资产</w:t>
      </w:r>
      <w:bookmarkEnd w:id="113"/>
    </w:p>
    <w:p w14:paraId="26061A0C">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第一章　总则</w:t>
      </w:r>
    </w:p>
    <w:p w14:paraId="7A9F8CCB">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第一条</w:t>
      </w:r>
      <w:r>
        <w:rPr>
          <w:rFonts w:hint="eastAsia" w:ascii="宋体" w:hAnsi="宋体" w:eastAsia="宋体" w:cs="宋体"/>
          <w:color w:val="000000"/>
          <w:kern w:val="0"/>
          <w:sz w:val="24"/>
          <w:shd w:val="clear" w:color="auto" w:fill="FFFFFF"/>
        </w:rPr>
        <w:tab/>
      </w:r>
      <w:r>
        <w:rPr>
          <w:rFonts w:hint="eastAsia" w:ascii="宋体" w:hAnsi="宋体" w:eastAsia="宋体" w:cs="宋体"/>
          <w:color w:val="000000"/>
          <w:kern w:val="0"/>
          <w:sz w:val="24"/>
          <w:shd w:val="clear" w:color="auto" w:fill="FFFFFF"/>
        </w:rPr>
        <w:t>　为规范森林资源资产评估行为，保护资产评估当事人合法权益和公共利益，根据《资产评估基本准则》制定本准则。</w:t>
      </w:r>
    </w:p>
    <w:p w14:paraId="6384E1B0">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第二条</w:t>
      </w:r>
      <w:r>
        <w:rPr>
          <w:rFonts w:hint="eastAsia" w:ascii="宋体" w:hAnsi="宋体" w:eastAsia="宋体" w:cs="宋体"/>
          <w:color w:val="000000"/>
          <w:kern w:val="0"/>
          <w:sz w:val="24"/>
          <w:shd w:val="clear" w:color="auto" w:fill="FFFFFF"/>
        </w:rPr>
        <w:t>　本准则所称森林资源资产，是指由特定主体拥有或者控制并能带来经济利益的，用于生产、提供商品和生态服务的森林资源，包括森林、林木、林地、森林景观、森林生态等。</w:t>
      </w:r>
    </w:p>
    <w:p w14:paraId="14452B9B">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第三条</w:t>
      </w:r>
      <w:r>
        <w:rPr>
          <w:rFonts w:hint="eastAsia" w:ascii="宋体" w:hAnsi="宋体" w:eastAsia="宋体" w:cs="宋体"/>
          <w:color w:val="000000"/>
          <w:kern w:val="0"/>
          <w:sz w:val="24"/>
          <w:shd w:val="clear" w:color="auto" w:fill="FFFFFF"/>
        </w:rPr>
        <w:t>　本准则所称森林资源资产评估，是指资产评估机构及其资产评估专业人员遵守法律、行政法规和资产评估准则，根据委托对评估基准日特定目的下的森林资源资产价值进行评定和估算，并出具资产评估报告的专业服务行为。</w:t>
      </w:r>
    </w:p>
    <w:p w14:paraId="6AC4FBD4">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第四条</w:t>
      </w:r>
      <w:r>
        <w:rPr>
          <w:rFonts w:hint="eastAsia" w:ascii="宋体" w:hAnsi="宋体" w:eastAsia="宋体" w:cs="宋体"/>
          <w:color w:val="000000"/>
          <w:kern w:val="0"/>
          <w:sz w:val="24"/>
          <w:shd w:val="clear" w:color="auto" w:fill="FFFFFF"/>
        </w:rPr>
        <w:t>　执行森林资源资产评估业务，应当遵守本准则。</w:t>
      </w:r>
    </w:p>
    <w:p w14:paraId="215397E2">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第二章　基本遵循</w:t>
      </w:r>
    </w:p>
    <w:p w14:paraId="217952DF">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第五条</w:t>
      </w:r>
      <w:r>
        <w:rPr>
          <w:rFonts w:hint="eastAsia" w:ascii="宋体" w:hAnsi="宋体" w:eastAsia="宋体" w:cs="宋体"/>
          <w:color w:val="000000"/>
          <w:kern w:val="0"/>
          <w:sz w:val="24"/>
          <w:shd w:val="clear" w:color="auto" w:fill="FFFFFF"/>
        </w:rPr>
        <w:t>　执行森林资源资产评估业务，应当具备森林资源资产评估的专业知识和实践经验，能够胜任所执行的森林资源资产评估业务。</w:t>
      </w:r>
    </w:p>
    <w:p w14:paraId="678D01E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当执行某项特定业务缺乏相关的专业知识和经验时，应当采取弥补措施，包括聘请林业专业技术人员或者相关专业机构协助工作等。</w:t>
      </w:r>
    </w:p>
    <w:p w14:paraId="1DB7E869">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第六条</w:t>
      </w:r>
      <w:r>
        <w:rPr>
          <w:rFonts w:hint="eastAsia" w:ascii="宋体" w:hAnsi="宋体" w:eastAsia="宋体" w:cs="宋体"/>
          <w:color w:val="000000"/>
          <w:kern w:val="0"/>
          <w:sz w:val="24"/>
          <w:shd w:val="clear" w:color="auto" w:fill="FFFFFF"/>
        </w:rPr>
        <w:t>　在对持续经营前提下的经济组织价值进行评估时，作为经济组织资产的组成部分，森林资源资产价值通常受其对经济组织贡献程度的影响。</w:t>
      </w:r>
    </w:p>
    <w:p w14:paraId="1CF50028">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第七条</w:t>
      </w:r>
      <w:r>
        <w:rPr>
          <w:rFonts w:hint="eastAsia" w:ascii="宋体" w:hAnsi="宋体" w:eastAsia="宋体" w:cs="宋体"/>
          <w:color w:val="000000"/>
          <w:kern w:val="0"/>
          <w:sz w:val="24"/>
          <w:shd w:val="clear" w:color="auto" w:fill="FFFFFF"/>
        </w:rPr>
        <w:t>　执行森林资源资产评估业务，应当根据评估目的等相关条件，选择恰当的价值类型。</w:t>
      </w:r>
    </w:p>
    <w:p w14:paraId="177F3F5B">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第八条</w:t>
      </w:r>
      <w:r>
        <w:rPr>
          <w:rFonts w:hint="eastAsia" w:ascii="宋体" w:hAnsi="宋体" w:eastAsia="宋体" w:cs="宋体"/>
          <w:color w:val="000000"/>
          <w:kern w:val="0"/>
          <w:sz w:val="24"/>
          <w:shd w:val="clear" w:color="auto" w:fill="FFFFFF"/>
        </w:rPr>
        <w:t>　执行森林资源资产评估业务，应当考虑国家相关林业法规和政策，以及森林资源的自然属性、经营特性、使用期限、用途等因素对森林资源资产价值的影响。</w:t>
      </w:r>
    </w:p>
    <w:p w14:paraId="1B80AF5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执行涉及生态公益林等特殊用途的森林资源资产评估业务，除评估其经济价值外，还应当结合评估目的考虑是否评估其生态服务价值。</w:t>
      </w:r>
    </w:p>
    <w:p w14:paraId="14FCBF70">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第九条</w:t>
      </w:r>
      <w:r>
        <w:rPr>
          <w:rFonts w:hint="eastAsia" w:ascii="宋体" w:hAnsi="宋体" w:eastAsia="宋体" w:cs="宋体"/>
          <w:color w:val="000000"/>
          <w:kern w:val="0"/>
          <w:sz w:val="24"/>
          <w:shd w:val="clear" w:color="auto" w:fill="FFFFFF"/>
        </w:rPr>
        <w:t>　资产评估专业人员应当履行适当的评估程序，核实森林资源资产实物量及相关信息，分析经营管理的合理性，选择恰当的评估参数进行评定估算，编制和提交资产评估报告。</w:t>
      </w:r>
    </w:p>
    <w:p w14:paraId="0080F0DB">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第三章　操作要求</w:t>
      </w:r>
    </w:p>
    <w:p w14:paraId="03C3BD3F">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第十条</w:t>
      </w:r>
      <w:r>
        <w:rPr>
          <w:rFonts w:hint="eastAsia" w:ascii="宋体" w:hAnsi="宋体" w:eastAsia="宋体" w:cs="宋体"/>
          <w:color w:val="000000"/>
          <w:kern w:val="0"/>
          <w:sz w:val="24"/>
          <w:shd w:val="clear" w:color="auto" w:fill="FFFFFF"/>
        </w:rPr>
        <w:t>　执行森林资源资产评估业务，应当要求委托人明确森林资源资产评估目的、评估对象和范围。</w:t>
      </w:r>
    </w:p>
    <w:p w14:paraId="17D88599">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第十一条</w:t>
      </w:r>
      <w:r>
        <w:rPr>
          <w:rFonts w:hint="eastAsia" w:ascii="宋体" w:hAnsi="宋体" w:eastAsia="宋体" w:cs="宋体"/>
          <w:color w:val="000000"/>
          <w:kern w:val="0"/>
          <w:sz w:val="24"/>
          <w:shd w:val="clear" w:color="auto" w:fill="FFFFFF"/>
        </w:rPr>
        <w:t>　执行森林资源资产评估业务，应当根据评估目的和具体情况进行合理假设，并在资产评估报告中予以披露。</w:t>
      </w:r>
    </w:p>
    <w:p w14:paraId="0C71EE60">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第十二条</w:t>
      </w:r>
      <w:r>
        <w:rPr>
          <w:rFonts w:hint="eastAsia" w:ascii="宋体" w:hAnsi="宋体" w:eastAsia="宋体" w:cs="宋体"/>
          <w:color w:val="000000"/>
          <w:kern w:val="0"/>
          <w:sz w:val="24"/>
          <w:shd w:val="clear" w:color="auto" w:fill="FFFFFF"/>
        </w:rPr>
        <w:t>　资产评估专业人员应当要求委托人或者其他相关当事人明确森林资源资产的权属，出具林权证或者相关权属证明文件，并对其真实性、完整性、合法性做出承诺。资产评估专业人员应当对森林资源资产的权属资料进行核查验证。</w:t>
      </w:r>
    </w:p>
    <w:p w14:paraId="37464DCB">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第十三条</w:t>
      </w:r>
      <w:r>
        <w:rPr>
          <w:rFonts w:hint="eastAsia" w:ascii="宋体" w:hAnsi="宋体" w:eastAsia="宋体" w:cs="宋体"/>
          <w:color w:val="000000"/>
          <w:kern w:val="0"/>
          <w:sz w:val="24"/>
          <w:shd w:val="clear" w:color="auto" w:fill="FFFFFF"/>
        </w:rPr>
        <w:t>　执行森林资源资产评估业务，应当要求委托人或者其他相关当事人提供森林资源资产实物量清单。</w:t>
      </w:r>
    </w:p>
    <w:p w14:paraId="750BD8BE">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第十四条</w:t>
      </w:r>
      <w:r>
        <w:rPr>
          <w:rFonts w:hint="eastAsia" w:ascii="宋体" w:hAnsi="宋体" w:eastAsia="宋体" w:cs="宋体"/>
          <w:color w:val="000000"/>
          <w:kern w:val="0"/>
          <w:sz w:val="24"/>
          <w:shd w:val="clear" w:color="auto" w:fill="FFFFFF"/>
        </w:rPr>
        <w:t>　森林资源资产实物量是价值评估的基础。资产评估专业人员在进行森林资源资产价值评定估算前，可以委托相关专业机构对委托人或者其他相关当事人提供的森林资源资产实物量清单进行现场核查，由核查机构出具核查报告。</w:t>
      </w:r>
    </w:p>
    <w:p w14:paraId="194C30BD">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第十五条</w:t>
      </w:r>
      <w:r>
        <w:rPr>
          <w:rFonts w:hint="eastAsia" w:ascii="宋体" w:hAnsi="宋体" w:eastAsia="宋体" w:cs="宋体"/>
          <w:color w:val="000000"/>
          <w:kern w:val="0"/>
          <w:sz w:val="24"/>
          <w:shd w:val="clear" w:color="auto" w:fill="FFFFFF"/>
        </w:rPr>
        <w:t>　当森林资源资产实物量清单由相关专业机构为满足所进行的资产评估需求，通过开展调查工作，以出具调查报告方式确定时，资产评估专业人员可以对调查工作进行现场核查。</w:t>
      </w:r>
    </w:p>
    <w:p w14:paraId="0F18DD47">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第十六条</w:t>
      </w:r>
      <w:r>
        <w:rPr>
          <w:rFonts w:hint="eastAsia" w:ascii="宋体" w:hAnsi="宋体" w:eastAsia="宋体" w:cs="宋体"/>
          <w:color w:val="000000"/>
          <w:kern w:val="0"/>
          <w:sz w:val="24"/>
          <w:shd w:val="clear" w:color="auto" w:fill="FFFFFF"/>
        </w:rPr>
        <w:t>　资产评估专业人员应当依法对森林资源资产评估活动中使用的资料进行核查验证。</w:t>
      </w:r>
    </w:p>
    <w:p w14:paraId="4FFECCF0">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第四章　评估方法</w:t>
      </w:r>
    </w:p>
    <w:p w14:paraId="5BAD0AE3">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第十七条</w:t>
      </w:r>
      <w:r>
        <w:rPr>
          <w:rFonts w:hint="eastAsia" w:ascii="宋体" w:hAnsi="宋体" w:eastAsia="宋体" w:cs="宋体"/>
          <w:color w:val="000000"/>
          <w:kern w:val="0"/>
          <w:sz w:val="24"/>
          <w:shd w:val="clear" w:color="auto" w:fill="FFFFFF"/>
        </w:rPr>
        <w:t>　执行森林资源资产评估业务，应当根据评估对象、评估目的、价值类型、资料收集等情况，分析市场法、收益法和成本法三种资产评估基本方法的适用性，选择评估方法。</w:t>
      </w:r>
    </w:p>
    <w:p w14:paraId="194C2993">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第十八条</w:t>
      </w:r>
      <w:r>
        <w:rPr>
          <w:rFonts w:hint="eastAsia" w:ascii="宋体" w:hAnsi="宋体" w:eastAsia="宋体" w:cs="宋体"/>
          <w:color w:val="000000"/>
          <w:kern w:val="0"/>
          <w:sz w:val="24"/>
          <w:shd w:val="clear" w:color="auto" w:fill="FFFFFF"/>
        </w:rPr>
        <w:t>　采用市场法评估森林资源资产时，应当考虑：</w:t>
      </w:r>
    </w:p>
    <w:p w14:paraId="5D0B372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（一）森林资源资产市场的活跃程度，市场提供足够数量可比森林资源资产交易数据的可能性及其可靠性；</w:t>
      </w:r>
    </w:p>
    <w:p w14:paraId="2D02959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（二）森林资源所在地域的差异性对森林资源资产交易价格的影响；</w:t>
      </w:r>
    </w:p>
    <w:p w14:paraId="2851FF2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（三）森林资源资产的用途和功能对交易价格的影响；</w:t>
      </w:r>
    </w:p>
    <w:p w14:paraId="64577F7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（四）不同林分质量、立地等级、地利条件、交易情况等因素对森林资源资产价值的影响。</w:t>
      </w:r>
    </w:p>
    <w:p w14:paraId="28846DD0">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第十九条</w:t>
      </w:r>
      <w:r>
        <w:rPr>
          <w:rFonts w:hint="eastAsia" w:ascii="宋体" w:hAnsi="宋体" w:eastAsia="宋体" w:cs="宋体"/>
          <w:color w:val="000000"/>
          <w:kern w:val="0"/>
          <w:sz w:val="24"/>
          <w:shd w:val="clear" w:color="auto" w:fill="FFFFFF"/>
        </w:rPr>
        <w:t>　采用收益法评估森林资源资产时，应当考虑：</w:t>
      </w:r>
    </w:p>
    <w:p w14:paraId="3FFC88F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（一）森林资源结构、功能、质量、自然生长力等对收益的影响；</w:t>
      </w:r>
    </w:p>
    <w:p w14:paraId="24A06F5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（二）森林资源管理相关法律、行政法规、财政补贴政策、采伐制度等对收益的影响；</w:t>
      </w:r>
    </w:p>
    <w:p w14:paraId="76B7941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（三）根据森林资源资产的特点、经营类型、风险因素等相关条件合理确定折现率；</w:t>
      </w:r>
    </w:p>
    <w:p w14:paraId="7D42228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（四）森林资源采伐方式和采伐周期对收益的影响。</w:t>
      </w:r>
    </w:p>
    <w:p w14:paraId="7001C15F">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第二十条</w:t>
      </w:r>
      <w:r>
        <w:rPr>
          <w:rFonts w:hint="eastAsia" w:ascii="宋体" w:hAnsi="宋体" w:eastAsia="宋体" w:cs="宋体"/>
          <w:color w:val="000000"/>
          <w:kern w:val="0"/>
          <w:sz w:val="24"/>
          <w:shd w:val="clear" w:color="auto" w:fill="FFFFFF"/>
        </w:rPr>
        <w:t>　采用成本法评估森林资源资产时，应当考虑：</w:t>
      </w:r>
    </w:p>
    <w:p w14:paraId="726E02C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（一）森林资源培育过程的复杂性对成本的影响；</w:t>
      </w:r>
    </w:p>
    <w:p w14:paraId="5BCECA9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（二）森林资源经营的长期性对价值的影响；</w:t>
      </w:r>
    </w:p>
    <w:p w14:paraId="5C86C7A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（三）森林资源质量对价值的影响；</w:t>
      </w:r>
    </w:p>
    <w:p w14:paraId="265415E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（四）森林资源培育技术、林地利用方式等造成的影响。</w:t>
      </w:r>
    </w:p>
    <w:p w14:paraId="6AC8B6BD">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第二十一条</w:t>
      </w:r>
      <w:r>
        <w:rPr>
          <w:rFonts w:hint="eastAsia" w:ascii="宋体" w:hAnsi="宋体" w:eastAsia="宋体" w:cs="宋体"/>
          <w:color w:val="000000"/>
          <w:kern w:val="0"/>
          <w:sz w:val="24"/>
          <w:shd w:val="clear" w:color="auto" w:fill="FFFFFF"/>
        </w:rPr>
        <w:t>　执行森林资源资产评估业务，应当关注各龄组之间计算结果的合理性。</w:t>
      </w:r>
    </w:p>
    <w:p w14:paraId="19BE16FF">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第五章　披露要求</w:t>
      </w:r>
    </w:p>
    <w:p w14:paraId="4E1A46BD">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第二十二条</w:t>
      </w:r>
      <w:r>
        <w:rPr>
          <w:rFonts w:hint="eastAsia" w:ascii="宋体" w:hAnsi="宋体" w:eastAsia="宋体" w:cs="宋体"/>
          <w:color w:val="000000"/>
          <w:kern w:val="0"/>
          <w:sz w:val="24"/>
          <w:shd w:val="clear" w:color="auto" w:fill="FFFFFF"/>
        </w:rPr>
        <w:t>　无论单独出具森林资源资产评估报告，还是将森林资源资产评估作为资产评估报告的组成部分，都应当在资产评估报告中披露必要信息，使资产评估报告的使用人能够正确理解评估结论。</w:t>
      </w:r>
    </w:p>
    <w:p w14:paraId="3ABAE849">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第二十三条</w:t>
      </w:r>
      <w:r>
        <w:rPr>
          <w:rFonts w:hint="eastAsia" w:ascii="宋体" w:hAnsi="宋体" w:eastAsia="宋体" w:cs="宋体"/>
          <w:color w:val="000000"/>
          <w:kern w:val="0"/>
          <w:sz w:val="24"/>
          <w:shd w:val="clear" w:color="auto" w:fill="FFFFFF"/>
        </w:rPr>
        <w:t>　资产评估专业人员应当在资产评估报告中对森林资源资产的权属状况、自然条件、地理分布、生产经营情况进行恰当描述。对评估范围内具有典型代表性或者经济价值高的森林资源资产，应当进行重点描述。</w:t>
      </w:r>
    </w:p>
    <w:p w14:paraId="76A7DCAF">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第二十四条</w:t>
      </w:r>
      <w:r>
        <w:rPr>
          <w:rFonts w:hint="eastAsia" w:ascii="宋体" w:hAnsi="宋体" w:eastAsia="宋体" w:cs="宋体"/>
          <w:color w:val="000000"/>
          <w:kern w:val="0"/>
          <w:sz w:val="24"/>
          <w:shd w:val="clear" w:color="auto" w:fill="FFFFFF"/>
        </w:rPr>
        <w:t>　资产评估专业人员应当在资产评估报告中披露利用森林资源资产核查报告的情况。</w:t>
      </w:r>
    </w:p>
    <w:p w14:paraId="448F71DE">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第二十五条</w:t>
      </w:r>
      <w:r>
        <w:rPr>
          <w:rFonts w:hint="eastAsia" w:ascii="宋体" w:hAnsi="宋体" w:eastAsia="宋体" w:cs="宋体"/>
          <w:color w:val="000000"/>
          <w:kern w:val="0"/>
          <w:sz w:val="24"/>
          <w:shd w:val="clear" w:color="auto" w:fill="FFFFFF"/>
        </w:rPr>
        <w:t>　资产评估专业人员应当在资产评估报告中披露重大事项对评估结论可能产生的影响，包括林地使用费用支付方式的影响等。</w:t>
      </w:r>
    </w:p>
    <w:p w14:paraId="606D5D4E">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第二十六条</w:t>
      </w:r>
      <w:r>
        <w:rPr>
          <w:rFonts w:hint="eastAsia" w:ascii="宋体" w:hAnsi="宋体" w:eastAsia="宋体" w:cs="宋体"/>
          <w:color w:val="000000"/>
          <w:kern w:val="0"/>
          <w:sz w:val="24"/>
          <w:shd w:val="clear" w:color="auto" w:fill="FFFFFF"/>
        </w:rPr>
        <w:t>　资产评估专业人员应当在资产评估报告中披露森林资源资产存在的抵押及其他权利受限情形。</w:t>
      </w:r>
    </w:p>
    <w:p w14:paraId="00CC7D9E">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第二十七条</w:t>
      </w:r>
      <w:r>
        <w:rPr>
          <w:rFonts w:hint="eastAsia" w:ascii="宋体" w:hAnsi="宋体" w:eastAsia="宋体" w:cs="宋体"/>
          <w:color w:val="000000"/>
          <w:kern w:val="0"/>
          <w:sz w:val="24"/>
          <w:shd w:val="clear" w:color="auto" w:fill="FFFFFF"/>
        </w:rPr>
        <w:t>　资产评估专业人员应当将森林资源资产的权属证明、图面材料等资料作为资产评估报告的附件。法律、行政法规另有规定的从其规定。</w:t>
      </w:r>
    </w:p>
    <w:p w14:paraId="676948E8">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第六章　附则</w:t>
      </w:r>
    </w:p>
    <w:p w14:paraId="281151B9">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第二十八条</w:t>
      </w:r>
      <w:r>
        <w:rPr>
          <w:rFonts w:hint="eastAsia" w:ascii="宋体" w:hAnsi="宋体" w:eastAsia="宋体" w:cs="宋体"/>
          <w:color w:val="000000"/>
          <w:kern w:val="0"/>
          <w:sz w:val="24"/>
          <w:shd w:val="clear" w:color="auto" w:fill="FFFFFF"/>
        </w:rPr>
        <w:t>　本准则自2017年10月1日起施行。中国资产评估协会于2012年12月28日发布的《关于印发〈资产评估准则——森林资源资产〉的通知》（中评协〔2012〕245号）同时废止。</w:t>
      </w:r>
    </w:p>
    <w:p w14:paraId="23BEC89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br w:type="page"/>
      </w:r>
    </w:p>
    <w:p w14:paraId="0B4B9697">
      <w:pPr>
        <w:pStyle w:val="5"/>
        <w:spacing w:line="440" w:lineRule="atLeast"/>
        <w:jc w:val="center"/>
        <w:rPr>
          <w:rFonts w:ascii="宋体" w:hAnsi="宋体" w:eastAsia="宋体" w:cs="宋体"/>
        </w:rPr>
      </w:pPr>
      <w:bookmarkStart w:id="114" w:name="_Toc17564"/>
      <w:r>
        <w:rPr>
          <w:rFonts w:hint="eastAsia" w:ascii="宋体" w:hAnsi="宋体" w:eastAsia="宋体" w:cs="宋体"/>
        </w:rPr>
        <w:t>资产评估执业准则——珠宝首饰</w:t>
      </w:r>
      <w:bookmarkEnd w:id="114"/>
    </w:p>
    <w:p w14:paraId="5947DBA6">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第一章　总则</w:t>
      </w:r>
    </w:p>
    <w:p w14:paraId="3F651011">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第一条</w:t>
      </w:r>
      <w:r>
        <w:rPr>
          <w:rFonts w:hint="eastAsia" w:ascii="宋体" w:hAnsi="宋体" w:eastAsia="宋体" w:cs="宋体"/>
          <w:color w:val="000000"/>
          <w:kern w:val="0"/>
          <w:sz w:val="24"/>
          <w:shd w:val="clear" w:color="auto" w:fill="FFFFFF"/>
        </w:rPr>
        <w:t>　为规范珠宝首饰评估行为，保护资产评估当事人合法权益和公共利益，根据《资产评估基本准则》制定本准则。</w:t>
      </w:r>
    </w:p>
    <w:p w14:paraId="5DD60293">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第二条</w:t>
      </w:r>
      <w:r>
        <w:rPr>
          <w:rFonts w:hint="eastAsia" w:ascii="宋体" w:hAnsi="宋体" w:eastAsia="宋体" w:cs="宋体"/>
          <w:color w:val="000000"/>
          <w:kern w:val="0"/>
          <w:sz w:val="24"/>
          <w:shd w:val="clear" w:color="auto" w:fill="FFFFFF"/>
        </w:rPr>
        <w:t>　本准则所称珠宝首饰，是指珠宝玉石和用于饰品制作的贵金属的原料、半成品及其制成品。</w:t>
      </w:r>
    </w:p>
    <w:p w14:paraId="5CF0AF0F">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第三条</w:t>
      </w:r>
      <w:r>
        <w:rPr>
          <w:rFonts w:hint="eastAsia" w:ascii="宋体" w:hAnsi="宋体" w:eastAsia="宋体" w:cs="宋体"/>
          <w:color w:val="000000"/>
          <w:kern w:val="0"/>
          <w:sz w:val="24"/>
          <w:shd w:val="clear" w:color="auto" w:fill="FFFFFF"/>
        </w:rPr>
        <w:t>　本准则所称珠宝首饰评估，是指资产评估机构、资产评估师（珠宝）及其他珠宝评估专业人员遵守法律、行政法规和资产评估准则，按照有关珠宝首饰的国家标准，在对珠宝首饰进行鉴定分级分析的基础上，根据委托对评估基准日特定目的下的珠宝首饰价值进行评定和估算，并出具资产评估报告的专业服务行为。</w:t>
      </w:r>
    </w:p>
    <w:p w14:paraId="02A9D19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涉及珠宝首饰的著作权等无形资产价值评估，需要按照相关准则要求执行。</w:t>
      </w:r>
    </w:p>
    <w:p w14:paraId="315FC7FE">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第四条</w:t>
      </w:r>
      <w:r>
        <w:rPr>
          <w:rFonts w:hint="eastAsia" w:ascii="宋体" w:hAnsi="宋体" w:eastAsia="宋体" w:cs="宋体"/>
          <w:color w:val="000000"/>
          <w:kern w:val="0"/>
          <w:sz w:val="24"/>
          <w:shd w:val="clear" w:color="auto" w:fill="FFFFFF"/>
        </w:rPr>
        <w:t>　执行珠宝首饰评估业务，应当遵守本准则。</w:t>
      </w:r>
    </w:p>
    <w:p w14:paraId="389D7421">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第二章　基本遵循</w:t>
      </w:r>
    </w:p>
    <w:p w14:paraId="05465BA0">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第五条</w:t>
      </w:r>
      <w:r>
        <w:rPr>
          <w:rFonts w:hint="eastAsia" w:ascii="宋体" w:hAnsi="宋体" w:eastAsia="宋体" w:cs="宋体"/>
          <w:color w:val="000000"/>
          <w:kern w:val="0"/>
          <w:sz w:val="24"/>
          <w:shd w:val="clear" w:color="auto" w:fill="FFFFFF"/>
        </w:rPr>
        <w:t>　珠宝首饰资产评估报告应当由至少两名承办该项业务的资产评估师（珠宝）或者其他珠宝评估专业人员签名并加盖资产评估机构印章。</w:t>
      </w:r>
    </w:p>
    <w:p w14:paraId="0F0C5BA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法定评估业务的资产评估报告应当由至少两名承办该项业务的资产评估师（珠宝）签名并加盖资产评估机构印章。</w:t>
      </w:r>
    </w:p>
    <w:p w14:paraId="3956638A">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第六条</w:t>
      </w:r>
      <w:r>
        <w:rPr>
          <w:rFonts w:hint="eastAsia" w:ascii="宋体" w:hAnsi="宋体" w:eastAsia="宋体" w:cs="宋体"/>
          <w:color w:val="000000"/>
          <w:kern w:val="0"/>
          <w:sz w:val="24"/>
          <w:shd w:val="clear" w:color="auto" w:fill="FFFFFF"/>
        </w:rPr>
        <w:t>　执行珠宝首饰评估业务，应当具备珠宝首饰评估的专业知识和实践经验，能够胜任所执行的珠宝首饰评估业务。</w:t>
      </w:r>
    </w:p>
    <w:p w14:paraId="1C083B7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当缺乏执行某项特定业务所需的相关专业知识和经验时，应当采取弥补措施，包括利用专家及相关报告等。</w:t>
      </w:r>
    </w:p>
    <w:p w14:paraId="62A68AEB">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第七条</w:t>
      </w:r>
      <w:r>
        <w:rPr>
          <w:rFonts w:hint="eastAsia" w:ascii="宋体" w:hAnsi="宋体" w:eastAsia="宋体" w:cs="宋体"/>
          <w:color w:val="000000"/>
          <w:kern w:val="0"/>
          <w:sz w:val="24"/>
          <w:shd w:val="clear" w:color="auto" w:fill="FFFFFF"/>
        </w:rPr>
        <w:t>　执行珠宝首饰评估业务，应当坚持独立、客观、公正的原则，勤勉尽责，保持应有的职业谨慎，独立进行分析和估算并形成专业意见。</w:t>
      </w:r>
    </w:p>
    <w:p w14:paraId="10868487">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第三章　操作要求</w:t>
      </w:r>
    </w:p>
    <w:p w14:paraId="02AD6B02">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第八条</w:t>
      </w:r>
      <w:r>
        <w:rPr>
          <w:rFonts w:hint="eastAsia" w:ascii="宋体" w:hAnsi="宋体" w:eastAsia="宋体" w:cs="宋体"/>
          <w:color w:val="000000"/>
          <w:kern w:val="0"/>
          <w:sz w:val="24"/>
          <w:shd w:val="clear" w:color="auto" w:fill="FFFFFF"/>
        </w:rPr>
        <w:t>　执行珠宝首饰评估业务，应当明确评估对象、评估范围、评估目的、评估基准日、价值类型和资产评估报告使用人。</w:t>
      </w:r>
    </w:p>
    <w:p w14:paraId="776B9D1E">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第九条</w:t>
      </w:r>
      <w:r>
        <w:rPr>
          <w:rFonts w:hint="eastAsia" w:ascii="宋体" w:hAnsi="宋体" w:eastAsia="宋体" w:cs="宋体"/>
          <w:color w:val="000000"/>
          <w:kern w:val="0"/>
          <w:sz w:val="24"/>
          <w:shd w:val="clear" w:color="auto" w:fill="FFFFFF"/>
        </w:rPr>
        <w:t>　执行珠宝首饰评估业务，应当依据《资产评估执业准则——资产评估程序》，履行资产评估基本程序，结合珠宝首饰评估业务的具体情况，制定并实施适当的具体评估步骤。</w:t>
      </w:r>
    </w:p>
    <w:p w14:paraId="512AC9AF">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第十条</w:t>
      </w:r>
      <w:r>
        <w:rPr>
          <w:rFonts w:hint="eastAsia" w:ascii="宋体" w:hAnsi="宋体" w:eastAsia="宋体" w:cs="宋体"/>
          <w:color w:val="000000"/>
          <w:kern w:val="0"/>
          <w:sz w:val="24"/>
          <w:shd w:val="clear" w:color="auto" w:fill="FFFFFF"/>
        </w:rPr>
        <w:t>　执行珠宝首饰评估业务，应当对珠宝首饰进行实物确认，明确珠宝首饰的存在状态。</w:t>
      </w:r>
    </w:p>
    <w:p w14:paraId="2CC2F935">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第十一条</w:t>
      </w:r>
      <w:r>
        <w:rPr>
          <w:rFonts w:hint="eastAsia" w:ascii="宋体" w:hAnsi="宋体" w:eastAsia="宋体" w:cs="宋体"/>
          <w:color w:val="000000"/>
          <w:kern w:val="0"/>
          <w:sz w:val="24"/>
          <w:shd w:val="clear" w:color="auto" w:fill="FFFFFF"/>
        </w:rPr>
        <w:t>　执行珠宝首饰评估业务，应当关注评估对象的权属，要求委托人或者其他相关当事人对珠宝首饰的权属做出承诺，并应当对珠宝首饰的权属相关资料进行必要查验。</w:t>
      </w:r>
    </w:p>
    <w:p w14:paraId="7AB9ADA9">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第十二条</w:t>
      </w:r>
      <w:r>
        <w:rPr>
          <w:rFonts w:hint="eastAsia" w:ascii="宋体" w:hAnsi="宋体" w:eastAsia="宋体" w:cs="宋体"/>
          <w:color w:val="000000"/>
          <w:kern w:val="0"/>
          <w:sz w:val="24"/>
          <w:shd w:val="clear" w:color="auto" w:fill="FFFFFF"/>
        </w:rPr>
        <w:t>　执行珠宝首饰评估业务，应当对珠宝首饰进行鉴定和品质分级。在对评估对象进行鉴定分级时，应当采用相应的国家标准及行业标准。如果没有相应的国家及行业分级标准，可以采用国内外珠宝业通用的分级体系，并在资产评估报告中明确说明。</w:t>
      </w:r>
    </w:p>
    <w:p w14:paraId="12D4577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执行珠宝首饰评估业务，可以采用具有资质的珠宝质检机构出具的鉴定分级结论，并按照资产评估准则要求执行。</w:t>
      </w:r>
    </w:p>
    <w:p w14:paraId="7EA5867A">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第十三条</w:t>
      </w:r>
      <w:r>
        <w:rPr>
          <w:rFonts w:hint="eastAsia" w:ascii="宋体" w:hAnsi="宋体" w:eastAsia="宋体" w:cs="宋体"/>
          <w:color w:val="000000"/>
          <w:kern w:val="0"/>
          <w:sz w:val="24"/>
          <w:shd w:val="clear" w:color="auto" w:fill="FFFFFF"/>
        </w:rPr>
        <w:t>　执行珠宝首饰评估业务，应当知晓同一珠宝首饰在不同市场的价值可能存在差异，并根据评估对象的具体情况确定适当的市场级别。</w:t>
      </w:r>
    </w:p>
    <w:p w14:paraId="5BDB20AF">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第十四条</w:t>
      </w:r>
      <w:r>
        <w:rPr>
          <w:rFonts w:hint="eastAsia" w:ascii="宋体" w:hAnsi="宋体" w:eastAsia="宋体" w:cs="宋体"/>
          <w:color w:val="000000"/>
          <w:kern w:val="0"/>
          <w:sz w:val="24"/>
          <w:shd w:val="clear" w:color="auto" w:fill="FFFFFF"/>
        </w:rPr>
        <w:t>　执行珠宝首饰评估业务，应当获得真实、可靠的珠宝首饰的市场信息及其他相关信息。</w:t>
      </w:r>
    </w:p>
    <w:p w14:paraId="21781ECA">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第十五条</w:t>
      </w:r>
      <w:r>
        <w:rPr>
          <w:rFonts w:hint="eastAsia" w:ascii="宋体" w:hAnsi="宋体" w:eastAsia="宋体" w:cs="宋体"/>
          <w:color w:val="000000"/>
          <w:kern w:val="0"/>
          <w:sz w:val="24"/>
          <w:shd w:val="clear" w:color="auto" w:fill="FFFFFF"/>
        </w:rPr>
        <w:t>　执行珠宝首饰评估业务，应当根据评估对象的具体情况，合理选择收集信息的内容。通常关注以下方面：</w:t>
      </w:r>
    </w:p>
    <w:p w14:paraId="3D1C434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（一）评估对象的历史、现状及相关证明资料；</w:t>
      </w:r>
    </w:p>
    <w:p w14:paraId="24BF43A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（二）评估对象以往的评估及交易情况；</w:t>
      </w:r>
    </w:p>
    <w:p w14:paraId="3D708B6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（三）相同或者类似珠宝首饰的市场价格信息及交易情况；</w:t>
      </w:r>
    </w:p>
    <w:p w14:paraId="09B017F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（四）评估对象的市场供求关系、稀缺程度及市场前景等；</w:t>
      </w:r>
    </w:p>
    <w:p w14:paraId="16F65C9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（五）可能影响珠宝首饰价值的宏观经济状况；</w:t>
      </w:r>
    </w:p>
    <w:p w14:paraId="09290E0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（六）其他相关信息资料。</w:t>
      </w:r>
    </w:p>
    <w:p w14:paraId="06C0129E">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第十六条</w:t>
      </w:r>
      <w:r>
        <w:rPr>
          <w:rFonts w:hint="eastAsia" w:ascii="宋体" w:hAnsi="宋体" w:eastAsia="宋体" w:cs="宋体"/>
          <w:color w:val="000000"/>
          <w:kern w:val="0"/>
          <w:sz w:val="24"/>
          <w:shd w:val="clear" w:color="auto" w:fill="FFFFFF"/>
        </w:rPr>
        <w:t>　执行珠宝首饰评估业务，应当考虑珠宝首饰的品质因素及其他因素对评估对象价值的影响，如来源（出处）、历史、名人拥有、名师设计制作、品牌、稀缺程度等。</w:t>
      </w:r>
    </w:p>
    <w:p w14:paraId="5CB6722A">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第十七条</w:t>
      </w:r>
      <w:r>
        <w:rPr>
          <w:rFonts w:hint="eastAsia" w:ascii="宋体" w:hAnsi="宋体" w:eastAsia="宋体" w:cs="宋体"/>
          <w:color w:val="000000"/>
          <w:kern w:val="0"/>
          <w:sz w:val="24"/>
          <w:shd w:val="clear" w:color="auto" w:fill="FFFFFF"/>
        </w:rPr>
        <w:t>　执行珠宝首饰评估业务，可以根据评估目的和珠宝首饰具体情况合理确定评估假设，并在资产评估报告中予以披露。</w:t>
      </w:r>
    </w:p>
    <w:p w14:paraId="581B93AC">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第四章　评估方法</w:t>
      </w:r>
    </w:p>
    <w:p w14:paraId="222F2CC0">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第十八条</w:t>
      </w:r>
      <w:r>
        <w:rPr>
          <w:rFonts w:hint="eastAsia" w:ascii="宋体" w:hAnsi="宋体" w:eastAsia="宋体" w:cs="宋体"/>
          <w:color w:val="000000"/>
          <w:kern w:val="0"/>
          <w:sz w:val="24"/>
          <w:shd w:val="clear" w:color="auto" w:fill="FFFFFF"/>
        </w:rPr>
        <w:t>　执行珠宝首饰评估业务，应当根据评估目的、评估对象、价值类型、资料收集等情况，分析市场法、成本法和收益法三种资产评估基本方法的适用性，选择评估方法。</w:t>
      </w:r>
    </w:p>
    <w:p w14:paraId="4EA09329">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第十九条</w:t>
      </w:r>
      <w:r>
        <w:rPr>
          <w:rFonts w:hint="eastAsia" w:ascii="宋体" w:hAnsi="宋体" w:eastAsia="宋体" w:cs="宋体"/>
          <w:color w:val="000000"/>
          <w:kern w:val="0"/>
          <w:sz w:val="24"/>
          <w:shd w:val="clear" w:color="auto" w:fill="FFFFFF"/>
        </w:rPr>
        <w:t>　执行珠宝首饰评估业务采用市场法时，应当：</w:t>
      </w:r>
    </w:p>
    <w:p w14:paraId="61C3953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（一）明确是否存在公开、活跃的交易市场，是否能够获取足够数量的可比参照物或者案例，并关注数据的可靠性；</w:t>
      </w:r>
    </w:p>
    <w:p w14:paraId="42FB653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（二）收集评估对象以往的交易信息、相同或者类似珠宝首饰交易的市场信息；</w:t>
      </w:r>
    </w:p>
    <w:p w14:paraId="19B9925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（三）确定若干相同或者类似的珠宝首饰作为参照物，充分考虑其价值因素的可比性；</w:t>
      </w:r>
    </w:p>
    <w:p w14:paraId="615B580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（四）根据评估对象的具体情况，确定可以作为评估依据的合适的交易市场；</w:t>
      </w:r>
    </w:p>
    <w:p w14:paraId="75933ED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（五）根据评估对象与参照物之间的区别，以及市场级别、市场交易条件等因素的差异，对相同或者类似珠宝首饰交易信息及相关资料进行分析调整。</w:t>
      </w:r>
    </w:p>
    <w:p w14:paraId="329BF286">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第二十条</w:t>
      </w:r>
      <w:r>
        <w:rPr>
          <w:rFonts w:hint="eastAsia" w:ascii="宋体" w:hAnsi="宋体" w:eastAsia="宋体" w:cs="宋体"/>
          <w:color w:val="000000"/>
          <w:kern w:val="0"/>
          <w:sz w:val="24"/>
          <w:shd w:val="clear" w:color="auto" w:fill="FFFFFF"/>
        </w:rPr>
        <w:t>　执行珠宝首饰评估业务采用成本法时，应当：</w:t>
      </w:r>
    </w:p>
    <w:p w14:paraId="7C9BE8A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（一）分析评估对象是否可以复制、可以再生产等因素，考虑成本法的适用性；</w:t>
      </w:r>
    </w:p>
    <w:p w14:paraId="6DD1B2D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（二）合理确定重置成本的构成要素，明确珠宝首饰的重置成本包括材料成本、制作成本、相关税费、合理利润及其他费用；</w:t>
      </w:r>
    </w:p>
    <w:p w14:paraId="56D43E7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（三）恰当选择重置成本的类型，即复原重置成本和更新重置成本；</w:t>
      </w:r>
    </w:p>
    <w:p w14:paraId="3121F85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（四）合理确定实体性贬值、经济性贬值和功能性贬值。</w:t>
      </w:r>
    </w:p>
    <w:p w14:paraId="55E0F6B6">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第二十一条</w:t>
      </w:r>
      <w:r>
        <w:rPr>
          <w:rFonts w:hint="eastAsia" w:ascii="宋体" w:hAnsi="宋体" w:eastAsia="宋体" w:cs="宋体"/>
          <w:color w:val="000000"/>
          <w:kern w:val="0"/>
          <w:sz w:val="24"/>
          <w:shd w:val="clear" w:color="auto" w:fill="FFFFFF"/>
        </w:rPr>
        <w:t>　执行珠宝首饰评估业务采用收益法时，应当：</w:t>
      </w:r>
    </w:p>
    <w:p w14:paraId="630EA7F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（一）明确珠宝首饰较少采用收益法进行评估。收益法通常只适用于租赁、展览等持续经营活动中，具有独立获利能力或者获利能力可以量化的珠宝首饰的资产评估业务。</w:t>
      </w:r>
    </w:p>
    <w:p w14:paraId="2BB8017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（二）合理确定收益期限，合理预测未来收益。</w:t>
      </w:r>
    </w:p>
    <w:p w14:paraId="43924EC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（三）合理确定折现率。</w:t>
      </w:r>
    </w:p>
    <w:p w14:paraId="0B7830C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（四）分析租约等法律文件内容对评估对象价值可能具有的影响。</w:t>
      </w:r>
    </w:p>
    <w:p w14:paraId="0988F14B">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第二十二条</w:t>
      </w:r>
      <w:r>
        <w:rPr>
          <w:rFonts w:hint="eastAsia" w:ascii="宋体" w:hAnsi="宋体" w:eastAsia="宋体" w:cs="宋体"/>
          <w:color w:val="000000"/>
          <w:kern w:val="0"/>
          <w:sz w:val="24"/>
          <w:shd w:val="clear" w:color="auto" w:fill="FFFFFF"/>
        </w:rPr>
        <w:t>　对同一珠宝首饰采用多种评估方法时，应当对所获得的各种测算结果进行分析，合理形成评估结论。</w:t>
      </w:r>
    </w:p>
    <w:p w14:paraId="4D675CE0">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第五章　披露要求</w:t>
      </w:r>
    </w:p>
    <w:p w14:paraId="05BADE2B">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第二十三条</w:t>
      </w:r>
      <w:r>
        <w:rPr>
          <w:rFonts w:hint="eastAsia" w:ascii="宋体" w:hAnsi="宋体" w:eastAsia="宋体" w:cs="宋体"/>
          <w:color w:val="000000"/>
          <w:kern w:val="0"/>
          <w:sz w:val="24"/>
          <w:shd w:val="clear" w:color="auto" w:fill="FFFFFF"/>
        </w:rPr>
        <w:t>　无论单独出具珠宝首饰资产评估报告，还是将珠宝首饰评估作为资产评估报告的组成部分，都应当在资产评估报告中披露必要信息，使资产评估报告使用人能够正确理解评估结论。</w:t>
      </w:r>
    </w:p>
    <w:p w14:paraId="422DA7C5">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第二十四条</w:t>
      </w:r>
      <w:r>
        <w:rPr>
          <w:rFonts w:hint="eastAsia" w:ascii="宋体" w:hAnsi="宋体" w:eastAsia="宋体" w:cs="宋体"/>
          <w:color w:val="000000"/>
          <w:kern w:val="0"/>
          <w:sz w:val="24"/>
          <w:shd w:val="clear" w:color="auto" w:fill="FFFFFF"/>
        </w:rPr>
        <w:t>　编制珠宝首饰资产评估报告应当反映珠宝首饰评估的特点。通常包括以下内容：</w:t>
      </w:r>
    </w:p>
    <w:p w14:paraId="1F7E7BD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（一）对评估对象的恰当描述，包括珠宝首饰的客观辨别特征和价值贡献特征。应当根据评估对象的特点和评估业务的具体情况，确定需要描述的内容，并突出描述影响价值结论的关键性特征。</w:t>
      </w:r>
    </w:p>
    <w:p w14:paraId="16AA9CB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（二）珠宝首饰评估的价值类型及其定义。</w:t>
      </w:r>
    </w:p>
    <w:p w14:paraId="4C0DF0E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（三）评估程序实施过程描述，应当反映对珠宝首饰的实物调查、市场调查、鉴定分级、评定估算等过程。</w:t>
      </w:r>
    </w:p>
    <w:p w14:paraId="25676FF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（四）珠宝首饰质押及其他限制情况。</w:t>
      </w:r>
    </w:p>
    <w:p w14:paraId="3ACADE1D">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第二十五条</w:t>
      </w:r>
      <w:r>
        <w:rPr>
          <w:rFonts w:hint="eastAsia" w:ascii="宋体" w:hAnsi="宋体" w:eastAsia="宋体" w:cs="宋体"/>
          <w:color w:val="000000"/>
          <w:kern w:val="0"/>
          <w:sz w:val="24"/>
          <w:shd w:val="clear" w:color="auto" w:fill="FFFFFF"/>
        </w:rPr>
        <w:t>　编制珠宝首饰资产评估报告时，可以根据评估业务的性质合理确定资产评估报告的详略程度。</w:t>
      </w:r>
    </w:p>
    <w:p w14:paraId="7F6F7419">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第六章　附则</w:t>
      </w:r>
    </w:p>
    <w:p w14:paraId="5E6D4CA7">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第二十六条</w:t>
      </w:r>
      <w:r>
        <w:rPr>
          <w:rFonts w:hint="eastAsia" w:ascii="宋体" w:hAnsi="宋体" w:eastAsia="宋体" w:cs="宋体"/>
          <w:color w:val="000000"/>
          <w:kern w:val="0"/>
          <w:sz w:val="24"/>
          <w:shd w:val="clear" w:color="auto" w:fill="FFFFFF"/>
        </w:rPr>
        <w:t>　本准则自2017年10月1日起施行。中国资产评估协会于2009年12月18日发布的《关于印发〈投资性房地产评估指导意见（试行）〉和〈资产评估准则——珠宝首饰〉的通知》（中评协〔2009〕211号）中的《资产评估准则——珠宝首饰》同时废止。</w:t>
      </w:r>
    </w:p>
    <w:p w14:paraId="5C99CA3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br w:type="page"/>
      </w:r>
    </w:p>
    <w:p w14:paraId="7115DAC8">
      <w:pPr>
        <w:pStyle w:val="5"/>
        <w:spacing w:line="440" w:lineRule="atLeast"/>
        <w:jc w:val="center"/>
        <w:rPr>
          <w:rFonts w:ascii="宋体" w:hAnsi="宋体" w:eastAsia="宋体" w:cs="宋体"/>
        </w:rPr>
      </w:pPr>
      <w:bookmarkStart w:id="115" w:name="_Toc12671"/>
      <w:r>
        <w:rPr>
          <w:rFonts w:hint="eastAsia" w:ascii="宋体" w:hAnsi="宋体" w:eastAsia="宋体" w:cs="宋体"/>
        </w:rPr>
        <w:t>企业国有资产评估报告指南</w:t>
      </w:r>
      <w:bookmarkEnd w:id="115"/>
    </w:p>
    <w:p w14:paraId="0E6D8D6B">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第一章　总则</w:t>
      </w:r>
    </w:p>
    <w:p w14:paraId="7BB9E08C">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第一条</w:t>
      </w:r>
      <w:r>
        <w:rPr>
          <w:rFonts w:hint="eastAsia" w:ascii="宋体" w:hAnsi="宋体" w:eastAsia="宋体" w:cs="宋体"/>
          <w:color w:val="000000"/>
          <w:kern w:val="0"/>
          <w:sz w:val="24"/>
          <w:shd w:val="clear" w:color="auto" w:fill="FFFFFF"/>
        </w:rPr>
        <w:t>　为规范企业国有资产评估报告编制和出具行为，保护资产评估当事人合法权益和公共利益，根据国有资产评估管理有关规定和《资产评估执业准则——资产评估报告》制定本指南。</w:t>
      </w:r>
    </w:p>
    <w:p w14:paraId="2AA9F755">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第二条</w:t>
      </w:r>
      <w:r>
        <w:rPr>
          <w:rFonts w:hint="eastAsia" w:ascii="宋体" w:hAnsi="宋体" w:eastAsia="宋体" w:cs="宋体"/>
          <w:color w:val="000000"/>
          <w:kern w:val="0"/>
          <w:sz w:val="24"/>
          <w:shd w:val="clear" w:color="auto" w:fill="FFFFFF"/>
        </w:rPr>
        <w:t>　资产评估机构及其资产评估师根据企业国有资产评估管理的有关规定开展资产评估业务，编制和出具企业国有资产评估报告，应当遵守本指南。</w:t>
      </w:r>
    </w:p>
    <w:p w14:paraId="46E9CF7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金融企业和行政事业单位国有资产评估报告另行规范。</w:t>
      </w:r>
    </w:p>
    <w:p w14:paraId="6EF6B54B">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第三条</w:t>
      </w:r>
      <w:r>
        <w:rPr>
          <w:rFonts w:hint="eastAsia" w:ascii="宋体" w:hAnsi="宋体" w:eastAsia="宋体" w:cs="宋体"/>
          <w:color w:val="000000"/>
          <w:kern w:val="0"/>
          <w:sz w:val="24"/>
          <w:shd w:val="clear" w:color="auto" w:fill="FFFFFF"/>
        </w:rPr>
        <w:t>　本指南所指企业国有资产评估报告（以下简称资产评估报告），由标题及文号、目录、声明、摘要、正文、附件、评估明细表和评估说明构成。</w:t>
      </w:r>
    </w:p>
    <w:p w14:paraId="339A87D9">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第四条</w:t>
      </w:r>
      <w:r>
        <w:rPr>
          <w:rFonts w:hint="eastAsia" w:ascii="宋体" w:hAnsi="宋体" w:eastAsia="宋体" w:cs="宋体"/>
          <w:color w:val="000000"/>
          <w:kern w:val="0"/>
          <w:sz w:val="24"/>
          <w:shd w:val="clear" w:color="auto" w:fill="FFFFFF"/>
        </w:rPr>
        <w:t>　资产评估机构及其资产评估师应当清晰、准确陈述资产评估报告内容，不得使用误导性的表述。</w:t>
      </w:r>
    </w:p>
    <w:p w14:paraId="11CC9677">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第五条</w:t>
      </w:r>
      <w:r>
        <w:rPr>
          <w:rFonts w:hint="eastAsia" w:ascii="宋体" w:hAnsi="宋体" w:eastAsia="宋体" w:cs="宋体"/>
          <w:color w:val="000000"/>
          <w:kern w:val="0"/>
          <w:sz w:val="24"/>
          <w:shd w:val="clear" w:color="auto" w:fill="FFFFFF"/>
        </w:rPr>
        <w:t>　资产评估报告提供的信息，应当使企业国有资产监督管理机构和相关机构能够全面了解资产评估情况，使资产评估报告使用人正确理解评估结论。</w:t>
      </w:r>
    </w:p>
    <w:p w14:paraId="755A7E6C">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第六条</w:t>
      </w:r>
      <w:r>
        <w:rPr>
          <w:rFonts w:hint="eastAsia" w:ascii="宋体" w:hAnsi="宋体" w:eastAsia="宋体" w:cs="宋体"/>
          <w:color w:val="000000"/>
          <w:kern w:val="0"/>
          <w:sz w:val="24"/>
          <w:shd w:val="clear" w:color="auto" w:fill="FFFFFF"/>
        </w:rPr>
        <w:t>　资产评估报告内容应当完整，符合本指南的要求。</w:t>
      </w:r>
    </w:p>
    <w:p w14:paraId="48E147B4">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第二章　标题及文号、目录、声明和摘要</w:t>
      </w:r>
    </w:p>
    <w:p w14:paraId="6E1DE615">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第七条</w:t>
      </w:r>
      <w:r>
        <w:rPr>
          <w:rFonts w:hint="eastAsia" w:ascii="宋体" w:hAnsi="宋体" w:eastAsia="宋体" w:cs="宋体"/>
          <w:color w:val="000000"/>
          <w:kern w:val="0"/>
          <w:sz w:val="24"/>
          <w:shd w:val="clear" w:color="auto" w:fill="FFFFFF"/>
        </w:rPr>
        <w:t>　资产评估报告标题应当简明清晰，一般采用“企业名称+经济行为关键词+评估对象+资产评估报告”的形式。</w:t>
      </w:r>
    </w:p>
    <w:p w14:paraId="2C0721F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资产评估报告文号包括资产评估机构特征字、种类特征字、年份、报告序号。</w:t>
      </w:r>
    </w:p>
    <w:p w14:paraId="569190AB">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第八条</w:t>
      </w:r>
      <w:r>
        <w:rPr>
          <w:rFonts w:hint="eastAsia" w:ascii="宋体" w:hAnsi="宋体" w:eastAsia="宋体" w:cs="宋体"/>
          <w:color w:val="000000"/>
          <w:kern w:val="0"/>
          <w:sz w:val="24"/>
          <w:shd w:val="clear" w:color="auto" w:fill="FFFFFF"/>
        </w:rPr>
        <w:t>　目录应当包括每一部分的标题和相应页码。</w:t>
      </w:r>
    </w:p>
    <w:p w14:paraId="2C3F0451">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第九条</w:t>
      </w:r>
      <w:r>
        <w:rPr>
          <w:rFonts w:hint="eastAsia" w:ascii="宋体" w:hAnsi="宋体" w:eastAsia="宋体" w:cs="宋体"/>
          <w:color w:val="000000"/>
          <w:kern w:val="0"/>
          <w:sz w:val="24"/>
          <w:shd w:val="clear" w:color="auto" w:fill="FFFFFF"/>
        </w:rPr>
        <w:t>　资产评估报告声明通常包括以下内容：</w:t>
      </w:r>
    </w:p>
    <w:p w14:paraId="55620AD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（一）本资产评估报告依据财政部发布的资产评估基本准则和中国资产评估协会发布的资产评估执业准则和职业道德准则编制。</w:t>
      </w:r>
    </w:p>
    <w:p w14:paraId="0F01E55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委托人或者其他资产评估报告使用人应当按照法律、行政法规规定和资产评估报告载明的使用范围使用资产评估报告；委托人或者其他资产评估报告使用人违反前述规定使用资产评估报告的，资产评估机构及其资产评估师不承担责任。</w:t>
      </w:r>
    </w:p>
    <w:p w14:paraId="0119E96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（三）资产评估报告仅供委托人、资产评估委托合同中约定的其他资产评估报告使用人和法律、行政法规规定的资产评估报告使用人使用；除此之外，其他任何机构和个人不能成为资产评估报告的使用人。</w:t>
      </w:r>
    </w:p>
    <w:p w14:paraId="076A942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（四）资产评估报告使用人应当正确理解评估结论，评估结论不等同于评估对象可实现价格，评估结论不应当被认为是对评估对象可实现价格的保证。</w:t>
      </w:r>
    </w:p>
    <w:p w14:paraId="641606B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（五）资产评估机构及其资产评估师遵守法律、行政法规和资产评估准则，坚持独立、客观、公正的原则，并对所出具的资产评估报告依法承担责任。</w:t>
      </w:r>
    </w:p>
    <w:p w14:paraId="1C5F76D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（六）资产评估报告使用人应当关注评估结论成立的假设前提、资产评估报告特别事项说明和使用限制。</w:t>
      </w:r>
    </w:p>
    <w:p w14:paraId="6C0524B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（七）其他需要声明的内容。</w:t>
      </w:r>
      <w:r>
        <w:rPr>
          <w:rFonts w:hint="eastAsia" w:ascii="宋体" w:hAnsi="宋体" w:eastAsia="宋体" w:cs="宋体"/>
          <w:color w:val="000000"/>
          <w:kern w:val="0"/>
          <w:sz w:val="24"/>
          <w:shd w:val="clear" w:color="auto" w:fill="FFFFFF"/>
        </w:rPr>
        <w:tab/>
      </w:r>
    </w:p>
    <w:p w14:paraId="2E464C68">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第十条</w:t>
      </w:r>
      <w:r>
        <w:rPr>
          <w:rFonts w:hint="eastAsia" w:ascii="宋体" w:hAnsi="宋体" w:eastAsia="宋体" w:cs="宋体"/>
          <w:color w:val="000000"/>
          <w:kern w:val="0"/>
          <w:sz w:val="24"/>
          <w:shd w:val="clear" w:color="auto" w:fill="FFFFFF"/>
        </w:rPr>
        <w:t>　资产评估报告摘要应当简明扼要地反映经济行为、评估目的、评估对象和评估范围、价值类型、评估基准日、评估方法、评估结论及其使用有效期、对评估结论产生影响的特别事项等关键内容。</w:t>
      </w:r>
    </w:p>
    <w:p w14:paraId="748E383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资产评估报告摘要应当采用下述文字提醒资产评估报告使用人阅读全文：“以上内容摘自资产评估报告正文，欲了解本评估业务的详细情况和正确理解评估结论，应当阅读资产评估报告正文。”</w:t>
      </w:r>
    </w:p>
    <w:p w14:paraId="757BDF83">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第三章　正文</w:t>
      </w:r>
    </w:p>
    <w:p w14:paraId="3E44BD8D">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第十一条</w:t>
      </w:r>
      <w:r>
        <w:rPr>
          <w:rFonts w:hint="eastAsia" w:ascii="宋体" w:hAnsi="宋体" w:eastAsia="宋体" w:cs="宋体"/>
          <w:color w:val="000000"/>
          <w:kern w:val="0"/>
          <w:sz w:val="24"/>
          <w:shd w:val="clear" w:color="auto" w:fill="FFFFFF"/>
        </w:rPr>
        <w:t>　资产评估报告正文应当包括：</w:t>
      </w:r>
    </w:p>
    <w:p w14:paraId="2C1FA26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（一）绪言；</w:t>
      </w:r>
    </w:p>
    <w:p w14:paraId="25B5A7C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（二）委托人、被评估单位和资产评估委托合同约定的其他资产评估报告使用人概况；</w:t>
      </w:r>
    </w:p>
    <w:p w14:paraId="3EA1A75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（三）评估目的；</w:t>
      </w:r>
    </w:p>
    <w:p w14:paraId="2B116D5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（四）评估对象和评估范围；</w:t>
      </w:r>
    </w:p>
    <w:p w14:paraId="03749C7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（五）价值类型；</w:t>
      </w:r>
    </w:p>
    <w:p w14:paraId="5AA1E33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（六）评估基准日；</w:t>
      </w:r>
    </w:p>
    <w:p w14:paraId="6A94138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（七）评估依据；</w:t>
      </w:r>
    </w:p>
    <w:p w14:paraId="0AC572E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（八）评估方法；</w:t>
      </w:r>
    </w:p>
    <w:p w14:paraId="0F482E2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（九）评估程序实施过程和情况；</w:t>
      </w:r>
    </w:p>
    <w:p w14:paraId="3C33946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（十）评估假设；</w:t>
      </w:r>
    </w:p>
    <w:p w14:paraId="031F0C9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（十一）评估结论；</w:t>
      </w:r>
    </w:p>
    <w:p w14:paraId="3CC2E5C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（十二）特别事项说明；</w:t>
      </w:r>
    </w:p>
    <w:p w14:paraId="42CDAF6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（十三）资产评估报告使用限制说明；</w:t>
      </w:r>
    </w:p>
    <w:p w14:paraId="6933E83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（十四）资产评估报告日；</w:t>
      </w:r>
    </w:p>
    <w:p w14:paraId="0D0B30C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（十五）签名盖章。</w:t>
      </w:r>
    </w:p>
    <w:p w14:paraId="423FDC62">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第十二条</w:t>
      </w:r>
      <w:r>
        <w:rPr>
          <w:rFonts w:hint="eastAsia" w:ascii="宋体" w:hAnsi="宋体" w:eastAsia="宋体" w:cs="宋体"/>
          <w:color w:val="000000"/>
          <w:kern w:val="0"/>
          <w:sz w:val="24"/>
          <w:shd w:val="clear" w:color="auto" w:fill="FFFFFF"/>
        </w:rPr>
        <w:t>　绪言一般采用包含下列内容的表述格式：</w:t>
      </w:r>
    </w:p>
    <w:p w14:paraId="0E0ABE0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“×××（委托人全称）：</w:t>
      </w:r>
    </w:p>
    <w:p w14:paraId="1104C04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资产评估机构全称）接受贵单位（公司）的委托，按照法律、行政法规和资产评估准则的规定，坚持独立、客观和公正的原则，采用×××评估方法（评估方法名称），按照必要的评估程序，对×××（委托人全称）拟实施×××行为（事宜）涉及的×××（资产——单项资产或者资产组合、企业整体价值、股东全部权益、股东部分权益）在××××年××月××日的××价值（价值类型）进行了评估。现将资产评估情况报告如下。”</w:t>
      </w:r>
    </w:p>
    <w:p w14:paraId="630896EE">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第十三条</w:t>
      </w:r>
      <w:r>
        <w:rPr>
          <w:rFonts w:hint="eastAsia" w:ascii="宋体" w:hAnsi="宋体" w:eastAsia="宋体" w:cs="宋体"/>
          <w:color w:val="000000"/>
          <w:kern w:val="0"/>
          <w:sz w:val="24"/>
          <w:shd w:val="clear" w:color="auto" w:fill="FFFFFF"/>
        </w:rPr>
        <w:t>　资产评估报告正文应当介绍委托人、被评估单位和资产评估委托合同约定的其他资产评估报告使用人的概况：</w:t>
      </w:r>
    </w:p>
    <w:p w14:paraId="00AA180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（一）委托人和资产评估委托合同约定的其他资产评估报告使用人概况一般包括名称、法定住所及经营场所、法定代表人、注册资本及主要经营范围等；</w:t>
      </w:r>
    </w:p>
    <w:p w14:paraId="49D804F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（二）企业价值评估中，被评估单位概况一般包括：</w:t>
      </w:r>
    </w:p>
    <w:p w14:paraId="7CF44E1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1．名称、法定住所及经营场所、法定代表人、主要经营范围、注册资本、公司股东及持股比例、股权变更情况及必要的公司产权和经营管理结构、历史情况等；</w:t>
      </w:r>
    </w:p>
    <w:p w14:paraId="7B3889E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2．近三年资产、财务、经营状况；</w:t>
      </w:r>
    </w:p>
    <w:p w14:paraId="282F718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3．委托人和被评估单位之间的关系（如产权关系、交易关系）；</w:t>
      </w:r>
    </w:p>
    <w:p w14:paraId="464BB15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（三）单项资产或者资产组合评估，被评估单位概况一般包括名称、法定住所及经营场所、法定代表人、注册资本及主要经营范围等；</w:t>
      </w:r>
    </w:p>
    <w:p w14:paraId="76F946F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（四）委托人与被评估单位为同一企业，按对被评估单位的要求编写；</w:t>
      </w:r>
    </w:p>
    <w:p w14:paraId="4E46507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（五）存在交叉持股的，应当列示交叉持股图并简述交叉持股关系及是否属于同一控制的情形；</w:t>
      </w:r>
    </w:p>
    <w:p w14:paraId="5C402A3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（六）存在关联交易的，应当说明关联方、交易方式等基本情况。</w:t>
      </w:r>
    </w:p>
    <w:p w14:paraId="56D62FFD">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第十四条</w:t>
      </w:r>
      <w:r>
        <w:rPr>
          <w:rFonts w:hint="eastAsia" w:ascii="宋体" w:hAnsi="宋体" w:eastAsia="宋体" w:cs="宋体"/>
          <w:color w:val="000000"/>
          <w:kern w:val="0"/>
          <w:sz w:val="24"/>
          <w:shd w:val="clear" w:color="auto" w:fill="FFFFFF"/>
        </w:rPr>
        <w:t>　资产评估报告应当说明本次资产评估的目的及其所对应的经济行为，并说明该经济行为获得批准的相关情况或者其他经济行为依据。</w:t>
      </w:r>
    </w:p>
    <w:p w14:paraId="37A0B0DF">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第十五条</w:t>
      </w:r>
      <w:r>
        <w:rPr>
          <w:rFonts w:hint="eastAsia" w:ascii="宋体" w:hAnsi="宋体" w:eastAsia="宋体" w:cs="宋体"/>
          <w:color w:val="000000"/>
          <w:kern w:val="0"/>
          <w:sz w:val="24"/>
          <w:shd w:val="clear" w:color="auto" w:fill="FFFFFF"/>
        </w:rPr>
        <w:t>　资产评估报告应当对评估对象进行具体描述，以文字、表格的方式说明评估范围。</w:t>
      </w:r>
    </w:p>
    <w:p w14:paraId="2AC5C38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企业价值评估中，应当说明下列内容：</w:t>
      </w:r>
    </w:p>
    <w:p w14:paraId="4C985BA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（一）委托评估对象和评估范围与经济行为涉及的评估对象和评估范围是否一致，不一致的应当说明原因，并说明是否经过审计；</w:t>
      </w:r>
    </w:p>
    <w:p w14:paraId="68AEFC3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（二）企业申报的表外资产的类型、数量；</w:t>
      </w:r>
    </w:p>
    <w:p w14:paraId="530D128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（三）引用其他机构出具的报告结论所涉及的资产类型、数量和账面金额（或者评估值）。</w:t>
      </w:r>
    </w:p>
    <w:p w14:paraId="789C7CC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单项资产或者资产组合评估，应当说明委托评估资产的数量（如土地面积、建筑物面积、设备数量、无形资产数量等）、法律权属状况、经济状况和物理状况等。</w:t>
      </w:r>
    </w:p>
    <w:p w14:paraId="5DACEAF7">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第十六条</w:t>
      </w:r>
      <w:r>
        <w:rPr>
          <w:rFonts w:hint="eastAsia" w:ascii="宋体" w:hAnsi="宋体" w:eastAsia="宋体" w:cs="宋体"/>
          <w:color w:val="000000"/>
          <w:kern w:val="0"/>
          <w:sz w:val="24"/>
          <w:shd w:val="clear" w:color="auto" w:fill="FFFFFF"/>
        </w:rPr>
        <w:t>　资产评估报告应当明确价值类型及其定义。选择市场价值以外的价值类型，还应当说明价值类型选择理由。</w:t>
      </w:r>
    </w:p>
    <w:p w14:paraId="38FC0F81">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第十七条</w:t>
      </w:r>
      <w:r>
        <w:rPr>
          <w:rFonts w:hint="eastAsia" w:ascii="宋体" w:hAnsi="宋体" w:eastAsia="宋体" w:cs="宋体"/>
          <w:color w:val="000000"/>
          <w:kern w:val="0"/>
          <w:sz w:val="24"/>
          <w:shd w:val="clear" w:color="auto" w:fill="FFFFFF"/>
        </w:rPr>
        <w:t>　资产评估报告应当说明评估基准日及确定评估基准日所考虑的主要因素，包括下列主要内容：</w:t>
      </w:r>
    </w:p>
    <w:p w14:paraId="797C391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（一）本项目评估基准日是××××年××月××日；</w:t>
      </w:r>
    </w:p>
    <w:p w14:paraId="778440A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（二）确定评估基准日所考虑的主要因素（如经济行为的实现、会计期末、利率和汇率变化等）。</w:t>
      </w:r>
    </w:p>
    <w:p w14:paraId="6E5C80FA">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第十八条</w:t>
      </w:r>
      <w:r>
        <w:rPr>
          <w:rFonts w:hint="eastAsia" w:ascii="宋体" w:hAnsi="宋体" w:eastAsia="宋体" w:cs="宋体"/>
          <w:color w:val="000000"/>
          <w:kern w:val="0"/>
          <w:sz w:val="24"/>
          <w:shd w:val="clear" w:color="auto" w:fill="FFFFFF"/>
        </w:rPr>
        <w:t>　资产评估报告应当说明本次评估业务所对应的经济行为、法律法规、评估准则、权属、取价等依据。</w:t>
      </w:r>
    </w:p>
    <w:p w14:paraId="28E0FA8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（一）经济行为依据应当为有效批复文件以及可以说明经济行为及其所涉及的评估对象与评估范围的其他文件资料；</w:t>
      </w:r>
    </w:p>
    <w:p w14:paraId="46BDC13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（二）法律法规依据通常包括与国有资产评估有关的法律法规等；</w:t>
      </w:r>
    </w:p>
    <w:p w14:paraId="143D3BA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（三）评估准则依据包括本评估业务中依据的相关资产评估准则和相关规范；</w:t>
      </w:r>
    </w:p>
    <w:p w14:paraId="6D395CE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权属依据通常包括国有资产产权登记证书、基准日股份持有证明、出资证明、国有土地使用证（或者国有土地使用权出让合同）、房屋所有权证、房地产权证（或者不动产权证书）、采矿许可证、勘查许可证、林权证、专利证（发明专利证书、实用新型专利证书、外观设计专利证书）、商标注册证、著作权（版权）相关权属证明、船舶所有权登记证书、船舶国籍证书、机动车行驶证、有关产权转让合同、其他权属证明文件等；</w:t>
      </w:r>
    </w:p>
    <w:p w14:paraId="5E6B61B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（五）取价依据通常包括企业提供的财务会计、经营方面的资料，国家有关部门发布的统计资料、技术标准和政策文件，以及评估机构收集的有关询价资料、参数资料等；</w:t>
      </w:r>
    </w:p>
    <w:p w14:paraId="3AE93AD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（六）其他参考依据。</w:t>
      </w:r>
    </w:p>
    <w:p w14:paraId="0EE9A2C9">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第十九条</w:t>
      </w:r>
      <w:r>
        <w:rPr>
          <w:rFonts w:hint="eastAsia" w:ascii="宋体" w:hAnsi="宋体" w:eastAsia="宋体" w:cs="宋体"/>
          <w:color w:val="000000"/>
          <w:kern w:val="0"/>
          <w:sz w:val="24"/>
          <w:shd w:val="clear" w:color="auto" w:fill="FFFFFF"/>
        </w:rPr>
        <w:t>　资产评估报告应当说明所选用的评估方法及其理由。</w:t>
      </w:r>
    </w:p>
    <w:p w14:paraId="22FB4BB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未采用两种以上评估方法进行评估，资产评估报告应当披露其他基本评估方法不适用的原因或者所受的操作限制。</w:t>
      </w:r>
    </w:p>
    <w:p w14:paraId="3DFD06E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采用两种以上方法进行评估的，还应当说明评估结论确定的方法。</w:t>
      </w:r>
    </w:p>
    <w:p w14:paraId="60FD1F2E">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第二十条</w:t>
      </w:r>
      <w:r>
        <w:rPr>
          <w:rFonts w:hint="eastAsia" w:ascii="宋体" w:hAnsi="宋体" w:eastAsia="宋体" w:cs="宋体"/>
          <w:color w:val="000000"/>
          <w:kern w:val="0"/>
          <w:sz w:val="24"/>
          <w:shd w:val="clear" w:color="auto" w:fill="FFFFFF"/>
        </w:rPr>
        <w:t>　资产评估报告应当说明自接受资产评估业务委托起至出具资产评估报告的主要评估工作过程，一般包括以下内容：</w:t>
      </w:r>
    </w:p>
    <w:p w14:paraId="28AA31B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（一）接受项目委托，确定评估目的、评估对象与评估范围、评估基准日，拟定评估计划等过程；</w:t>
      </w:r>
    </w:p>
    <w:p w14:paraId="799A0CE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（二）指导被评估单位清查资产、准备评估资料，核实资产与验证资料等过程；</w:t>
      </w:r>
    </w:p>
    <w:p w14:paraId="342D319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（三）选择评估方法、收集市场信息和估算等过程；</w:t>
      </w:r>
    </w:p>
    <w:p w14:paraId="1A6393E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（四）评估结果汇总、评估结论分析、撰写报告和内部审核等过程。</w:t>
      </w:r>
    </w:p>
    <w:p w14:paraId="575992F4">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第二十一条</w:t>
      </w:r>
      <w:r>
        <w:rPr>
          <w:rFonts w:hint="eastAsia" w:ascii="宋体" w:hAnsi="宋体" w:eastAsia="宋体" w:cs="宋体"/>
          <w:color w:val="000000"/>
          <w:kern w:val="0"/>
          <w:sz w:val="24"/>
          <w:shd w:val="clear" w:color="auto" w:fill="FFFFFF"/>
        </w:rPr>
        <w:t>　资产评估报告应当说明资产评估所使用的假设。</w:t>
      </w:r>
    </w:p>
    <w:p w14:paraId="7AC39A5F">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第二十二条</w:t>
      </w:r>
      <w:r>
        <w:rPr>
          <w:rFonts w:hint="eastAsia" w:ascii="宋体" w:hAnsi="宋体" w:eastAsia="宋体" w:cs="宋体"/>
          <w:color w:val="000000"/>
          <w:kern w:val="0"/>
          <w:sz w:val="24"/>
          <w:shd w:val="clear" w:color="auto" w:fill="FFFFFF"/>
        </w:rPr>
        <w:t>　资产评估报告应当以文字和数字形式清晰说明评估结论，并明确评估结论的使用有效期。评估结论通常是确定的数值。境外企业国有资产评估报告的评估结论可以用区间值表达。</w:t>
      </w:r>
    </w:p>
    <w:p w14:paraId="13B9AAB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（一）采用资产基础法进行企业价值评估，应当以文字形式说明资产、负债、所有者权益（净资产）的账面价值、评估价值及其增减幅度，并同时采用评估结果汇总表反映评估结论；</w:t>
      </w:r>
    </w:p>
    <w:p w14:paraId="4E63449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（二）单项资产或者资产组合评估，应当以文字形式说明账面价值、评估价值及其增减幅度；</w:t>
      </w:r>
    </w:p>
    <w:p w14:paraId="436D63F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（三）采用两种以上方法进行企业价值评估，除单独说明评估价值和增减变动幅度外，应当说明两种以上评估方法结果的差异及其原因和最终确定评估结论的理由；</w:t>
      </w:r>
    </w:p>
    <w:p w14:paraId="339854E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（四）存在多家被评估单位的项目，应当分别说明评估价值；</w:t>
      </w:r>
    </w:p>
    <w:p w14:paraId="4A6277A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（五）评估结论为区间值的，应当在区间之内确定一个最大可能值，并说明确定依据。</w:t>
      </w:r>
    </w:p>
    <w:p w14:paraId="12A31262">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第二十三条</w:t>
      </w:r>
      <w:r>
        <w:rPr>
          <w:rFonts w:hint="eastAsia" w:ascii="宋体" w:hAnsi="宋体" w:eastAsia="宋体" w:cs="宋体"/>
          <w:color w:val="000000"/>
          <w:kern w:val="0"/>
          <w:sz w:val="24"/>
          <w:shd w:val="clear" w:color="auto" w:fill="FFFFFF"/>
        </w:rPr>
        <w:t>　资产评估报告应当说明评估程序受到的限制、评估特殊处理、评估结论瑕疵等特别事项，以及期后事项，通常包括下列内容：</w:t>
      </w:r>
    </w:p>
    <w:p w14:paraId="7196AA4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（一）引用其他机构出具报告结论的情况，并说明承担引用不当的相关责任；</w:t>
      </w:r>
    </w:p>
    <w:p w14:paraId="4FCE765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（二）权属资料不全面或者存在瑕疵的情形；</w:t>
      </w:r>
    </w:p>
    <w:p w14:paraId="38D7AD1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（三）评估程序受到限制的情形；</w:t>
      </w:r>
    </w:p>
    <w:p w14:paraId="7D1A96F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（四）评估资料不完整的情形；</w:t>
      </w:r>
    </w:p>
    <w:p w14:paraId="657335D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（五）评估基准日存在的法律、经济等未决事项；</w:t>
      </w:r>
    </w:p>
    <w:p w14:paraId="41B5B27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（六）担保、租赁及其或有负债（或有资产）等事项的性质、金额及与评估对象的关系；</w:t>
      </w:r>
    </w:p>
    <w:p w14:paraId="12C27F1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（七）评估基准日至资产评估报告日之间可能对评估结论产生影响的事项；</w:t>
      </w:r>
    </w:p>
    <w:p w14:paraId="53798DA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（八）本次资产评估对应的经济行为中，可能对评估结论产生重大影响的瑕疵情形。</w:t>
      </w:r>
    </w:p>
    <w:p w14:paraId="6A48DCF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资产评估报告应当说明对特别事项的处理方式、特别事项对评估结论可能产生的影响，并提示资产评估报告使用人关注其对经济行为的影响。</w:t>
      </w:r>
    </w:p>
    <w:p w14:paraId="4714297A">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第二十四条</w:t>
      </w:r>
      <w:r>
        <w:rPr>
          <w:rFonts w:hint="eastAsia" w:ascii="宋体" w:hAnsi="宋体" w:eastAsia="宋体" w:cs="宋体"/>
          <w:color w:val="000000"/>
          <w:kern w:val="0"/>
          <w:sz w:val="24"/>
          <w:shd w:val="clear" w:color="auto" w:fill="FFFFFF"/>
        </w:rPr>
        <w:t>　资产评估报告使用限制应当载明：</w:t>
      </w:r>
    </w:p>
    <w:p w14:paraId="4C9E1C8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（一）使用范围；</w:t>
      </w:r>
    </w:p>
    <w:p w14:paraId="02A94C0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（二）委托人或者其他资产评估报告使用人未按照法律、行政法规规定和资产评估报告载明的使用范围使用资产评估报告的，资产评估机构及其资产评估师不承担责任；</w:t>
      </w:r>
    </w:p>
    <w:p w14:paraId="0671769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（三）除委托人、资产评估委托合同中约定的其他资产评估报告使用人和法律、行政法规规定的资产评估报告使用人之外，其他任何机构和个人不能成为资产评估报告的使用人；</w:t>
      </w:r>
    </w:p>
    <w:p w14:paraId="4FABA87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（四）资产评估报告使用人应当正确理解评估结论，评估结论不等同于评估对象可实现价格，评估结论不应当被认为是对评估对象可实现价格的保证。</w:t>
      </w:r>
    </w:p>
    <w:p w14:paraId="63CE7CDE">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第二十五条</w:t>
      </w:r>
      <w:r>
        <w:rPr>
          <w:rFonts w:hint="eastAsia" w:ascii="宋体" w:hAnsi="宋体" w:eastAsia="宋体" w:cs="宋体"/>
          <w:color w:val="000000"/>
          <w:kern w:val="0"/>
          <w:sz w:val="24"/>
          <w:shd w:val="clear" w:color="auto" w:fill="FFFFFF"/>
        </w:rPr>
        <w:t>　资产评估报告应当载明资产评估报告日。</w:t>
      </w:r>
    </w:p>
    <w:p w14:paraId="7D995E0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资产评估报告日通常为评估结论形成的日期，可以不同于资产评估报告的签发日。</w:t>
      </w:r>
    </w:p>
    <w:p w14:paraId="1C52AF05">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第二十六条</w:t>
      </w:r>
      <w:r>
        <w:rPr>
          <w:rFonts w:hint="eastAsia" w:ascii="宋体" w:hAnsi="宋体" w:eastAsia="宋体" w:cs="宋体"/>
          <w:color w:val="000000"/>
          <w:kern w:val="0"/>
          <w:sz w:val="24"/>
          <w:shd w:val="clear" w:color="auto" w:fill="FFFFFF"/>
        </w:rPr>
        <w:t>　资产评估报告正文应当由至少两名承办该评估业务的资产评估师签名，并加盖资产评估机构印章。</w:t>
      </w:r>
    </w:p>
    <w:p w14:paraId="24BB52F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声明、摘要和评估明细表上通常不需要另行签名盖章。</w:t>
      </w:r>
    </w:p>
    <w:p w14:paraId="175277E2">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第四章　附件</w:t>
      </w:r>
    </w:p>
    <w:p w14:paraId="61D1AC38">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第二十七条</w:t>
      </w:r>
      <w:r>
        <w:rPr>
          <w:rFonts w:hint="eastAsia" w:ascii="宋体" w:hAnsi="宋体" w:eastAsia="宋体" w:cs="宋体"/>
          <w:color w:val="000000"/>
          <w:kern w:val="0"/>
          <w:sz w:val="24"/>
          <w:shd w:val="clear" w:color="auto" w:fill="FFFFFF"/>
        </w:rPr>
        <w:t>　资产评估报告附件内容应当与评估目的、评估方法、评估结论相关联，通常包括下列内容：</w:t>
      </w:r>
    </w:p>
    <w:p w14:paraId="33FD167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（一）与评估目的相对应的经济行为文件；</w:t>
      </w:r>
    </w:p>
    <w:p w14:paraId="76A860F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（二）被评估单位专项审计报告；</w:t>
      </w:r>
    </w:p>
    <w:p w14:paraId="1E50CA0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（三）委托人和被评估单位法人营业执照；</w:t>
      </w:r>
    </w:p>
    <w:p w14:paraId="2DEC69C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（四）委托人和被评估单位产权登记证；</w:t>
      </w:r>
    </w:p>
    <w:p w14:paraId="2665053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（五）评估对象涉及的主要权属证明资料；</w:t>
      </w:r>
    </w:p>
    <w:p w14:paraId="2B3B976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（六）委托人和其他相关当事人的承诺函；</w:t>
      </w:r>
    </w:p>
    <w:p w14:paraId="1B7F0F3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（七）签名资产评估师的承诺函；</w:t>
      </w:r>
    </w:p>
    <w:p w14:paraId="1911132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（八）资产评估机构备案文件或者资格证明文件；</w:t>
      </w:r>
    </w:p>
    <w:p w14:paraId="6B2F5DA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（九）资产评估机构法人营业执照副本；</w:t>
      </w:r>
    </w:p>
    <w:p w14:paraId="17FC914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（十）负责该评估业务的资产评估师资格证明文件；</w:t>
      </w:r>
    </w:p>
    <w:p w14:paraId="0BCA95C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（十一）资产评估委托合同；</w:t>
      </w:r>
    </w:p>
    <w:p w14:paraId="0472952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（十二）其他重要文件。</w:t>
      </w:r>
    </w:p>
    <w:p w14:paraId="34FAF742">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第二十八条</w:t>
      </w:r>
      <w:r>
        <w:rPr>
          <w:rFonts w:hint="eastAsia" w:ascii="宋体" w:hAnsi="宋体" w:eastAsia="宋体" w:cs="宋体"/>
          <w:color w:val="000000"/>
          <w:kern w:val="0"/>
          <w:sz w:val="24"/>
          <w:shd w:val="clear" w:color="auto" w:fill="FFFFFF"/>
        </w:rPr>
        <w:t>　资产评估报告附件内容及其所涉及的签章应当清晰、完整，相关内容应当与资产评估报告摘要、正文一致。资产评估报告附件为复印件的，应当与原件一致。</w:t>
      </w:r>
    </w:p>
    <w:p w14:paraId="7E54122F">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第二十九条</w:t>
      </w:r>
      <w:r>
        <w:rPr>
          <w:rFonts w:hint="eastAsia" w:ascii="宋体" w:hAnsi="宋体" w:eastAsia="宋体" w:cs="宋体"/>
          <w:color w:val="000000"/>
          <w:kern w:val="0"/>
          <w:sz w:val="24"/>
          <w:shd w:val="clear" w:color="auto" w:fill="FFFFFF"/>
        </w:rPr>
        <w:t>　按照法律、行政法规规定需要进行专项审计的，应当将企业提供的与经济行为相对应的评估基准日专项审计报告（含会计报表和附注）作为资产评估报告附件。按有关规定无需进行专项审计的，应当将企业确认的与经济行为相对应的评估基准日企业财务报表作为资产评估报告附件。</w:t>
      </w:r>
    </w:p>
    <w:p w14:paraId="74226B5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如果引用其他机构出具的报告结论，根据现行有关规定，所引用的报告应当经相应主管部门批准（备案）的，应当将相应主管部门的相关批准（备案）文件作为资产评估报告的附件。</w:t>
      </w:r>
    </w:p>
    <w:p w14:paraId="119AE2F3">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第五章　评估明细表</w:t>
      </w:r>
    </w:p>
    <w:p w14:paraId="36B721AB">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第三十条</w:t>
      </w:r>
      <w:r>
        <w:rPr>
          <w:rFonts w:hint="eastAsia" w:ascii="宋体" w:hAnsi="宋体" w:eastAsia="宋体" w:cs="宋体"/>
          <w:color w:val="000000"/>
          <w:kern w:val="0"/>
          <w:sz w:val="24"/>
          <w:shd w:val="clear" w:color="auto" w:fill="FFFFFF"/>
        </w:rPr>
        <w:t>　评估明细表可以根据本指南的基本要求和企业会计核算所设置的会计科目，结合评估方法特点进行编制。</w:t>
      </w:r>
    </w:p>
    <w:p w14:paraId="52462CE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（一）单项资产或者资产组合评估、采用资产基础法进行企业价值评估，评估明细表包括按会计科目设置的资产、负债评估明细表和各级汇总表；</w:t>
      </w:r>
    </w:p>
    <w:p w14:paraId="4C72A61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（二）采用收益法进行企业价值评估，可以根据收益法评估参数和盈利预测项目的构成等具体情况设计评估明细表的格式和内容；</w:t>
      </w:r>
    </w:p>
    <w:p w14:paraId="3EC08A3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（三）采用市场法进行企业价值评估，可以根据评估技术说明的详略程度决定是否单独编制符合市场法特点的评估明细表。</w:t>
      </w:r>
    </w:p>
    <w:p w14:paraId="54527F1D">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第三十一条</w:t>
      </w:r>
      <w:r>
        <w:rPr>
          <w:rFonts w:hint="eastAsia" w:ascii="宋体" w:hAnsi="宋体" w:eastAsia="宋体" w:cs="宋体"/>
          <w:color w:val="000000"/>
          <w:kern w:val="0"/>
          <w:sz w:val="24"/>
          <w:shd w:val="clear" w:color="auto" w:fill="FFFFFF"/>
        </w:rPr>
        <w:t>　资产、负债会计科目的评估明细表格式和内容基本要求如下：</w:t>
      </w:r>
    </w:p>
    <w:p w14:paraId="0A5EC5D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（一）表头应当含有资产或负债类型（会计科目）名称、被评估单位、评估基准日、表号、金额单位、页码。</w:t>
      </w:r>
    </w:p>
    <w:p w14:paraId="4C44467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表中应当含有资产负债的名称（明细）、经营业务或者事项内容、技术参数、发生（购、建、创）日期、账面价值、评估价值、评估增减幅度等基本内容。必要时，在备注栏对技术参数或者经营业务、事项情况进行注释。</w:t>
      </w:r>
    </w:p>
    <w:p w14:paraId="64D13B7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（三）表尾应当标明被评估单位填表人员、填表日期和评估人员。</w:t>
      </w:r>
    </w:p>
    <w:p w14:paraId="7C43FA7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（四）评估明细表按会计明细科目、一级科目逐级汇总，并编制资产负债表（方式）的评估汇总表及以人民币万元为金额单位的评估结果汇总表。</w:t>
      </w:r>
    </w:p>
    <w:p w14:paraId="70CB60E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（五）会计计提的减值准备在相应会计科目（资产负债类型）合计项下和相关科目汇总表中列示。</w:t>
      </w:r>
    </w:p>
    <w:p w14:paraId="001AC4F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（六）评估结果汇总表应当按以下顺序和项目内容列示：流动资产、非流动资产、资产总计、流动负债、非流动负债、负债总计、净资产等类别和项目。</w:t>
      </w:r>
    </w:p>
    <w:p w14:paraId="3E1B8ECD">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第三十二条</w:t>
      </w:r>
      <w:r>
        <w:rPr>
          <w:rFonts w:hint="eastAsia" w:ascii="宋体" w:hAnsi="宋体" w:eastAsia="宋体" w:cs="宋体"/>
          <w:color w:val="000000"/>
          <w:kern w:val="0"/>
          <w:sz w:val="24"/>
          <w:shd w:val="clear" w:color="auto" w:fill="FFFFFF"/>
        </w:rPr>
        <w:t>　采用收益法中的现金流量折现法进行企业价值评估，评估明细表通常包括以下内容：</w:t>
      </w:r>
    </w:p>
    <w:p w14:paraId="3FDC3D9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（一）资产负债、利润调整表（如果有调整时）；</w:t>
      </w:r>
    </w:p>
    <w:p w14:paraId="6B9FB1B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（二）现金流量测算表；</w:t>
      </w:r>
    </w:p>
    <w:p w14:paraId="5CF8EC2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（三）营业收入预测表；</w:t>
      </w:r>
    </w:p>
    <w:p w14:paraId="2EDE4B8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（四）营业成本预测表；</w:t>
      </w:r>
    </w:p>
    <w:p w14:paraId="0926B55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（五）营业税金及附加预测表；</w:t>
      </w:r>
    </w:p>
    <w:p w14:paraId="3619B76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（六）销售费用预测表；</w:t>
      </w:r>
    </w:p>
    <w:p w14:paraId="393291D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（七）管理费用预测表；</w:t>
      </w:r>
    </w:p>
    <w:p w14:paraId="3897F25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（八）财务费用预测表；</w:t>
      </w:r>
    </w:p>
    <w:p w14:paraId="68B3EB4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（九）营运资金预测表；</w:t>
      </w:r>
    </w:p>
    <w:p w14:paraId="3711C5D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（十）折旧摊销预测表；</w:t>
      </w:r>
    </w:p>
    <w:p w14:paraId="76A41EC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（十一）资本性支出预测表；</w:t>
      </w:r>
    </w:p>
    <w:p w14:paraId="1750AB1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（十二）折现率计算表；</w:t>
      </w:r>
    </w:p>
    <w:p w14:paraId="6CCAE2D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（十三）溢余资产和非经营性资产分析表。</w:t>
      </w:r>
    </w:p>
    <w:p w14:paraId="3B43131D">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第三十三条</w:t>
      </w:r>
      <w:r>
        <w:rPr>
          <w:rFonts w:hint="eastAsia" w:ascii="宋体" w:hAnsi="宋体" w:eastAsia="宋体" w:cs="宋体"/>
          <w:color w:val="000000"/>
          <w:kern w:val="0"/>
          <w:sz w:val="24"/>
          <w:shd w:val="clear" w:color="auto" w:fill="FFFFFF"/>
        </w:rPr>
        <w:t>　收益法评估明细表表头应当含有评估参数或者预测项目名称、被评估单位、评估基准日、表号、金额单位等。</w:t>
      </w:r>
    </w:p>
    <w:p w14:paraId="2395850A">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第三十四条</w:t>
      </w:r>
      <w:r>
        <w:rPr>
          <w:rFonts w:hint="eastAsia" w:ascii="宋体" w:hAnsi="宋体" w:eastAsia="宋体" w:cs="宋体"/>
          <w:color w:val="000000"/>
          <w:kern w:val="0"/>
          <w:sz w:val="24"/>
          <w:shd w:val="clear" w:color="auto" w:fill="FFFFFF"/>
        </w:rPr>
        <w:t>　被评估单位为两家以上的，评估明细表应当按被评估单位分别归集，自成体系。</w:t>
      </w:r>
    </w:p>
    <w:p w14:paraId="51A570C5">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第六章　评估说明</w:t>
      </w:r>
    </w:p>
    <w:p w14:paraId="454903B8">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第三十五条</w:t>
      </w:r>
      <w:r>
        <w:rPr>
          <w:rFonts w:hint="eastAsia" w:ascii="宋体" w:hAnsi="宋体" w:eastAsia="宋体" w:cs="宋体"/>
          <w:color w:val="000000"/>
          <w:kern w:val="0"/>
          <w:sz w:val="24"/>
          <w:shd w:val="clear" w:color="auto" w:fill="FFFFFF"/>
        </w:rPr>
        <w:t>　评估说明包括评估说明使用范围声明、委托人和被评估单位编写的《企业关于进行资产评估有关事项的说明》和资产评估师编写的《资产评估说明》。</w:t>
      </w:r>
    </w:p>
    <w:p w14:paraId="4DD1E154">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第三十六条</w:t>
      </w:r>
      <w:r>
        <w:rPr>
          <w:rFonts w:hint="eastAsia" w:ascii="宋体" w:hAnsi="宋体" w:eastAsia="宋体" w:cs="宋体"/>
          <w:color w:val="000000"/>
          <w:kern w:val="0"/>
          <w:sz w:val="24"/>
          <w:shd w:val="clear" w:color="auto" w:fill="FFFFFF"/>
        </w:rPr>
        <w:t>　关于评估说明使用范围的声明，应当写明评估说明使用单位或部门的范围及限制条款。</w:t>
      </w:r>
    </w:p>
    <w:p w14:paraId="6F2CE465">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第三十七条</w:t>
      </w:r>
      <w:r>
        <w:rPr>
          <w:rFonts w:hint="eastAsia" w:ascii="宋体" w:hAnsi="宋体" w:eastAsia="宋体" w:cs="宋体"/>
          <w:color w:val="000000"/>
          <w:kern w:val="0"/>
          <w:sz w:val="24"/>
          <w:shd w:val="clear" w:color="auto" w:fill="FFFFFF"/>
        </w:rPr>
        <w:t>　委托人和被评估单位可以共同编写或者分别编写《企业关于进行资产评估有关事项的说明》。委托人单位负责人和被评估单位负责人应当对所编写的说明签名，加盖相应单位公章并签署日期。</w:t>
      </w:r>
    </w:p>
    <w:p w14:paraId="159D104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《企业关于进行资产评估有关事项的说明》包括以下内容：</w:t>
      </w:r>
    </w:p>
    <w:p w14:paraId="061F5E4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（一）委托人、被评估单位各自概况；</w:t>
      </w:r>
    </w:p>
    <w:p w14:paraId="694ADBD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（二）关于经济行为的说明；</w:t>
      </w:r>
    </w:p>
    <w:p w14:paraId="57EB3D5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（三）关于评估对象与评估范围的说明；</w:t>
      </w:r>
    </w:p>
    <w:p w14:paraId="6EF5144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（四）关于评估基准日的说明；</w:t>
      </w:r>
    </w:p>
    <w:p w14:paraId="545B912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（五）可能影响评估工作的重大事项说明；</w:t>
      </w:r>
    </w:p>
    <w:p w14:paraId="4C8996A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（六）资产负债情况、未来经营和收益状况预测说明；</w:t>
      </w:r>
    </w:p>
    <w:p w14:paraId="4748272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（七）资料清单。</w:t>
      </w:r>
    </w:p>
    <w:p w14:paraId="48755922">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第三十八条</w:t>
      </w:r>
      <w:r>
        <w:rPr>
          <w:rFonts w:hint="eastAsia" w:ascii="宋体" w:hAnsi="宋体" w:eastAsia="宋体" w:cs="宋体"/>
          <w:color w:val="000000"/>
          <w:kern w:val="0"/>
          <w:sz w:val="24"/>
          <w:shd w:val="clear" w:color="auto" w:fill="FFFFFF"/>
        </w:rPr>
        <w:t>　《资产评估说明》是对评估对象进行核实、评定估算的详细说明，应当包括以下内容：</w:t>
      </w:r>
    </w:p>
    <w:p w14:paraId="0F5301D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（一）评估对象与评估范围说明；</w:t>
      </w:r>
    </w:p>
    <w:p w14:paraId="0E036C5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（二）资产核实总体情况说明；</w:t>
      </w:r>
    </w:p>
    <w:p w14:paraId="3A42262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（三）评估技术说明；</w:t>
      </w:r>
    </w:p>
    <w:p w14:paraId="3C8DA98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（四）评估结论及分析。</w:t>
      </w:r>
    </w:p>
    <w:p w14:paraId="1D513AEE">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第三十九条</w:t>
      </w:r>
      <w:r>
        <w:rPr>
          <w:rFonts w:hint="eastAsia" w:ascii="宋体" w:hAnsi="宋体" w:eastAsia="宋体" w:cs="宋体"/>
          <w:color w:val="000000"/>
          <w:kern w:val="0"/>
          <w:sz w:val="24"/>
          <w:shd w:val="clear" w:color="auto" w:fill="FFFFFF"/>
        </w:rPr>
        <w:t>　评估对象与评估范围说明应当根据企业价值评估、单项资产或者资产组合评估的不同情况确定内容的详略程度。</w:t>
      </w:r>
    </w:p>
    <w:p w14:paraId="69C7E383">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第四十条</w:t>
      </w:r>
      <w:r>
        <w:rPr>
          <w:rFonts w:hint="eastAsia" w:ascii="宋体" w:hAnsi="宋体" w:eastAsia="宋体" w:cs="宋体"/>
          <w:color w:val="000000"/>
          <w:kern w:val="0"/>
          <w:sz w:val="24"/>
          <w:shd w:val="clear" w:color="auto" w:fill="FFFFFF"/>
        </w:rPr>
        <w:t>　资产核实总体情况说明通常包括人员组织、实施时间、核实过程、影响事项及处理方法、核实结论。</w:t>
      </w:r>
    </w:p>
    <w:p w14:paraId="6F35446E">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第四十一条</w:t>
      </w:r>
      <w:r>
        <w:rPr>
          <w:rFonts w:hint="eastAsia" w:ascii="宋体" w:hAnsi="宋体" w:eastAsia="宋体" w:cs="宋体"/>
          <w:color w:val="000000"/>
          <w:kern w:val="0"/>
          <w:sz w:val="24"/>
          <w:shd w:val="clear" w:color="auto" w:fill="FFFFFF"/>
        </w:rPr>
        <w:t>　评估技术说明应当考虑不同经济行为和不同评估方法的特点介绍评定估算的思路及过程。</w:t>
      </w:r>
    </w:p>
    <w:p w14:paraId="366E31A7">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第四十二条</w:t>
      </w:r>
      <w:r>
        <w:rPr>
          <w:rFonts w:hint="eastAsia" w:ascii="宋体" w:hAnsi="宋体" w:eastAsia="宋体" w:cs="宋体"/>
          <w:color w:val="000000"/>
          <w:kern w:val="0"/>
          <w:sz w:val="24"/>
          <w:shd w:val="clear" w:color="auto" w:fill="FFFFFF"/>
        </w:rPr>
        <w:t>　采用成本法评估单项资产或者资产组合、采用资产基础法评估企业价值，应当根据评估业务的具体情况以及资产负债类型编写评估技术说明。各项资产负债评估技术说明应当包含资产负债的内容和金额、核实方法、评估值确定的方法和结论等基本内容。</w:t>
      </w:r>
    </w:p>
    <w:p w14:paraId="4D0310AA">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第四十三条</w:t>
      </w:r>
      <w:r>
        <w:rPr>
          <w:rFonts w:hint="eastAsia" w:ascii="宋体" w:hAnsi="宋体" w:eastAsia="宋体" w:cs="宋体"/>
          <w:color w:val="000000"/>
          <w:kern w:val="0"/>
          <w:sz w:val="24"/>
          <w:shd w:val="clear" w:color="auto" w:fill="FFFFFF"/>
        </w:rPr>
        <w:t>　采用收益法或者市场法评估企业价值，评估技术说明通常包括以下内容：</w:t>
      </w:r>
    </w:p>
    <w:p w14:paraId="42407A7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（一）影响企业经营的宏观、区域经济因素；</w:t>
      </w:r>
    </w:p>
    <w:p w14:paraId="1F7A741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（二）所在行业现状与发展前景；</w:t>
      </w:r>
    </w:p>
    <w:p w14:paraId="64E841A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（三）企业的业务情况；</w:t>
      </w:r>
    </w:p>
    <w:p w14:paraId="3742D3B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（四）企业的资产、财务分析和调整情况；</w:t>
      </w:r>
    </w:p>
    <w:p w14:paraId="3FFF09A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（五）评估方法的运用过程。</w:t>
      </w:r>
    </w:p>
    <w:p w14:paraId="048E0311">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第四十四条</w:t>
      </w:r>
      <w:r>
        <w:rPr>
          <w:rFonts w:hint="eastAsia" w:ascii="宋体" w:hAnsi="宋体" w:eastAsia="宋体" w:cs="宋体"/>
          <w:color w:val="000000"/>
          <w:kern w:val="0"/>
          <w:sz w:val="24"/>
          <w:shd w:val="clear" w:color="auto" w:fill="FFFFFF"/>
        </w:rPr>
        <w:t>　采用收益法进行企业价值评估，应当根据行业特点、企业经营方式和所确定的预期收益口径以及评估的其他具体情况等编写评估技术说明。企业的资产、财务分析和调整情况以及评估方法运用过程说明通常包括以下内容：</w:t>
      </w:r>
    </w:p>
    <w:p w14:paraId="13F16F6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（一）收益法的应用前提及选择理由和依据；</w:t>
      </w:r>
    </w:p>
    <w:p w14:paraId="1B55163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（二）收益预测的假设条件；</w:t>
      </w:r>
    </w:p>
    <w:p w14:paraId="02F8371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（三）企业经营、资产、财务分析；</w:t>
      </w:r>
    </w:p>
    <w:p w14:paraId="69F895E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（四）收益模型选择理由及基本参数说明；</w:t>
      </w:r>
    </w:p>
    <w:p w14:paraId="6A29EC6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（五）收益期限及预测期的说明；</w:t>
      </w:r>
    </w:p>
    <w:p w14:paraId="7E6673B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（六）收益预测的说明；</w:t>
      </w:r>
    </w:p>
    <w:p w14:paraId="5290F11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（七）折现率的确定说明；</w:t>
      </w:r>
    </w:p>
    <w:p w14:paraId="61318C7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（八）预测期后价值确定说明；</w:t>
      </w:r>
    </w:p>
    <w:p w14:paraId="316F648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（九）其他资产和负债评估说明；</w:t>
      </w:r>
    </w:p>
    <w:p w14:paraId="59E6A5B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（十）评估价值。</w:t>
      </w:r>
    </w:p>
    <w:p w14:paraId="31B06694">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第四十五条</w:t>
      </w:r>
      <w:r>
        <w:rPr>
          <w:rFonts w:hint="eastAsia" w:ascii="宋体" w:hAnsi="宋体" w:eastAsia="宋体" w:cs="宋体"/>
          <w:color w:val="000000"/>
          <w:kern w:val="0"/>
          <w:sz w:val="24"/>
          <w:shd w:val="clear" w:color="auto" w:fill="FFFFFF"/>
        </w:rPr>
        <w:t>　采用市场法进行企业价值评估，应当根据行业特点、被评估单位实际情况以及上市公司比较法或者交易案例比较法的特点等编写评估技术说明。企业的资产、财务分析和调整情况以及评估方法运用过程说明通常包括以下内容：</w:t>
      </w:r>
    </w:p>
    <w:p w14:paraId="0CA4C72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（一）具体方法、应用前提及选择理由；</w:t>
      </w:r>
    </w:p>
    <w:p w14:paraId="1D9E87A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（二）企业经营、资产、财务分析；</w:t>
      </w:r>
    </w:p>
    <w:p w14:paraId="2E72B63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（三）分析选取确定可比企业或者交易案例的说明；</w:t>
      </w:r>
    </w:p>
    <w:p w14:paraId="2F8BF48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（四）价值比率的选择及因素修正说明；</w:t>
      </w:r>
    </w:p>
    <w:p w14:paraId="2DF82CE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（五）评估对象价值比率的测算说明；</w:t>
      </w:r>
    </w:p>
    <w:p w14:paraId="424D306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（六）评估价值。</w:t>
      </w:r>
    </w:p>
    <w:p w14:paraId="0E5022FA">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第四十六条</w:t>
      </w:r>
      <w:r>
        <w:rPr>
          <w:rFonts w:hint="eastAsia" w:ascii="宋体" w:hAnsi="宋体" w:eastAsia="宋体" w:cs="宋体"/>
          <w:color w:val="000000"/>
          <w:kern w:val="0"/>
          <w:sz w:val="24"/>
          <w:shd w:val="clear" w:color="auto" w:fill="FFFFFF"/>
        </w:rPr>
        <w:t>　评估结论及分析通常包括以下内容：</w:t>
      </w:r>
    </w:p>
    <w:p w14:paraId="2EC0F3F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（一）评估结论，采用两种或两种以上方法进行企业价值评估，应当说明不同评估方法结果的差异及其原因和最终确定评估结论的理由；</w:t>
      </w:r>
    </w:p>
    <w:p w14:paraId="60A8D10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（二）评估价值与账面价值比较变动情况及说明；</w:t>
      </w:r>
    </w:p>
    <w:p w14:paraId="19ADA62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（三）折价或者溢价情况（如有）。</w:t>
      </w:r>
    </w:p>
    <w:p w14:paraId="004AF03B">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第七章　出具与装订</w:t>
      </w:r>
    </w:p>
    <w:p w14:paraId="1D54D908">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第四十七条</w:t>
      </w:r>
      <w:r>
        <w:rPr>
          <w:rFonts w:hint="eastAsia" w:ascii="宋体" w:hAnsi="宋体" w:eastAsia="宋体" w:cs="宋体"/>
          <w:color w:val="000000"/>
          <w:kern w:val="0"/>
          <w:sz w:val="24"/>
          <w:shd w:val="clear" w:color="auto" w:fill="FFFFFF"/>
        </w:rPr>
        <w:t>　资产评估报告应当使用中文撰写。需要同时出具外文资产评估报告的，以中文资产评估报告为准。</w:t>
      </w:r>
    </w:p>
    <w:p w14:paraId="0420289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评估结论一般以人民币为计量币种，使用其他币种表示的，应当注明该币种与人民币在评估基准日的汇率。</w:t>
      </w:r>
    </w:p>
    <w:p w14:paraId="07BE0AD0">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第四十八条</w:t>
      </w:r>
      <w:r>
        <w:rPr>
          <w:rFonts w:hint="eastAsia" w:ascii="宋体" w:hAnsi="宋体" w:eastAsia="宋体" w:cs="宋体"/>
          <w:color w:val="000000"/>
          <w:kern w:val="0"/>
          <w:sz w:val="24"/>
          <w:shd w:val="clear" w:color="auto" w:fill="FFFFFF"/>
        </w:rPr>
        <w:t>　资产评估报告封面应当载明资产评估报告标题及文号、资产评估机构全称和资产评估报告日。</w:t>
      </w:r>
    </w:p>
    <w:p w14:paraId="6C19A0E3">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第四十九条</w:t>
      </w:r>
      <w:r>
        <w:rPr>
          <w:rFonts w:hint="eastAsia" w:ascii="宋体" w:hAnsi="宋体" w:eastAsia="宋体" w:cs="宋体"/>
          <w:color w:val="000000"/>
          <w:kern w:val="0"/>
          <w:sz w:val="24"/>
          <w:shd w:val="clear" w:color="auto" w:fill="FFFFFF"/>
        </w:rPr>
        <w:t>　资产评估报告标题及文号一般在封面上方居中位置，资产评估机构名称及资产评估报告日应当在封面下方居中位置。资产评估报告应当用A4规格纸张印刷。</w:t>
      </w:r>
    </w:p>
    <w:p w14:paraId="2A7A3C11">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第五十条</w:t>
      </w:r>
      <w:r>
        <w:rPr>
          <w:rFonts w:hint="eastAsia" w:ascii="宋体" w:hAnsi="宋体" w:eastAsia="宋体" w:cs="宋体"/>
          <w:color w:val="000000"/>
          <w:kern w:val="0"/>
          <w:sz w:val="24"/>
          <w:shd w:val="clear" w:color="auto" w:fill="FFFFFF"/>
        </w:rPr>
        <w:t>　资产评估报告一般分册装订，各册应当具有独立的目录。</w:t>
      </w:r>
    </w:p>
    <w:p w14:paraId="667D015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声明、摘要、正文和附件合订成册，其目录中应当含有其他册的目录，但其他册目录的页码不予标注。评估说明和评估明细表一般分别独立成册。必要时附件可以独立成册。</w:t>
      </w:r>
    </w:p>
    <w:p w14:paraId="66C96C1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单独成册的，其封面格式、标题中的“企业名称+经济行为关键词+评估对象”及文号等应当与资产评估报告相关格式和内容保持一致。</w:t>
      </w:r>
    </w:p>
    <w:p w14:paraId="4846A5F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评估明细表一般按会计科目顺序装订。</w:t>
      </w:r>
    </w:p>
    <w:p w14:paraId="5863630B">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第五十一条</w:t>
      </w:r>
      <w:r>
        <w:rPr>
          <w:rFonts w:hint="eastAsia" w:ascii="宋体" w:hAnsi="宋体" w:eastAsia="宋体" w:cs="宋体"/>
          <w:color w:val="000000"/>
          <w:kern w:val="0"/>
          <w:sz w:val="24"/>
          <w:shd w:val="clear" w:color="auto" w:fill="FFFFFF"/>
        </w:rPr>
        <w:t>　资产评估报告封底或者其他适当位置应当标注资产评估机构名称、地址、邮政编码、联系电话、传真、电子邮箱等。</w:t>
      </w:r>
    </w:p>
    <w:p w14:paraId="7B0F3ED3">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第八章　附则</w:t>
      </w:r>
    </w:p>
    <w:p w14:paraId="6B204F26">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第五十二条</w:t>
      </w:r>
      <w:r>
        <w:rPr>
          <w:rFonts w:hint="eastAsia" w:ascii="宋体" w:hAnsi="宋体" w:eastAsia="宋体" w:cs="宋体"/>
          <w:color w:val="000000"/>
          <w:kern w:val="0"/>
          <w:sz w:val="24"/>
          <w:shd w:val="clear" w:color="auto" w:fill="FFFFFF"/>
        </w:rPr>
        <w:t>　本指南自2017年10月1日起施行。中国资产评估协会于2011年12月30日发布的《关于修改评估报告等准则中有关签章条款的通知》（中评协〔2011〕230号）中的《企业国有资产评估报告指南》同时废止。</w:t>
      </w:r>
    </w:p>
    <w:p w14:paraId="332395A3">
      <w:pPr>
        <w:shd w:val="clear" w:color="auto" w:fill="FFFFFF"/>
        <w:spacing w:line="440" w:lineRule="atLeast"/>
        <w:ind w:firstLine="480" w:firstLineChars="200"/>
        <w:rPr>
          <w:rFonts w:ascii="宋体" w:hAnsi="宋体" w:eastAsia="宋体" w:cs="宋体"/>
          <w:color w:val="000000"/>
          <w:kern w:val="0"/>
          <w:sz w:val="24"/>
          <w:shd w:val="clear" w:color="auto" w:fill="FFFFFF"/>
        </w:rPr>
      </w:pPr>
    </w:p>
    <w:p w14:paraId="4B4DEE1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附1：“声明”编写指引（供参考）</w:t>
      </w:r>
    </w:p>
    <w:p w14:paraId="40D810E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附2：“资产评估师承诺函”编写指引（供参考）</w:t>
      </w:r>
    </w:p>
    <w:p w14:paraId="146F116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附3：《企业关于进行资产评估有关事项的说明》编写指引（供参考）</w:t>
      </w:r>
    </w:p>
    <w:p w14:paraId="06BF4FC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附4：《资产评估说明》编写指引（供参考）</w:t>
      </w:r>
    </w:p>
    <w:p w14:paraId="1437A8E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br w:type="page"/>
      </w:r>
      <w:r>
        <w:rPr>
          <w:rFonts w:hint="eastAsia" w:ascii="宋体" w:hAnsi="宋体" w:eastAsia="宋体" w:cs="宋体"/>
          <w:color w:val="000000"/>
          <w:kern w:val="0"/>
          <w:sz w:val="24"/>
          <w:shd w:val="clear" w:color="auto" w:fill="FFFFFF"/>
        </w:rPr>
        <w:t>附1：</w:t>
      </w:r>
    </w:p>
    <w:p w14:paraId="1EF8082F">
      <w:pPr>
        <w:shd w:val="clear" w:color="auto" w:fill="FFFFFF"/>
        <w:spacing w:line="440" w:lineRule="atLeast"/>
        <w:jc w:val="center"/>
        <w:rPr>
          <w:rFonts w:ascii="宋体" w:hAnsi="宋体" w:eastAsia="宋体" w:cs="宋体"/>
          <w:b/>
          <w:bCs/>
          <w:color w:val="000000"/>
          <w:kern w:val="0"/>
          <w:sz w:val="32"/>
          <w:szCs w:val="32"/>
          <w:shd w:val="clear" w:color="auto" w:fill="FFFFFF"/>
        </w:rPr>
      </w:pPr>
      <w:r>
        <w:rPr>
          <w:rFonts w:hint="eastAsia" w:ascii="宋体" w:hAnsi="宋体" w:eastAsia="宋体" w:cs="宋体"/>
          <w:b/>
          <w:bCs/>
          <w:color w:val="000000"/>
          <w:kern w:val="0"/>
          <w:sz w:val="32"/>
          <w:szCs w:val="32"/>
          <w:shd w:val="clear" w:color="auto" w:fill="FFFFFF"/>
        </w:rPr>
        <w:t>“声明”编写指引</w:t>
      </w:r>
    </w:p>
    <w:p w14:paraId="7A6AC139">
      <w:pPr>
        <w:shd w:val="clear" w:color="auto" w:fill="FFFFFF"/>
        <w:spacing w:line="440" w:lineRule="atLeast"/>
        <w:ind w:firstLine="480" w:firstLineChars="200"/>
        <w:jc w:val="center"/>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（供参考）</w:t>
      </w:r>
    </w:p>
    <w:p w14:paraId="1858E45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一、本资产评估报告依据财政部发布的资产评估基本准则和中国资产评估协会发布的资产评估执业准则和职业道德准则编制。</w:t>
      </w:r>
    </w:p>
    <w:p w14:paraId="1F0134C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委托人或者其他资产评估报告使用人应当按照法律、行政法规规定及本资产评估报告载明的使用范围使用资产评估报告；委托人或者其他资产评估报告使用人违反前述规定使用资产评估报告的，本资产评估机构及资产评估师不承担责任。</w:t>
      </w:r>
    </w:p>
    <w:p w14:paraId="3B021D8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本资产评估报告仅供委托人、资产评估委托合同中约定的其他资产评估报告使用人和法律、行政法规规定的资产评估报告使用人使用；除此之外，其他任何机构和个人不能成为资产评估报告的使用人。</w:t>
      </w:r>
    </w:p>
    <w:p w14:paraId="44FA0D3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本资产评估机构及资产评估师提示资产评估报告使用人应当正确理解评估结论，评估结论不等同于评估对象可实现价格，评估结论不应当被认为是对评估对象可实现价格的保证。</w:t>
      </w:r>
    </w:p>
    <w:p w14:paraId="4C4C7C0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三、本资产评估机构及资产评估师遵守法律、行政法规和资产评估准则，坚持独立、客观和公正的原则，并对所出具的资产评估报告依法承担责任。</w:t>
      </w:r>
    </w:p>
    <w:p w14:paraId="03381B7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四、评估对象涉及的资产、负债清单由委托人、被评估单位申报并经其采用签名、盖章或法律允许的其他方式确认；委托人和其他相关当事人依法对其提供资料的真实性、完整性、合法性负责。</w:t>
      </w:r>
    </w:p>
    <w:p w14:paraId="348D4DA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五、本资产评估机构及资产评估师与资产评估报告中的评估对象没有现存或者预期的利益关系；与相关当事人没有现存或者预期的利益关系，对相关当事人不存在偏见。</w:t>
      </w:r>
    </w:p>
    <w:p w14:paraId="6DFEF29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六、资产评估师已经（或者未）对资产评估报告中的评估对象及其所涉及资产进行现场调查；已经对评估对象及其所涉及资产的法律权属状况给予必要的关注，对评估对象及其所涉及资产的法律权属资料进行了查验，对已经发现的问题进行了如实披露，并且已提请委托人及其他相关当事人完善产权以满足出具资产评估报告的要求。</w:t>
      </w:r>
    </w:p>
    <w:p w14:paraId="1B39732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七、本资产评估机构出具的资产评估报告中的分析、判断和结果受资产评估报告中假设和限制条件的限制，资产评估报告使用人应当充分考虑资产评估报告中载明的假设、限制条件、特别事项说明及其对评估结论的影响。</w:t>
      </w:r>
    </w:p>
    <w:p w14:paraId="06C5326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br w:type="page"/>
      </w:r>
      <w:r>
        <w:rPr>
          <w:rFonts w:hint="eastAsia" w:ascii="宋体" w:hAnsi="宋体" w:eastAsia="宋体" w:cs="宋体"/>
          <w:color w:val="000000"/>
          <w:kern w:val="0"/>
          <w:sz w:val="24"/>
          <w:shd w:val="clear" w:color="auto" w:fill="FFFFFF"/>
        </w:rPr>
        <w:t>附2：</w:t>
      </w:r>
    </w:p>
    <w:p w14:paraId="2CA6CFC2">
      <w:pPr>
        <w:shd w:val="clear" w:color="auto" w:fill="FFFFFF"/>
        <w:spacing w:line="440" w:lineRule="atLeast"/>
        <w:jc w:val="center"/>
        <w:rPr>
          <w:rFonts w:ascii="宋体" w:hAnsi="宋体" w:eastAsia="宋体" w:cs="宋体"/>
          <w:b/>
          <w:bCs/>
          <w:color w:val="000000"/>
          <w:kern w:val="0"/>
          <w:sz w:val="32"/>
          <w:szCs w:val="32"/>
          <w:shd w:val="clear" w:color="auto" w:fill="FFFFFF"/>
        </w:rPr>
      </w:pPr>
      <w:r>
        <w:rPr>
          <w:rFonts w:hint="eastAsia" w:ascii="宋体" w:hAnsi="宋体" w:eastAsia="宋体" w:cs="宋体"/>
          <w:b/>
          <w:bCs/>
          <w:color w:val="000000"/>
          <w:kern w:val="0"/>
          <w:sz w:val="32"/>
          <w:szCs w:val="32"/>
          <w:shd w:val="clear" w:color="auto" w:fill="FFFFFF"/>
        </w:rPr>
        <w:t>“资产评估师承诺函”编写指引</w:t>
      </w:r>
    </w:p>
    <w:p w14:paraId="74B5F862">
      <w:pPr>
        <w:shd w:val="clear" w:color="auto" w:fill="FFFFFF"/>
        <w:spacing w:line="440" w:lineRule="atLeast"/>
        <w:ind w:firstLine="480" w:firstLineChars="200"/>
        <w:jc w:val="center"/>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（供参考）</w:t>
      </w:r>
    </w:p>
    <w:p w14:paraId="6D75BFC4">
      <w:pPr>
        <w:shd w:val="clear" w:color="auto" w:fill="FFFFFF"/>
        <w:spacing w:line="440" w:lineRule="atLeast"/>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×××公司（单位）：</w:t>
      </w:r>
    </w:p>
    <w:p w14:paraId="14A78BA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受你单位的委托，我们对你单位拟实施×××行为（事宜）所涉及的×××（资产——单项资产或者资产组合、企业整体价值、股东全部权益、股东部分权益），以××××年××月××日为基准日进行了评估，形成了资产评估报告。在本报告中披露的假设条件成立的前提下，我们承诺如下：</w:t>
      </w:r>
    </w:p>
    <w:p w14:paraId="6C7C379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一、具备相应的职业资格。</w:t>
      </w:r>
    </w:p>
    <w:p w14:paraId="74C6111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二、评估对象和评估范围与资产评估委托合同的约定一致。</w:t>
      </w:r>
    </w:p>
    <w:p w14:paraId="683B7E7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三、对评估对象及其所涉及的资产进行了必要的核实。</w:t>
      </w:r>
    </w:p>
    <w:p w14:paraId="1B1E318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四、根据资产评估准则选用了评估方法。</w:t>
      </w:r>
    </w:p>
    <w:p w14:paraId="2BFA040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五、充分考虑了影响评估价值的因素。</w:t>
      </w:r>
    </w:p>
    <w:p w14:paraId="032C2CD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六、评估结论合理。</w:t>
      </w:r>
    </w:p>
    <w:p w14:paraId="539B6C4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七、评估工作未受到非法干预并独立进行。</w:t>
      </w:r>
    </w:p>
    <w:p w14:paraId="1F575C36">
      <w:pPr>
        <w:shd w:val="clear" w:color="auto" w:fill="FFFFFF"/>
        <w:spacing w:line="440" w:lineRule="atLeast"/>
        <w:ind w:firstLine="480" w:firstLineChars="200"/>
        <w:rPr>
          <w:rFonts w:ascii="宋体" w:hAnsi="宋体" w:eastAsia="宋体" w:cs="宋体"/>
          <w:color w:val="000000"/>
          <w:kern w:val="0"/>
          <w:sz w:val="24"/>
          <w:shd w:val="clear" w:color="auto" w:fill="FFFFFF"/>
        </w:rPr>
      </w:pPr>
    </w:p>
    <w:p w14:paraId="33210C20">
      <w:pPr>
        <w:shd w:val="clear" w:color="auto" w:fill="FFFFFF"/>
        <w:spacing w:line="440" w:lineRule="atLeast"/>
        <w:ind w:firstLine="480" w:firstLineChars="200"/>
        <w:jc w:val="right"/>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资产评估师签名          ：</w:t>
      </w:r>
    </w:p>
    <w:p w14:paraId="7C9A9A47">
      <w:pPr>
        <w:shd w:val="clear" w:color="auto" w:fill="FFFFFF"/>
        <w:spacing w:line="440" w:lineRule="atLeast"/>
        <w:ind w:firstLine="480" w:firstLineChars="200"/>
        <w:jc w:val="right"/>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年　　月　　日</w:t>
      </w:r>
    </w:p>
    <w:p w14:paraId="4266337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br w:type="page"/>
      </w:r>
    </w:p>
    <w:p w14:paraId="2DA18D0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附3：</w:t>
      </w:r>
    </w:p>
    <w:p w14:paraId="0CD426E0">
      <w:pPr>
        <w:shd w:val="clear" w:color="auto" w:fill="FFFFFF"/>
        <w:spacing w:line="440" w:lineRule="atLeast"/>
        <w:jc w:val="center"/>
        <w:rPr>
          <w:rFonts w:ascii="宋体" w:hAnsi="宋体" w:eastAsia="宋体" w:cs="宋体"/>
          <w:b/>
          <w:bCs/>
          <w:color w:val="000000"/>
          <w:kern w:val="0"/>
          <w:sz w:val="32"/>
          <w:szCs w:val="32"/>
          <w:shd w:val="clear" w:color="auto" w:fill="FFFFFF"/>
        </w:rPr>
      </w:pPr>
      <w:r>
        <w:rPr>
          <w:rFonts w:hint="eastAsia" w:ascii="宋体" w:hAnsi="宋体" w:eastAsia="宋体" w:cs="宋体"/>
          <w:b/>
          <w:bCs/>
          <w:color w:val="000000"/>
          <w:kern w:val="0"/>
          <w:sz w:val="32"/>
          <w:szCs w:val="32"/>
          <w:shd w:val="clear" w:color="auto" w:fill="FFFFFF"/>
        </w:rPr>
        <w:t>《企业关于进行资产评估有关事项的说明》编写指引</w:t>
      </w:r>
    </w:p>
    <w:p w14:paraId="453CB23E">
      <w:pPr>
        <w:shd w:val="clear" w:color="auto" w:fill="FFFFFF"/>
        <w:spacing w:line="440" w:lineRule="atLeast"/>
        <w:ind w:firstLine="480" w:firstLineChars="200"/>
        <w:jc w:val="center"/>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（供参考）</w:t>
      </w:r>
    </w:p>
    <w:p w14:paraId="39DD6D7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一、委托人、被评估单位概况</w:t>
      </w:r>
    </w:p>
    <w:p w14:paraId="142AA74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（一）委托人概况</w:t>
      </w:r>
    </w:p>
    <w:p w14:paraId="1A3B44A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1．企业名称及简称、住所、注册资本、法定代表人。</w:t>
      </w:r>
    </w:p>
    <w:p w14:paraId="0DD5A1F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2．企业性质、企业历史沿革（包括隶属关系的演变）。</w:t>
      </w:r>
    </w:p>
    <w:p w14:paraId="42D9C30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3．经营业务范围及主要经营业绩。</w:t>
      </w:r>
    </w:p>
    <w:p w14:paraId="15AAF38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（二）被评估单位概况</w:t>
      </w:r>
    </w:p>
    <w:p w14:paraId="797DF6D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1．企业名称及简称、住所、注册资本、法定代表人。</w:t>
      </w:r>
    </w:p>
    <w:p w14:paraId="65CFF74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2．企业性质、企业历史沿革（包括隶属关系的演变）。</w:t>
      </w:r>
    </w:p>
    <w:p w14:paraId="7F51C0C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3．经营业务范围及主要经营业绩。</w:t>
      </w:r>
    </w:p>
    <w:p w14:paraId="1145778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4．近三年来企业的资产、财务、负债状况和经营业绩，已经审计的应当说明注册会计师发表的意见，以往不良资产处置情况。</w:t>
      </w:r>
    </w:p>
    <w:p w14:paraId="278E536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5．主要产品品种、生产能力，近年实际生产量、销售量，主要市场及其市场占有率，本企业产品在同类产品市场的地位，主要原材料、能源供应情况，环境污染及治理情况。</w:t>
      </w:r>
    </w:p>
    <w:p w14:paraId="59902C4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6．形成企业主要生产能力的状况，正在或者计划进行的投资项目简况，企业的主要资产状况。</w:t>
      </w:r>
    </w:p>
    <w:p w14:paraId="05C0F61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7．执行的主要会计政策，生产经营是否存在国家政策、法规的限制或者优惠，生产经营的优势分析和各种因素风险。</w:t>
      </w:r>
    </w:p>
    <w:p w14:paraId="55974C5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（三）委托人与被评估单位的关系</w:t>
      </w:r>
    </w:p>
    <w:p w14:paraId="2BE6FD7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1．委托人与被评估单位的关系一般包括产权关系、行政隶属关系、交易关系等。</w:t>
      </w:r>
    </w:p>
    <w:p w14:paraId="65DE61F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2．存在两家以上被评估单位，应当分别予以介绍。</w:t>
      </w:r>
    </w:p>
    <w:p w14:paraId="55318E2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3．委托人与被评估单位为同一企业，按被评估单位要求的内容与格式编写。</w:t>
      </w:r>
    </w:p>
    <w:p w14:paraId="0DDE502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4．存在交叉持股的，还应当列示交叉持股图并简述交叉持股关系以及是否属于同一控制的情形。</w:t>
      </w:r>
    </w:p>
    <w:p w14:paraId="7CD4AA7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5．存在关联交易的，应当说明关联方、交易方式等基本情况。</w:t>
      </w:r>
    </w:p>
    <w:p w14:paraId="21F32F8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二、关于经济行为的说明</w:t>
      </w:r>
    </w:p>
    <w:p w14:paraId="26A6307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（一）说明本次资产评估满足何种需要、所对应的经济行为类型及其经济行为获得批准的相关情况，或者其他经济行为依据。</w:t>
      </w:r>
    </w:p>
    <w:p w14:paraId="15F167E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（二）获得有关部门批准的，应当载明批件名称、批准日期及文号。</w:t>
      </w:r>
    </w:p>
    <w:p w14:paraId="72680D9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三、关于评估对象与评估范围的说明</w:t>
      </w:r>
    </w:p>
    <w:p w14:paraId="1C5C310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（一）说明委托评估对象，评估范围内资产和负债的类型、账面金额以及审计情况。</w:t>
      </w:r>
    </w:p>
    <w:p w14:paraId="09022EA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（二）对于经营租入资产、特许使用的资产、以及没有会计记录的无形资产应当特别说明是否纳入评估范围及其理由。</w:t>
      </w:r>
    </w:p>
    <w:p w14:paraId="71F725C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（三）如果在评估目的实现前有不同的产权持有单位，应当列表载明各产权持有单位待评估资产的类型、账面金额等。</w:t>
      </w:r>
    </w:p>
    <w:p w14:paraId="6DC9657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（四）账面资产是否根据以往资产评估结论进行了调账。</w:t>
      </w:r>
    </w:p>
    <w:p w14:paraId="012258F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（五）本次评估前是否存在不良资产核销或者资产剥离行为等。</w:t>
      </w:r>
    </w:p>
    <w:p w14:paraId="5F9D50B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四、关于评估基准日的说明</w:t>
      </w:r>
    </w:p>
    <w:p w14:paraId="40E8D60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（一）说明所确定的评估基准日，评估基准日表述为：××××年××月××日。</w:t>
      </w:r>
    </w:p>
    <w:p w14:paraId="4FEF11B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（二）说明确定评估基准日的理由，如果评估基准日受特定经济行为文件的约束，应当载明该文件的名称、批准日期及文号。</w:t>
      </w:r>
    </w:p>
    <w:p w14:paraId="37B9A72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五、可能影响评估工作的重大事项的说明</w:t>
      </w:r>
    </w:p>
    <w:p w14:paraId="643A8ED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一般包括下列内容：</w:t>
      </w:r>
    </w:p>
    <w:p w14:paraId="2F092BB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（一）曾经进行过清产核资或者资产评估的情况，调账情况。</w:t>
      </w:r>
    </w:p>
    <w:p w14:paraId="6249CCF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（二）影响生产经营活动和财务状况的重大合同、重大诉讼事项。</w:t>
      </w:r>
    </w:p>
    <w:p w14:paraId="4FE312F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（三）抵（质）押及其或有负债、或有资产的性质、金额及其对应资产负债情况。</w:t>
      </w:r>
    </w:p>
    <w:p w14:paraId="4FE9FEC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（四）账面未记录的资产负债的类型及其估计金额。</w:t>
      </w:r>
    </w:p>
    <w:p w14:paraId="7DD15CA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六、资产负债清查情况、未来经营和收益状况预测的说明</w:t>
      </w:r>
    </w:p>
    <w:p w14:paraId="4497241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（一）资产负债清查情况说明</w:t>
      </w:r>
    </w:p>
    <w:p w14:paraId="27ABD9E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一般包括下列内容：</w:t>
      </w:r>
    </w:p>
    <w:p w14:paraId="0BC2411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1．列入清查范围的资产负债的种类、账面金额，产权状况，实物资产分布地点及特点。</w:t>
      </w:r>
    </w:p>
    <w:p w14:paraId="6B7E83E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2．清查工作的组织如时间计划、实施方案。</w:t>
      </w:r>
    </w:p>
    <w:p w14:paraId="4EB1837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3．清查所采取的措施，待处理、待报废固定资产，高、精、尖设备和特殊建筑物以及毁损、变质存货检测或者鉴定的情况。</w:t>
      </w:r>
    </w:p>
    <w:p w14:paraId="5D09FE7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4．清查中发现的盘盈、盘亏、毁损、变质、报废存货的数量和金额的确定情况、呆坏账损失及无需偿付负债的判断及原因分析。</w:t>
      </w:r>
    </w:p>
    <w:p w14:paraId="5BACE1C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（二）未来经营和收益状况预测说明</w:t>
      </w:r>
    </w:p>
    <w:p w14:paraId="0F4A14C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一般包括下列内容：</w:t>
      </w:r>
    </w:p>
    <w:p w14:paraId="2844245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1．所在行业相关经济要素及发展前景、生产经营历史情况、面临的竞争情况及优劣势分析。</w:t>
      </w:r>
    </w:p>
    <w:p w14:paraId="3FCC0BA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2．内部管理制度、人力资源、核心技术、研发状况、无形资产、管理层构成等经营管理状况。</w:t>
      </w:r>
    </w:p>
    <w:p w14:paraId="3877A33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3．近年企业资产、负债、权益、盈利、利润分配、现金流量等资产财务状况。</w:t>
      </w:r>
    </w:p>
    <w:p w14:paraId="43914FF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4．未来主营收入、成本、费用等的预测过程和结果。</w:t>
      </w:r>
    </w:p>
    <w:p w14:paraId="45B0189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5．如果企业存在关联交易，应当说明关联交易性质及定价原则等。</w:t>
      </w:r>
    </w:p>
    <w:p w14:paraId="7AC91E5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七、资料清单</w:t>
      </w:r>
    </w:p>
    <w:p w14:paraId="3DD78EE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一般包括下列内容：</w:t>
      </w:r>
    </w:p>
    <w:p w14:paraId="45B1193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1．资产评估申报表（由资产评估机构出具样式）；</w:t>
      </w:r>
    </w:p>
    <w:p w14:paraId="35F9ABA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2．相关经济行为的批文；</w:t>
      </w:r>
    </w:p>
    <w:p w14:paraId="4161321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3．审计报告；</w:t>
      </w:r>
    </w:p>
    <w:p w14:paraId="3DBF76E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4．资产权属证明文件、产权证明文件；</w:t>
      </w:r>
    </w:p>
    <w:p w14:paraId="65E1570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5．重大合同、协议等；</w:t>
      </w:r>
    </w:p>
    <w:p w14:paraId="15D602E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6．生产经营统计资料；</w:t>
      </w:r>
    </w:p>
    <w:p w14:paraId="5C47716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7．其他资料。</w:t>
      </w:r>
    </w:p>
    <w:p w14:paraId="59CE61B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br w:type="page"/>
      </w:r>
      <w:r>
        <w:rPr>
          <w:rFonts w:hint="eastAsia" w:ascii="宋体" w:hAnsi="宋体" w:eastAsia="宋体" w:cs="宋体"/>
          <w:color w:val="000000"/>
          <w:kern w:val="0"/>
          <w:sz w:val="24"/>
          <w:shd w:val="clear" w:color="auto" w:fill="FFFFFF"/>
        </w:rPr>
        <w:t>附4：</w:t>
      </w:r>
    </w:p>
    <w:p w14:paraId="46F0979C">
      <w:pPr>
        <w:shd w:val="clear" w:color="auto" w:fill="FFFFFF"/>
        <w:spacing w:line="440" w:lineRule="atLeast"/>
        <w:jc w:val="center"/>
        <w:rPr>
          <w:rFonts w:ascii="宋体" w:hAnsi="宋体" w:eastAsia="宋体" w:cs="宋体"/>
          <w:b/>
          <w:bCs/>
          <w:color w:val="000000"/>
          <w:kern w:val="0"/>
          <w:sz w:val="32"/>
          <w:szCs w:val="32"/>
          <w:shd w:val="clear" w:color="auto" w:fill="FFFFFF"/>
        </w:rPr>
      </w:pPr>
      <w:r>
        <w:rPr>
          <w:rFonts w:hint="eastAsia" w:ascii="宋体" w:hAnsi="宋体" w:eastAsia="宋体" w:cs="宋体"/>
          <w:b/>
          <w:bCs/>
          <w:color w:val="000000"/>
          <w:kern w:val="0"/>
          <w:sz w:val="32"/>
          <w:szCs w:val="32"/>
          <w:shd w:val="clear" w:color="auto" w:fill="FFFFFF"/>
        </w:rPr>
        <w:t>《资产评估说明》编写指引</w:t>
      </w:r>
    </w:p>
    <w:p w14:paraId="74723748">
      <w:pPr>
        <w:shd w:val="clear" w:color="auto" w:fill="FFFFFF"/>
        <w:spacing w:line="440" w:lineRule="atLeast"/>
        <w:ind w:firstLine="480" w:firstLineChars="200"/>
        <w:jc w:val="center"/>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（供参考）</w:t>
      </w:r>
    </w:p>
    <w:p w14:paraId="1E20807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资产评估说明是申请备案核准资产评估业务的必备材料，为方便企业国有资产监督管理机构和相关机构全面了解资产评估情况，本指引结合国有资产评估业务备案核准的要求，为资产评估机构及其资产评估师编写资产评估说明提供指引。</w:t>
      </w:r>
    </w:p>
    <w:p w14:paraId="17F98ACE">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bCs/>
          <w:color w:val="000000"/>
          <w:kern w:val="0"/>
          <w:sz w:val="24"/>
          <w:shd w:val="clear" w:color="auto" w:fill="FFFFFF"/>
        </w:rPr>
        <w:t>第一部分　资产评估说明封面及目录</w:t>
      </w:r>
    </w:p>
    <w:p w14:paraId="3C7182C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一、封面</w:t>
      </w:r>
    </w:p>
    <w:p w14:paraId="6CF78A9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资产评估说明封面应当载明下列内容：</w:t>
      </w:r>
    </w:p>
    <w:p w14:paraId="09177EC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1．标题（一般采用“企业名称+经济行为关键词+评估对象+资产评估说明”的形式）；</w:t>
      </w:r>
    </w:p>
    <w:p w14:paraId="1CD3765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2．资产评估报告文号；</w:t>
      </w:r>
    </w:p>
    <w:p w14:paraId="2BA3D3E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3．资产评估机构名称；</w:t>
      </w:r>
    </w:p>
    <w:p w14:paraId="53E53D5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4．资产评估报告日。</w:t>
      </w:r>
    </w:p>
    <w:p w14:paraId="6536575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二、目录</w:t>
      </w:r>
    </w:p>
    <w:p w14:paraId="3668865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1．目录应当在封面的下一页排印，包括每一部分的标题和相应页码。</w:t>
      </w:r>
    </w:p>
    <w:p w14:paraId="480EC63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2．如果资产评估说明中收录有关文件或者资料的复印件，应当统一标注页码。</w:t>
      </w:r>
    </w:p>
    <w:p w14:paraId="3E6FB1A0">
      <w:pPr>
        <w:shd w:val="clear" w:color="auto" w:fill="FFFFFF"/>
        <w:spacing w:line="440" w:lineRule="atLeast"/>
        <w:ind w:firstLine="482" w:firstLineChars="200"/>
        <w:rPr>
          <w:rFonts w:ascii="宋体" w:hAnsi="宋体" w:eastAsia="宋体" w:cs="宋体"/>
          <w:b/>
          <w:bCs/>
          <w:color w:val="000000"/>
          <w:kern w:val="0"/>
          <w:sz w:val="24"/>
          <w:shd w:val="clear" w:color="auto" w:fill="FFFFFF"/>
        </w:rPr>
      </w:pPr>
      <w:r>
        <w:rPr>
          <w:rFonts w:hint="eastAsia" w:ascii="宋体" w:hAnsi="宋体" w:eastAsia="宋体" w:cs="宋体"/>
          <w:b/>
          <w:bCs/>
          <w:color w:val="000000"/>
          <w:kern w:val="0"/>
          <w:sz w:val="24"/>
          <w:shd w:val="clear" w:color="auto" w:fill="FFFFFF"/>
        </w:rPr>
        <w:t>第二部分　关于资产评估说明使用范围的声明</w:t>
      </w:r>
    </w:p>
    <w:p w14:paraId="44CCAAE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声明应当写明，资产评估说明供国有资产监督管理机构（含所出资企业）、相关监管机构和部门使用。除法律、行政法规规定外，材料的全部或者部分内容不得提供给其他任何单位和个人，不得见诸公开媒体。</w:t>
      </w:r>
    </w:p>
    <w:p w14:paraId="5B2DA369">
      <w:pPr>
        <w:shd w:val="clear" w:color="auto" w:fill="FFFFFF"/>
        <w:spacing w:line="440" w:lineRule="atLeast"/>
        <w:ind w:firstLine="482" w:firstLineChars="200"/>
        <w:rPr>
          <w:rFonts w:ascii="宋体" w:hAnsi="宋体" w:eastAsia="宋体" w:cs="宋体"/>
          <w:b/>
          <w:bCs/>
          <w:color w:val="000000"/>
          <w:kern w:val="0"/>
          <w:sz w:val="24"/>
          <w:shd w:val="clear" w:color="auto" w:fill="FFFFFF"/>
        </w:rPr>
      </w:pPr>
      <w:r>
        <w:rPr>
          <w:rFonts w:hint="eastAsia" w:ascii="宋体" w:hAnsi="宋体" w:eastAsia="宋体" w:cs="宋体"/>
          <w:b/>
          <w:bCs/>
          <w:color w:val="000000"/>
          <w:kern w:val="0"/>
          <w:sz w:val="24"/>
          <w:shd w:val="clear" w:color="auto" w:fill="FFFFFF"/>
        </w:rPr>
        <w:t>第三部分　资产评估说明正文</w:t>
      </w:r>
    </w:p>
    <w:p w14:paraId="5EBA724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一、评估对象与评估范围说明</w:t>
      </w:r>
    </w:p>
    <w:p w14:paraId="055469A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（一）评估对象与评估范围内容</w:t>
      </w:r>
    </w:p>
    <w:p w14:paraId="2C91285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1．说明委托评估的评估对象与评估范围。</w:t>
      </w:r>
    </w:p>
    <w:p w14:paraId="2058A76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2．说明委托评估的资产类型、账面金额。</w:t>
      </w:r>
    </w:p>
    <w:p w14:paraId="42B0AA0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3．说明委托评估的资产权属状况（含应当评估的相关负债）。</w:t>
      </w:r>
    </w:p>
    <w:p w14:paraId="3026669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（二）实物资产的分布情况及特点</w:t>
      </w:r>
    </w:p>
    <w:p w14:paraId="2638D82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1.说明实物资产的类型、数量、分布情况和存放地点。</w:t>
      </w:r>
    </w:p>
    <w:p w14:paraId="4764FC3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2.说明实物资产的技术特点、实际使用情况、大修理及改扩建情况等。</w:t>
      </w:r>
    </w:p>
    <w:p w14:paraId="7D9C099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（三）企业申报的账面记录或者未记录的无形资产情况。</w:t>
      </w:r>
    </w:p>
    <w:p w14:paraId="5E811BA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（四）企业申报的表外资产（如有申报）的类型、数量。</w:t>
      </w:r>
    </w:p>
    <w:p w14:paraId="3BC7D6A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（五）引用其他机构出具的报告的结果所涉及的资产类型、数量和账面金额（或者评估值）。</w:t>
      </w:r>
    </w:p>
    <w:p w14:paraId="767FFFD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单项资产或者资产组合评估，可以根据具体情况确定内容的详略程度。</w:t>
      </w:r>
    </w:p>
    <w:p w14:paraId="22A4D45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二、资产核实情况总体说明</w:t>
      </w:r>
    </w:p>
    <w:p w14:paraId="748241C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（一）资产核实人员组织、实施时间和过程。</w:t>
      </w:r>
    </w:p>
    <w:p w14:paraId="6927197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（二）影响资产核实的事项及处理方法。</w:t>
      </w:r>
    </w:p>
    <w:p w14:paraId="4C5734E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1．一般包括资产性能的限制、存放地点的限制、诉讼保全的限制、技术性能的局限、涉及商业秘密和国家秘密，以及评估基准日时正在进行的大修理、改扩建情况等。</w:t>
      </w:r>
    </w:p>
    <w:p w14:paraId="57ACC5E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2．对于不能采用现场调查方式直接核实的资产，应当说明原因、涉及范围及处理方法。</w:t>
      </w:r>
    </w:p>
    <w:p w14:paraId="12B8413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（三）核实结论</w:t>
      </w:r>
    </w:p>
    <w:p w14:paraId="1C5E880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1．资产核实结论。</w:t>
      </w:r>
    </w:p>
    <w:p w14:paraId="24C1D75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2．资产核实结果是否与账面记录存在差异及其程度。</w:t>
      </w:r>
    </w:p>
    <w:p w14:paraId="4F452FB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3．权属资料不完善等权属不清晰的资产。</w:t>
      </w:r>
    </w:p>
    <w:p w14:paraId="057F0D0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4．企业申报的账外资产的核实结论。</w:t>
      </w:r>
    </w:p>
    <w:p w14:paraId="1F5D2F6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三、评估技术说明</w:t>
      </w:r>
    </w:p>
    <w:p w14:paraId="4D2D91D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（一）资产基础法或者成本法</w:t>
      </w:r>
    </w:p>
    <w:p w14:paraId="2C05C04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采用成本法评估单项资产或者资产组合、采用资产基础法评估企业价值，应当根据评估业务的具体情况，以及资产负债类型，编写评估技术说明。各资产负债评估技术说明应当包含资产负债的内容和金额、核实方法、评估值确定的方法和结果等基本内容。</w:t>
      </w:r>
    </w:p>
    <w:p w14:paraId="0597709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常见的资产负债类型，评估技术说明编写内容指引如下。</w:t>
      </w:r>
    </w:p>
    <w:p w14:paraId="23087C6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1．货币资金</w:t>
      </w:r>
    </w:p>
    <w:p w14:paraId="3AC31E2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（1）货币资金的内容（包括库存现金、银行存款及其他货币资金）和金额。</w:t>
      </w:r>
    </w:p>
    <w:p w14:paraId="3DF8D01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（2）现金存放地点、核实方法和过程。</w:t>
      </w:r>
    </w:p>
    <w:p w14:paraId="49B6B58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（3）查阅银行对账单、银行余额调节表的情况；银行账户函证情况及不符情况下的处理方式；并说明未达账项（如存在）是否影响净资产及其金额。</w:t>
      </w:r>
    </w:p>
    <w:p w14:paraId="5BB786C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（4）其他货币资金的类型（银行汇票存款、银行本票存款、信用卡存款、信用证保证金存款、存出投资款、外埠存款等）及核实方法、评估值确定的方法。</w:t>
      </w:r>
    </w:p>
    <w:p w14:paraId="0F7ABCD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（5）如果现金出现负数，应当说明原因及评估处理方式。</w:t>
      </w:r>
    </w:p>
    <w:p w14:paraId="5073672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（6）评估结果及差异。</w:t>
      </w:r>
    </w:p>
    <w:p w14:paraId="3040F47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2．交易性金融资产</w:t>
      </w:r>
    </w:p>
    <w:p w14:paraId="5516FFC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（1）交易性金融资产的种类（包括企业为交易目的所持有的债券、股票、基金及其他交易性金融资产等）、形成时间及对应的金额。</w:t>
      </w:r>
    </w:p>
    <w:p w14:paraId="56CBA34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（2）交易性金融资产的核实方法和结果。</w:t>
      </w:r>
    </w:p>
    <w:p w14:paraId="2C347C2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（3）交易性金融资产公允价值的形成，以及交易性金融资产的变现能力。</w:t>
      </w:r>
    </w:p>
    <w:p w14:paraId="3D0EE72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（4）上市交易的债券、股票、基金应当说明评估基准日前后一段时间内的交易价格、持有量及评估计算过程；非上市的债券、股票、基金应当说明票面利率或者约定利率及评估计算过程。</w:t>
      </w:r>
    </w:p>
    <w:p w14:paraId="4C3C37D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（5）交易性金融资产公允价值与评估价值类型的一致性，并说明评估值确定的方法和结果。</w:t>
      </w:r>
    </w:p>
    <w:p w14:paraId="6E2C325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3．应收票据</w:t>
      </w:r>
    </w:p>
    <w:p w14:paraId="797BFCE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（1）应收票据的种类（银行承兑汇票和商业承兑汇票）和金额。</w:t>
      </w:r>
    </w:p>
    <w:p w14:paraId="51641FC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（2）查阅票据凭证过程及结果，已变现应收票据的数额。</w:t>
      </w:r>
    </w:p>
    <w:p w14:paraId="715AC9E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（3）可能形成坏账的应收票据的判断依据及评估值的确定过程及结论；并列示已成为坏账应收票据的证据。</w:t>
      </w:r>
    </w:p>
    <w:p w14:paraId="129DF48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4．应收账款、应收股利、应收利息、预付账款和其他应收款</w:t>
      </w:r>
    </w:p>
    <w:p w14:paraId="6360BA4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（1）应收账款、应收股利、应收利息、预付账款和其他应收款的主要业务内容和对应金额。</w:t>
      </w:r>
    </w:p>
    <w:p w14:paraId="5476BC5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（2）应收账款、应收股利、应收利息、预付账款和其他应收款核实的方法及结果。</w:t>
      </w:r>
    </w:p>
    <w:p w14:paraId="547556E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（3）应收账款、应收股利、应收利息、预付账款和其他应收款发生时间和原因，收回的可能性的判断过程及结果。</w:t>
      </w:r>
    </w:p>
    <w:p w14:paraId="54873D1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（4）可能形成坏账款项的判断依据及评估值确定的过程及结论；并列示已成为坏账的应收账款、应收股利、应收利息、预付账款和其他应收款的证据。</w:t>
      </w:r>
    </w:p>
    <w:p w14:paraId="2954ACA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（5）坏账准备的评估处理。</w:t>
      </w:r>
    </w:p>
    <w:p w14:paraId="3782F1A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5．存货</w:t>
      </w:r>
    </w:p>
    <w:p w14:paraId="054332E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（1）存货的种类、金额等。应当分别按材料采购（在途物资）、原材料、在库周转材料、委托加工物资、产成品（库存商品）、在产品（自制半成品）、发出商品、在用周转材料等进行说明。</w:t>
      </w:r>
    </w:p>
    <w:p w14:paraId="5EF0A5D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（2）存货数量和品质核实的方法、过程和结论。</w:t>
      </w:r>
    </w:p>
    <w:p w14:paraId="3C25798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（3）外购存货账面记录的构成，并分析构成的合理性，说明市场价格的查询情况。</w:t>
      </w:r>
    </w:p>
    <w:p w14:paraId="0319423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（4）自制存货的销售成本费用率及相关税费额或者比率的确定方法和数额。</w:t>
      </w:r>
    </w:p>
    <w:p w14:paraId="0E383CC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（5）对外销售存货的适销程度及判断理由。</w:t>
      </w:r>
    </w:p>
    <w:p w14:paraId="5437080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（6）在用存货成新率的确定方法。</w:t>
      </w:r>
    </w:p>
    <w:p w14:paraId="186376D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（7）失效、变质、残损、无用等存货的可变现价值的判断过程和结论，或者技术鉴定（如需要）情况及可变现价值的判断情况。技术鉴定应当说明鉴定方法及鉴定结论。</w:t>
      </w:r>
    </w:p>
    <w:p w14:paraId="4D5123F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6．一年内到期的非流动资产</w:t>
      </w:r>
    </w:p>
    <w:p w14:paraId="26C73A8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（1）一年内到期的非流动资产的内容和金额。</w:t>
      </w:r>
    </w:p>
    <w:p w14:paraId="43EAC89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（2）一年内到期的非流动资产核实的方法和结论。</w:t>
      </w:r>
    </w:p>
    <w:p w14:paraId="308600A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（3）一年内到期的非流动资产评估值确定的方法和结论。</w:t>
      </w:r>
    </w:p>
    <w:p w14:paraId="4904D89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7．其他流动资产</w:t>
      </w:r>
    </w:p>
    <w:p w14:paraId="4CDBE3B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（1）其他流动资产的内容和金额。</w:t>
      </w:r>
    </w:p>
    <w:p w14:paraId="63C5CC8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（2）其他流动资产核实的方法和结论。</w:t>
      </w:r>
    </w:p>
    <w:p w14:paraId="0796C00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（3）其他流动资产评估值确定的方法和结论。</w:t>
      </w:r>
    </w:p>
    <w:p w14:paraId="7BB0DBB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8．可供出售金融资产</w:t>
      </w:r>
    </w:p>
    <w:p w14:paraId="2B843BC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（1）可供出售金融资产的种类（股票投资、债券投资、其他投资）、发生时间和对应金额。</w:t>
      </w:r>
    </w:p>
    <w:p w14:paraId="371CBD6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（2）可供出售金融资产核实的方法和结论。</w:t>
      </w:r>
    </w:p>
    <w:p w14:paraId="6D870E2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（3）可供出售金融资产公允价值与评估价值类型的一致性，并说明评估值确定的方法和结论。</w:t>
      </w:r>
    </w:p>
    <w:p w14:paraId="40952F1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9．持有至到期投资</w:t>
      </w:r>
    </w:p>
    <w:p w14:paraId="2EAD10C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（1）持有至到期投资的内容和金额。</w:t>
      </w:r>
    </w:p>
    <w:p w14:paraId="1CFA683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（2）持有至到期投资核实的方法和结论。</w:t>
      </w:r>
    </w:p>
    <w:p w14:paraId="3FC14CB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（3）持有至到期投资可收回金额的判断理由，并说明评估值确定的方法、过程和结论。</w:t>
      </w:r>
    </w:p>
    <w:p w14:paraId="55CDD2D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10．长期应收款</w:t>
      </w:r>
    </w:p>
    <w:p w14:paraId="4F19C41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（1）长期应收款的内容和金额。</w:t>
      </w:r>
    </w:p>
    <w:p w14:paraId="62E1332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（2）长期应收款核实的方法和结论。</w:t>
      </w:r>
    </w:p>
    <w:p w14:paraId="7CEB32F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（3）长期应收款评估值确定的方法和结论。</w:t>
      </w:r>
    </w:p>
    <w:p w14:paraId="68C848E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（4）无法收回的长期应收款的判断理由和依据。</w:t>
      </w:r>
    </w:p>
    <w:p w14:paraId="087CC7E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（5）坏账准备的评估处理。</w:t>
      </w:r>
    </w:p>
    <w:p w14:paraId="39688F7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11．长期股权投资</w:t>
      </w:r>
    </w:p>
    <w:p w14:paraId="0A5267A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（1）长期股权投资的内容和金额。</w:t>
      </w:r>
    </w:p>
    <w:p w14:paraId="0CDEFDD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（2）长期股权投资核实的内容（投资日期、持股比例、投资协议等）、方法和结论。</w:t>
      </w:r>
    </w:p>
    <w:p w14:paraId="68168EB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（3）控股长期股权投资，应当说明对被投资企业的企业价值进行评估的情况以及评估结论，并说明控股长期股权投资评估值确定的方法和结论。</w:t>
      </w:r>
    </w:p>
    <w:p w14:paraId="5FA4002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（4）非控股长期股权投资，应当按投资项目分别说明非控股长期股权投资评估值确定的方法和结论。</w:t>
      </w:r>
    </w:p>
    <w:p w14:paraId="69939B1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12．投资性房地产</w:t>
      </w:r>
    </w:p>
    <w:p w14:paraId="56955BA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（1）投资性房地产的种类、内容和金额。</w:t>
      </w:r>
    </w:p>
    <w:p w14:paraId="250B529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（2）投资性房地产核实的方法和结论。并应当说明投资性房地产权属资料的查验情况、租赁合同约定的租金、租赁期限等内容。</w:t>
      </w:r>
    </w:p>
    <w:p w14:paraId="2FE04A1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采用收益法评估投资性房地产，应当说明现实租赁合同约定的租金、租赁期限，租赁合同到期后租金的确定方法，折现率确定方法和结论，评估值确定的方法和结论；采用市场法评估投资性房地产，应当说明可比交易实例的选取、可比因素比较调整、评估值确定的方法和结论。</w:t>
      </w:r>
    </w:p>
    <w:p w14:paraId="624E9C1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（4）公允价值计量的投资性房地产，应当说明评估值与公允价值及其变动的差异及原因。</w:t>
      </w:r>
    </w:p>
    <w:p w14:paraId="7CC0248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13．固定资产</w:t>
      </w:r>
    </w:p>
    <w:p w14:paraId="71721E6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（1）机器设备类固定资产。</w:t>
      </w:r>
    </w:p>
    <w:p w14:paraId="0269EBB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1）机器设备类固定资产的数量、账面原值、账面净值、减值准备等。</w:t>
      </w:r>
    </w:p>
    <w:p w14:paraId="17972AB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2）机器设备类固定资产的特点、购置日期、类别、工艺流程、技术状况、日常维护和管理制度、折旧及计提减值政策等。</w:t>
      </w:r>
    </w:p>
    <w:p w14:paraId="4C13C9D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3）机器设备类固定资产核实的方法和结论。</w:t>
      </w:r>
    </w:p>
    <w:p w14:paraId="67E9CCE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4）评估方法选取的依据和理由，并列示主要计算公式、参数涵义及参数确定的方法。</w:t>
      </w:r>
    </w:p>
    <w:p w14:paraId="63CC9FC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5）采用成本法评估，应当说明重置全价的构成、各费用项目的测算过程、采用的价格和费用标准等；说明设备成新状况（或者增值贬值因素）以及进行量化的方法及依据。对于待修理设备，应当说明修复的可能性及预计费用。</w:t>
      </w:r>
    </w:p>
    <w:p w14:paraId="26536C3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6）采用收益法（对可单独获利的机器设备）评估，应当说明其收益状况及收益额预测过程和结论，折现率确定的方法及结论。</w:t>
      </w:r>
    </w:p>
    <w:p w14:paraId="66877AB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7）采用市场法（对存在活跃二手设备市场的机器设备）评估，应当说明交易价格的基本内涵、交易时间等情况。</w:t>
      </w:r>
    </w:p>
    <w:p w14:paraId="1E1CF16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8）根据评估业务的具体情况，应当选择典型设备（一般指单台金额大、技术典型的设备）举例说明评估参数的测算和判断以及评估值确定的方法、过程和结论。</w:t>
      </w:r>
    </w:p>
    <w:p w14:paraId="2C0AE48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9）对于精密、大型、高价的设备，应当说明技术和使用状况；对于报废的设备，应当说明变现的可能性。</w:t>
      </w:r>
    </w:p>
    <w:p w14:paraId="29E6835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10）　对于国家强制淘汰、报废的设备，受火灾、水灾或者地震等其他因素导致设备严重毁损的情况，应当特别提示，并说明改变用途使用和原用途继续使用的可能性。</w:t>
      </w:r>
    </w:p>
    <w:p w14:paraId="2787852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11）大型或者重型设备的建筑基础，按房屋建筑物类固定资产评估技术说明的要求编写。</w:t>
      </w:r>
    </w:p>
    <w:p w14:paraId="4FCBF21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（2）房屋建筑物类固定资产</w:t>
      </w:r>
    </w:p>
    <w:p w14:paraId="1CCD403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1）房屋建筑物类固定资产的类型、数量、账面原值、账面净值、减值准备等。</w:t>
      </w:r>
    </w:p>
    <w:p w14:paraId="6A30DFD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2）房屋建筑物类固定资产购建日期、结构形式、权属状况、日常维护和管理制度、最近一次大修或者装潢情况、折旧及计提减值政策，以及房屋建筑物类固定资产所占用土地的情况。</w:t>
      </w:r>
    </w:p>
    <w:p w14:paraId="654E949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房屋建筑物类固定资产核实的方法和结论。对于复杂、大型、独特、高价的房屋建筑物，应当说明已经进行现场勘查以及勘查情况；对于国家强制报废的房屋建筑物，受腐蚀、火灾、水灾或者地震等其他因素导致建筑物严重毁损的情况，应当特别提示，并说明核实情况。</w:t>
      </w:r>
    </w:p>
    <w:p w14:paraId="5159204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4）评估方法选取的依据和理由，并列示主要计算公式、参数涵义及参数确定的方法。</w:t>
      </w:r>
    </w:p>
    <w:p w14:paraId="2D2BE5E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5）采用成本法评估，应当说明重置全价的构成、各费用项目的测算过程、采用的价格和费用标准等；说明房屋建筑物类资产成新状况（或者增值贬值因素）以及进行量化的方法及依据；对于待修理房屋建筑物，应当说明修复的可能性及预计费用。</w:t>
      </w:r>
    </w:p>
    <w:p w14:paraId="515CED5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6）采用市场法评估，应当说明选取交易实例的依据或者理由、交易实例的基本情况、成交时间、交易状况及交易价格内涵等，对所选取的交易实例，应当全面介绍比较因素、比较结果以及评估值确定的方法。</w:t>
      </w:r>
    </w:p>
    <w:p w14:paraId="3481235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7）采用收益法评估，应当说明其租金预测情况，以及折现率确定的方法和结论。</w:t>
      </w:r>
    </w:p>
    <w:p w14:paraId="28653F3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8）根据评估业务的具体情况，应当选择典型房屋建筑物举例说明评估参数的测算和判断以及评估值确定的方法和过程。典型房屋建筑物应当选择能代表不同的结构形式（一般包括框架结构、框剪结构、全现浇结构、排架结构、钢排架、砖混结构、砖木结构、简易结构、钢棚结构等）、不同的分布地点、不同的建筑年代，并且金额较大的房屋建筑物类资产。</w:t>
      </w:r>
    </w:p>
    <w:p w14:paraId="33B55DA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9）房屋建筑物中含大型附属设备的，应当按机器设备类固定资产评估的要求编写评估技术说明。</w:t>
      </w:r>
    </w:p>
    <w:p w14:paraId="6BAC6D2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10）对于在房屋建筑物科目核算的投资性房地产，应当按投资性房地产的要求编写评估技术说明。</w:t>
      </w:r>
    </w:p>
    <w:p w14:paraId="56ED6B4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14．在建工程</w:t>
      </w:r>
    </w:p>
    <w:p w14:paraId="2686F1F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（1）在建工程的内容、账面价值、减值准备、开工日期和预计完工日期。</w:t>
      </w:r>
    </w:p>
    <w:p w14:paraId="0B6B740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在建工程项目的合规性文件核实情况。一般包括：项目可行性研究报告及批复、初步设计及批复、建设用地规划许可证、建设工程规划许可证、建筑工程施工许可证等。对于停建和缓建等在建项目，应当说明已经进行现场勘查以及勘查情况。</w:t>
      </w:r>
    </w:p>
    <w:p w14:paraId="02E964E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（3）在建工程账面记录的明细构成，并分析相关费用支出是否正常。</w:t>
      </w:r>
    </w:p>
    <w:p w14:paraId="2C6442D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（4）在建工程的形象进度、合同签订情况、已支付工程款和应付（未付）工程款情况，并说明对评估价值的影响。</w:t>
      </w:r>
    </w:p>
    <w:p w14:paraId="3196674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（5）参照房屋建筑物、机器设备类固定资产的要求编写评估技术说明。</w:t>
      </w:r>
    </w:p>
    <w:p w14:paraId="72F6D90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15．工程物资</w:t>
      </w:r>
    </w:p>
    <w:p w14:paraId="70EF861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（1）工程物资的种类和账面金额。</w:t>
      </w:r>
    </w:p>
    <w:p w14:paraId="6041D73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（2）工程物资核实的方法和结论。</w:t>
      </w:r>
    </w:p>
    <w:p w14:paraId="220CD41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（3）工程物资的评估技术说明参照存货评估技术说明要求编写。</w:t>
      </w:r>
    </w:p>
    <w:p w14:paraId="640F60D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16．固定资产清理</w:t>
      </w:r>
    </w:p>
    <w:p w14:paraId="1F68C32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（1）固定资产清理的内容（出售、转让、报废、毁损、对外投资、非货币性资产交换、债务重组等）和金额。</w:t>
      </w:r>
    </w:p>
    <w:p w14:paraId="3058854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（2）固定资产清理核实的方法和结论。</w:t>
      </w:r>
    </w:p>
    <w:p w14:paraId="6B1EF34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（3）固定资产清理一般反映企业尚未清理完毕的固定资产清理净损失。应当根据不同内容，说明评估值确定的方法和结论。</w:t>
      </w:r>
    </w:p>
    <w:p w14:paraId="15D755A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17．生产性生物资产</w:t>
      </w:r>
    </w:p>
    <w:p w14:paraId="45C4C76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（1）生产性生物资产的内容（未成熟生产性生物资产、成熟生产性生物资产）、种类、群别、取得方式、实物数量、账面金额构成及折旧政策等。</w:t>
      </w:r>
    </w:p>
    <w:p w14:paraId="544BD10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（2）生产性生物资产核实的方法和结论。</w:t>
      </w:r>
    </w:p>
    <w:p w14:paraId="0435748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（3）生产性生物资产评估值确定的方法和结论。</w:t>
      </w:r>
    </w:p>
    <w:p w14:paraId="25519AC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（4）根据评估业务的具体情况，举例说明评估参数测算的方法和过程。所举案例应当选择能代表不同种类、群别、取得方式的生产性生物资产。</w:t>
      </w:r>
    </w:p>
    <w:p w14:paraId="051B469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18．油气资产</w:t>
      </w:r>
    </w:p>
    <w:p w14:paraId="04FC9F5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（1）油气资产的类别、不同矿区或者油田分布，油气资产构成（矿区权益和油气井及相关设施等）、账面金额等。</w:t>
      </w:r>
    </w:p>
    <w:p w14:paraId="590ADF9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（2）油气资产原值的构成、折耗政策。特别说明是否存在弃置费用现值以及对应的预计负债。</w:t>
      </w:r>
    </w:p>
    <w:p w14:paraId="3B1BEDD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（3）油气资产核实的方法和结论。</w:t>
      </w:r>
    </w:p>
    <w:p w14:paraId="5E80C2E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（4）油气资产的评估值确定的方法和结论。</w:t>
      </w:r>
    </w:p>
    <w:p w14:paraId="4C13916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（5）根据评估业务的具体情况，举例说明评估参数测算确定的方法和过程。所举案例，应当选择能代表不同矿区或者油田分布的油气资产。</w:t>
      </w:r>
    </w:p>
    <w:p w14:paraId="36CE363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19．无形资产</w:t>
      </w:r>
    </w:p>
    <w:p w14:paraId="22B91FE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（1）土地使用权（含固定资产—土地）</w:t>
      </w:r>
    </w:p>
    <w:p w14:paraId="3A717A3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1）土地的宗数、面积、土地使用权取得方式、性质、原始入账价值、摊销政策、摊余价值等。</w:t>
      </w:r>
    </w:p>
    <w:p w14:paraId="27ED049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土地的登记状况、权利状况、利用状况。土地的登记状况和权利状况，以土地登记、土地使用证和土地使用权出让合同中的有关内容为准，土地利用状况以建筑物、地上附着物等产权登记内容和实际勘查与调查的内容为准。</w:t>
      </w:r>
    </w:p>
    <w:p w14:paraId="701D4DC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土地的一般因素、区域因素和个别因素（一般包括：城市资源状况、房地产制度与房地产市场概况、产业政策、城市规划与发展目标、城市社会经济状况等；区域概况、交通条件、基础设施条件、环境条件、产业集聚状况和规划限制等；土地位置、面积、用途、宽度、临街状况、深度、形状、地质、地形、地势、容积率、基础设施以及评估对象现状利用或者规划利用等影响地价水平的因素）。</w:t>
      </w:r>
    </w:p>
    <w:p w14:paraId="73CA65C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4）土地使用权核实的方法和结论。</w:t>
      </w:r>
    </w:p>
    <w:p w14:paraId="5DDF06C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5）土地使用权评估价值内涵，所选取评估方法的依据或者理由。</w:t>
      </w:r>
    </w:p>
    <w:p w14:paraId="1E7F3C4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6）采用市场法评估，应当说明所选交易实例的基本状况（名称、坐落、四至、面积、用途、产权状况、土地形状、土地使用期限、建筑物建成日期、建筑结构、周围环境等）、成交日期、成交价格（包括总价、单价及计价方式、付款方式）、交易情况（交易目的、交易方式、交易税费负担方式、交易人之间的特殊利害关系、特殊交易动机等）等内容，并说明交易情况、交易日期等修正情况。</w:t>
      </w:r>
    </w:p>
    <w:p w14:paraId="113DD5A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7）采用收益法评估，应当说明收益期限、净收益与折现率确定的过程和结论。</w:t>
      </w:r>
    </w:p>
    <w:p w14:paraId="060F419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8）采用成本法评估，应当说明费用项目的构成、各费用项目的测算过程、采用的价格和费用标准等；说明与地上建筑物费用项目的划分；说明评估对象的开发期限、开发状况和相应的开发费用标准及依据；说明土地增值标准的确定方法和依据；说明修正的因素及修正过程。</w:t>
      </w:r>
    </w:p>
    <w:p w14:paraId="04D9545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9）采用基准地价修正法评估，应当说明基准地价的公布时间，批准机关和文号，基准地价的内涵，利用基准地价估算宗地价格的公式；说明宗地位置、用途及评估对象所在级别或者区域的基准地价和对应的因素修正系数；说明评估对象的价值内涵与基准地价内涵的差异，以及修正的内容（土地级别、用途、权益性质、交易日期修正、区域因素修正、个别因素修正、使用年期修正和开发程度等）。</w:t>
      </w:r>
    </w:p>
    <w:p w14:paraId="08BF5C4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10）采用假设开发法评估时，应当说明开发完成后的不动产价值、后续开发建设的必要支出和应得利润等的确定方法、过程和结论。</w:t>
      </w:r>
    </w:p>
    <w:p w14:paraId="0E1EBCE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11）引用土地估价报告评估结论，应当说明引用的土地宗数、面积、土地使用权取得方式、性质、原始入账价值、摊销政策、摊余价值等；说明所引用土地评估结论的地价定义、评估方法、评估结论及调整使用的情况。</w:t>
      </w:r>
    </w:p>
    <w:p w14:paraId="1B578C8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（2）矿业权</w:t>
      </w:r>
    </w:p>
    <w:p w14:paraId="6B8D563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1）矿业权人的基本情况。</w:t>
      </w:r>
    </w:p>
    <w:p w14:paraId="741DEBE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2）矿床勘查、矿山建设规划或者矿山建设和生产经营等基本情况。</w:t>
      </w:r>
    </w:p>
    <w:p w14:paraId="1022442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3）矿业权取得时间、方式和以往矿业权价款（或者价值）评估、处置或者交易等情况。</w:t>
      </w:r>
    </w:p>
    <w:p w14:paraId="776DE41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4）有效的勘查许可证、采矿许可证的主要信息（探矿权主要包括勘查许可证号、探矿权人、勘查项目名称、勘查范围、各拐点地理坐标、勘查面积、有效期限等。采矿权主要包括采矿许可证号、采矿权人、矿山名称、开采矿种、开采方式、生产规模、矿区面积、有效期限、各拐点地理坐标、开采深度等）。</w:t>
      </w:r>
    </w:p>
    <w:p w14:paraId="1A3F48D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5）评估对象的矿产资源勘查和开发概况。</w:t>
      </w:r>
    </w:p>
    <w:p w14:paraId="66B2BA6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6）选择评估方法的依据和理由，并列示主要计算公式及参数涵义。</w:t>
      </w:r>
    </w:p>
    <w:p w14:paraId="4E983C0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7）参数确定情况，包括所依据或者参考资料的来源出处；各评估参数的确定原则、依据、过程和结论。</w:t>
      </w:r>
    </w:p>
    <w:p w14:paraId="33A8312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8）引用专业报告确定评估参数，应当说明专业报告的名称、形成时间、结论等主要情况。引用专业报告参数进行调整确定评估参数，应当说明其调整确定过程。利用专家协助确定价值指数，应当说明专家的数量、专业及资格、专家工作过程、结论等主要情况，并说明对其检查、汇总及分析的过程。</w:t>
      </w:r>
    </w:p>
    <w:p w14:paraId="2DC2EEB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9）引用矿业权评估报告评估结论，应当说明引用的矿业权名称、矿业权取得方式、性质、原始入账价值、摊销政策、摊余价值等。说明所引用矿业权评估结论的价值内涵、评估方法、评估结果以及引用处理情况，同时说明矿业权价款评估、备案及价款缴纳情况。</w:t>
      </w:r>
    </w:p>
    <w:p w14:paraId="2EBC54C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（3）其他无形资产</w:t>
      </w:r>
    </w:p>
    <w:p w14:paraId="7C26C05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1）无形资产的名称、形成过程、存在形式、存在期限、权属、原始入账金额、摊销政策、摊余价值等。</w:t>
      </w:r>
    </w:p>
    <w:p w14:paraId="7A1715A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无形资产核实的内容、方法、过程和结论（从法律、经济、技术及获利能力等角度分析说明所申报评估的无形资产的存在；说明无形资产的特征、获利能力、获利期限；已实际应用的无形资产，应当说明其应用及效益状况）。</w:t>
      </w:r>
    </w:p>
    <w:p w14:paraId="431224B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3）选取评估方法的理由，并列示主要计算公式及参数涵义。</w:t>
      </w:r>
    </w:p>
    <w:p w14:paraId="2EE9AFC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4）采用收益法评估，应当说明收益预测的依据，如市场调查结论、订单合同、政府推广文件等。</w:t>
      </w:r>
    </w:p>
    <w:p w14:paraId="5BE728A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5）采用成本法评估，应当说明费用项目的构成、各费用项目的测算过程、采用的价格和费用标准等。</w:t>
      </w:r>
    </w:p>
    <w:p w14:paraId="141BA78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6）采用市场法评估，应当说明所选交易实例的依据或者理由、交易实例的基本情况、成交时间、交易状况及交易价格内涵等，对所选取的交易实例，应当全面介绍比较因素、比较结果及评估值确定的方法和结论。</w:t>
      </w:r>
    </w:p>
    <w:p w14:paraId="386F3F4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20．开发支出</w:t>
      </w:r>
    </w:p>
    <w:p w14:paraId="7C14713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（1）开发支出的内容和金额。</w:t>
      </w:r>
    </w:p>
    <w:p w14:paraId="4C7FB20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（2）开发支出核实的方法和结论。</w:t>
      </w:r>
    </w:p>
    <w:p w14:paraId="3DCDE63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（3）开发支出评估值确定的方法和结论。</w:t>
      </w:r>
    </w:p>
    <w:p w14:paraId="3D08C96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21．商誉</w:t>
      </w:r>
    </w:p>
    <w:p w14:paraId="4C4F279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（1）商誉的账面价值及其形成原因。</w:t>
      </w:r>
    </w:p>
    <w:p w14:paraId="6BD9B21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（2）商誉所对应资产组的账面价值。</w:t>
      </w:r>
    </w:p>
    <w:p w14:paraId="3529177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（3）商誉的评估处理方法和结论。</w:t>
      </w:r>
    </w:p>
    <w:p w14:paraId="5349AA3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22．长期待摊费用</w:t>
      </w:r>
    </w:p>
    <w:p w14:paraId="4A25EA1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（1）长期待摊费用的内容、原始发生额和摊销期。</w:t>
      </w:r>
    </w:p>
    <w:p w14:paraId="7F87A6A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（2）所形成的资产或者权利是否已经在其他类型资产中反映，如果反映，应当说明不另计评估值。</w:t>
      </w:r>
    </w:p>
    <w:p w14:paraId="4056637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（3）长期待摊费用核实的方法和结论。</w:t>
      </w:r>
    </w:p>
    <w:p w14:paraId="4BBF586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（4）结合长期待摊费用的具体内容，说明尚未摊销完毕的长期待摊费用是否存在尚存的资产或者权利，如果存在，应当指明受益期。</w:t>
      </w:r>
    </w:p>
    <w:p w14:paraId="31F9C74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23．递延所得税资产</w:t>
      </w:r>
    </w:p>
    <w:p w14:paraId="1452AE1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（1）递延所得税资产的内容和种类。</w:t>
      </w:r>
    </w:p>
    <w:p w14:paraId="5278DEF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（2）递延所得税资产核实的方法和结论。</w:t>
      </w:r>
    </w:p>
    <w:p w14:paraId="31B78C0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（3）递延所得税资产评估值确定的方法和结论。</w:t>
      </w:r>
    </w:p>
    <w:p w14:paraId="7AA1EF5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24．其他非流动资产</w:t>
      </w:r>
    </w:p>
    <w:p w14:paraId="6494777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（1）其他非流动资产的内容、种类及形成原因等。</w:t>
      </w:r>
    </w:p>
    <w:p w14:paraId="72A4F80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（2）其他非流动资产核实的方法和结论。</w:t>
      </w:r>
    </w:p>
    <w:p w14:paraId="79D65C3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（3）其他非流动资产评估值确定的方法和结论。</w:t>
      </w:r>
    </w:p>
    <w:p w14:paraId="29CEDB1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25．短期借款</w:t>
      </w:r>
    </w:p>
    <w:p w14:paraId="51624FF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（1）借款的金额、发生日期、放贷银行名称、还款期限、贷款利率以及抵（质）押情况。</w:t>
      </w:r>
    </w:p>
    <w:p w14:paraId="7F0D893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（2）对借款的函证情况。</w:t>
      </w:r>
    </w:p>
    <w:p w14:paraId="3464175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（3）利息结算、支付情况，并说明利息支付情况对评估值的影响。</w:t>
      </w:r>
    </w:p>
    <w:p w14:paraId="663BA72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26．交易性金融负债</w:t>
      </w:r>
    </w:p>
    <w:p w14:paraId="399866C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（1）交易性金融负债的种类和核实方法。</w:t>
      </w:r>
    </w:p>
    <w:p w14:paraId="313492F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（2）交易性金融负债票面利率计算、支付的情况。</w:t>
      </w:r>
    </w:p>
    <w:p w14:paraId="3BE5DF0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（3）承担的交易性金融负债的公允价值的形成。</w:t>
      </w:r>
    </w:p>
    <w:p w14:paraId="2799389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（4）交易性金融负债公允价值与评估价值类型的一致性，说明评估值确定的方法和结论。</w:t>
      </w:r>
    </w:p>
    <w:p w14:paraId="03D87EE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27．应付票据</w:t>
      </w:r>
    </w:p>
    <w:p w14:paraId="3149945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（1）应付票据的种类（银行承兑、商业承兑）、签发日、到期日。</w:t>
      </w:r>
    </w:p>
    <w:p w14:paraId="7BB0F78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（2）应付票据核实的方法和结论。</w:t>
      </w:r>
    </w:p>
    <w:p w14:paraId="4670E52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（3）带息票据，应当说明利息计息、支付情况，并说明已考虑利息支付对评估值的影响。</w:t>
      </w:r>
    </w:p>
    <w:p w14:paraId="27F294D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28．应付账款、预收账款和其他应付款</w:t>
      </w:r>
    </w:p>
    <w:p w14:paraId="24A01F1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（1）应付账款、预收账款和其他应付款的主要业务内容、发生日期。</w:t>
      </w:r>
    </w:p>
    <w:p w14:paraId="54C8312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（2）应付账款、预收账款和其他应付款核实的方法和结论。</w:t>
      </w:r>
    </w:p>
    <w:p w14:paraId="0B9614A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（3）对于无需支付的应付账款、预收账款和其他应付款，应当说明依据和理由。</w:t>
      </w:r>
    </w:p>
    <w:p w14:paraId="4295830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29．应付职工薪酬</w:t>
      </w:r>
    </w:p>
    <w:p w14:paraId="79A2399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（1）应付职工薪酬的内容（包括工资、职工福利、社会保险费、住房公积金、工会经费、职工教育经费、非货币性福利、辞退福利、股份支付、按规定从净利润中提取的职工奖励及福利基金等）和对应金额等。</w:t>
      </w:r>
    </w:p>
    <w:p w14:paraId="36F6FAC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（2）被评估单位相关职工薪酬政策。</w:t>
      </w:r>
    </w:p>
    <w:p w14:paraId="2BC3FA2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（3）工资、职工福利、社会保险费、住房公积金、工会经费、职工教育经费、非货币性福利、辞退福利、股份支付、按规定从净利润中提取的职工奖励及福利基金等的计提、发放或者使用核实的方法和结论。</w:t>
      </w:r>
    </w:p>
    <w:p w14:paraId="3A1FB34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（4）对于无需支付的职工薪酬，应当说明依据和理由。</w:t>
      </w:r>
    </w:p>
    <w:p w14:paraId="13A60C8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30．应交税费</w:t>
      </w:r>
    </w:p>
    <w:p w14:paraId="6CA8C52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应交税费的内容（包括增值税、消费税、营业税、所得税、资源税、土地增值税、城市维护建设税、房产税、土地使用税、车船使用税、教育费附加、矿产资源补偿费、企业代扣代交的个人所得税等）和对应金额。</w:t>
      </w:r>
    </w:p>
    <w:p w14:paraId="42C6878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（2）被评估单位相关的税负政策，说明被评估单位所享有的优惠税收政策，享有优惠政策的期限和批准单位等。</w:t>
      </w:r>
    </w:p>
    <w:p w14:paraId="0B4579E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（3）应交税费核实的方法和结论。</w:t>
      </w:r>
    </w:p>
    <w:p w14:paraId="60AEEBD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（4）说明借方余额的原因及评估方法。</w:t>
      </w:r>
    </w:p>
    <w:p w14:paraId="35B646D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31．应付利息</w:t>
      </w:r>
    </w:p>
    <w:p w14:paraId="372D7CE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（1）应付利息的内容（包括对应的本金、分期付息到期还本的长期借款、企业债券等应支付的利息等）、金额等。</w:t>
      </w:r>
    </w:p>
    <w:p w14:paraId="13D9E13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（2）应付利息核实的方法和结论。</w:t>
      </w:r>
    </w:p>
    <w:p w14:paraId="3080477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（3）按合同利率或者实际利率计算确定应付未付利息的过程和结论。</w:t>
      </w:r>
    </w:p>
    <w:p w14:paraId="55774C0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32．应付股利（应付利润）</w:t>
      </w:r>
    </w:p>
    <w:p w14:paraId="6E0C5A0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（1）应付股利发生的期限和金额。</w:t>
      </w:r>
    </w:p>
    <w:p w14:paraId="68EDEBA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（2）应付股利的核实内容（被评估单位股利或者利润分配政策、相关应付股利分配的文件的核实情况）和方法。</w:t>
      </w:r>
    </w:p>
    <w:p w14:paraId="67B8681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（3）对于长期未付的（应付股利），应当说明原因，并说明是否考虑可能需要支付逾期利息对企业负债增加的因素。</w:t>
      </w:r>
    </w:p>
    <w:p w14:paraId="2CC9F39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（4）应付股利评估值的确定方法和结论。</w:t>
      </w:r>
    </w:p>
    <w:p w14:paraId="44D6398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（5）董事会或者类似机构通过的利润分配方案中拟分配的现金股利或者利润，尽管账面未记录，但应当特别说明根据会计附注披露的内容可能对企业价值的影响。</w:t>
      </w:r>
    </w:p>
    <w:p w14:paraId="44CD085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33．一年内到期的非流动负债</w:t>
      </w:r>
    </w:p>
    <w:p w14:paraId="11CDAE0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（1）一年内到期的非流动负债的内容和金额。</w:t>
      </w:r>
    </w:p>
    <w:p w14:paraId="3A6C6FC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（2）一年内到期的非流动负债核实的方法和结论。</w:t>
      </w:r>
    </w:p>
    <w:p w14:paraId="67A742D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（3）一年内到期的非流动负债评估值确定的方法和结论。</w:t>
      </w:r>
    </w:p>
    <w:p w14:paraId="6CBA4AB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34．其他流动负债</w:t>
      </w:r>
    </w:p>
    <w:p w14:paraId="65F1E93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（1）其他流动负债的内容和金额。</w:t>
      </w:r>
    </w:p>
    <w:p w14:paraId="19A8C7C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（2）其他流动负债核实的方法和结论。</w:t>
      </w:r>
    </w:p>
    <w:p w14:paraId="7AABCBB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（3）其他流动负债评估值确定的方法和结论。</w:t>
      </w:r>
    </w:p>
    <w:p w14:paraId="272C737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35．长期借款</w:t>
      </w:r>
    </w:p>
    <w:p w14:paraId="727C4BA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（1）借款的金额、发生日期、放贷银行名称、还款期限和贷款利率以及抵（质）押情况。</w:t>
      </w:r>
    </w:p>
    <w:p w14:paraId="51978CC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（2）对借款的函证情况。</w:t>
      </w:r>
    </w:p>
    <w:p w14:paraId="18CCBD5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（3）长期借款评估值的确定方法和结论。</w:t>
      </w:r>
    </w:p>
    <w:p w14:paraId="5F2146A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（4）利率水平、结算方式和结算时间对评估结论的影响。</w:t>
      </w:r>
    </w:p>
    <w:p w14:paraId="365101A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36．应付债券</w:t>
      </w:r>
    </w:p>
    <w:p w14:paraId="6FA7918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（1）应付债券的种类（分期付息一次还本的债券、一次还本付息的债券等）、票面金额、债券票面利率、还本付息期限与方式、发行总额、发行日期和编号、委托代售单位、转换股份等情况。</w:t>
      </w:r>
    </w:p>
    <w:p w14:paraId="5D438B3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（2）应付债券核实的方法和结论。对可转换公司债券，应当说明应付债券为该项可转换公司债券包含的负债成份。</w:t>
      </w:r>
    </w:p>
    <w:p w14:paraId="2DCA0AB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（3）说明是否考虑可能需要支付逾期利息对企业负债增加的因素。</w:t>
      </w:r>
    </w:p>
    <w:p w14:paraId="71E6BDE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（4）说明是否存在按票面利率计算确定的应付未付利息与按摊余成本和实际利率计算确定的债券利息费用的差额，以及评估值确定的方法。</w:t>
      </w:r>
    </w:p>
    <w:p w14:paraId="133AF7D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（5）可转换公司债券评估值确定的方法和结论。</w:t>
      </w:r>
    </w:p>
    <w:p w14:paraId="2826178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37．长期应付款</w:t>
      </w:r>
    </w:p>
    <w:p w14:paraId="5757E4E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（1）长期应付款的种类（应付融资租入固定资产的租赁费、以分期付款方式购入固定资产等发生的应付款项等）、发生日期和金额、约定的还款期限、方式等。</w:t>
      </w:r>
    </w:p>
    <w:p w14:paraId="23AE3DC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（2）长期应付款核实的方法和结论。</w:t>
      </w:r>
    </w:p>
    <w:p w14:paraId="3A1593A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（3）长期应付款评估值确定的方法和结论。</w:t>
      </w:r>
    </w:p>
    <w:p w14:paraId="15D2C9C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38．专项应付款</w:t>
      </w:r>
    </w:p>
    <w:p w14:paraId="42F541F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（1）专项应付款形成依据、项目名称、性质（取得政府作为企业所有者投入的具有专项或者特定用途的款项）、内容、约定的验收时间和方式等核实情况。</w:t>
      </w:r>
    </w:p>
    <w:p w14:paraId="6B3689C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（2）用于工程项目的专项应付款资产形成的进度情况，不可能形成长期资产需要核销的情况。</w:t>
      </w:r>
    </w:p>
    <w:p w14:paraId="09A7885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（3）尚未转销的专项应付款是否为企业真实的负债。</w:t>
      </w:r>
    </w:p>
    <w:p w14:paraId="1FD0140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39．预计负债</w:t>
      </w:r>
    </w:p>
    <w:p w14:paraId="7CAFE3B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（1）预计负债的金额和种类（企业确认的对外提供担保、未决诉讼、产品质量保证、重组义务、亏损性合同等）。</w:t>
      </w:r>
    </w:p>
    <w:p w14:paraId="0B020D4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（2）预计负债核实的方法和结论。</w:t>
      </w:r>
    </w:p>
    <w:p w14:paraId="0487573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（3）企业确认预计负债的证据以及第三方或者债权人的询证证据等。</w:t>
      </w:r>
    </w:p>
    <w:p w14:paraId="48CBDF6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（4）预计负债评估值确定的方法和结论。</w:t>
      </w:r>
    </w:p>
    <w:p w14:paraId="7A9E4F7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40．递延所得税负债</w:t>
      </w:r>
    </w:p>
    <w:p w14:paraId="74E18C5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（1）递延所得税负债的金额、种类和企业确认依据。</w:t>
      </w:r>
    </w:p>
    <w:p w14:paraId="0D6B36D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（2）递延所得税负债核实的方法和结论。</w:t>
      </w:r>
    </w:p>
    <w:p w14:paraId="45A61DD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（3）递延所得税负债的具体内容，说明递延所得税负债评估值确定的过程和结论。</w:t>
      </w:r>
    </w:p>
    <w:p w14:paraId="67BD335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41．其他非流动负债</w:t>
      </w:r>
    </w:p>
    <w:p w14:paraId="6F02DBB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（1）其他非流动负债的种类、形成原因、企业确认依据等。</w:t>
      </w:r>
    </w:p>
    <w:p w14:paraId="15211B0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（2）其他非流动负债核实的方法和结论。</w:t>
      </w:r>
    </w:p>
    <w:p w14:paraId="5E76667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（3）其他非流动负债评估值确定的方法和结论。</w:t>
      </w:r>
    </w:p>
    <w:p w14:paraId="074EAF6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（二）收益法</w:t>
      </w:r>
    </w:p>
    <w:p w14:paraId="582004E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采用收益法进行企业价值评估，应当根据行业特点、企业经营方式和所确定的预期收益口径以及评估的其他具体情况等，确定评估技术说明的编写内容。一般编写内容指引如下。</w:t>
      </w:r>
    </w:p>
    <w:p w14:paraId="0A65E07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1．说明评估对象，即企业整体价值、股东全部权益和股东部分权益。</w:t>
      </w:r>
    </w:p>
    <w:p w14:paraId="36CFDC6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2．收益法的应用前提及选择的理由和依据</w:t>
      </w:r>
    </w:p>
    <w:p w14:paraId="4FB878E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（1）收益法的定义和原理。</w:t>
      </w:r>
    </w:p>
    <w:p w14:paraId="120F4F3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（2）收益法的应用前提。</w:t>
      </w:r>
    </w:p>
    <w:p w14:paraId="088E8E7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（3）收益法选择的理由和依据。</w:t>
      </w:r>
    </w:p>
    <w:p w14:paraId="161D764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3．收益预测的假设条件</w:t>
      </w:r>
    </w:p>
    <w:p w14:paraId="18B266C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收益预测的假设条件应当结合评估业务的具体情况确定。一般包括：</w:t>
      </w:r>
    </w:p>
    <w:p w14:paraId="4F82567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（1）国家现行的有关法律法规及政策、国家宏观经济形势无重大变化，本次交易各方所处地区的政治、经济和社会环境无重大变化。</w:t>
      </w:r>
    </w:p>
    <w:p w14:paraId="7E4C8B6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（2）针对评估基准日资产的实际状况，假设企业持续经营。</w:t>
      </w:r>
    </w:p>
    <w:p w14:paraId="2D3D6AD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（3）假设公司的经营者是负责的，并且公司管理层有能力担当其职务。</w:t>
      </w:r>
    </w:p>
    <w:p w14:paraId="05484F6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（4）除非另有说明，假设公司完全遵守所有有关的法律法规。</w:t>
      </w:r>
    </w:p>
    <w:p w14:paraId="4A32028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（5）假设公司未来将采取的会计政策和编写此份报告时所采用的会计政策在重要方面基本一致。</w:t>
      </w:r>
    </w:p>
    <w:p w14:paraId="76ECD0A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（6）假设公司在现有的管理方式和管理水平的基础上，经营范围、方式与目前方向保持一致。</w:t>
      </w:r>
    </w:p>
    <w:p w14:paraId="5AFE3A9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（7）有关利率、汇率、赋税基准及税率、政策性征收费用等不发生重大变化。</w:t>
      </w:r>
    </w:p>
    <w:p w14:paraId="470351E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（8）无其他人力不可抗拒因素及不可预见因素对企业造成重大不利影响。</w:t>
      </w:r>
    </w:p>
    <w:p w14:paraId="58E4ACC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根据资产评估的要求，认定这些假设条件在评估基准日时成立，当未来经济环境发生较大变化时，将不承担由于假设条件改变而推导出不同评估结论的责任。</w:t>
      </w:r>
    </w:p>
    <w:p w14:paraId="412A7F2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4．企业经营、资产、财务分析</w:t>
      </w:r>
    </w:p>
    <w:p w14:paraId="7063EF5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（1）影响被评估单位经营的宏观及区域经济因素、被评估单位所在行业状况及发展前景、生产经营的历史情况、面临的竞争情况及企业战略等。</w:t>
      </w:r>
    </w:p>
    <w:p w14:paraId="5B353E3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（2）企业内部管理制度、人力资源、核心技术、研发状况、销售网络、特许经营权、管理层构成等经营管理状况。</w:t>
      </w:r>
    </w:p>
    <w:p w14:paraId="5903E14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（3）企业历史年度财务分析。</w:t>
      </w:r>
    </w:p>
    <w:p w14:paraId="35F5406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一般包括收入、成本和费用分析，盈利能力、偿债能力和营运能力分析以及成长性分析等。</w:t>
      </w:r>
    </w:p>
    <w:p w14:paraId="4314BE0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（4）经营性资产、非经营性资产、溢余资产分析。</w:t>
      </w:r>
    </w:p>
    <w:p w14:paraId="08383FB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5．评估计算及分析过程</w:t>
      </w:r>
    </w:p>
    <w:p w14:paraId="0B5E530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（1）收益模型的选取</w:t>
      </w:r>
    </w:p>
    <w:p w14:paraId="5AB5462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1）选取收益法的具体测算方法及模型。</w:t>
      </w:r>
    </w:p>
    <w:p w14:paraId="04A66BD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2）列示计算公式并对参数进行解释与说明。</w:t>
      </w:r>
    </w:p>
    <w:p w14:paraId="03465DF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（2）收益年限的确定</w:t>
      </w:r>
    </w:p>
    <w:p w14:paraId="406D5AC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确定的收益年限并说明其理由。</w:t>
      </w:r>
    </w:p>
    <w:p w14:paraId="776952B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（3）未来收益的确定</w:t>
      </w:r>
    </w:p>
    <w:p w14:paraId="6354BA3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1）生产经营模式与收益主体、口径的相关性。</w:t>
      </w:r>
    </w:p>
    <w:p w14:paraId="43D11E1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2）收入的预测。</w:t>
      </w:r>
    </w:p>
    <w:p w14:paraId="34967F4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①营业收入的预测。通常包括区域经济发展与市场环境、业内竞争情况与企业对策、公司的营业收入及构成分析和营业收入的预测。</w:t>
      </w:r>
    </w:p>
    <w:p w14:paraId="2532A06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②投资收益预测分析。</w:t>
      </w:r>
    </w:p>
    <w:p w14:paraId="23F2C86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3）营业成本的预测。</w:t>
      </w:r>
    </w:p>
    <w:p w14:paraId="5CD8025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4）销售费用的预测。</w:t>
      </w:r>
    </w:p>
    <w:p w14:paraId="6F1CC33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5）管理费用的预测。</w:t>
      </w:r>
    </w:p>
    <w:p w14:paraId="1B0B9C0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6）财务费用的预测。</w:t>
      </w:r>
    </w:p>
    <w:p w14:paraId="7E8569E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7）营业税金及附加的估算。</w:t>
      </w:r>
    </w:p>
    <w:p w14:paraId="05C08FD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8）折旧与摊销的预测。</w:t>
      </w:r>
    </w:p>
    <w:p w14:paraId="3ED1073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9）资本性支出预测。</w:t>
      </w:r>
    </w:p>
    <w:p w14:paraId="68C7B7A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10）营运资金预测、营运资金增加额的确定。</w:t>
      </w:r>
    </w:p>
    <w:p w14:paraId="7866627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①企业历史年度有关资金营运指标</w:t>
      </w:r>
    </w:p>
    <w:p w14:paraId="586BF23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②营运资金增加额计算</w:t>
      </w:r>
    </w:p>
    <w:p w14:paraId="18D9BCF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（4）折现率的确定</w:t>
      </w:r>
    </w:p>
    <w:p w14:paraId="3390E19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1）所选折现率的模型（公式与参数定义）。</w:t>
      </w:r>
    </w:p>
    <w:p w14:paraId="5B35A3C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2）模型中有关参数的选取过程。</w:t>
      </w:r>
    </w:p>
    <w:p w14:paraId="33E53A4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例如：无风险报酬率（依据、过程、结论）、市场收益率（依据、参数、过程、结论）、Beta（贝塔）系数的测算。</w:t>
      </w:r>
    </w:p>
    <w:p w14:paraId="1C93DE5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6．评估值测算过程与结论</w:t>
      </w:r>
    </w:p>
    <w:p w14:paraId="221BFA9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（1）列表说明公式中的各参数值以及测算过程。</w:t>
      </w:r>
    </w:p>
    <w:p w14:paraId="7F1C592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（2）终值的估算。</w:t>
      </w:r>
    </w:p>
    <w:p w14:paraId="6D8BE05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（3）列示评估结论。</w:t>
      </w:r>
    </w:p>
    <w:p w14:paraId="4D05BF5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7．其他资产和负债的评估（非收益性/经营性资产和负债）价值</w:t>
      </w:r>
    </w:p>
    <w:p w14:paraId="7D972A0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（1）评估的资产和负债类型。</w:t>
      </w:r>
    </w:p>
    <w:p w14:paraId="66C854D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（2）评估方法。</w:t>
      </w:r>
    </w:p>
    <w:p w14:paraId="445A3BC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（3）评估结论。</w:t>
      </w:r>
    </w:p>
    <w:p w14:paraId="54E0879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8．评估结论</w:t>
      </w:r>
    </w:p>
    <w:p w14:paraId="6A84550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9．测算表格</w:t>
      </w:r>
    </w:p>
    <w:p w14:paraId="6144D9A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采用收益法进行企业价值评估，应当编制必要的测算表格。测算表格中的数据应当与资产评估报告相应内容一致。</w:t>
      </w:r>
    </w:p>
    <w:p w14:paraId="4C0D8F2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（三）市场法</w:t>
      </w:r>
    </w:p>
    <w:p w14:paraId="41A6A73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采用市场法进行企业价值评估，可以根据所采用的具体评估方法（上市公司比较法或者交易案例比较法）确定评估技术说明的编写内容。一般编写内容指引如下：</w:t>
      </w:r>
    </w:p>
    <w:p w14:paraId="5060C7C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1.说明评估对象，包括企业整体价值、股东全部权益、股东部分权益。</w:t>
      </w:r>
    </w:p>
    <w:p w14:paraId="4028191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2.市场法原理</w:t>
      </w:r>
    </w:p>
    <w:p w14:paraId="6E1B3D7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（1）交易案例比较法的定义、原理、应用前提。</w:t>
      </w:r>
    </w:p>
    <w:p w14:paraId="59F414C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（2）上市公司比较法的定义、原理、应用前提。</w:t>
      </w:r>
    </w:p>
    <w:p w14:paraId="57EBCA3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3.选取具体评估方法的理由</w:t>
      </w:r>
    </w:p>
    <w:p w14:paraId="6B6C7E5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4．基本步骤说明</w:t>
      </w:r>
    </w:p>
    <w:p w14:paraId="408809D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（1）搜集相关资料、对评估对象基本情况进行阐述。</w:t>
      </w:r>
    </w:p>
    <w:p w14:paraId="354EBFC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（2）对影响被评估单位经营的宏观、区域经济因素分析。</w:t>
      </w:r>
    </w:p>
    <w:p w14:paraId="382AA42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（3）对被评估单位所在行业发展状况与前景进行分析。</w:t>
      </w:r>
    </w:p>
    <w:p w14:paraId="3DC9736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（4）对被评估单位提供的企业业务状况进行分析，对企业资产、财务状况进行分析、调整。</w:t>
      </w:r>
    </w:p>
    <w:p w14:paraId="31CB1EA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（5）分析、确定可比上市公司或者交易案例。</w:t>
      </w:r>
    </w:p>
    <w:p w14:paraId="1287FF4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（6）对上市公司或者交易案例的可比因素进行分析、调整，确定可比因素数值。</w:t>
      </w:r>
    </w:p>
    <w:p w14:paraId="0C477D6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（7）估算评估对象价值。</w:t>
      </w:r>
    </w:p>
    <w:p w14:paraId="57EAD2B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5．影响被评估单位经营的宏观、区域经济因素分析。</w:t>
      </w:r>
    </w:p>
    <w:p w14:paraId="4B1202B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6．被评估单位所在行业发展状况与前景的分析判断。</w:t>
      </w:r>
    </w:p>
    <w:p w14:paraId="3230A03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7．被评估单位的业务、资产、财务状况分析。</w:t>
      </w:r>
    </w:p>
    <w:p w14:paraId="2D0DD0F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8．上市公司或者交易案例的选择及与评估对象的可比性分析。</w:t>
      </w:r>
    </w:p>
    <w:p w14:paraId="5A3447C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9．确定可比因素的方法和过程（特别说明对可比因素分析时考虑的主要方面），价值比率的确定过程，分析、调整评估对象财务状况的内容。</w:t>
      </w:r>
    </w:p>
    <w:p w14:paraId="2CB4165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10．评估值确定的方法、过程和结论。</w:t>
      </w:r>
    </w:p>
    <w:p w14:paraId="409694D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11．评估结论及分析。</w:t>
      </w:r>
    </w:p>
    <w:p w14:paraId="1334E97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四、评估结论及分析</w:t>
      </w:r>
    </w:p>
    <w:p w14:paraId="4653AB0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（一）评估结论</w:t>
      </w:r>
    </w:p>
    <w:p w14:paraId="4EF8B62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1．用文字叙述账面价值和评估价值，采用两种或者两种以上方法进行企业价值评估，应当分别说明评估价值，以及不同评估方法结论的差异及其原因和最终确定评估结论的理由。</w:t>
      </w:r>
    </w:p>
    <w:p w14:paraId="3F2C407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2．含有“评估结论根据以上评估工作得出”的字样。</w:t>
      </w:r>
    </w:p>
    <w:p w14:paraId="6BA94C9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3．对于存在多家被评估单位的情况，应当分别说明评估价值。</w:t>
      </w:r>
    </w:p>
    <w:p w14:paraId="3A1BDAF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4．对于不纳入评估汇总表的评估结果，应当单独列示。</w:t>
      </w:r>
    </w:p>
    <w:p w14:paraId="56C4FE3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（二）评估价值与账面价值比较变动情况及说明</w:t>
      </w:r>
    </w:p>
    <w:p w14:paraId="36082FC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1．说明评估价值与账面价值比较变动情况，包括绝对变动额和相对变动率。</w:t>
      </w:r>
    </w:p>
    <w:p w14:paraId="5446C2E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2．分析评估价值与账面价值比较变动原因。</w:t>
      </w:r>
    </w:p>
    <w:p w14:paraId="7913885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（三）折价或者溢价情况（如有）</w:t>
      </w:r>
    </w:p>
    <w:p w14:paraId="7AF965B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企业价值评估，在适当及切实可行的情况下需要考虑由于控股权和少数股权等因素产生的折价或者溢价，以及流动性对评估价值的影响，包括但不限于：</w:t>
      </w:r>
    </w:p>
    <w:p w14:paraId="02323E3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1．说明是否考虑了折价或者溢价。</w:t>
      </w:r>
    </w:p>
    <w:p w14:paraId="3F0D153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2．说明折价或者溢价测算的方法，对其合理性做出判断。</w:t>
      </w:r>
    </w:p>
    <w:p w14:paraId="23E50D1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br w:type="page"/>
      </w:r>
    </w:p>
    <w:p w14:paraId="729BF22D">
      <w:pPr>
        <w:pStyle w:val="5"/>
        <w:spacing w:line="440" w:lineRule="atLeast"/>
        <w:jc w:val="center"/>
        <w:rPr>
          <w:rFonts w:ascii="宋体" w:hAnsi="宋体" w:eastAsia="宋体" w:cs="宋体"/>
        </w:rPr>
      </w:pPr>
      <w:bookmarkStart w:id="116" w:name="_Toc14868"/>
      <w:r>
        <w:rPr>
          <w:rFonts w:hint="eastAsia" w:ascii="宋体" w:hAnsi="宋体" w:eastAsia="宋体" w:cs="宋体"/>
        </w:rPr>
        <w:t>金融企业国有资产评估报告指南</w:t>
      </w:r>
      <w:bookmarkEnd w:id="116"/>
    </w:p>
    <w:p w14:paraId="22178A3A">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第一章　总则</w:t>
      </w:r>
    </w:p>
    <w:p w14:paraId="3AFF2025">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第一条</w:t>
      </w:r>
      <w:r>
        <w:rPr>
          <w:rFonts w:hint="eastAsia" w:ascii="宋体" w:hAnsi="宋体" w:eastAsia="宋体" w:cs="宋体"/>
          <w:color w:val="000000"/>
          <w:kern w:val="0"/>
          <w:sz w:val="24"/>
          <w:shd w:val="clear" w:color="auto" w:fill="FFFFFF"/>
        </w:rPr>
        <w:t>　为规范金融企业国有资产评估报告编制和出具行为，保护资产评估当事人合法权益和公共利益，根据金融企业国有资产评估管理有关规定和《资产评估执业准则——资产评估报告》制定本指南。</w:t>
      </w:r>
    </w:p>
    <w:p w14:paraId="3AE2F991">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第二条</w:t>
      </w:r>
      <w:r>
        <w:rPr>
          <w:rFonts w:hint="eastAsia" w:ascii="宋体" w:hAnsi="宋体" w:eastAsia="宋体" w:cs="宋体"/>
          <w:color w:val="000000"/>
          <w:kern w:val="0"/>
          <w:sz w:val="24"/>
          <w:shd w:val="clear" w:color="auto" w:fill="FFFFFF"/>
        </w:rPr>
        <w:t>　资产评估机构及其资产评估师根据金融企业国有资产评估管理的有关规定执行资产评估业务，编制和出具金融企业国有资产评估报告，应当遵守本指南。</w:t>
      </w:r>
    </w:p>
    <w:p w14:paraId="0A6BC14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本指南所称金融企业，是指占有国有资产并取得金融业务许可证的企业、金融控股公司以及其他从事金融类业务的企业。</w:t>
      </w:r>
    </w:p>
    <w:p w14:paraId="6190CF3B">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第三条</w:t>
      </w:r>
      <w:r>
        <w:rPr>
          <w:rFonts w:hint="eastAsia" w:ascii="宋体" w:hAnsi="宋体" w:eastAsia="宋体" w:cs="宋体"/>
          <w:color w:val="000000"/>
          <w:kern w:val="0"/>
          <w:sz w:val="24"/>
          <w:shd w:val="clear" w:color="auto" w:fill="FFFFFF"/>
        </w:rPr>
        <w:t>　本指南所指金融企业国有资产评估报告（以下简称资产评估报告），由标题及文号、目录、声明、摘要、正文、附件、评估明细表和评估说明构成。</w:t>
      </w:r>
    </w:p>
    <w:p w14:paraId="7B58B408">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第四条</w:t>
      </w:r>
      <w:r>
        <w:rPr>
          <w:rFonts w:hint="eastAsia" w:ascii="宋体" w:hAnsi="宋体" w:eastAsia="宋体" w:cs="宋体"/>
          <w:color w:val="000000"/>
          <w:kern w:val="0"/>
          <w:sz w:val="24"/>
          <w:shd w:val="clear" w:color="auto" w:fill="FFFFFF"/>
        </w:rPr>
        <w:t>　资产评估机构及其资产评估师应当清晰、准确陈述资产评估报告内容，不得使用误导性的表述。</w:t>
      </w:r>
    </w:p>
    <w:p w14:paraId="24477E1B">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第五条</w:t>
      </w:r>
      <w:r>
        <w:rPr>
          <w:rFonts w:hint="eastAsia" w:ascii="宋体" w:hAnsi="宋体" w:eastAsia="宋体" w:cs="宋体"/>
          <w:color w:val="000000"/>
          <w:kern w:val="0"/>
          <w:sz w:val="24"/>
          <w:shd w:val="clear" w:color="auto" w:fill="FFFFFF"/>
        </w:rPr>
        <w:t>　资产评估报告提供的信息，应当使金融企业国有资产监督管理部门和相关机构能够全面了解资产评估情况，使资产评估报告使用人正确理解评估结论。</w:t>
      </w:r>
    </w:p>
    <w:p w14:paraId="0905B0B1">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第六条</w:t>
      </w:r>
      <w:r>
        <w:rPr>
          <w:rFonts w:hint="eastAsia" w:ascii="宋体" w:hAnsi="宋体" w:eastAsia="宋体" w:cs="宋体"/>
          <w:color w:val="000000"/>
          <w:kern w:val="0"/>
          <w:sz w:val="24"/>
          <w:shd w:val="clear" w:color="auto" w:fill="FFFFFF"/>
        </w:rPr>
        <w:t>　资产评估报告内容应当完整，符合本指南的要求。</w:t>
      </w:r>
    </w:p>
    <w:p w14:paraId="23977C25">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第二章　标题及文号、声明和摘要</w:t>
      </w:r>
    </w:p>
    <w:p w14:paraId="733E8F5F">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第七条</w:t>
      </w:r>
      <w:r>
        <w:rPr>
          <w:rFonts w:hint="eastAsia" w:ascii="宋体" w:hAnsi="宋体" w:eastAsia="宋体" w:cs="宋体"/>
          <w:color w:val="000000"/>
          <w:kern w:val="0"/>
          <w:sz w:val="24"/>
          <w:shd w:val="clear" w:color="auto" w:fill="FFFFFF"/>
        </w:rPr>
        <w:t>　资产评估报告标题应当简明清晰，一般采用“企业名称+经济行为关键词+评估对象+资产评估报告”的形式。</w:t>
      </w:r>
    </w:p>
    <w:p w14:paraId="15C9160A">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第八条</w:t>
      </w:r>
      <w:r>
        <w:rPr>
          <w:rFonts w:hint="eastAsia" w:ascii="宋体" w:hAnsi="宋体" w:eastAsia="宋体" w:cs="宋体"/>
          <w:color w:val="000000"/>
          <w:kern w:val="0"/>
          <w:sz w:val="24"/>
          <w:shd w:val="clear" w:color="auto" w:fill="FFFFFF"/>
        </w:rPr>
        <w:t>　资产评估报告文号包括资产评估机构特征字、种类特征字、年份、报告序号。</w:t>
      </w:r>
    </w:p>
    <w:p w14:paraId="0BC2B4FF">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第九条</w:t>
      </w:r>
      <w:r>
        <w:rPr>
          <w:rFonts w:hint="eastAsia" w:ascii="宋体" w:hAnsi="宋体" w:eastAsia="宋体" w:cs="宋体"/>
          <w:color w:val="000000"/>
          <w:kern w:val="0"/>
          <w:sz w:val="24"/>
          <w:shd w:val="clear" w:color="auto" w:fill="FFFFFF"/>
        </w:rPr>
        <w:t>　资产评估报告声明通常包括以下内容：</w:t>
      </w:r>
    </w:p>
    <w:p w14:paraId="6A20A73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（一）本资产评估报告依据财政部发布的资产评估基本准则和中国资产评估协会发布的资产评估执业准则和职业道德准则编制。</w:t>
      </w:r>
    </w:p>
    <w:p w14:paraId="4FA70C0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委托人或者其他资产评估报告使用人应当按照法律、行政法规规定和资产评估报告载明的使用范围使用资产评估报告；委托人或者其他资产评估报告使用人违反前述规定使用资产评估报告的，资产评估机构及其资产评估师不承担责任。</w:t>
      </w:r>
    </w:p>
    <w:p w14:paraId="5B3B9E3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（三）资产评估报告仅供委托人、评估委托合同中约定的其他资产评估报告使用人和法律、行政法规规定的资产评估报告使用人使用；除此之外，其他任何机构和个人不能成为资产评估报告的使用人。</w:t>
      </w:r>
    </w:p>
    <w:p w14:paraId="2CC530B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（四）资产评估报告使用人应当正确理解评估结论，评估结论不等同于评估对象可实现价格，评估结论不应当被认为是对评估对象可实现价格的保证。</w:t>
      </w:r>
    </w:p>
    <w:p w14:paraId="7E2CBB2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（五）资产评估机构及其资产评估师遵守法律、行政法规和资产评估准则，坚持独立、客观和公正的原则，并对所出具的资产评估报告依法承担责任。</w:t>
      </w:r>
    </w:p>
    <w:p w14:paraId="0E60CE6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（六）资产评估报告使用人应当关注评估结论成立的假设前提、资产评估报告特别事项说明和使用限制。</w:t>
      </w:r>
    </w:p>
    <w:p w14:paraId="1A45B9F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（七）其他需要声明的内容。</w:t>
      </w:r>
    </w:p>
    <w:p w14:paraId="7C265DF3">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第十条</w:t>
      </w:r>
      <w:r>
        <w:rPr>
          <w:rFonts w:hint="eastAsia" w:ascii="宋体" w:hAnsi="宋体" w:eastAsia="宋体" w:cs="宋体"/>
          <w:color w:val="000000"/>
          <w:kern w:val="0"/>
          <w:sz w:val="24"/>
          <w:shd w:val="clear" w:color="auto" w:fill="FFFFFF"/>
        </w:rPr>
        <w:t>　资产评估报告摘要应当简明扼要地反映经济行为、评估目的、评估对象和评估范围、价值类型、评估基准日、评估方法、评估结论及使用有效期、对评估结论产生影响的特别事项等关键内容。</w:t>
      </w:r>
    </w:p>
    <w:p w14:paraId="1A7E114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资产评估报告摘要应当采用下述文字提醒资产评估报告使用人阅读全文：“以上内容摘自资产评估报告正文，欲了解本评估业务的详细情况和正确理解评估结论，应当阅读资产评估报告正文。”</w:t>
      </w:r>
    </w:p>
    <w:p w14:paraId="2B3EB496">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第三章　正文</w:t>
      </w:r>
    </w:p>
    <w:p w14:paraId="7085A3F5">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第十一条</w:t>
      </w:r>
      <w:r>
        <w:rPr>
          <w:rFonts w:hint="eastAsia" w:ascii="宋体" w:hAnsi="宋体" w:eastAsia="宋体" w:cs="宋体"/>
          <w:color w:val="000000"/>
          <w:kern w:val="0"/>
          <w:sz w:val="24"/>
          <w:shd w:val="clear" w:color="auto" w:fill="FFFFFF"/>
        </w:rPr>
        <w:t>　资产评估报告正文应当包括下列内容：</w:t>
      </w:r>
    </w:p>
    <w:p w14:paraId="7C2EAA9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（一）绪言；</w:t>
      </w:r>
    </w:p>
    <w:p w14:paraId="5C79EE4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（二）委托人、被评估单位及资产评估委托合同约定的其他资产评估报告使用人概况；</w:t>
      </w:r>
    </w:p>
    <w:p w14:paraId="3A59638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（三）评估目的；</w:t>
      </w:r>
    </w:p>
    <w:p w14:paraId="01CD92C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（四）评估对象和评估范围；</w:t>
      </w:r>
    </w:p>
    <w:p w14:paraId="19133D4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（五）价值类型；</w:t>
      </w:r>
    </w:p>
    <w:p w14:paraId="0008F38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（六）评估基准日；</w:t>
      </w:r>
    </w:p>
    <w:p w14:paraId="3A77BA5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（七）评估依据；</w:t>
      </w:r>
    </w:p>
    <w:p w14:paraId="3820E8D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（八）评估方法；</w:t>
      </w:r>
    </w:p>
    <w:p w14:paraId="1081075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（九）评估程序实施过程和情况；</w:t>
      </w:r>
    </w:p>
    <w:p w14:paraId="3A0B871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（十）评估假设；</w:t>
      </w:r>
    </w:p>
    <w:p w14:paraId="57815E5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（十一）评估结论；</w:t>
      </w:r>
    </w:p>
    <w:p w14:paraId="3BC1A3B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（十二）特别事项说明；</w:t>
      </w:r>
    </w:p>
    <w:p w14:paraId="6D31096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（十三）资产评估报告使用限制说明；</w:t>
      </w:r>
    </w:p>
    <w:p w14:paraId="0498291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（十四）资产评估报告日；</w:t>
      </w:r>
    </w:p>
    <w:p w14:paraId="7C11C83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（十五）签名盖章。</w:t>
      </w:r>
    </w:p>
    <w:p w14:paraId="61977C5A">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第十二条</w:t>
      </w:r>
      <w:r>
        <w:rPr>
          <w:rFonts w:hint="eastAsia" w:ascii="宋体" w:hAnsi="宋体" w:eastAsia="宋体" w:cs="宋体"/>
          <w:color w:val="000000"/>
          <w:kern w:val="0"/>
          <w:sz w:val="24"/>
          <w:shd w:val="clear" w:color="auto" w:fill="FFFFFF"/>
        </w:rPr>
        <w:t>　绪言一般采用包含下列内容的表述格式：</w:t>
      </w:r>
    </w:p>
    <w:p w14:paraId="2446242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“×××（委托人全称）：</w:t>
      </w:r>
    </w:p>
    <w:p w14:paraId="0F74DC6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资产评估机构全称）接受贵单位（公司）的委托，按照法律、行政法规和资产评估准则的规定，坚持独立、客观、公正的原则，采用×××评估方法（评估方法名称），按照必要的评估程序，对×××（委托人全称）拟实施×××行为（事宜）涉及的×××（资产——单项资产或者资产组合、企业整体价值、股东全部权益、股东部分权益）在××××年××月××日的××价值（价值类型）进行了评估。现将评估情况报告如下。”</w:t>
      </w:r>
    </w:p>
    <w:p w14:paraId="0E18BEB3">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第十三条</w:t>
      </w:r>
      <w:r>
        <w:rPr>
          <w:rFonts w:hint="eastAsia" w:ascii="宋体" w:hAnsi="宋体" w:eastAsia="宋体" w:cs="宋体"/>
          <w:color w:val="000000"/>
          <w:kern w:val="0"/>
          <w:sz w:val="24"/>
          <w:shd w:val="clear" w:color="auto" w:fill="FFFFFF"/>
        </w:rPr>
        <w:t>　资产评估报告正文应当介绍委托人、被评估单位（或者产权持有单位）及资产评估委托合同约定的其他资产评估报告使用人的概况。</w:t>
      </w:r>
    </w:p>
    <w:p w14:paraId="3A42CF3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（一）委托人和资产评估委托合同约定的其他资产评估报告使用人概况一般包括企业名称及简称、住所、法定代表人、注册资本、股东构成及主要经营范围等。</w:t>
      </w:r>
    </w:p>
    <w:p w14:paraId="573C93A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委托人、资产评估委托合同约定的其他资产评估报告使用人与被评估单位（或者产权持有单位）为同一单位的，按照对被评估单位（或者产权持有单位）的要求编写。</w:t>
      </w:r>
    </w:p>
    <w:p w14:paraId="5849CC3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（二）被评估单位（或者产权持有单位）概况应当按以下要求编写：</w:t>
      </w:r>
    </w:p>
    <w:p w14:paraId="032C80A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1．企业价值评估中，被评估单位（或者产权持有单位）概况一般包括：</w:t>
      </w:r>
    </w:p>
    <w:p w14:paraId="351DF98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（1）企业名称及简称、住所、法定代表人、主要经营范围、经营产品、注册资本、取得金融业务许可证或者主管部门准入批复文件、企业股东及持股比例、企业股权变更等历史沿革情况；</w:t>
      </w:r>
    </w:p>
    <w:p w14:paraId="1909087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（2）被评估单位（或者产权持有单位）主要股东介绍，一般包括主要股东的名称、住所、法定代表人、主要经营范围、注册资本及经营业绩；</w:t>
      </w:r>
    </w:p>
    <w:p w14:paraId="35B0FE2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（3）企业的财务核算体系介绍，近三年资产、财务及经营状况；</w:t>
      </w:r>
    </w:p>
    <w:p w14:paraId="077CF60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（4）企业各子公司、分公司及主要部门的构成情况，并以适当的形式表明各级子公司的股权结构及股权比例；</w:t>
      </w:r>
    </w:p>
    <w:p w14:paraId="7853D0D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5）企业经营特点。如：银行信贷资产的种类、规模及质量等，营业网点及分布情况、市场地位情况等；保险公司的主要险种、保费收入、赔付情况、市场地位等；证券公司的经纪业务、自营业务、承销业务的规模和收入比重，营业网点数量及分布情况，市场地位等。</w:t>
      </w:r>
    </w:p>
    <w:p w14:paraId="0D10A09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2．单项资产或者资产组合评估，被评估单位（或者产权持有单位）概况一般包括企业名称及简称、住所、法定代表人、注册资本、股东构成及主要经营范围等。</w:t>
      </w:r>
    </w:p>
    <w:p w14:paraId="5CC6326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（三）委托人和被评估单位（或者产权持有单位）及资产评估委托合同约定的其他资产评估报告使用人之间的关系，如产权关系、交易关系等。若存在关联交易，应当说明关联方、交易方式等基本情况。</w:t>
      </w:r>
    </w:p>
    <w:p w14:paraId="6CE1D5FE">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第十四条</w:t>
      </w:r>
      <w:r>
        <w:rPr>
          <w:rFonts w:hint="eastAsia" w:ascii="宋体" w:hAnsi="宋体" w:eastAsia="宋体" w:cs="宋体"/>
          <w:color w:val="000000"/>
          <w:kern w:val="0"/>
          <w:sz w:val="24"/>
          <w:shd w:val="clear" w:color="auto" w:fill="FFFFFF"/>
        </w:rPr>
        <w:t>　资产评估报告应当说明本次资产评估的目的及其所对应的经济行为，并说明该经济行为获得批准的相关情况或者其他经济行为依据。</w:t>
      </w:r>
    </w:p>
    <w:p w14:paraId="3C81C08B">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第十五条</w:t>
      </w:r>
      <w:r>
        <w:rPr>
          <w:rFonts w:hint="eastAsia" w:ascii="宋体" w:hAnsi="宋体" w:eastAsia="宋体" w:cs="宋体"/>
          <w:color w:val="000000"/>
          <w:kern w:val="0"/>
          <w:sz w:val="24"/>
          <w:shd w:val="clear" w:color="auto" w:fill="FFFFFF"/>
        </w:rPr>
        <w:t>　资产评估报告应当对评估对象进行具体描述，以文字、表格等方式说明评估范围。</w:t>
      </w:r>
    </w:p>
    <w:p w14:paraId="0824D6E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企业价值评估中，通常需要说明下列内容：</w:t>
      </w:r>
    </w:p>
    <w:p w14:paraId="74DFEF9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（一）委托评估对象和评估范围与经济行为涉及的评估对象和评估范围是否一致，不一致的说明原因，并说明是否经过审计、审计意见类型及审计期间；</w:t>
      </w:r>
    </w:p>
    <w:p w14:paraId="1F20A96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（二）企业表外业务的类型、数量；</w:t>
      </w:r>
    </w:p>
    <w:p w14:paraId="52058AA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（三）企业的客户资源、营销网络及业务合同等无形资产；</w:t>
      </w:r>
    </w:p>
    <w:p w14:paraId="652504A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（四）引用其他机构出具的报告结论所涉及的资产类型、数量和账面金额（或者评估值）。</w:t>
      </w:r>
    </w:p>
    <w:p w14:paraId="080B08F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单项资产或者资产组合评估，通常需要说明委托评估资产的数量、法律权属状况、经济状况等。</w:t>
      </w:r>
    </w:p>
    <w:p w14:paraId="2E279DE9">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第十六条</w:t>
      </w:r>
      <w:r>
        <w:rPr>
          <w:rFonts w:hint="eastAsia" w:ascii="宋体" w:hAnsi="宋体" w:eastAsia="宋体" w:cs="宋体"/>
          <w:color w:val="000000"/>
          <w:kern w:val="0"/>
          <w:sz w:val="24"/>
          <w:shd w:val="clear" w:color="auto" w:fill="FFFFFF"/>
        </w:rPr>
        <w:t>　资产评估报告应当明确价值类型及其定义。选择市场价值以外的价值类型，还应当说明价值类型选择理由。</w:t>
      </w:r>
    </w:p>
    <w:p w14:paraId="0980D681">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第十七条</w:t>
      </w:r>
      <w:r>
        <w:rPr>
          <w:rFonts w:hint="eastAsia" w:ascii="宋体" w:hAnsi="宋体" w:eastAsia="宋体" w:cs="宋体"/>
          <w:color w:val="000000"/>
          <w:kern w:val="0"/>
          <w:sz w:val="24"/>
          <w:shd w:val="clear" w:color="auto" w:fill="FFFFFF"/>
        </w:rPr>
        <w:t>　资产评估报告应当说明评估基准日及确定评估基准日所考虑的主要因素。如：经济行为的实现；会计期末及国家相关部门制定的监管指标变动情况；利率、汇率和金融产品市场价格变化；特定经济行为文件的约束等。</w:t>
      </w:r>
    </w:p>
    <w:p w14:paraId="492ADCB6">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第十八条</w:t>
      </w:r>
      <w:r>
        <w:rPr>
          <w:rFonts w:hint="eastAsia" w:ascii="宋体" w:hAnsi="宋体" w:eastAsia="宋体" w:cs="宋体"/>
          <w:color w:val="000000"/>
          <w:kern w:val="0"/>
          <w:sz w:val="24"/>
          <w:shd w:val="clear" w:color="auto" w:fill="FFFFFF"/>
        </w:rPr>
        <w:t>　资产评估报告应当说明本次评估业务所对应的经济行为、法律法规、评估准则、权属、取价等依据：</w:t>
      </w:r>
    </w:p>
    <w:p w14:paraId="10D7BFF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（一）经济行为依据应当为有效批复文件以及可以说明经济行为及其所涉及的评估对象与评估范围的其他文件资料；</w:t>
      </w:r>
    </w:p>
    <w:p w14:paraId="3696D74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（二）法律法规依据通常包括与金融企业国有资产评估有关的法律法规等；</w:t>
      </w:r>
    </w:p>
    <w:p w14:paraId="3CA60A1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（三）评估准则依据包括评估业务中依据的相关资产评估准则和相关规范；</w:t>
      </w:r>
    </w:p>
    <w:p w14:paraId="2E52AFD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权属依据通常包括国有资产产权登记证书、基准日股份持有证明、出资证明、信贷合同、保险合同、委托理财合同、国有土地使用证（或者国有土地使用权出让合同）、房屋所有权证、房地产权证（或者不动产权证书）、专利证书、商标注册证、著作权（版权）相关权属证明、机动车行驶证、抵债合同、抵押登记资料等其他权属证明文件；</w:t>
      </w:r>
    </w:p>
    <w:p w14:paraId="19CC6B0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（五）取价依据通常包括企业提供的财务会计、经营方面的资料，国家有关部门发布的统计资料、技术标准和政策文件，以及评估机构收集的资本市场资料等。</w:t>
      </w:r>
    </w:p>
    <w:p w14:paraId="211183B7">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第十九条</w:t>
      </w:r>
      <w:r>
        <w:rPr>
          <w:rFonts w:hint="eastAsia" w:ascii="宋体" w:hAnsi="宋体" w:eastAsia="宋体" w:cs="宋体"/>
          <w:color w:val="000000"/>
          <w:kern w:val="0"/>
          <w:sz w:val="24"/>
          <w:shd w:val="clear" w:color="auto" w:fill="FFFFFF"/>
        </w:rPr>
        <w:t>　资产评估报告应当说明所选用的评估方法及其理由。</w:t>
      </w:r>
    </w:p>
    <w:p w14:paraId="3E795C5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未采用两种以上评估方法进行评估，资产评估报告应当披露其他基本评估方法不适用的原因或者所受的操作限制。</w:t>
      </w:r>
    </w:p>
    <w:p w14:paraId="102F9F3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采用收益法、市场法评估的，应当对评估过程及主要参数的选取进行说明。</w:t>
      </w:r>
    </w:p>
    <w:p w14:paraId="0925FD5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采用资产基础法或者成本法评估的，应当对主要资产及负债的评估方法进行说明。</w:t>
      </w:r>
    </w:p>
    <w:p w14:paraId="7027E49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采用两种以上方法进行企业价值评估的，还应当说明评估结论确定的方法。</w:t>
      </w:r>
    </w:p>
    <w:p w14:paraId="2E2A50F8">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第二十条</w:t>
      </w:r>
      <w:r>
        <w:rPr>
          <w:rFonts w:hint="eastAsia" w:ascii="宋体" w:hAnsi="宋体" w:eastAsia="宋体" w:cs="宋体"/>
          <w:color w:val="000000"/>
          <w:kern w:val="0"/>
          <w:sz w:val="24"/>
          <w:shd w:val="clear" w:color="auto" w:fill="FFFFFF"/>
        </w:rPr>
        <w:t>　资产评估报告应当说明自接受资产评估业务委托起至出具资产评估报告的主要评估工作过程，一般包括以下内容：</w:t>
      </w:r>
    </w:p>
    <w:p w14:paraId="488F889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（一）接受项目委托，确定评估目的、评估对象与评估范围、评估基准日，拟定评估计划等过程；</w:t>
      </w:r>
    </w:p>
    <w:p w14:paraId="603CFDE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（二）指导被评估单位清查资产、准备评估资料，核实资产与验证资料等过程；</w:t>
      </w:r>
    </w:p>
    <w:p w14:paraId="5AD23A0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（三）选择评估方法、收集市场信息和估算等过程；</w:t>
      </w:r>
    </w:p>
    <w:p w14:paraId="2E22669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（四）评估结果汇总、评估结论分析、撰写资产评估报告和内部审核等过程。</w:t>
      </w:r>
    </w:p>
    <w:p w14:paraId="0E1EF83D">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第二十一条</w:t>
      </w:r>
      <w:r>
        <w:rPr>
          <w:rFonts w:hint="eastAsia" w:ascii="宋体" w:hAnsi="宋体" w:eastAsia="宋体" w:cs="宋体"/>
          <w:color w:val="000000"/>
          <w:kern w:val="0"/>
          <w:sz w:val="24"/>
          <w:shd w:val="clear" w:color="auto" w:fill="FFFFFF"/>
        </w:rPr>
        <w:t>　资产评估报告应当说明资产评估所使用的假设。</w:t>
      </w:r>
    </w:p>
    <w:p w14:paraId="492BDB8B">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第二十二条</w:t>
      </w:r>
      <w:r>
        <w:rPr>
          <w:rFonts w:hint="eastAsia" w:ascii="宋体" w:hAnsi="宋体" w:eastAsia="宋体" w:cs="宋体"/>
          <w:color w:val="000000"/>
          <w:kern w:val="0"/>
          <w:sz w:val="24"/>
          <w:shd w:val="clear" w:color="auto" w:fill="FFFFFF"/>
        </w:rPr>
        <w:t>　资产评估报告应当以文字和数字形式清晰说明评估结论，并明确评估结论的使用有效期。评估结论通常是确定的数值。特殊经济行为的评估结论也可以用区间值表达：</w:t>
      </w:r>
    </w:p>
    <w:p w14:paraId="7ECD2C5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（一）采用资产基础法进行企业价值评估，应当以文字形式说明资产、负债、所有者权益（净资产）的账面价值、评估价值及其增减幅度，并同时采用评估结果汇总表反映评估结论；</w:t>
      </w:r>
    </w:p>
    <w:p w14:paraId="1DEC11D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（二）单项资产或者资产组合评估，应当以文字形式说明账面价值、评估价值及其增减幅度；</w:t>
      </w:r>
    </w:p>
    <w:p w14:paraId="4B16967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（三）采用两种以上方法进行企业价值评估，除单独说明评估价值和增减幅度外，应当说明两种以上评估方法结论的差异及其原因和最终确定的评估结论及其理由；</w:t>
      </w:r>
    </w:p>
    <w:p w14:paraId="33FDD42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（四）存在多家被评估单位的项目，应当分别说明各单位的评估价值；</w:t>
      </w:r>
    </w:p>
    <w:p w14:paraId="264CFE2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（五）特殊情况下，在与经济行为相匹配的前提下，评估结论可以用区间值表示，同时给出确定数值评估结论的建议。</w:t>
      </w:r>
    </w:p>
    <w:p w14:paraId="58FD96D2">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第二十三条</w:t>
      </w:r>
      <w:r>
        <w:rPr>
          <w:rFonts w:hint="eastAsia" w:ascii="宋体" w:hAnsi="宋体" w:eastAsia="宋体" w:cs="宋体"/>
          <w:color w:val="000000"/>
          <w:kern w:val="0"/>
          <w:sz w:val="24"/>
          <w:shd w:val="clear" w:color="auto" w:fill="FFFFFF"/>
        </w:rPr>
        <w:t>　资产评估报告应当说明评估程序受到的限制、评估特殊处理、评估结论瑕疵以及期后事项等特别事项，通常包括下列内容：　</w:t>
      </w:r>
    </w:p>
    <w:p w14:paraId="18E100E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（一）引用其他机构出具的报告结论情况，并说明承担引用不当的相关责任；</w:t>
      </w:r>
    </w:p>
    <w:p w14:paraId="3E11AC8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（二）因权属资料不全面或者存在瑕疵、评估资料不完整等使评估程序受到限制的情形；</w:t>
      </w:r>
    </w:p>
    <w:p w14:paraId="11CDC70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（三）评估基准日存在的法律、经济等未决事项；</w:t>
      </w:r>
    </w:p>
    <w:p w14:paraId="0F796C2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（四）或有负债（或有资产）的性质、金额及与评估对象的关系；</w:t>
      </w:r>
    </w:p>
    <w:p w14:paraId="3C8E63A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（五）被评估单位执行国家相关部门制定的行业监管指标的情况；</w:t>
      </w:r>
    </w:p>
    <w:p w14:paraId="483D787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（六）评估基准日至资产评估报告日之间可能对评估结论产生重大影响的事项，包括该期间利率、汇率、金融产品市场价格变化及国家对金融企业监管政策的变化等；</w:t>
      </w:r>
    </w:p>
    <w:p w14:paraId="34C09C5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（七）评估对应的经济行为中，可能对评估结论产生重大影响的瑕疵情形。</w:t>
      </w:r>
    </w:p>
    <w:p w14:paraId="2AE528E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资产评估报告应当说明对特别事项的处理方式、特别事项对评估结论可能产生的影响，并提示资产评估报告使用人关注其对经济行为的影响。</w:t>
      </w:r>
    </w:p>
    <w:p w14:paraId="0A7DC6A3">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第二十四条</w:t>
      </w:r>
      <w:r>
        <w:rPr>
          <w:rFonts w:hint="eastAsia" w:ascii="宋体" w:hAnsi="宋体" w:eastAsia="宋体" w:cs="宋体"/>
          <w:color w:val="000000"/>
          <w:kern w:val="0"/>
          <w:sz w:val="24"/>
          <w:shd w:val="clear" w:color="auto" w:fill="FFFFFF"/>
        </w:rPr>
        <w:t>　资产评估报告使用限制应当载明：</w:t>
      </w:r>
    </w:p>
    <w:p w14:paraId="2325822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（一）使用范围；</w:t>
      </w:r>
    </w:p>
    <w:p w14:paraId="42C2EBF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（二）委托人或者其他资产评估报告使用人未按照法律、行政法规规定和资产评估报告载明的使用范围使用资产评估报告的，资产评估机构及其资产评估专业人员不承担责任；</w:t>
      </w:r>
    </w:p>
    <w:p w14:paraId="4706725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（三）除委托人、资产评估委托合同中约定的其他资产评估报告使用人和法律、行政法规规定的资产评估报告使用人之外，其他任何机构和个人不能成为资产评估报告的使用人；</w:t>
      </w:r>
    </w:p>
    <w:p w14:paraId="41937CC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（四）资产评估报告使用人应当正确理解评估结论，评估结论不等同于评估对象可实现价格，评估结论不应当被认为是对评估对象可实现价格的保证。</w:t>
      </w:r>
    </w:p>
    <w:p w14:paraId="5528C71E">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第二十五条</w:t>
      </w:r>
      <w:r>
        <w:rPr>
          <w:rFonts w:hint="eastAsia" w:ascii="宋体" w:hAnsi="宋体" w:eastAsia="宋体" w:cs="宋体"/>
          <w:color w:val="000000"/>
          <w:kern w:val="0"/>
          <w:sz w:val="24"/>
          <w:shd w:val="clear" w:color="auto" w:fill="FFFFFF"/>
        </w:rPr>
        <w:t>　资产评估报告应当载明资产评估报告日。</w:t>
      </w:r>
    </w:p>
    <w:p w14:paraId="1386F68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资产评估报告日通常为评估结论形成的日期，可以不同于资产评估报告的签发日。</w:t>
      </w:r>
    </w:p>
    <w:p w14:paraId="43088027">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第二十六条</w:t>
      </w:r>
      <w:r>
        <w:rPr>
          <w:rFonts w:hint="eastAsia" w:ascii="宋体" w:hAnsi="宋体" w:eastAsia="宋体" w:cs="宋体"/>
          <w:color w:val="000000"/>
          <w:kern w:val="0"/>
          <w:sz w:val="24"/>
          <w:shd w:val="clear" w:color="auto" w:fill="FFFFFF"/>
        </w:rPr>
        <w:t>　资产评估报告正文应当由至少两名承办该评估业务的资产评估师签名，并加盖资产评估机构印章。</w:t>
      </w:r>
    </w:p>
    <w:p w14:paraId="430C328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声明、摘要和评估明细表上通常不需要另行签名盖章。</w:t>
      </w:r>
    </w:p>
    <w:p w14:paraId="707FED29">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第四章　附件</w:t>
      </w:r>
    </w:p>
    <w:p w14:paraId="6293C113">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第二十七条</w:t>
      </w:r>
      <w:r>
        <w:rPr>
          <w:rFonts w:hint="eastAsia" w:ascii="宋体" w:hAnsi="宋体" w:eastAsia="宋体" w:cs="宋体"/>
          <w:color w:val="000000"/>
          <w:kern w:val="0"/>
          <w:sz w:val="24"/>
          <w:shd w:val="clear" w:color="auto" w:fill="FFFFFF"/>
        </w:rPr>
        <w:t>　资产评估报告附件内容应当与评估目的、评估方法、评估结论相关联。资产评估报告附件通常包括下列文件：</w:t>
      </w:r>
    </w:p>
    <w:p w14:paraId="046A675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（一）与评估目的相对应的经济行为文件；</w:t>
      </w:r>
    </w:p>
    <w:p w14:paraId="52BD9E2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（二）被评估单位的财务报表及审计报告；</w:t>
      </w:r>
    </w:p>
    <w:p w14:paraId="765AB6B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（三）委托人和被评估单位法人营业执照；</w:t>
      </w:r>
    </w:p>
    <w:p w14:paraId="6DE870C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（四）被评估单位金融业务许可证；</w:t>
      </w:r>
    </w:p>
    <w:p w14:paraId="4BC1583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（五）委托人和被评估单位产权登记证；</w:t>
      </w:r>
    </w:p>
    <w:p w14:paraId="5F4D597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（六）评估对象涉及的主要权属证明资料；</w:t>
      </w:r>
    </w:p>
    <w:p w14:paraId="7EF41D4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（七）委托人和其他相关当事人的承诺函；</w:t>
      </w:r>
    </w:p>
    <w:p w14:paraId="2120DED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（八）签名资产评估师的承诺函；</w:t>
      </w:r>
    </w:p>
    <w:p w14:paraId="6375595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（九）资产评估机构备案文件或者资格证明文件；</w:t>
      </w:r>
    </w:p>
    <w:p w14:paraId="4A33724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（十）资产评估机构法人营业执照副本；</w:t>
      </w:r>
    </w:p>
    <w:p w14:paraId="2218453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（十一）负责该评估业务的资产评估师资格证明文件；</w:t>
      </w:r>
    </w:p>
    <w:p w14:paraId="4FB165D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（十二）资产评估委托合同；</w:t>
      </w:r>
    </w:p>
    <w:p w14:paraId="10BA4BE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（十三）其他重要文件。</w:t>
      </w:r>
    </w:p>
    <w:p w14:paraId="780B6466">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第二十八条</w:t>
      </w:r>
      <w:r>
        <w:rPr>
          <w:rFonts w:hint="eastAsia" w:ascii="宋体" w:hAnsi="宋体" w:eastAsia="宋体" w:cs="宋体"/>
          <w:color w:val="000000"/>
          <w:kern w:val="0"/>
          <w:sz w:val="24"/>
          <w:shd w:val="clear" w:color="auto" w:fill="FFFFFF"/>
        </w:rPr>
        <w:t>　资产评估报告附件内容及其所涉及的签章应当清晰、完整，相关内容应当与资产评估报告摘要、正文一致。资产评估报告附件为复印件的，应当与原件一致。</w:t>
      </w:r>
    </w:p>
    <w:p w14:paraId="48BAB559">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第二十九条</w:t>
      </w:r>
      <w:r>
        <w:rPr>
          <w:rFonts w:hint="eastAsia" w:ascii="宋体" w:hAnsi="宋体" w:eastAsia="宋体" w:cs="宋体"/>
          <w:color w:val="000000"/>
          <w:kern w:val="0"/>
          <w:sz w:val="24"/>
          <w:shd w:val="clear" w:color="auto" w:fill="FFFFFF"/>
        </w:rPr>
        <w:t>　企业确认的与经济行为相对应的评估基准日企业财务报表应当作为资产评估报告附件，按照法律、行政法规规定需要进行审计的，审计报告（含会计报表和附注）应当作为资产评估报告附件。</w:t>
      </w:r>
    </w:p>
    <w:p w14:paraId="5F9D111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引用其他机构出具的报告结论，根据现行有关规定，需要经相应主管部门批准（备案）的，应当将相应主管部门的批准（备案）文件作为资产评估报告的附件。</w:t>
      </w:r>
    </w:p>
    <w:p w14:paraId="30EB3806">
      <w:pPr>
        <w:shd w:val="clear" w:color="auto" w:fill="FFFFFF"/>
        <w:spacing w:line="440" w:lineRule="atLeast"/>
        <w:jc w:val="center"/>
        <w:rPr>
          <w:rFonts w:ascii="黑体" w:hAnsi="黑体" w:eastAsia="黑体" w:cs="黑体"/>
          <w:bCs/>
          <w:color w:val="000000"/>
          <w:kern w:val="0"/>
          <w:sz w:val="28"/>
          <w:szCs w:val="28"/>
          <w:shd w:val="clear" w:color="auto" w:fill="FFFFFF"/>
        </w:rPr>
      </w:pPr>
      <w:bookmarkStart w:id="117" w:name="_Toc273187693"/>
      <w:bookmarkStart w:id="118" w:name="_Toc273205914"/>
      <w:r>
        <w:rPr>
          <w:rFonts w:hint="eastAsia" w:ascii="黑体" w:hAnsi="黑体" w:eastAsia="黑体" w:cs="黑体"/>
          <w:bCs/>
          <w:color w:val="000000"/>
          <w:kern w:val="0"/>
          <w:sz w:val="28"/>
          <w:szCs w:val="28"/>
          <w:shd w:val="clear" w:color="auto" w:fill="FFFFFF"/>
        </w:rPr>
        <w:t>第五章　评估明细表</w:t>
      </w:r>
    </w:p>
    <w:p w14:paraId="500EF47A">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第三十条</w:t>
      </w:r>
      <w:r>
        <w:rPr>
          <w:rFonts w:hint="eastAsia" w:ascii="宋体" w:hAnsi="宋体" w:eastAsia="宋体" w:cs="宋体"/>
          <w:color w:val="000000"/>
          <w:kern w:val="0"/>
          <w:sz w:val="24"/>
          <w:shd w:val="clear" w:color="auto" w:fill="FFFFFF"/>
        </w:rPr>
        <w:t>　评估明细表可以根据本指南的基本要求和企业会计核算所设置的会计科目，结合评估方法特点进行编制。</w:t>
      </w:r>
    </w:p>
    <w:p w14:paraId="2BE8EDD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（一）单项资产或者资产组合评估、采用资产基础法进行企业价值评估，评估明细表包括按会计科目设置的资产、负债评估明细表和各级汇总表；</w:t>
      </w:r>
    </w:p>
    <w:p w14:paraId="651BCBD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（二）采用收益法进行企业价值评估，可以根据收益法评估参数和盈利预测项目的构成等具体情况设计评估明细表的格式和内容；</w:t>
      </w:r>
    </w:p>
    <w:p w14:paraId="147972F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（三）采用市场法进行企业价值评估，可以根据评估技术说明的详略程度决定是否单独编制符合市场法特点的评估明细表。</w:t>
      </w:r>
    </w:p>
    <w:p w14:paraId="5A64F933">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第三十一条</w:t>
      </w:r>
      <w:r>
        <w:rPr>
          <w:rFonts w:hint="eastAsia" w:ascii="宋体" w:hAnsi="宋体" w:eastAsia="宋体" w:cs="宋体"/>
          <w:color w:val="000000"/>
          <w:kern w:val="0"/>
          <w:sz w:val="24"/>
          <w:shd w:val="clear" w:color="auto" w:fill="FFFFFF"/>
        </w:rPr>
        <w:t>　资产负债会计科目的评估明细表格式和内容基本要求如下：</w:t>
      </w:r>
    </w:p>
    <w:p w14:paraId="0D8C7E6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（一）表头应当含有资产或负债类型（会计科目）名称、被评估单位、评估基准日、表号、金额单位、页码。</w:t>
      </w:r>
    </w:p>
    <w:p w14:paraId="002B2E3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（二）表中应当含有资产负债的名称（明细）、经营业务或者事项内容、技术参数、发生（购、建、创）日期、账面价值、评估价值、评估增减幅度及备注等基本内容。</w:t>
      </w:r>
    </w:p>
    <w:p w14:paraId="6512646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（三）表尾应当标明被评估单位填表人员、填表日期和评估人员。</w:t>
      </w:r>
    </w:p>
    <w:p w14:paraId="7D1BB7B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（四）评估明细表按会计明细科目、一级科目逐级汇总，并编制资产负债表的评估汇总表及以人民币万元为金额单位的评估结果汇总表。</w:t>
      </w:r>
    </w:p>
    <w:p w14:paraId="75A36E5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（五）会计计提的减值准备在相应会计科目合计项下和相关科目汇总表中列示。</w:t>
      </w:r>
    </w:p>
    <w:p w14:paraId="2DF4B27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（六）评估结果汇总表应当按以下顺序和项目内容列示：资产、负债、净资产等类别和项目。</w:t>
      </w:r>
    </w:p>
    <w:p w14:paraId="50F28EBE">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第三十二条</w:t>
      </w:r>
      <w:r>
        <w:rPr>
          <w:rFonts w:hint="eastAsia" w:ascii="宋体" w:hAnsi="宋体" w:eastAsia="宋体" w:cs="宋体"/>
          <w:color w:val="000000"/>
          <w:kern w:val="0"/>
          <w:sz w:val="24"/>
          <w:shd w:val="clear" w:color="auto" w:fill="FFFFFF"/>
        </w:rPr>
        <w:t>　不同类型金融企业业务模式不同，适用的收益法评估明细表也有所区别。</w:t>
      </w:r>
    </w:p>
    <w:p w14:paraId="56F0BC6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（一）采用股权自由现金流折现模型，通常编制财务报表调整表（如果有调整）、现金流量测算表、收入预测表、支出预测表、所有者权益变动表、其他综合收益预测表、折现率测算表。</w:t>
      </w:r>
    </w:p>
    <w:p w14:paraId="31BADEE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（二）采用企业自由现金流折现模型，通常编制财务报表调整表（如果有调整）、现金流量测算表、收入预测表、支出预测表、折旧摊销预测表、资本性支出预测表、净流动资金增加额预测表、折现率测算表。</w:t>
      </w:r>
    </w:p>
    <w:p w14:paraId="75DDAEB3">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第三十三条</w:t>
      </w:r>
      <w:r>
        <w:rPr>
          <w:rFonts w:hint="eastAsia" w:ascii="宋体" w:hAnsi="宋体" w:eastAsia="宋体" w:cs="宋体"/>
          <w:color w:val="000000"/>
          <w:kern w:val="0"/>
          <w:sz w:val="24"/>
          <w:shd w:val="clear" w:color="auto" w:fill="FFFFFF"/>
        </w:rPr>
        <w:t>　收益法评估明细表表头应当含有评估参数或者预测项目名称、被评估单位、评估基准日、表号、金额单位等。</w:t>
      </w:r>
    </w:p>
    <w:p w14:paraId="1882F4B4">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第三十四条</w:t>
      </w:r>
      <w:r>
        <w:rPr>
          <w:rFonts w:hint="eastAsia" w:ascii="宋体" w:hAnsi="宋体" w:eastAsia="宋体" w:cs="宋体"/>
          <w:color w:val="000000"/>
          <w:kern w:val="0"/>
          <w:sz w:val="24"/>
          <w:shd w:val="clear" w:color="auto" w:fill="FFFFFF"/>
        </w:rPr>
        <w:t>　被评估单位有两家以上分支机构的，评估明细表应当根据企业的组织架构、核算方式等因素合理编制。</w:t>
      </w:r>
    </w:p>
    <w:p w14:paraId="4650EB71">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第六章　评估说明</w:t>
      </w:r>
    </w:p>
    <w:p w14:paraId="0A11AAF4">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第三十五条</w:t>
      </w:r>
      <w:r>
        <w:rPr>
          <w:rFonts w:hint="eastAsia" w:ascii="宋体" w:hAnsi="宋体" w:eastAsia="宋体" w:cs="宋体"/>
          <w:color w:val="000000"/>
          <w:kern w:val="0"/>
          <w:sz w:val="24"/>
          <w:shd w:val="clear" w:color="auto" w:fill="FFFFFF"/>
        </w:rPr>
        <w:t>　评估说明包括评估说明使用范围声明、委托人和被评估单位编写的《企业关于进行资产评估有关事项的说明》和资产评估师编制的《资产评估说明》。</w:t>
      </w:r>
    </w:p>
    <w:p w14:paraId="3AD9F3BE">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第三十六条</w:t>
      </w:r>
      <w:r>
        <w:rPr>
          <w:rFonts w:hint="eastAsia" w:ascii="宋体" w:hAnsi="宋体" w:eastAsia="宋体" w:cs="宋体"/>
          <w:color w:val="000000"/>
          <w:kern w:val="0"/>
          <w:sz w:val="24"/>
          <w:shd w:val="clear" w:color="auto" w:fill="FFFFFF"/>
        </w:rPr>
        <w:t>　关于评估说明使用范围的声明，应当写明评估说明使用单位或者部门的范围及限制条款。</w:t>
      </w:r>
    </w:p>
    <w:p w14:paraId="7922AB3D">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第三十七条</w:t>
      </w:r>
      <w:r>
        <w:rPr>
          <w:rFonts w:hint="eastAsia" w:ascii="宋体" w:hAnsi="宋体" w:eastAsia="宋体" w:cs="宋体"/>
          <w:color w:val="000000"/>
          <w:kern w:val="0"/>
          <w:sz w:val="24"/>
          <w:shd w:val="clear" w:color="auto" w:fill="FFFFFF"/>
        </w:rPr>
        <w:t>　委托人和被评估单位可以共同编写或者分别编写《企业关于进行资产评估有关事项的说明》。委托人单位负责人和被评估单位负责人应当对所编写的说明签名，加盖相应单位公章并签署日期。</w:t>
      </w:r>
    </w:p>
    <w:p w14:paraId="62A6277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《企业关于进行资产评估有关事项的说明》包括以下内容：</w:t>
      </w:r>
    </w:p>
    <w:p w14:paraId="3C5E007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（一）委托人、被评估单位各自概况；</w:t>
      </w:r>
    </w:p>
    <w:p w14:paraId="1A7596D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（二）关于经济行为的说明；</w:t>
      </w:r>
    </w:p>
    <w:p w14:paraId="5F8EC31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（三）关于评估对象与评估范围的说明；</w:t>
      </w:r>
    </w:p>
    <w:p w14:paraId="62377FA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（四）关于评估基准日的说明；</w:t>
      </w:r>
    </w:p>
    <w:p w14:paraId="712ECD8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（五）可能影响评估工作的重大事项说明；</w:t>
      </w:r>
    </w:p>
    <w:p w14:paraId="35F2A09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（六）资产负债情况、未来经营和收益状况预测说明；</w:t>
      </w:r>
    </w:p>
    <w:p w14:paraId="1FA248E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（七）资料清单。</w:t>
      </w:r>
    </w:p>
    <w:p w14:paraId="3D81BD72">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第三十八条</w:t>
      </w:r>
      <w:r>
        <w:rPr>
          <w:rFonts w:hint="eastAsia" w:ascii="宋体" w:hAnsi="宋体" w:eastAsia="宋体" w:cs="宋体"/>
          <w:color w:val="000000"/>
          <w:kern w:val="0"/>
          <w:sz w:val="24"/>
          <w:shd w:val="clear" w:color="auto" w:fill="FFFFFF"/>
        </w:rPr>
        <w:t>　资产评估说明是对评估对象进行核实、评定估算过程的详细说明，应当包括以下内容：</w:t>
      </w:r>
    </w:p>
    <w:p w14:paraId="0F2CF61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（一）评估对象与评估范围说明；</w:t>
      </w:r>
    </w:p>
    <w:p w14:paraId="2CC62F8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（二）资产核实总体情况说明；</w:t>
      </w:r>
    </w:p>
    <w:p w14:paraId="68835B4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（三）评估技术说明；</w:t>
      </w:r>
    </w:p>
    <w:p w14:paraId="0B8D1E8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（四）评估结论及分析。</w:t>
      </w:r>
    </w:p>
    <w:p w14:paraId="56C27ECA">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第三十九条</w:t>
      </w:r>
      <w:r>
        <w:rPr>
          <w:rFonts w:hint="eastAsia" w:ascii="宋体" w:hAnsi="宋体" w:eastAsia="宋体" w:cs="宋体"/>
          <w:color w:val="000000"/>
          <w:kern w:val="0"/>
          <w:sz w:val="24"/>
          <w:shd w:val="clear" w:color="auto" w:fill="FFFFFF"/>
        </w:rPr>
        <w:t>　评估对象与评估范围说明应当根据企业价值评估、单项资产或者资产组合评估的不同情况确定内容的详略程度。</w:t>
      </w:r>
    </w:p>
    <w:p w14:paraId="72698A64">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第四十条</w:t>
      </w:r>
      <w:r>
        <w:rPr>
          <w:rFonts w:hint="eastAsia" w:ascii="宋体" w:hAnsi="宋体" w:eastAsia="宋体" w:cs="宋体"/>
          <w:color w:val="000000"/>
          <w:kern w:val="0"/>
          <w:sz w:val="24"/>
          <w:shd w:val="clear" w:color="auto" w:fill="FFFFFF"/>
        </w:rPr>
        <w:t>　资产核实总体情况说明通常包括人员组织、实施时间、核实过程、影响事项及处理方法、核实结论等。</w:t>
      </w:r>
    </w:p>
    <w:p w14:paraId="1F4F7C3D">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第四十一条</w:t>
      </w:r>
      <w:r>
        <w:rPr>
          <w:rFonts w:hint="eastAsia" w:ascii="宋体" w:hAnsi="宋体" w:eastAsia="宋体" w:cs="宋体"/>
          <w:color w:val="000000"/>
          <w:kern w:val="0"/>
          <w:sz w:val="24"/>
          <w:shd w:val="clear" w:color="auto" w:fill="FFFFFF"/>
        </w:rPr>
        <w:t>　评估技术说明应当考虑不同经济行为和不同评估方法的特点介绍评定估算的思路及过程。</w:t>
      </w:r>
    </w:p>
    <w:p w14:paraId="0A0EAFE9">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第四十二条</w:t>
      </w:r>
      <w:r>
        <w:rPr>
          <w:rFonts w:hint="eastAsia" w:ascii="宋体" w:hAnsi="宋体" w:eastAsia="宋体" w:cs="宋体"/>
          <w:color w:val="000000"/>
          <w:kern w:val="0"/>
          <w:sz w:val="24"/>
          <w:shd w:val="clear" w:color="auto" w:fill="FFFFFF"/>
        </w:rPr>
        <w:t>　采用成本法评估单项资产或者资产组合、采用资产基础法评估企业价值，应当根据评估业务的具体情况以及资产负债类型编写评估技术说明。各项资产负债评估技术说明应当包含资产负债的内容和金额、核实方法、评估值确定的方法和结论等基本内容。</w:t>
      </w:r>
    </w:p>
    <w:p w14:paraId="1CBD0E74">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第四十三条</w:t>
      </w:r>
      <w:r>
        <w:rPr>
          <w:rFonts w:hint="eastAsia" w:ascii="宋体" w:hAnsi="宋体" w:eastAsia="宋体" w:cs="宋体"/>
          <w:color w:val="000000"/>
          <w:kern w:val="0"/>
          <w:sz w:val="24"/>
          <w:shd w:val="clear" w:color="auto" w:fill="FFFFFF"/>
        </w:rPr>
        <w:t>　采用收益法或者市场法评估企业价值，评估技术说明通常包括以下内容：　</w:t>
      </w:r>
    </w:p>
    <w:p w14:paraId="586FA5F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（一）影响企业经营的宏观、区域经济因素；</w:t>
      </w:r>
    </w:p>
    <w:p w14:paraId="6BFEA37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（二）所在行业现状与发展前景；</w:t>
      </w:r>
    </w:p>
    <w:p w14:paraId="7A84037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（三）企业的业务情况；</w:t>
      </w:r>
    </w:p>
    <w:p w14:paraId="05079D8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（四）企业的资产、财务分析和调整情况；</w:t>
      </w:r>
    </w:p>
    <w:p w14:paraId="50B21D8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（五）评估方法的运用过程。</w:t>
      </w:r>
    </w:p>
    <w:p w14:paraId="73D0E5ED">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第四十四条</w:t>
      </w:r>
      <w:r>
        <w:rPr>
          <w:rFonts w:hint="eastAsia" w:ascii="宋体" w:hAnsi="宋体" w:eastAsia="宋体" w:cs="宋体"/>
          <w:color w:val="000000"/>
          <w:kern w:val="0"/>
          <w:sz w:val="24"/>
          <w:shd w:val="clear" w:color="auto" w:fill="FFFFFF"/>
        </w:rPr>
        <w:t>　采用收益法进行企业价值评估，应当根据行业特点、企业经营方式和所确定的预期收益口径以及评估的其他具体情况等编写评估技术说明。企业的资产、财务分析和调整情况以及评估方法运用过程说明通常包括以下内容：</w:t>
      </w:r>
    </w:p>
    <w:p w14:paraId="7F32CC5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（一）收益法的应用前提及选择理由和依据；</w:t>
      </w:r>
    </w:p>
    <w:p w14:paraId="4D48E66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（二）收益预测的假设条件；</w:t>
      </w:r>
    </w:p>
    <w:p w14:paraId="01BA10A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（三）企业经营、资产、财务分析；</w:t>
      </w:r>
    </w:p>
    <w:p w14:paraId="315B47A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（四）收益模型选择理由及基本参数说明；</w:t>
      </w:r>
    </w:p>
    <w:p w14:paraId="421DCAB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（五）收益期限及预测期的说明；</w:t>
      </w:r>
    </w:p>
    <w:p w14:paraId="73AEAFC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（六）收益预测的说明；</w:t>
      </w:r>
    </w:p>
    <w:p w14:paraId="054275F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（七）折现率的确定说明；</w:t>
      </w:r>
    </w:p>
    <w:p w14:paraId="6489B89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（八）预测期后价值确定说明；</w:t>
      </w:r>
    </w:p>
    <w:p w14:paraId="7D38906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（九）其他资产和负债评估说明；</w:t>
      </w:r>
    </w:p>
    <w:p w14:paraId="3218CB1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（十）评估价值。</w:t>
      </w:r>
    </w:p>
    <w:p w14:paraId="1F5A5BB6">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第四十五条</w:t>
      </w:r>
      <w:r>
        <w:rPr>
          <w:rFonts w:hint="eastAsia" w:ascii="宋体" w:hAnsi="宋体" w:eastAsia="宋体" w:cs="宋体"/>
          <w:color w:val="000000"/>
          <w:kern w:val="0"/>
          <w:sz w:val="24"/>
          <w:shd w:val="clear" w:color="auto" w:fill="FFFFFF"/>
        </w:rPr>
        <w:t>　采用市场法进行企业价值评估，应当根据行业特点、被评估单位实际情况以及上市公司比较法或者交易案例比较法的特点等编写评估技术说明。企业的资产、财务分析和调整情况以及评估方法运用过程说明通常包括以下内容：</w:t>
      </w:r>
    </w:p>
    <w:p w14:paraId="198C10B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（一）具体方法、应用前提及选择理由；</w:t>
      </w:r>
    </w:p>
    <w:p w14:paraId="7A9489A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（二）企业经营、资产、财务分析；</w:t>
      </w:r>
    </w:p>
    <w:p w14:paraId="675AACD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（三）分析选取确定可比企业或者交易案例的说明；</w:t>
      </w:r>
    </w:p>
    <w:p w14:paraId="20C0FFA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（四）价值比率的选择及因素修正说明；</w:t>
      </w:r>
    </w:p>
    <w:p w14:paraId="5AF4315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（五）评估对象价值比率的测算说明；</w:t>
      </w:r>
    </w:p>
    <w:p w14:paraId="6D8B1C8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（六）评估价值。</w:t>
      </w:r>
    </w:p>
    <w:p w14:paraId="50A0EB86">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第四十六条</w:t>
      </w:r>
      <w:r>
        <w:rPr>
          <w:rFonts w:hint="eastAsia" w:ascii="宋体" w:hAnsi="宋体" w:eastAsia="宋体" w:cs="宋体"/>
          <w:color w:val="000000"/>
          <w:kern w:val="0"/>
          <w:sz w:val="24"/>
          <w:shd w:val="clear" w:color="auto" w:fill="FFFFFF"/>
        </w:rPr>
        <w:t>　评估结论及分析通常包括：</w:t>
      </w:r>
    </w:p>
    <w:p w14:paraId="120E105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（一）评估结论。采用两种或者两种以上方法进行企业价值评估，应当说明不同评估方法结果的差异及其原因和最终确定评估结论的理由。</w:t>
      </w:r>
    </w:p>
    <w:p w14:paraId="2B8381C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（二）评估价值与账面价值比较变动情况及说明。</w:t>
      </w:r>
    </w:p>
    <w:p w14:paraId="1C4D8A2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（三）折价或者溢价情况（如有）。</w:t>
      </w:r>
    </w:p>
    <w:bookmarkEnd w:id="117"/>
    <w:bookmarkEnd w:id="118"/>
    <w:p w14:paraId="2511F31C">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第七章　出具与装订</w:t>
      </w:r>
    </w:p>
    <w:p w14:paraId="72572978">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第四十七条</w:t>
      </w:r>
      <w:r>
        <w:rPr>
          <w:rFonts w:hint="eastAsia" w:ascii="宋体" w:hAnsi="宋体" w:eastAsia="宋体" w:cs="宋体"/>
          <w:color w:val="000000"/>
          <w:kern w:val="0"/>
          <w:sz w:val="24"/>
          <w:shd w:val="clear" w:color="auto" w:fill="FFFFFF"/>
        </w:rPr>
        <w:t>　资产评估报告应当使用中文撰写。需要同时出具外文资产评估报告的，以中文资产评估报告为准。</w:t>
      </w:r>
    </w:p>
    <w:p w14:paraId="34FF067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评估结论一般以人民币为计量币种，使用其他币种表示的，应当注明该币种与人民币在评估基准日的汇率。</w:t>
      </w:r>
    </w:p>
    <w:p w14:paraId="47EC9099">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第四十八条</w:t>
      </w:r>
      <w:r>
        <w:rPr>
          <w:rFonts w:hint="eastAsia" w:ascii="宋体" w:hAnsi="宋体" w:eastAsia="宋体" w:cs="宋体"/>
          <w:color w:val="000000"/>
          <w:kern w:val="0"/>
          <w:sz w:val="24"/>
          <w:shd w:val="clear" w:color="auto" w:fill="FFFFFF"/>
        </w:rPr>
        <w:t>　资产评估报告封面应当载明资产评估报告标题及文号、资产评估机构全称和资产评估报告日。</w:t>
      </w:r>
    </w:p>
    <w:p w14:paraId="4DFE17F7">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第四十九条</w:t>
      </w:r>
      <w:r>
        <w:rPr>
          <w:rFonts w:hint="eastAsia" w:ascii="宋体" w:hAnsi="宋体" w:eastAsia="宋体" w:cs="宋体"/>
          <w:color w:val="000000"/>
          <w:kern w:val="0"/>
          <w:sz w:val="24"/>
          <w:shd w:val="clear" w:color="auto" w:fill="FFFFFF"/>
        </w:rPr>
        <w:t>　资产评估报告标题及文号一般在封面上方居中位置，资产评估机构名称及资产评估报告日应当在封面下方居中位置。资产评估报告应当用A4规格纸张印刷。</w:t>
      </w:r>
    </w:p>
    <w:p w14:paraId="3174F188">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第五十条</w:t>
      </w:r>
      <w:r>
        <w:rPr>
          <w:rFonts w:hint="eastAsia" w:ascii="宋体" w:hAnsi="宋体" w:eastAsia="宋体" w:cs="宋体"/>
          <w:color w:val="000000"/>
          <w:kern w:val="0"/>
          <w:sz w:val="24"/>
          <w:shd w:val="clear" w:color="auto" w:fill="FFFFFF"/>
        </w:rPr>
        <w:t>　资产评估报告一般分册装订，各册应当具有独立的目录。</w:t>
      </w:r>
    </w:p>
    <w:p w14:paraId="732E345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声明、摘要、正文和附件合订成册，其目录中应当含有其他册的目录，但其他册目录的页码不予标注。评估说明和评估明细表一般分别独立成册。必要时附件可以独立成册。</w:t>
      </w:r>
    </w:p>
    <w:p w14:paraId="4BF70E9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单独成册的，其封面格式、标题中的“企业名称+经济行为关键词+评估对象”及文号等应当与资产评估报告保持一致。</w:t>
      </w:r>
    </w:p>
    <w:p w14:paraId="3A8A521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评估明细表一般按会计科目顺序装订。</w:t>
      </w:r>
    </w:p>
    <w:p w14:paraId="12EA1997">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第五十一条</w:t>
      </w:r>
      <w:r>
        <w:rPr>
          <w:rFonts w:hint="eastAsia" w:ascii="宋体" w:hAnsi="宋体" w:eastAsia="宋体" w:cs="宋体"/>
          <w:color w:val="000000"/>
          <w:kern w:val="0"/>
          <w:sz w:val="24"/>
          <w:shd w:val="clear" w:color="auto" w:fill="FFFFFF"/>
        </w:rPr>
        <w:t>　资产评估报告封底或者其他适当位置应当标注资产评估机构名称、地址、邮政编码、联系电话、传真、电子邮箱等。</w:t>
      </w:r>
    </w:p>
    <w:p w14:paraId="74286149">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第八章　附则</w:t>
      </w:r>
    </w:p>
    <w:p w14:paraId="76C7AE00">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第五十二条</w:t>
      </w:r>
      <w:r>
        <w:rPr>
          <w:rFonts w:hint="eastAsia" w:ascii="宋体" w:hAnsi="宋体" w:eastAsia="宋体" w:cs="宋体"/>
          <w:color w:val="000000"/>
          <w:kern w:val="0"/>
          <w:sz w:val="24"/>
          <w:shd w:val="clear" w:color="auto" w:fill="FFFFFF"/>
        </w:rPr>
        <w:t>　本指南自2017年10月1日起施行。中国资产评估协会于2011年12月30日发布的《关于修改评估报告等准则中有关签章条款的通知》（中评协〔2011〕230号）中的《金融企业国有资产评估报告指南》同时废止。</w:t>
      </w:r>
    </w:p>
    <w:p w14:paraId="3A1446E9">
      <w:pPr>
        <w:shd w:val="clear" w:color="auto" w:fill="FFFFFF"/>
        <w:spacing w:line="440" w:lineRule="atLeast"/>
        <w:ind w:firstLine="480" w:firstLineChars="200"/>
        <w:rPr>
          <w:rFonts w:ascii="宋体" w:hAnsi="宋体" w:eastAsia="宋体" w:cs="宋体"/>
          <w:color w:val="000000"/>
          <w:kern w:val="0"/>
          <w:sz w:val="24"/>
          <w:shd w:val="clear" w:color="auto" w:fill="FFFFFF"/>
        </w:rPr>
      </w:pPr>
    </w:p>
    <w:p w14:paraId="363CE58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附1：“声明”编写指引（供参考）</w:t>
      </w:r>
    </w:p>
    <w:p w14:paraId="098DFD6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附2：“资产评估师承诺函”编写指引（供参考）</w:t>
      </w:r>
    </w:p>
    <w:p w14:paraId="333BDCE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附3：《企业关于进行资产评估有关事项的说明》编写指引（供参考）</w:t>
      </w:r>
    </w:p>
    <w:p w14:paraId="6F99669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附4：《资产评估说明》编写指引（供参考）</w:t>
      </w:r>
    </w:p>
    <w:p w14:paraId="2A46890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br w:type="page"/>
      </w:r>
    </w:p>
    <w:p w14:paraId="1F4FB54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附1：</w:t>
      </w:r>
    </w:p>
    <w:p w14:paraId="2A3B8732">
      <w:pPr>
        <w:shd w:val="clear" w:color="auto" w:fill="FFFFFF"/>
        <w:spacing w:line="440" w:lineRule="atLeast"/>
        <w:jc w:val="center"/>
        <w:rPr>
          <w:rFonts w:ascii="宋体" w:hAnsi="宋体" w:eastAsia="宋体" w:cs="宋体"/>
          <w:b/>
          <w:bCs/>
          <w:color w:val="000000"/>
          <w:kern w:val="0"/>
          <w:sz w:val="32"/>
          <w:szCs w:val="32"/>
          <w:shd w:val="clear" w:color="auto" w:fill="FFFFFF"/>
        </w:rPr>
      </w:pPr>
      <w:bookmarkStart w:id="119" w:name="_Toc273187697"/>
      <w:bookmarkStart w:id="120" w:name="_Toc273205918"/>
      <w:r>
        <w:rPr>
          <w:rFonts w:hint="eastAsia" w:ascii="宋体" w:hAnsi="宋体" w:eastAsia="宋体" w:cs="宋体"/>
          <w:b/>
          <w:bCs/>
          <w:color w:val="000000"/>
          <w:kern w:val="0"/>
          <w:sz w:val="32"/>
          <w:szCs w:val="32"/>
          <w:shd w:val="clear" w:color="auto" w:fill="FFFFFF"/>
        </w:rPr>
        <w:t>“声明”编写指引</w:t>
      </w:r>
      <w:bookmarkEnd w:id="119"/>
      <w:bookmarkEnd w:id="120"/>
    </w:p>
    <w:p w14:paraId="1D23DCC8">
      <w:pPr>
        <w:shd w:val="clear" w:color="auto" w:fill="FFFFFF"/>
        <w:spacing w:line="440" w:lineRule="atLeast"/>
        <w:ind w:firstLine="480" w:firstLineChars="200"/>
        <w:jc w:val="center"/>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（供参考）</w:t>
      </w:r>
    </w:p>
    <w:p w14:paraId="7454580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一、本资产评估报告依据财政部发布的资产评估基本准则和中国资产评估协会发布的资产评估执业准则和职业道德准则编制。</w:t>
      </w:r>
    </w:p>
    <w:p w14:paraId="6752D20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委托人或者其他资产评估报告使用人应当按照法律行政法规规定和本资产评估报告载明的使用范围使用资产评估报告；委托人或者其他资产评估报告使用人违反前述规定使用资产评估报告的，本资产评估机构及资产评估师不承担责任。</w:t>
      </w:r>
    </w:p>
    <w:p w14:paraId="0F7266E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本资产评估报告仅供委托人、资产评估委托合同中约定的其他资产评估报告使用人和法律、行政法规规定的资产评估报告使用人使用；除此之外，其他任何机构和个人不能成为资产评估报告的使用人。</w:t>
      </w:r>
    </w:p>
    <w:p w14:paraId="2665618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本资产评估机构及资产评估师提示资产评估报告使用人应当正确理解评估结论，评估结论不等同于评估对象可实现价格，评估结论不应当被认为是对评估对象可实现价格的保证。</w:t>
      </w:r>
    </w:p>
    <w:p w14:paraId="4D311C2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三、本资产评估机构及资产评估师遵守法律、行政法规和资产评估准则，坚持独立、客观和公正的原则，并对所出具的资产评估报告依法承担责任。</w:t>
      </w:r>
    </w:p>
    <w:p w14:paraId="517C877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四、评估对象涉及的资产、负债清单由委托人、被评估单位申报并经其采用签名、盖章或者法律允许的其他方式确认；委托人和其他相关当事人依法对其提供资料的真实性、完整性、合法性负责。</w:t>
      </w:r>
    </w:p>
    <w:p w14:paraId="5D730E5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五、本资产评估机构及资产评估师与资产评估报告中的评估对象没有现存或者预期的利益关系；与相关当事人没有现存或者预期的利益关系，对相关当事人不存在偏见。</w:t>
      </w:r>
    </w:p>
    <w:p w14:paraId="0B3B56B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六、资产评估师已经（或者未）对资产评估报告中的评估对象及其所涉及资产进行现场调查；我们已经对评估对象及其所涉及资产的法律权属状况给予必要的关注，对评估对象及其所涉及资产的法律权属资料进行了查验，对已经发现的问题进行了如实披露，并且已提请委托人及其他相关当事人完善产权以满足出具资产评估报告的要求。</w:t>
      </w:r>
    </w:p>
    <w:p w14:paraId="0E5B916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七、本资产评估机构出具的资产评估报告中的分析、判断和结果受资产评估报告中假设和限制条件的限制，资产评估报告使用人应当充分考虑资产评估报告中载明的假设、限制条件、特别事项说明及其对评估结论的影响。</w:t>
      </w:r>
    </w:p>
    <w:p w14:paraId="364946B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br w:type="page"/>
      </w:r>
    </w:p>
    <w:p w14:paraId="77BBA70D">
      <w:pPr>
        <w:shd w:val="clear" w:color="auto" w:fill="FFFFFF"/>
        <w:spacing w:line="440" w:lineRule="atLeast"/>
        <w:ind w:firstLine="480" w:firstLineChars="200"/>
        <w:rPr>
          <w:rFonts w:ascii="宋体" w:hAnsi="宋体" w:eastAsia="宋体" w:cs="宋体"/>
          <w:b/>
          <w:bCs/>
          <w:color w:val="000000"/>
          <w:kern w:val="0"/>
          <w:sz w:val="32"/>
          <w:szCs w:val="32"/>
          <w:shd w:val="clear" w:color="auto" w:fill="FFFFFF"/>
        </w:rPr>
      </w:pPr>
      <w:r>
        <w:rPr>
          <w:rFonts w:hint="eastAsia" w:ascii="宋体" w:hAnsi="宋体" w:eastAsia="宋体" w:cs="宋体"/>
          <w:color w:val="000000"/>
          <w:kern w:val="0"/>
          <w:sz w:val="24"/>
          <w:shd w:val="clear" w:color="auto" w:fill="FFFFFF"/>
        </w:rPr>
        <w:t>附2：</w:t>
      </w:r>
    </w:p>
    <w:p w14:paraId="3044E8BE">
      <w:pPr>
        <w:shd w:val="clear" w:color="auto" w:fill="FFFFFF"/>
        <w:spacing w:line="440" w:lineRule="atLeast"/>
        <w:jc w:val="center"/>
        <w:rPr>
          <w:rFonts w:ascii="宋体" w:hAnsi="宋体" w:eastAsia="宋体" w:cs="宋体"/>
          <w:b/>
          <w:bCs/>
          <w:color w:val="000000"/>
          <w:kern w:val="0"/>
          <w:sz w:val="32"/>
          <w:szCs w:val="32"/>
          <w:shd w:val="clear" w:color="auto" w:fill="FFFFFF"/>
        </w:rPr>
      </w:pPr>
      <w:bookmarkStart w:id="121" w:name="_Toc273205919"/>
      <w:bookmarkStart w:id="122" w:name="_Toc273187698"/>
      <w:r>
        <w:rPr>
          <w:rFonts w:hint="eastAsia" w:ascii="宋体" w:hAnsi="宋体" w:eastAsia="宋体" w:cs="宋体"/>
          <w:b/>
          <w:bCs/>
          <w:color w:val="000000"/>
          <w:kern w:val="0"/>
          <w:sz w:val="32"/>
          <w:szCs w:val="32"/>
          <w:shd w:val="clear" w:color="auto" w:fill="FFFFFF"/>
        </w:rPr>
        <w:t>“资产评估师承诺函”编写指引</w:t>
      </w:r>
      <w:bookmarkEnd w:id="121"/>
      <w:bookmarkEnd w:id="122"/>
    </w:p>
    <w:p w14:paraId="0BA7451C">
      <w:pPr>
        <w:shd w:val="clear" w:color="auto" w:fill="FFFFFF"/>
        <w:spacing w:line="440" w:lineRule="atLeast"/>
        <w:jc w:val="center"/>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（供参考）</w:t>
      </w:r>
    </w:p>
    <w:p w14:paraId="12F6FA12">
      <w:pPr>
        <w:shd w:val="clear" w:color="auto" w:fill="FFFFFF"/>
        <w:spacing w:line="440" w:lineRule="atLeast"/>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×××公司（单位）：</w:t>
      </w:r>
    </w:p>
    <w:p w14:paraId="073841F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受你单位的委托，我们对你单位拟实施×××行为（事宜）所涉及的×××（资产——单项资产或者资产组合、企业整体价值、股东全部权益、股东部分权益），以××××年××月××日为基准日进行了评估，形成了资产评估报告。在本报告中披露的假设条件成立的前提下，我们承诺如下：</w:t>
      </w:r>
    </w:p>
    <w:p w14:paraId="72CDA07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一、具备相应的职业资格。</w:t>
      </w:r>
    </w:p>
    <w:p w14:paraId="052B896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二、评估对象和评估范围与资产评估委托合同的约定一致。</w:t>
      </w:r>
    </w:p>
    <w:p w14:paraId="38FFCE4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三、对评估对象及其所涉及的资产进行了必要的核实。</w:t>
      </w:r>
    </w:p>
    <w:p w14:paraId="10AE8D1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四、根据资产评估准则选用了适当的评估方法。</w:t>
      </w:r>
    </w:p>
    <w:p w14:paraId="19D1401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五、充分考虑了影响评估价值的因素。</w:t>
      </w:r>
    </w:p>
    <w:p w14:paraId="656CAEA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六、评估结论合理。</w:t>
      </w:r>
    </w:p>
    <w:p w14:paraId="17774A3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七、评估工作未受到非法干预并独立进行。</w:t>
      </w:r>
    </w:p>
    <w:p w14:paraId="3E905D75">
      <w:pPr>
        <w:shd w:val="clear" w:color="auto" w:fill="FFFFFF"/>
        <w:spacing w:line="440" w:lineRule="atLeast"/>
        <w:ind w:firstLine="480" w:firstLineChars="200"/>
        <w:rPr>
          <w:rFonts w:ascii="宋体" w:hAnsi="宋体" w:eastAsia="宋体" w:cs="宋体"/>
          <w:color w:val="000000"/>
          <w:kern w:val="0"/>
          <w:sz w:val="24"/>
          <w:shd w:val="clear" w:color="auto" w:fill="FFFFFF"/>
        </w:rPr>
      </w:pPr>
    </w:p>
    <w:p w14:paraId="1A531C72">
      <w:pPr>
        <w:shd w:val="clear" w:color="auto" w:fill="FFFFFF"/>
        <w:wordWrap w:val="0"/>
        <w:spacing w:line="440" w:lineRule="atLeast"/>
        <w:ind w:firstLine="480" w:firstLineChars="200"/>
        <w:jc w:val="right"/>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 xml:space="preserve">资产评估师签名：           </w:t>
      </w:r>
    </w:p>
    <w:p w14:paraId="1D41608B">
      <w:pPr>
        <w:shd w:val="clear" w:color="auto" w:fill="FFFFFF"/>
        <w:wordWrap w:val="0"/>
        <w:spacing w:line="440" w:lineRule="atLeast"/>
        <w:ind w:firstLine="480" w:firstLineChars="200"/>
        <w:jc w:val="right"/>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 xml:space="preserve">年　　月　　日            </w:t>
      </w:r>
    </w:p>
    <w:p w14:paraId="21BAED7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br w:type="page"/>
      </w:r>
    </w:p>
    <w:p w14:paraId="25AAAA3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附3：</w:t>
      </w:r>
    </w:p>
    <w:p w14:paraId="6FA04E26">
      <w:pPr>
        <w:shd w:val="clear" w:color="auto" w:fill="FFFFFF"/>
        <w:spacing w:line="440" w:lineRule="atLeast"/>
        <w:jc w:val="center"/>
        <w:rPr>
          <w:rFonts w:ascii="宋体" w:hAnsi="宋体" w:eastAsia="宋体" w:cs="宋体"/>
          <w:b/>
          <w:bCs/>
          <w:color w:val="000000"/>
          <w:kern w:val="0"/>
          <w:sz w:val="32"/>
          <w:szCs w:val="32"/>
          <w:shd w:val="clear" w:color="auto" w:fill="FFFFFF"/>
        </w:rPr>
      </w:pPr>
      <w:r>
        <w:rPr>
          <w:rFonts w:hint="eastAsia" w:ascii="宋体" w:hAnsi="宋体" w:eastAsia="宋体" w:cs="宋体"/>
          <w:b/>
          <w:bCs/>
          <w:color w:val="000000"/>
          <w:kern w:val="0"/>
          <w:sz w:val="32"/>
          <w:szCs w:val="32"/>
          <w:shd w:val="clear" w:color="auto" w:fill="FFFFFF"/>
        </w:rPr>
        <w:t>《企业关于进行资产评估有关事项的说明》编写指引</w:t>
      </w:r>
    </w:p>
    <w:p w14:paraId="2D176599">
      <w:pPr>
        <w:shd w:val="clear" w:color="auto" w:fill="FFFFFF"/>
        <w:spacing w:line="440" w:lineRule="atLeast"/>
        <w:jc w:val="center"/>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（供参考）</w:t>
      </w:r>
    </w:p>
    <w:p w14:paraId="514EF75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一、委托人、被评估单位及资产评估委托合同约定的其他资产评估报告使用人概况</w:t>
      </w:r>
    </w:p>
    <w:p w14:paraId="093DC51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（一）委托人和资产评估委托合同约定的其他资产评估报告使用人概况一般包括企业名称及简称、住所、法定代表人、注册资本、股东构成及主要经营范围等。</w:t>
      </w:r>
    </w:p>
    <w:p w14:paraId="0FE24B2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委托人、资产评估委托合同约定的其他资产评估报告使用人与被评估单位为同一单位的，按照对被评估单位的要求编写。</w:t>
      </w:r>
    </w:p>
    <w:p w14:paraId="2A8C077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（二）被评估单位概况</w:t>
      </w:r>
    </w:p>
    <w:p w14:paraId="4C91166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1．企业价值评估中，被评估单位概况一般包括：</w:t>
      </w:r>
    </w:p>
    <w:p w14:paraId="1D68C75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（1）企业名称及简称、住所、法定代表人、注册资本。</w:t>
      </w:r>
    </w:p>
    <w:p w14:paraId="4E14909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（2）企业性质、取得金融业务许可证或者主管部门准入批复文件、企业股东及持股比例、企业股权变更等历史沿革情况。</w:t>
      </w:r>
    </w:p>
    <w:p w14:paraId="37BE9F9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（3）被评估单位主要股东介绍，一般包括主要股东的名称、住所、法定代表人、主要经营范围、注册资本及经营业绩。</w:t>
      </w:r>
    </w:p>
    <w:p w14:paraId="5D94BDF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（4）法定许可经营范围、实际主要经营范围、经营产品介绍。</w:t>
      </w:r>
    </w:p>
    <w:p w14:paraId="2C971C1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（5）企业的财务核算体系介绍，近三年资产、财务、经营状况。</w:t>
      </w:r>
    </w:p>
    <w:p w14:paraId="68CDFAD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（6）企业各子公司、分公司及主要部门的构成情况，并以适当的形式表明各级子公司的股权结构及股权比例。</w:t>
      </w:r>
    </w:p>
    <w:p w14:paraId="6F0579E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（7）企业经营特点及经营风险分析，如：</w:t>
      </w:r>
    </w:p>
    <w:p w14:paraId="125C4A5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1）银行信贷资产的种类、规模及质量等，营业网点及分布、市场地位等情况；</w:t>
      </w:r>
    </w:p>
    <w:p w14:paraId="2FB6D77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2）保险公司的主要险种、保费收入、赔付情况、市场地位等；</w:t>
      </w:r>
    </w:p>
    <w:p w14:paraId="4FBF435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3）证券公司的经纪业务、自营业务、承销业务的规模和收入比重，营业网点数量及分布情况，市场地位等。</w:t>
      </w:r>
    </w:p>
    <w:p w14:paraId="71CB733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（8）企业客户稳定性和流动性分析。　　</w:t>
      </w:r>
    </w:p>
    <w:p w14:paraId="55229A1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（9）企业投资策略分析。</w:t>
      </w:r>
    </w:p>
    <w:p w14:paraId="6B21018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（10）企业发展历程及未来发展规划。</w:t>
      </w:r>
    </w:p>
    <w:p w14:paraId="2F2536D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（11）企业执行国家相关部门制定的行业监管指标的情况。</w:t>
      </w:r>
    </w:p>
    <w:p w14:paraId="5E1D3BB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（12）执行的主要会计政策，经营是否存在国家政策、法规的限制或者优惠，经营的优劣势分析。</w:t>
      </w:r>
    </w:p>
    <w:p w14:paraId="1050F06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2．单项资产或者资产组合评估，被评估单位概况一般包括企业名称及简称、住所、法定代表人、注册资本、股东构成及主要经营范围等。</w:t>
      </w:r>
    </w:p>
    <w:p w14:paraId="1BCF69C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（三）委托人和被评估单位及资产评估委托合同约定的其他资产评估报告使用人之间的关系，如产权关系、交易关系等。若存在关联交易，应当说明关联方、交易方式等基本情况。</w:t>
      </w:r>
    </w:p>
    <w:p w14:paraId="61F6E0C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二、关于经济行为的说明</w:t>
      </w:r>
    </w:p>
    <w:p w14:paraId="6E4E384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（一）说明本次资产评估满足何种需要、所对应的经济行为类型及其经济行为获得批准的相关情况，或者其他经济行为依据。</w:t>
      </w:r>
    </w:p>
    <w:p w14:paraId="0F377C1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（二）获得有关部门批准的，应当载明批件名称、批准日期及文号。</w:t>
      </w:r>
    </w:p>
    <w:p w14:paraId="3C0DD6E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三、关于评估对象与评估范围的说明</w:t>
      </w:r>
    </w:p>
    <w:p w14:paraId="6B6DF27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企业价值评估中，通常需要说明下列内容：</w:t>
      </w:r>
    </w:p>
    <w:p w14:paraId="58AD2A1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（一）委托评估对象和评估范围与经济行为涉及的评估对象和评估范围是否一致，不一致的应当说明原因，并说明是否经过审计、审计意见类型及审计期间。</w:t>
      </w:r>
    </w:p>
    <w:p w14:paraId="765A082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（二）企业表外业务的类型、数量。</w:t>
      </w:r>
    </w:p>
    <w:p w14:paraId="02706DF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（三）企业的主要客户资源、营销网络及业务合同等无形资产。</w:t>
      </w:r>
    </w:p>
    <w:p w14:paraId="4AC3047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（四）本次评估前是否进行了财务重组。</w:t>
      </w:r>
    </w:p>
    <w:p w14:paraId="5D3BA91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（五）账面资产是否根据以往评估结论进行了调账。</w:t>
      </w:r>
    </w:p>
    <w:p w14:paraId="1C54A9A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（六）委托其他机构进行评估所涉及的资产类型、数量、账面金额及另行委托的原因。</w:t>
      </w:r>
    </w:p>
    <w:p w14:paraId="3E8EAAA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单项资产或者资产组合评估，通常需要说明委托评估资产的数量、法律权属状况、经济状况等。</w:t>
      </w:r>
    </w:p>
    <w:p w14:paraId="7006BC4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四、关于评估基准日的说明</w:t>
      </w:r>
    </w:p>
    <w:p w14:paraId="576BFF8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（一）说明所确定的评估基准日，评估基准日表述为：××××年××月××日。</w:t>
      </w:r>
    </w:p>
    <w:p w14:paraId="58D62FE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（二）说明确定评估基准日所考虑的主要因素，如经济行为的实现、财务报告期末、国家相关部门制定的行业监管指标变动情况以及利率、汇率和金融产品市场价格变化等。</w:t>
      </w:r>
    </w:p>
    <w:p w14:paraId="7FE2D6C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（三）如果评估基准日受特定经济行为文件的约束，应当载明该文件的名称、批准日期及文号。</w:t>
      </w:r>
    </w:p>
    <w:p w14:paraId="635E05B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五、可能影响评估工作的重大事项的说明</w:t>
      </w:r>
    </w:p>
    <w:p w14:paraId="6597B81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一般包括下列内容：</w:t>
      </w:r>
    </w:p>
    <w:p w14:paraId="120EAB2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（一）曾经进行过清产核资或者评估的情况，调账情况；</w:t>
      </w:r>
    </w:p>
    <w:p w14:paraId="3258CDA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（二）影响经营活动和财务状况的重大合同、重大诉讼事项；</w:t>
      </w:r>
    </w:p>
    <w:p w14:paraId="2EEDE01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（三）关于不良资产的说明。</w:t>
      </w:r>
    </w:p>
    <w:p w14:paraId="5726011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六、资产负债清查情况、未来经营和收益状况预测的说明</w:t>
      </w:r>
    </w:p>
    <w:p w14:paraId="53AD885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（一）资产负债清查情况说明</w:t>
      </w:r>
    </w:p>
    <w:p w14:paraId="7D118C7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一般包括下列内容：</w:t>
      </w:r>
    </w:p>
    <w:p w14:paraId="4069B5B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1．清查范围与评估范围是否一致；</w:t>
      </w:r>
    </w:p>
    <w:p w14:paraId="2762A07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2．清查结论。</w:t>
      </w:r>
    </w:p>
    <w:p w14:paraId="4512EF6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（二）未来经营和收益状况预测说明</w:t>
      </w:r>
    </w:p>
    <w:p w14:paraId="0CC30A0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一般包括下列内容：</w:t>
      </w:r>
    </w:p>
    <w:p w14:paraId="440A8A7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1．所在行业相关经济要素及发展前景、经营历史情况、面临的竞争情况及优劣势分析；</w:t>
      </w:r>
    </w:p>
    <w:p w14:paraId="0CA6C1F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2．内部管理制度、人力资源、核心技术、研发状况、无形资产、管理层构成等经营管理状况；</w:t>
      </w:r>
    </w:p>
    <w:p w14:paraId="7EF8CFC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3．近年企业资产、负债、权益、盈利、利润分配、现金流量等资产财务状况；</w:t>
      </w:r>
    </w:p>
    <w:p w14:paraId="3F593EB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4．未来主营业务收入、成本、费用等的预测过程和结果；</w:t>
      </w:r>
    </w:p>
    <w:p w14:paraId="77700C0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5．如果企业存在关联交易，应当说明关联交易的性质及定价原则等。</w:t>
      </w:r>
    </w:p>
    <w:p w14:paraId="75460FF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七、资料清单</w:t>
      </w:r>
    </w:p>
    <w:p w14:paraId="1A6E368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一般包括下列内容：</w:t>
      </w:r>
    </w:p>
    <w:p w14:paraId="2800244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（一）评估申报表（由资产评估机构出具样式）；</w:t>
      </w:r>
    </w:p>
    <w:p w14:paraId="031108B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（二）相关经济行为的批文；</w:t>
      </w:r>
    </w:p>
    <w:p w14:paraId="7550B1C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（三）财务报表及审计报告；</w:t>
      </w:r>
    </w:p>
    <w:p w14:paraId="25E30A0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（四）资产权属证明文件；</w:t>
      </w:r>
    </w:p>
    <w:p w14:paraId="3154B6D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（五）重大合同、协议等；</w:t>
      </w:r>
    </w:p>
    <w:p w14:paraId="582CA5D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（六）经营统计资料；</w:t>
      </w:r>
    </w:p>
    <w:p w14:paraId="277AB68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（七）其他资料。</w:t>
      </w:r>
      <w:r>
        <w:rPr>
          <w:rFonts w:hint="eastAsia" w:ascii="宋体" w:hAnsi="宋体" w:eastAsia="宋体" w:cs="宋体"/>
          <w:color w:val="000000"/>
          <w:kern w:val="0"/>
          <w:sz w:val="24"/>
          <w:shd w:val="clear" w:color="auto" w:fill="FFFFFF"/>
        </w:rPr>
        <w:br w:type="page"/>
      </w:r>
    </w:p>
    <w:p w14:paraId="7CB64C7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附4:</w:t>
      </w:r>
    </w:p>
    <w:p w14:paraId="310F3B09">
      <w:pPr>
        <w:shd w:val="clear" w:color="auto" w:fill="FFFFFF"/>
        <w:spacing w:line="440" w:lineRule="atLeast"/>
        <w:jc w:val="center"/>
        <w:rPr>
          <w:rFonts w:ascii="宋体" w:hAnsi="宋体" w:eastAsia="宋体" w:cs="宋体"/>
          <w:b/>
          <w:bCs/>
          <w:color w:val="000000"/>
          <w:kern w:val="0"/>
          <w:sz w:val="32"/>
          <w:szCs w:val="32"/>
          <w:shd w:val="clear" w:color="auto" w:fill="FFFFFF"/>
        </w:rPr>
      </w:pPr>
      <w:bookmarkStart w:id="123" w:name="_Toc273187699"/>
      <w:bookmarkStart w:id="124" w:name="_Toc273205920"/>
      <w:r>
        <w:rPr>
          <w:rFonts w:hint="eastAsia" w:ascii="宋体" w:hAnsi="宋体" w:eastAsia="宋体" w:cs="宋体"/>
          <w:b/>
          <w:bCs/>
          <w:color w:val="000000"/>
          <w:kern w:val="0"/>
          <w:sz w:val="32"/>
          <w:szCs w:val="32"/>
          <w:shd w:val="clear" w:color="auto" w:fill="FFFFFF"/>
        </w:rPr>
        <w:t>《资产评估说明》编写指引</w:t>
      </w:r>
      <w:bookmarkEnd w:id="123"/>
      <w:bookmarkEnd w:id="124"/>
    </w:p>
    <w:p w14:paraId="0BB1B3A4">
      <w:pPr>
        <w:shd w:val="clear" w:color="auto" w:fill="FFFFFF"/>
        <w:spacing w:line="440" w:lineRule="atLeast"/>
        <w:jc w:val="center"/>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（供参考）</w:t>
      </w:r>
    </w:p>
    <w:p w14:paraId="3570C9B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资产评估说明是申请备案核准资产评估业务的必备材料，为方便金融企业国有资产监督管理部门和相关机构全面了解资产评估情况，本指引结合国有资产评估业务备案核准的要求，为资产评估机构及资产评估师编写资产评估说明提供指引。</w:t>
      </w:r>
    </w:p>
    <w:p w14:paraId="25A057D8">
      <w:pPr>
        <w:shd w:val="clear" w:color="auto" w:fill="FFFFFF"/>
        <w:spacing w:line="440" w:lineRule="atLeast"/>
        <w:ind w:firstLine="482" w:firstLineChars="200"/>
        <w:rPr>
          <w:rFonts w:ascii="宋体" w:hAnsi="宋体" w:eastAsia="宋体" w:cs="宋体"/>
          <w:b/>
          <w:bCs/>
          <w:color w:val="000000"/>
          <w:kern w:val="0"/>
          <w:sz w:val="24"/>
          <w:shd w:val="clear" w:color="auto" w:fill="FFFFFF"/>
        </w:rPr>
      </w:pPr>
      <w:r>
        <w:rPr>
          <w:rFonts w:hint="eastAsia" w:ascii="宋体" w:hAnsi="宋体" w:eastAsia="宋体" w:cs="宋体"/>
          <w:b/>
          <w:bCs/>
          <w:color w:val="000000"/>
          <w:kern w:val="0"/>
          <w:sz w:val="24"/>
          <w:shd w:val="clear" w:color="auto" w:fill="FFFFFF"/>
        </w:rPr>
        <w:t>第一部分　资产评估说明封面及目录</w:t>
      </w:r>
    </w:p>
    <w:p w14:paraId="142CC88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一、封面</w:t>
      </w:r>
    </w:p>
    <w:p w14:paraId="04C10B2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资产评估说明封面应当载明资产评估报告标题及文号、资产评估机构全称和资产评估报告日。</w:t>
      </w:r>
    </w:p>
    <w:p w14:paraId="7B97EE9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二、目录</w:t>
      </w:r>
    </w:p>
    <w:p w14:paraId="4520034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（一）目录应当在封面的下一页排印，包括每一部分的标题和相应页码。</w:t>
      </w:r>
    </w:p>
    <w:p w14:paraId="1CA12EE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（二）如果资产评估说明中收录有关文件或者资料的复印件，应当统一标注页码。</w:t>
      </w:r>
    </w:p>
    <w:p w14:paraId="247E104C">
      <w:pPr>
        <w:shd w:val="clear" w:color="auto" w:fill="FFFFFF"/>
        <w:spacing w:line="440" w:lineRule="atLeast"/>
        <w:ind w:firstLine="482" w:firstLineChars="200"/>
        <w:rPr>
          <w:rFonts w:ascii="宋体" w:hAnsi="宋体" w:eastAsia="宋体" w:cs="宋体"/>
          <w:b/>
          <w:bCs/>
          <w:color w:val="000000"/>
          <w:kern w:val="0"/>
          <w:sz w:val="24"/>
          <w:shd w:val="clear" w:color="auto" w:fill="FFFFFF"/>
        </w:rPr>
      </w:pPr>
      <w:r>
        <w:rPr>
          <w:rFonts w:hint="eastAsia" w:ascii="宋体" w:hAnsi="宋体" w:eastAsia="宋体" w:cs="宋体"/>
          <w:b/>
          <w:bCs/>
          <w:color w:val="000000"/>
          <w:kern w:val="0"/>
          <w:sz w:val="24"/>
          <w:shd w:val="clear" w:color="auto" w:fill="FFFFFF"/>
        </w:rPr>
        <w:t>第二部分　关于资产评估说明使用范围的声明</w:t>
      </w:r>
    </w:p>
    <w:p w14:paraId="26F958D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声明应当写明，资产评估说明供金融企业国有资产监督管理部门（含所出资企业）、相关监管机构和部门使用。除法律、行政法规规定外，资产评估说明的全部或者部分内容不得提供给其他任何单位和个人，不得见诸公开媒体。</w:t>
      </w:r>
    </w:p>
    <w:p w14:paraId="5557686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第三部分　资产评估说明正文</w:t>
      </w:r>
    </w:p>
    <w:p w14:paraId="344A6A0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一、评估对象与评估范围说明</w:t>
      </w:r>
    </w:p>
    <w:p w14:paraId="5A8BA17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（一）评估对象与评估范围内容</w:t>
      </w:r>
    </w:p>
    <w:p w14:paraId="0894CFF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1．委托评估的评估对象与评估范围。</w:t>
      </w:r>
    </w:p>
    <w:p w14:paraId="5EA2628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2．委托评估的资产类型、账面金额。</w:t>
      </w:r>
    </w:p>
    <w:p w14:paraId="5F6B70A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3．委托评估的资产权属状况。</w:t>
      </w:r>
    </w:p>
    <w:p w14:paraId="3A41CBC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（二）主要经营资产类型、资产状况。</w:t>
      </w:r>
    </w:p>
    <w:p w14:paraId="615519C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（三）主要实物资产的类型、数量及购置方式。</w:t>
      </w:r>
    </w:p>
    <w:p w14:paraId="6012EDA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（四）企业申报的账面记录或者未记录的无形资产情况。</w:t>
      </w:r>
    </w:p>
    <w:p w14:paraId="6D79657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（五）企业申报的表外业务的类型、数量。</w:t>
      </w:r>
    </w:p>
    <w:p w14:paraId="4A252F3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（六）引用其他机构出具的报告的结论所涉及的资产类型、数量和账面金额（或者评估值）。</w:t>
      </w:r>
    </w:p>
    <w:p w14:paraId="42CAB6F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单项资产或者资产组合评估，可以根据具体情况确定内容的详略程度。</w:t>
      </w:r>
    </w:p>
    <w:p w14:paraId="1A7A734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二、资产核实情况总体说明</w:t>
      </w:r>
    </w:p>
    <w:p w14:paraId="3A475C7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（一）资产核实人员组织、实施时间和过程。</w:t>
      </w:r>
    </w:p>
    <w:p w14:paraId="261A2AD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（二）特殊资产的核实方法</w:t>
      </w:r>
    </w:p>
    <w:p w14:paraId="00713D8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1．对于网点多、经营地点分散的资产所采取的核实方法。</w:t>
      </w:r>
    </w:p>
    <w:p w14:paraId="4756480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2．对于经营网络、主要客户等情况所采取的核实方法。</w:t>
      </w:r>
    </w:p>
    <w:p w14:paraId="51EFD20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（三）核实结论</w:t>
      </w:r>
    </w:p>
    <w:p w14:paraId="562B58A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1．资产核实结果是否与账面记录存在差异及原因。</w:t>
      </w:r>
    </w:p>
    <w:p w14:paraId="2C9AB17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2．权属资料不完善、不清晰的资产核实情况。</w:t>
      </w:r>
    </w:p>
    <w:p w14:paraId="06A0F68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三、资产基础法或者成本法评估技术说明</w:t>
      </w:r>
    </w:p>
    <w:p w14:paraId="485257D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采用成本法评估单项资产或者资产组合，采用资产基础法评估企业价值应当根据评估业务的具体情况，编写评估技术说明。各资产负债评估技术说明应当包含资产负债的内容和金额、核实方法、评估值确定的方法和结论等基本内容。银行、保险公司、证券公司的资产负债项目评估技术说明编写内容指引如下，其他企业可以参照这几类公司的科目编写。</w:t>
      </w:r>
    </w:p>
    <w:p w14:paraId="291A2C8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资产基础法评估技术说明，主要金融科目及固定资产科目均应当列举案例说明评估具体过程。每一科目的评估技术说明应当根据项目具体情况确定详略程度。</w:t>
      </w:r>
    </w:p>
    <w:p w14:paraId="70600F2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（一）银行资产基础法评估技术说明编写内容指引</w:t>
      </w:r>
    </w:p>
    <w:p w14:paraId="02B70D4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1．现金及存放中央银行款项</w:t>
      </w:r>
    </w:p>
    <w:p w14:paraId="70EA038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（1）现金及存放中央银行款项的内容和金额。</w:t>
      </w:r>
    </w:p>
    <w:p w14:paraId="62BFD76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（2）现金核实的方法和结论。</w:t>
      </w:r>
    </w:p>
    <w:p w14:paraId="556001C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（3）存放中央银行款项的金额，评估基准日存款准备金率及应存款金额，存款金额是否超出存款准备金标准。</w:t>
      </w:r>
    </w:p>
    <w:p w14:paraId="06844EC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（4）查验中央银行存款对账单、余额调节表的情况，函证情况，以及评估基准日执行的利率标准。</w:t>
      </w:r>
    </w:p>
    <w:p w14:paraId="36F83B0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（5）现金及存放中央银行款项评估值的确定方法和结论。</w:t>
      </w:r>
    </w:p>
    <w:p w14:paraId="42A5F81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2.存放同业款项</w:t>
      </w:r>
    </w:p>
    <w:p w14:paraId="225AC38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（1）存放同业款项账面金额、存款利率。</w:t>
      </w:r>
    </w:p>
    <w:p w14:paraId="20F450A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（2）存款进行函证情况，不正常的未达账项情况。</w:t>
      </w:r>
    </w:p>
    <w:p w14:paraId="66CB563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（3）存放同业款项评估值的确定方法和结论。</w:t>
      </w:r>
    </w:p>
    <w:p w14:paraId="6ED869C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3.贵金属</w:t>
      </w:r>
    </w:p>
    <w:p w14:paraId="1D41671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（1）贵金属的种类、规格、重量以及保管方式。</w:t>
      </w:r>
    </w:p>
    <w:p w14:paraId="1992CA1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（2）贵金属的盘点方法。</w:t>
      </w:r>
    </w:p>
    <w:p w14:paraId="734A883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（3）贵金属评估值的确定方法和结论。</w:t>
      </w:r>
    </w:p>
    <w:p w14:paraId="76A0E6E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4.拆出资金</w:t>
      </w:r>
    </w:p>
    <w:p w14:paraId="5CF44B7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（1）拆出资金账面金额、拆借银行、拆借利率、拆借期限。</w:t>
      </w:r>
    </w:p>
    <w:p w14:paraId="6582507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（2）拆出资金函证情况。</w:t>
      </w:r>
    </w:p>
    <w:p w14:paraId="10C96DB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（3）拆出资金评估值的确定方法和结论。</w:t>
      </w:r>
    </w:p>
    <w:p w14:paraId="2C9D905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5.交易性金融资产</w:t>
      </w:r>
    </w:p>
    <w:p w14:paraId="7001F6D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（1）交易性金融资产的种类、账面金额。</w:t>
      </w:r>
    </w:p>
    <w:p w14:paraId="7B60417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（2）交易性金融资产核实的方法和结论。</w:t>
      </w:r>
    </w:p>
    <w:p w14:paraId="042EC53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（3）交易性金融资产评估值的确定方法和结论。</w:t>
      </w:r>
    </w:p>
    <w:p w14:paraId="4B83C82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6.衍生金融资产</w:t>
      </w:r>
    </w:p>
    <w:p w14:paraId="612110D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（1）衍生金融资产的种类、投资日期、持有数量及账面金额。</w:t>
      </w:r>
    </w:p>
    <w:p w14:paraId="59C8732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（2）影响衍生金融资产价值的主要因素，衍生金融资产评估中主要参数（如利率、汇率等）的预测方法，并分析其合理性。</w:t>
      </w:r>
    </w:p>
    <w:p w14:paraId="05D94C6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（3）衍生金融资产评估值的确定方法和结论。</w:t>
      </w:r>
    </w:p>
    <w:p w14:paraId="3214A23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7.买入返售金融资产</w:t>
      </w:r>
    </w:p>
    <w:p w14:paraId="5603BD0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（1）买入返售金融资产的种类、账面金额及情况介绍。</w:t>
      </w:r>
    </w:p>
    <w:p w14:paraId="45D4173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（2）买入返售金融资产核实的方法和结论。</w:t>
      </w:r>
    </w:p>
    <w:p w14:paraId="53E9DFD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（3）买入返售金融资产评估值的确定方法和结论。</w:t>
      </w:r>
    </w:p>
    <w:p w14:paraId="7944225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8．应收利息</w:t>
      </w:r>
    </w:p>
    <w:p w14:paraId="622F351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（1）应收利息的主要业务内容和对应金额。</w:t>
      </w:r>
    </w:p>
    <w:p w14:paraId="1CDBA2A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（2）应收利息核实的方法及结论。</w:t>
      </w:r>
    </w:p>
    <w:p w14:paraId="564386A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（3）应收利息发生时间，可能形成坏账款项的判断依据及结论。</w:t>
      </w:r>
    </w:p>
    <w:p w14:paraId="1E7A9A7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（4）表外应收利息的核实情况。</w:t>
      </w:r>
    </w:p>
    <w:p w14:paraId="2127AA0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（5）应收利息评估值的确定方法和结论。</w:t>
      </w:r>
    </w:p>
    <w:p w14:paraId="28006B3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9.发放贷款及垫款</w:t>
      </w:r>
    </w:p>
    <w:p w14:paraId="7D93DA8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（1）贷款</w:t>
      </w:r>
    </w:p>
    <w:p w14:paraId="4329DDB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1）企业贷款管理制度。</w:t>
      </w:r>
    </w:p>
    <w:p w14:paraId="391D28F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2）贷款按照五级分类原则的分类情况，各级别贷款的金额及情况介绍。</w:t>
      </w:r>
    </w:p>
    <w:p w14:paraId="5813744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3）对公贷款抽样方法，验证贷款五级分类及计提贷款减值准备的合理性。</w:t>
      </w:r>
    </w:p>
    <w:p w14:paraId="5374459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4）对私贷款抽样方法。</w:t>
      </w:r>
    </w:p>
    <w:p w14:paraId="742BE78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5）函证情况介绍。</w:t>
      </w:r>
    </w:p>
    <w:p w14:paraId="03E21B1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6）贷款评估值的确定方法和结论。</w:t>
      </w:r>
    </w:p>
    <w:p w14:paraId="310CD7D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（2）贴现资产</w:t>
      </w:r>
    </w:p>
    <w:p w14:paraId="501379E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1）贴现资产的账面种类、金额。</w:t>
      </w:r>
    </w:p>
    <w:p w14:paraId="3CCD800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2）贴现资产核实的方法和结论。</w:t>
      </w:r>
    </w:p>
    <w:p w14:paraId="286F891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3）贴现资产评估值的确定方法和结论。</w:t>
      </w:r>
    </w:p>
    <w:p w14:paraId="4BE86C0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10．可供出售金融资产</w:t>
      </w:r>
    </w:p>
    <w:p w14:paraId="319409B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（1）可供出售金融资产的种类、发生时间和金额。</w:t>
      </w:r>
    </w:p>
    <w:p w14:paraId="17F7E7C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（2）可供出售金融资产核实的方法和结论。</w:t>
      </w:r>
    </w:p>
    <w:p w14:paraId="6ABFAD0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（3）可供出售金融资产评估值确定的方法和结论。</w:t>
      </w:r>
    </w:p>
    <w:p w14:paraId="114DBE4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11．持有至到期投资</w:t>
      </w:r>
    </w:p>
    <w:p w14:paraId="38682F5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（1）持有至到期投资的内容和金额。</w:t>
      </w:r>
    </w:p>
    <w:p w14:paraId="6585F29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（2）持有至到期投资核实的方法和结论。</w:t>
      </w:r>
    </w:p>
    <w:p w14:paraId="3D24842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（3）持有至到期投资可以收回金额的判断理由，并说明评估值确定的方法和结论。</w:t>
      </w:r>
    </w:p>
    <w:p w14:paraId="001FE96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12．长期股权投资</w:t>
      </w:r>
    </w:p>
    <w:p w14:paraId="30DDCB5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（1）长期股权投资的内容和金额。</w:t>
      </w:r>
    </w:p>
    <w:p w14:paraId="534D1FE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（2）长期股权投资核实的内容（投资日期、持股比例、投资协议等）、方法和结论。</w:t>
      </w:r>
    </w:p>
    <w:p w14:paraId="465666A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对长期股权投资项目进行分析，根据相关项目的具体资产、盈利状况及其对评估对象价值的影响程度等因素，合理确定是否将其单独评估。对于不单独出具评估说明的各级子公司，应当在其上级公司的评估说明中详细说明其评估方法，披露其重大事项。</w:t>
      </w:r>
    </w:p>
    <w:p w14:paraId="62B8B09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（4）以适当方式说明各级子公司采用的评估方法及理由和评估结论。若各级子公司采用两种及两种以上方法评估，应当说明评估结论的选择方法及理由。</w:t>
      </w:r>
    </w:p>
    <w:p w14:paraId="132A8CC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13．投资性房地产</w:t>
      </w:r>
    </w:p>
    <w:p w14:paraId="0F9111F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（1）投资性房地产的种类、内容和金额。</w:t>
      </w:r>
    </w:p>
    <w:p w14:paraId="06CA789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（2）投资性房地产核实的方法和结论，并应当说明投资性房地产权属资料的查验情况，租赁合同约定的租金、租赁期限等内容。</w:t>
      </w:r>
    </w:p>
    <w:p w14:paraId="1CBCE6C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采用收益法评估投资性房地产，应当说明现实租赁合同约定的租金、租赁期限，租赁合同到期后租金的确定方法，折现率确定方法和结论，评估值确定的方法和结论；采用市场法评估投资性房地产，应当说明可比交易实例的选取、可比因素比较调整、评估值确定的方法和结论。</w:t>
      </w:r>
    </w:p>
    <w:p w14:paraId="1D39810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14．固定资产</w:t>
      </w:r>
    </w:p>
    <w:p w14:paraId="3DF08E5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（1）机器设备类固定资产</w:t>
      </w:r>
    </w:p>
    <w:p w14:paraId="734DB87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1）机器设备类固定资产的数量、账面原值、账面净值、减值准备等。</w:t>
      </w:r>
    </w:p>
    <w:p w14:paraId="7F4587C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2）机器设备类固定资产的特点、购置方式、批量购置价格情况、折旧及计提减值方法等。</w:t>
      </w:r>
    </w:p>
    <w:p w14:paraId="12E2111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3）机器设备类固定资产核实的方法和结论。</w:t>
      </w:r>
    </w:p>
    <w:p w14:paraId="23E962D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4）评估方法选取的依据和理由，并列示主要计算公式、参数涵义及参数确定的方法。</w:t>
      </w:r>
    </w:p>
    <w:p w14:paraId="6D987E2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5）采用成本法评估，应当说明重置全价的构成、各费用项目的测算过程、采用的价格和费用标准等；说明设备成新状况。</w:t>
      </w:r>
    </w:p>
    <w:p w14:paraId="17ABA97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6）采用市场法评估，应当说明交易价格的基本内涵、交易时间等情况。</w:t>
      </w:r>
    </w:p>
    <w:p w14:paraId="32C756C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7）根据评估业务的具体情况，应当选择典型设备（一般指单台金额大、技术典型的设备）举例说明评估参数的测算和判断以及评估值确定的方法、过程和结论。</w:t>
      </w:r>
    </w:p>
    <w:p w14:paraId="0E2E427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（2）房屋建筑物类固定资产</w:t>
      </w:r>
    </w:p>
    <w:p w14:paraId="5416B4C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1）房屋建筑物类固定资产的类型、数量、账面原值、账面净值、减值准备等。</w:t>
      </w:r>
    </w:p>
    <w:p w14:paraId="426EFB0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2）房屋建筑物类固定资产购建日期、结构形式、权属状况、日常维护、装潢情况、折旧及计提减值方法，以及房屋建筑物类固定资产所占用土地的情况。</w:t>
      </w:r>
    </w:p>
    <w:p w14:paraId="3AF73AE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3）房屋建筑物类固定资产核实的方法和结论。</w:t>
      </w:r>
    </w:p>
    <w:p w14:paraId="7CB0057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4）评估方法选取的依据和理由，并列示主要计算公式、参数涵义及参数确定的方法。</w:t>
      </w:r>
    </w:p>
    <w:p w14:paraId="1DDDA03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5）采用成本法评估，应当说明重置全价的构成、各费用项目的测算过程、采用的价格和费用标准等；说明房屋建筑物类资产成新状况。</w:t>
      </w:r>
    </w:p>
    <w:p w14:paraId="5753076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6）采用市场法评估，应当说明选取交易实例的依据或者理由、交易实例的基本情况、成交时间、交易状况及交易价格内涵等，对所选取的交易实例，应当全面介绍比较因素、比较结果以及评估值确定的方法。</w:t>
      </w:r>
    </w:p>
    <w:p w14:paraId="5CBA706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7）采用收益法评估，应当说明其租金预测情况，以及折现率确定的方法和结论。</w:t>
      </w:r>
    </w:p>
    <w:p w14:paraId="7AD9935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8）根据评估业务的具体情况，应当选择典型房屋建筑物举例说明评估参数的测算和判断以及评估值确定的方法和过程。</w:t>
      </w:r>
    </w:p>
    <w:p w14:paraId="1DF6048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9）对于在房屋建筑物科目核算的投资性房地产，应当按投资性房地产的要求编写评估技术说明。</w:t>
      </w:r>
    </w:p>
    <w:p w14:paraId="78550E9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15．无形资产</w:t>
      </w:r>
    </w:p>
    <w:p w14:paraId="1C20BA7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（1）土地使用权（含固定资产——土地）</w:t>
      </w:r>
    </w:p>
    <w:p w14:paraId="746DAD4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1）土地的宗数、面积，土地使用权取得方式、性质、原始入账价值、摊销政策、摊余价值等。</w:t>
      </w:r>
    </w:p>
    <w:p w14:paraId="5E02701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土地的登记状况、权利状况、利用状况。土地的登记状况和权利状况，以土地登记、土地使用证和土地使用权出让合同中的有关内容为准，土地利用状况以建筑物、地上附着物等产权登记内容和实地勘查与调查的内容为准。</w:t>
      </w:r>
    </w:p>
    <w:p w14:paraId="0AF2A9D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3）土地的一般因素、区域因素和个别因素。</w:t>
      </w:r>
    </w:p>
    <w:p w14:paraId="5D81CC3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4）土地使用权核实的方法和结论。</w:t>
      </w:r>
    </w:p>
    <w:p w14:paraId="55D3C93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5）土地使用权评估价值内涵，所选取评估方法的依据或者理由。</w:t>
      </w:r>
    </w:p>
    <w:p w14:paraId="7387686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6）采用市场法评估，应当说明所选交易实例的基本状况、成交日期、成交价格、交易情况等内容，并说明交易情况、交易日期等修正情况。</w:t>
      </w:r>
    </w:p>
    <w:p w14:paraId="4918C86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7）采用收益法评估，应当说明收益期限、净收益与折现率确定的过程和结论。</w:t>
      </w:r>
    </w:p>
    <w:p w14:paraId="51D44C3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8）采用成本法评估，应当说明费用项目的构成、各费用项目的测算过程、采用的价格和费用标准等；说明与地上建筑物费用项目的划分；说明评估对象的开发期限、开发状况和相应的开发费用标准及依据；说明土地增值标准的确定方法和依据；说明修正的因素及修正过程。</w:t>
      </w:r>
    </w:p>
    <w:p w14:paraId="15AB7D7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9）采用基准地价修正法评估，应当说明基准地价的公布时间、批准机关和文号、基准地价的内涵、利用基准地价估算宗地价格的公式；说明宗地位置、用途及评估对象所在级别或者区域的基准地价和对应的因素修正系数；说明评估对象的价值内涵与基准地价内涵的差异，以及修正的内容。</w:t>
      </w:r>
    </w:p>
    <w:p w14:paraId="621F4FE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10）采用假设开发法评估时，应当说明开发完成后的不动产价值、后续开发建设的必要支出和应得利润等的确定方法、过程和结论。</w:t>
      </w:r>
    </w:p>
    <w:p w14:paraId="2EBD9A3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11）引用土地估价报告评估结论的，应当说明涉及的土地宗数、面积，土地使用权取得方式、性质、原始入账价值、摊销政策、摊余价值等；说明所引用土地评估结论的地价定义、评估假设、评估方法以及对引用其他机构出具的报告结论进行分析和调整的情况。</w:t>
      </w:r>
    </w:p>
    <w:p w14:paraId="57F0D69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（2）其他无形资产</w:t>
      </w:r>
    </w:p>
    <w:p w14:paraId="1006FBE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1）无形资产的名称、形成过程、存在形式、存在期限、权属、原始入账金额、摊销政策、摊余价值等。</w:t>
      </w:r>
    </w:p>
    <w:p w14:paraId="3F36EBF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2）无形资产核实的内容、方法、过程和结论。</w:t>
      </w:r>
    </w:p>
    <w:p w14:paraId="7110A9B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3）选取评估方法的理由，并列示主要计算公式及参数涵义。</w:t>
      </w:r>
    </w:p>
    <w:p w14:paraId="6A0F64F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4）采用收益法评估，应当说明收益预测的依据，如市场调查结论、订单合同、政府推广文件等。</w:t>
      </w:r>
    </w:p>
    <w:p w14:paraId="750DEEA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5）采用成本法评估，应当说明费用项目的构成、各费用项目的测算过程、采用的价格和费用标准等。</w:t>
      </w:r>
    </w:p>
    <w:p w14:paraId="6BB1028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6）采用市场法评估，应当说明所选交易实例的依据或者理由，交易实例的基本情况、成交时间、交易状况及交易价格内涵等，对所选取的交易实例，应当全面介绍比较因素、比较结果及评估值确定的方法和结论。</w:t>
      </w:r>
    </w:p>
    <w:p w14:paraId="654E4DB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16．递延所得税资产</w:t>
      </w:r>
    </w:p>
    <w:p w14:paraId="67F772B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（1）递延所得税资产的种类和内容。</w:t>
      </w:r>
    </w:p>
    <w:p w14:paraId="1A92DCD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（2）递延所得税资产核实的方法和结论。</w:t>
      </w:r>
    </w:p>
    <w:p w14:paraId="0E04DFC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（3）递延所得税资产评估值确定的方法和结论。</w:t>
      </w:r>
    </w:p>
    <w:p w14:paraId="13C15E9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17．其他资产</w:t>
      </w:r>
    </w:p>
    <w:p w14:paraId="555C802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（1）抵债资产</w:t>
      </w:r>
    </w:p>
    <w:p w14:paraId="493192F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1）抵债资产的种类、取得时间、对应的债权金额情况。</w:t>
      </w:r>
    </w:p>
    <w:p w14:paraId="290B0C0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2）抵债资产的产权情况，抵债资产产权瑕疵、使用受限等情况对价值的影响分析。</w:t>
      </w:r>
    </w:p>
    <w:p w14:paraId="456E4B6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3）抵债资产评估值的确定方法和结论。</w:t>
      </w:r>
    </w:p>
    <w:p w14:paraId="328B63B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（2）上述资产以外的其他资产</w:t>
      </w:r>
    </w:p>
    <w:p w14:paraId="5ECF50F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1）其他资产的内容、种类及形成原因等。</w:t>
      </w:r>
    </w:p>
    <w:p w14:paraId="257EA18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2）其他资产核实的方法和结论。</w:t>
      </w:r>
    </w:p>
    <w:p w14:paraId="41F618B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3）其他资产评估值确定的方法和结论。</w:t>
      </w:r>
    </w:p>
    <w:p w14:paraId="36B56AD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18.向中央银行借款</w:t>
      </w:r>
    </w:p>
    <w:p w14:paraId="3F8B2DE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（1）向中央银行借款的账面金额、笔数、借款利率、期限。</w:t>
      </w:r>
    </w:p>
    <w:p w14:paraId="5C8A24F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（2）向中央银行借款核实的方法和结论。</w:t>
      </w:r>
    </w:p>
    <w:p w14:paraId="0C5AB23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（3）向中央银行借款评估值的确定方法和结论。</w:t>
      </w:r>
    </w:p>
    <w:p w14:paraId="4A90511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19.同业及其他金融机构存放款项</w:t>
      </w:r>
    </w:p>
    <w:p w14:paraId="35AAAAA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（1）同业存放的金额，存款的同业银行的名称，存款的种类。</w:t>
      </w:r>
    </w:p>
    <w:p w14:paraId="7FC155D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（2）同业及其他金融机构存放款项核实的方法和结论。</w:t>
      </w:r>
    </w:p>
    <w:p w14:paraId="5D3F306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（3）同业及其他金融机构存放款项评估值的确定方法和结论。</w:t>
      </w:r>
    </w:p>
    <w:p w14:paraId="7D3E835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20．拆入资金</w:t>
      </w:r>
    </w:p>
    <w:p w14:paraId="1C6F7A9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（1）拆借机构的名称、拆入资金的期限、拆入利率、账面金额。</w:t>
      </w:r>
    </w:p>
    <w:p w14:paraId="2564F65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（2）拆入资金核实的方法和结论。</w:t>
      </w:r>
    </w:p>
    <w:p w14:paraId="45B4FFA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（3）函证情况介绍。</w:t>
      </w:r>
    </w:p>
    <w:p w14:paraId="5B2F82A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（4）拆入资金评估值的确定方法和结论。</w:t>
      </w:r>
    </w:p>
    <w:p w14:paraId="0D8F68E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21.交易性金融负债</w:t>
      </w:r>
    </w:p>
    <w:p w14:paraId="0F1ABC0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（1）交易性金融负债的种类、账面金额。</w:t>
      </w:r>
    </w:p>
    <w:p w14:paraId="2397742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（2）交易性金融负债核实的方法和结论。</w:t>
      </w:r>
    </w:p>
    <w:p w14:paraId="6E7B709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（3）交易性金融负债评估值的确定方法和结论。</w:t>
      </w:r>
    </w:p>
    <w:p w14:paraId="0095D60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22.衍生金融负债</w:t>
      </w:r>
    </w:p>
    <w:p w14:paraId="4039668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（1）衍生金融负债的种类、投资日期、持有数量、持有比例及账面金额。</w:t>
      </w:r>
    </w:p>
    <w:p w14:paraId="6B2ADF4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（2）衍生金融负债核实的方法和结论。</w:t>
      </w:r>
    </w:p>
    <w:p w14:paraId="02EB2A0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（3）衍生金融负债评估值的确定方法和结论。</w:t>
      </w:r>
    </w:p>
    <w:p w14:paraId="02780FE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23.卖出回购金融资产款</w:t>
      </w:r>
    </w:p>
    <w:p w14:paraId="3B60B69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（1）卖出回购金融资产款的种类、账面金额。</w:t>
      </w:r>
    </w:p>
    <w:p w14:paraId="5871A6C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（2）卖出回购金融资产款核实的方法和结论。</w:t>
      </w:r>
    </w:p>
    <w:p w14:paraId="5A5F13F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（3）卖出回购金融资产款评估值的确定方法和结论。</w:t>
      </w:r>
    </w:p>
    <w:p w14:paraId="556CD92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24.吸收存款</w:t>
      </w:r>
    </w:p>
    <w:p w14:paraId="4ED0561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（1）吸收存款的金额，存款的分类。</w:t>
      </w:r>
    </w:p>
    <w:p w14:paraId="638E8B9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（2）吸收存款的构成（一年期以上的存款、活期存款、通知存款等）。</w:t>
      </w:r>
    </w:p>
    <w:p w14:paraId="26659D4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（3）吸收存款评估值的确定方法和结论。</w:t>
      </w:r>
    </w:p>
    <w:p w14:paraId="3FC397B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25．应付职工薪酬</w:t>
      </w:r>
    </w:p>
    <w:p w14:paraId="48D4322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（1）应付职工薪酬的内容和金额。</w:t>
      </w:r>
    </w:p>
    <w:p w14:paraId="57760A0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（2）被评估单位相关职工薪酬政策。</w:t>
      </w:r>
    </w:p>
    <w:p w14:paraId="1CDADFA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（3）工资、职工福利、社会保险费、住房公积金、工会经费、职工教育经费、非货币性福利、辞退福利等项目的核实方法和结论。</w:t>
      </w:r>
    </w:p>
    <w:p w14:paraId="57A52AE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（4）对于无须支付的职工薪酬，应当说明依据和理由。</w:t>
      </w:r>
    </w:p>
    <w:p w14:paraId="2167DF9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（5）应付职工薪酬评估值的确定方法和结论。</w:t>
      </w:r>
    </w:p>
    <w:p w14:paraId="2002D43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26．应交税费</w:t>
      </w:r>
    </w:p>
    <w:p w14:paraId="2056B06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（1）应交税费的内容和对应金额。</w:t>
      </w:r>
    </w:p>
    <w:p w14:paraId="4538813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（2）被评估单位相关的税收政策，说明被评估单位所享有的优惠税收政策，享有优惠政策的期限和批准单位等。</w:t>
      </w:r>
    </w:p>
    <w:p w14:paraId="55CD9BB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（3）应交税费核实的方法和结论。</w:t>
      </w:r>
    </w:p>
    <w:p w14:paraId="2C31FD8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（4）借方余额的原因及评估方法。</w:t>
      </w:r>
    </w:p>
    <w:p w14:paraId="354DA98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（5）应交税费评估值的确定方法和结论。</w:t>
      </w:r>
    </w:p>
    <w:p w14:paraId="1B0A2FA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27．应付利息</w:t>
      </w:r>
    </w:p>
    <w:p w14:paraId="7C49A4B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（1）应付利息的内容、金额等。</w:t>
      </w:r>
    </w:p>
    <w:p w14:paraId="0AC6666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（2）应付利息核实的方法和结论。</w:t>
      </w:r>
    </w:p>
    <w:p w14:paraId="7BD0E00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（3）应付利息评估值的确定方法和结论。</w:t>
      </w:r>
    </w:p>
    <w:p w14:paraId="52DFEA9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28．预计负债</w:t>
      </w:r>
    </w:p>
    <w:p w14:paraId="23BB0EB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（1）预计负债的金额和种类。</w:t>
      </w:r>
    </w:p>
    <w:p w14:paraId="0BB5B63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（2）预计负债核实的方法和结论。</w:t>
      </w:r>
    </w:p>
    <w:p w14:paraId="7369420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（3）企业确认预计负债的证据以及第三方或者债权人的询证证据等。</w:t>
      </w:r>
    </w:p>
    <w:p w14:paraId="3A5E96D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（4）预计负债评估值的确定方法和结论。</w:t>
      </w:r>
    </w:p>
    <w:p w14:paraId="69CF448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29．应付债券</w:t>
      </w:r>
    </w:p>
    <w:p w14:paraId="70EC412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（1）应付债券的种类（分期付息一次还本的债券、一次还本付息的债券等）、票面金额、债券票面利率、还本付息期限与方式、发行总额、发行日期和编号、委托代售单位、转换股份等情况。</w:t>
      </w:r>
    </w:p>
    <w:p w14:paraId="1084086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（2）应付债券核实的方法和结论。</w:t>
      </w:r>
    </w:p>
    <w:p w14:paraId="671B68C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（3）应付债券评估值的确定方法和结论。</w:t>
      </w:r>
    </w:p>
    <w:p w14:paraId="28B7ACC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30．递延所得税负债</w:t>
      </w:r>
    </w:p>
    <w:p w14:paraId="210CF90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（1）递延所得税负债的金额、种类和企业确认依据。</w:t>
      </w:r>
    </w:p>
    <w:p w14:paraId="0550C62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（2）递延所得税负债核实的方法和结论。</w:t>
      </w:r>
    </w:p>
    <w:p w14:paraId="4ABC1CA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（3）递延所得税负债评估值的确定方法和结论。</w:t>
      </w:r>
    </w:p>
    <w:p w14:paraId="0F471EA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31．其他负债</w:t>
      </w:r>
    </w:p>
    <w:p w14:paraId="3ED35A1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（1）其他应付款</w:t>
      </w:r>
    </w:p>
    <w:p w14:paraId="141666A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1）其他应付款发生时间、原因，相关合同、协议内容。</w:t>
      </w:r>
    </w:p>
    <w:p w14:paraId="0712211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2）其他应付款核实的方法和结论。</w:t>
      </w:r>
    </w:p>
    <w:p w14:paraId="61C2D48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3）其他应付款评估值的确定方法和结论。</w:t>
      </w:r>
    </w:p>
    <w:p w14:paraId="14BC35F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（2）存入保证金</w:t>
      </w:r>
    </w:p>
    <w:p w14:paraId="43F11A1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1）存入保证金的种类、金额、核算方式、存款期限。</w:t>
      </w:r>
    </w:p>
    <w:p w14:paraId="0ACCF17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2）存入保证金核实的方法和结论。</w:t>
      </w:r>
    </w:p>
    <w:p w14:paraId="43B4035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3）存入保证金评估值的确定方法和结论。</w:t>
      </w:r>
    </w:p>
    <w:p w14:paraId="75E1B78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（3）贴现负债</w:t>
      </w:r>
    </w:p>
    <w:p w14:paraId="512FD35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1）贴现票据的种类、金额，贴现的时间、金额，票据到期时间。</w:t>
      </w:r>
    </w:p>
    <w:p w14:paraId="057945E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2）贴现负债核实的方法和结论。</w:t>
      </w:r>
    </w:p>
    <w:p w14:paraId="0F6C3C4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3）贴现负债评估值的确定方法和结论。</w:t>
      </w:r>
    </w:p>
    <w:p w14:paraId="462D2E7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（4）上述负债以外的其他负债</w:t>
      </w:r>
    </w:p>
    <w:p w14:paraId="0BE04DC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1）其他负债的种类、形成原因、企业确认依据等。</w:t>
      </w:r>
    </w:p>
    <w:p w14:paraId="653F0FC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2）其他负债核实的方法和结论。</w:t>
      </w:r>
    </w:p>
    <w:p w14:paraId="385F1DA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3）其他负债评估值的确定方法和结论。</w:t>
      </w:r>
    </w:p>
    <w:p w14:paraId="7968DC2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（二）保险公司资产基础法评估技术说明编写内容指引</w:t>
      </w:r>
    </w:p>
    <w:p w14:paraId="226B1E1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保险公司部分科目的评估方法与银行相同，保险公司专用科目的评估技术说明编写内容指引如下。</w:t>
      </w:r>
    </w:p>
    <w:p w14:paraId="3EE235D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1．应收保费</w:t>
      </w:r>
    </w:p>
    <w:p w14:paraId="2530927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（1）应收保费的金额、种类。</w:t>
      </w:r>
    </w:p>
    <w:p w14:paraId="3EFB0FC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（2）应收保费核实的方法和结论。</w:t>
      </w:r>
    </w:p>
    <w:p w14:paraId="5CD0786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（3）应收保费评估值的确定方法和结论。</w:t>
      </w:r>
    </w:p>
    <w:p w14:paraId="11E570C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2.应收代位追偿款</w:t>
      </w:r>
    </w:p>
    <w:p w14:paraId="7AB5C34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（1）应收代位追偿款发生时间、原因。</w:t>
      </w:r>
    </w:p>
    <w:p w14:paraId="13C6819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（2）应收代位追偿款核实的方法和结论。</w:t>
      </w:r>
    </w:p>
    <w:p w14:paraId="4E32277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（3）对可能发生坏账的项目，应当说明原因及取得的证据。</w:t>
      </w:r>
    </w:p>
    <w:p w14:paraId="76EBD4A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（4）应收代位追偿款评估值的确定方法和结论。</w:t>
      </w:r>
    </w:p>
    <w:p w14:paraId="3F05EEE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3.应收分保账款</w:t>
      </w:r>
    </w:p>
    <w:p w14:paraId="138A7C1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（1）应收分保账款发生时间、原因。</w:t>
      </w:r>
    </w:p>
    <w:p w14:paraId="536538A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（2）应收分保账款核实的方法和结论。</w:t>
      </w:r>
    </w:p>
    <w:p w14:paraId="61D58E0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（3）应收分保账款评估值的确定方法和结论。</w:t>
      </w:r>
    </w:p>
    <w:p w14:paraId="17EB568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4.应收分保未到期责任准备金、应收分保未决赔款准备金、应收分保寿险责任准备金、应收分保长期健康险责任准备金</w:t>
      </w:r>
    </w:p>
    <w:p w14:paraId="3ECC04A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（1）应收分保未到期责任准备金、应收分保未决赔款准备金、应收分保寿险责任准备金、应收分保长期健康险责任准备金发生时间、原因。</w:t>
      </w:r>
    </w:p>
    <w:p w14:paraId="57F7B81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（2）应收分保未到期责任准备金、应收分保未决赔款准备金、应收分保寿险责任准备金、应收分保长期健康险责任准备金核实的方法和结论。</w:t>
      </w:r>
    </w:p>
    <w:p w14:paraId="5F1E427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（3）应收分保未到期责任准备金、应收分保未决赔款准备金、应收分保寿险责任准备金、应收分保长期健康险责任准备金评估值的确定方法和结论。</w:t>
      </w:r>
    </w:p>
    <w:p w14:paraId="1FFF176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5.保户质押贷款</w:t>
      </w:r>
    </w:p>
    <w:p w14:paraId="7D46A2C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（1）企业保户质押贷款管理制度。</w:t>
      </w:r>
    </w:p>
    <w:p w14:paraId="011AE11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（2）保户质押贷款核实的方法和结论。</w:t>
      </w:r>
    </w:p>
    <w:p w14:paraId="75B8E10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（3）保户质押贷款评估值的确定方法和结论。</w:t>
      </w:r>
    </w:p>
    <w:p w14:paraId="2F28EBF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6.定期存款</w:t>
      </w:r>
    </w:p>
    <w:p w14:paraId="717D156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（1）定期存款的金额、种类和企业确认依据。</w:t>
      </w:r>
    </w:p>
    <w:p w14:paraId="6A092DD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（2）定期存款核实的方法和结论。</w:t>
      </w:r>
    </w:p>
    <w:p w14:paraId="3B5A998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（3）定期存款评估值的确定方法和结论。</w:t>
      </w:r>
    </w:p>
    <w:p w14:paraId="04C762C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7.存出资本保证金</w:t>
      </w:r>
    </w:p>
    <w:p w14:paraId="149FD80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（1）存出资本保证金的金额、种类和企业确认依据。</w:t>
      </w:r>
    </w:p>
    <w:p w14:paraId="7B2311B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（2）存出资本保证金核实的方法和结论。</w:t>
      </w:r>
    </w:p>
    <w:p w14:paraId="4767B6A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（3）存出资本保证金评估值的确定方法和结论。</w:t>
      </w:r>
    </w:p>
    <w:p w14:paraId="5091D29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8.独立账户资产</w:t>
      </w:r>
    </w:p>
    <w:p w14:paraId="221B6B0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（1）相关合同、协议内容。</w:t>
      </w:r>
    </w:p>
    <w:p w14:paraId="1A916A9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（2）独立账户资产核实的方法和结论。</w:t>
      </w:r>
    </w:p>
    <w:p w14:paraId="53487EF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（3）独立账户资产评估值的确定方法和结论。</w:t>
      </w:r>
    </w:p>
    <w:p w14:paraId="6439A1C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9．其他资产</w:t>
      </w:r>
    </w:p>
    <w:p w14:paraId="4D69BDE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（1）其他应收款</w:t>
      </w:r>
    </w:p>
    <w:p w14:paraId="021D718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1）其他应收款发生时间、原因。</w:t>
      </w:r>
    </w:p>
    <w:p w14:paraId="5BD126D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2）其他应收款核实的方法和结论。</w:t>
      </w:r>
    </w:p>
    <w:p w14:paraId="26A7679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3）其他应收款评估值的确定方法和结论。</w:t>
      </w:r>
    </w:p>
    <w:p w14:paraId="39141C0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（2）存出分保准备金</w:t>
      </w:r>
    </w:p>
    <w:p w14:paraId="17D7AA9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1）存出分保准备金的金额、种类和企业确认依据。</w:t>
      </w:r>
    </w:p>
    <w:p w14:paraId="3261FF0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2）存出分保准备金核实的方法和结论。</w:t>
      </w:r>
    </w:p>
    <w:p w14:paraId="20D9B13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3）存出分保准备金评估值的确定方法和结论。</w:t>
      </w:r>
    </w:p>
    <w:p w14:paraId="21A23F3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（3）损余物资</w:t>
      </w:r>
    </w:p>
    <w:p w14:paraId="233C8E5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1）损余物资来源，说明原保险合同主要内容。</w:t>
      </w:r>
    </w:p>
    <w:p w14:paraId="53C58A5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2）账面价值构成，分析价值构成的合理性。</w:t>
      </w:r>
    </w:p>
    <w:p w14:paraId="6325EAD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3）损余物资应当具体说明如何确定完好程度。</w:t>
      </w:r>
    </w:p>
    <w:p w14:paraId="3ECBF81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4）对于存在失效、变质、残损、无用的损余物资，应当说明对其价值的影响程度，需要技术鉴定的，应当说明鉴定方法及鉴定结论。</w:t>
      </w:r>
    </w:p>
    <w:p w14:paraId="34406C9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5）损余物资评估值的确定方法和结论。</w:t>
      </w:r>
    </w:p>
    <w:p w14:paraId="1E224D9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（4）上述资产以外的其他资产</w:t>
      </w:r>
    </w:p>
    <w:p w14:paraId="78CA2F9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1）其他资产的内容、种类及形成原因等。</w:t>
      </w:r>
    </w:p>
    <w:p w14:paraId="5C6738D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2）其他资产核实的方法和结论。</w:t>
      </w:r>
    </w:p>
    <w:p w14:paraId="5190263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3）其他资产评估值的确定方法和结论。</w:t>
      </w:r>
    </w:p>
    <w:p w14:paraId="678B0DD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10．短期借款</w:t>
      </w:r>
    </w:p>
    <w:p w14:paraId="494AD7B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（1）借款的金额、发生日期、放贷银行名称、还款期限、贷款利率以及抵（质）押情况。</w:t>
      </w:r>
    </w:p>
    <w:p w14:paraId="056A6B0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（2）借款的函证情况。</w:t>
      </w:r>
    </w:p>
    <w:p w14:paraId="04D6CAF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（3）利息结算、支付情况，并说明利息支付情况对评估值的影响。</w:t>
      </w:r>
    </w:p>
    <w:p w14:paraId="3EC4DBB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（4）短期借款评估值的确定方法和结论。</w:t>
      </w:r>
    </w:p>
    <w:p w14:paraId="5645BCA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11．预收保费</w:t>
      </w:r>
    </w:p>
    <w:p w14:paraId="758CDB9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（1）预收保费的主要业务内容、发生日期。</w:t>
      </w:r>
    </w:p>
    <w:p w14:paraId="4FDCA7D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（2）预收保费核实的方法和结论。</w:t>
      </w:r>
    </w:p>
    <w:p w14:paraId="38CF88C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（3）预收保费评估值的确定方法和结论。</w:t>
      </w:r>
    </w:p>
    <w:p w14:paraId="639CCAE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12.应付手续费及佣金</w:t>
      </w:r>
    </w:p>
    <w:p w14:paraId="550463D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（1）应付手续费及佣金的主要业务内容、发生日期。</w:t>
      </w:r>
    </w:p>
    <w:p w14:paraId="37711DB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（2）应付手续费及佣金核实的方法和结论。</w:t>
      </w:r>
    </w:p>
    <w:p w14:paraId="05D79E2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（3）应付手续费及佣金评估值的确定方法和结论。</w:t>
      </w:r>
    </w:p>
    <w:p w14:paraId="57CB76F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13.应付分保账款</w:t>
      </w:r>
    </w:p>
    <w:p w14:paraId="5DD65E8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（1）应付分保账款的主要业务内容、发生日期。</w:t>
      </w:r>
    </w:p>
    <w:p w14:paraId="18AF9CB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（2）应付分保账款核实的方法和结论。</w:t>
      </w:r>
    </w:p>
    <w:p w14:paraId="269489D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（3）应付分保账款评估值的确定方法和结论。</w:t>
      </w:r>
    </w:p>
    <w:p w14:paraId="0B8B3BE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14.应付赔付款</w:t>
      </w:r>
    </w:p>
    <w:p w14:paraId="167CE85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（1）应付赔付款的主要业务内容、发生日期。</w:t>
      </w:r>
    </w:p>
    <w:p w14:paraId="374DA4B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（2）应付赔付款核实的方法和结论。</w:t>
      </w:r>
    </w:p>
    <w:p w14:paraId="4BB8923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（3）应付赔付款评估值的确定方法和结论。</w:t>
      </w:r>
    </w:p>
    <w:p w14:paraId="4D985E2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15.应付保单红利</w:t>
      </w:r>
    </w:p>
    <w:p w14:paraId="5CAFB4F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（1）简要介绍被评估单位应付保单红利的基本情况。</w:t>
      </w:r>
    </w:p>
    <w:p w14:paraId="33D71A6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（2）对应付保单红利按合同、协议清查核实情况。</w:t>
      </w:r>
    </w:p>
    <w:p w14:paraId="1ACF501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（3）对于长期未付的应付保单红利，应说明原因，并说明是否考虑可能需要支付逾期利息对企业负债增加的因素。</w:t>
      </w:r>
    </w:p>
    <w:p w14:paraId="4858CA7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（4）应付保单红利评估值的确定方法和结论。</w:t>
      </w:r>
    </w:p>
    <w:p w14:paraId="34CE36C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16.保户储金及投资款</w:t>
      </w:r>
    </w:p>
    <w:p w14:paraId="24614F5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（1）简要介绍被评估单位投资型保险业务的基本政策；说明该政策是否符合国家相关政策、是否合理。</w:t>
      </w:r>
    </w:p>
    <w:p w14:paraId="0E0B0E1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（2）保户储金及投资款的明细内容。</w:t>
      </w:r>
    </w:p>
    <w:p w14:paraId="56CF64C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（3）保户储金及投资款核实的方法和结论。</w:t>
      </w:r>
    </w:p>
    <w:p w14:paraId="5F72B4E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（4）保户储金及投资款评估值的确定方法和结论。</w:t>
      </w:r>
    </w:p>
    <w:p w14:paraId="581CBA9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17.未到期责任准备金、保险责任准备金（未决赔款准备金、寿险责任准备金、长期健康险责任准备金）的评估</w:t>
      </w:r>
    </w:p>
    <w:p w14:paraId="3255DCD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（1）被评估单位未到期责任准备金、保险责任准备金（未决赔款准备金、寿险责任准备金、长期健康险责任准备金）的基本政策；说明该政策是否符合国家相关政策、是否合理。</w:t>
      </w:r>
    </w:p>
    <w:p w14:paraId="76AE5BA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（2）未到期责任准备金、保险责任准备金（未决赔款准备金、寿险责任准备金、长期健康险责任准备金）的明细内容、计提依据。</w:t>
      </w:r>
    </w:p>
    <w:p w14:paraId="6A44F58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（3）未到期责任准备金、保险责任准备金（未决赔款准备金、寿险责任准备金、长期健康险责任准备金）核实的方法和结论。</w:t>
      </w:r>
    </w:p>
    <w:p w14:paraId="3DA4FDB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（4）未到期责任准备金、保险责任准备金（未决赔款准备金、寿险责任准备金、长期健康险责任准备金）评估值的确定方法和结论。</w:t>
      </w:r>
    </w:p>
    <w:p w14:paraId="79AD4BD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18．长期借款</w:t>
      </w:r>
    </w:p>
    <w:p w14:paraId="03BF229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（1）借款的金额、发生日期、放贷银行名称、还款期限和贷款利率以及抵（质）押情况。</w:t>
      </w:r>
    </w:p>
    <w:p w14:paraId="0C3F06A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（2）借款的函证情况。</w:t>
      </w:r>
    </w:p>
    <w:p w14:paraId="0DECF30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（3）利率水平、结算方式和结算时间对评估结论的影响。</w:t>
      </w:r>
    </w:p>
    <w:p w14:paraId="4A84362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（4）长期借款评估值的确定方法和结论。</w:t>
      </w:r>
    </w:p>
    <w:p w14:paraId="1B26FB6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19.独立账户负债</w:t>
      </w:r>
    </w:p>
    <w:p w14:paraId="3F35F39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（1）独立账户负债类别。</w:t>
      </w:r>
    </w:p>
    <w:p w14:paraId="1C36BCB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（2）独立账户负债核实的方法和结论。</w:t>
      </w:r>
    </w:p>
    <w:p w14:paraId="2B9100A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（3）独立账户负债评估值的确定方法和结论。</w:t>
      </w:r>
    </w:p>
    <w:p w14:paraId="543F693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20．其他负债</w:t>
      </w:r>
    </w:p>
    <w:p w14:paraId="35ED5A6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（1）其他应付款</w:t>
      </w:r>
    </w:p>
    <w:p w14:paraId="1F1E395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1）其他应付款发生时间、原因。</w:t>
      </w:r>
    </w:p>
    <w:p w14:paraId="115AABF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2）其他应付款核实的方法和结论。</w:t>
      </w:r>
    </w:p>
    <w:p w14:paraId="57D6747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3）其他应付款评估值的确定方法和结论。</w:t>
      </w:r>
    </w:p>
    <w:p w14:paraId="539C7DF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（2）存入分保准备金</w:t>
      </w:r>
    </w:p>
    <w:p w14:paraId="383E139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1）存入分保准备金的金额、种类和企业确认依据。</w:t>
      </w:r>
    </w:p>
    <w:p w14:paraId="2A7A900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2）存入分保准备金核实的方法和结论。</w:t>
      </w:r>
    </w:p>
    <w:p w14:paraId="4D1568C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3）存入分保准备金评估值的确定方法和结论。</w:t>
      </w:r>
    </w:p>
    <w:p w14:paraId="07E4DC3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（3）上述负债以外的其他负债</w:t>
      </w:r>
    </w:p>
    <w:p w14:paraId="58D1DF9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1）其他负债的种类、形成原因、企业确认依据等。</w:t>
      </w:r>
    </w:p>
    <w:p w14:paraId="75F08E7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2）其他负债核实的方法和结论。</w:t>
      </w:r>
    </w:p>
    <w:p w14:paraId="72C591E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3）其他负债评估值的确定方法和结论。</w:t>
      </w:r>
    </w:p>
    <w:p w14:paraId="68DA9F2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（三）证券公司资产基础法评估技术说明编写内容指引</w:t>
      </w:r>
    </w:p>
    <w:p w14:paraId="6B28CEC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证券公司部分科目的评估方法与银行相同，证券公司专用科目的评估技术说明编写内容指引如下。</w:t>
      </w:r>
    </w:p>
    <w:p w14:paraId="09556B6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1.存出保证金</w:t>
      </w:r>
    </w:p>
    <w:p w14:paraId="7D8DCD7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（1）存出保证金类别。</w:t>
      </w:r>
    </w:p>
    <w:p w14:paraId="7287689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（2）存出保证金核实的方法和结论。</w:t>
      </w:r>
    </w:p>
    <w:p w14:paraId="643A243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（3）存出保证金评估值的确定方法和结论。</w:t>
      </w:r>
    </w:p>
    <w:p w14:paraId="24D2E07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2．结算备付金</w:t>
      </w:r>
    </w:p>
    <w:p w14:paraId="425273F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（1）结算备付金的账面金额及明细分类。</w:t>
      </w:r>
    </w:p>
    <w:p w14:paraId="62AE8CC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（2）结算备付金核实的方法和结论。</w:t>
      </w:r>
    </w:p>
    <w:p w14:paraId="3EA40EF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（3）结算备付金评估值的确定方法和结论。</w:t>
      </w:r>
    </w:p>
    <w:p w14:paraId="1550BEC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3．其他资产</w:t>
      </w:r>
    </w:p>
    <w:p w14:paraId="73E160C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（1）代理兑付证券、代理业务资产</w:t>
      </w:r>
    </w:p>
    <w:p w14:paraId="58EE785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1）代理兑付证券、代理业务资产相关合同情况。</w:t>
      </w:r>
    </w:p>
    <w:p w14:paraId="00AA774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2）代理兑付证券、代理业务资产核实的方法和结论。</w:t>
      </w:r>
    </w:p>
    <w:p w14:paraId="47E0FD9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3）代理兑付证券、代理业务资产评估值的确定方法和结论。</w:t>
      </w:r>
    </w:p>
    <w:p w14:paraId="1EA712C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（2）上述资产以外的其他资产</w:t>
      </w:r>
    </w:p>
    <w:p w14:paraId="1170659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1）其他资产的内容、种类及形成原因等。</w:t>
      </w:r>
    </w:p>
    <w:p w14:paraId="2C4BA38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2）其他资产核实的方法和结论。</w:t>
      </w:r>
    </w:p>
    <w:p w14:paraId="38DAE27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3）其他资产评估值的确定方法和结论。</w:t>
      </w:r>
    </w:p>
    <w:p w14:paraId="70E1D57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4.代理买卖证券款、代理承销证券款</w:t>
      </w:r>
    </w:p>
    <w:p w14:paraId="04F1467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（1）代理买卖证券款、代理承销证券款的资产类别。</w:t>
      </w:r>
    </w:p>
    <w:p w14:paraId="0F312A4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（2）代理买卖证券款、代理承销证券款核实的方法和结论。</w:t>
      </w:r>
    </w:p>
    <w:p w14:paraId="0FC4452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（3）代理买卖证券款、代理承销证券款评估值的确定方法和结论。</w:t>
      </w:r>
    </w:p>
    <w:p w14:paraId="2F36E52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5．其他负债</w:t>
      </w:r>
    </w:p>
    <w:p w14:paraId="5CA2B84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（1）代理兑付证券款、代理业务负债</w:t>
      </w:r>
    </w:p>
    <w:p w14:paraId="3D6D754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1）代理兑付证券款、代理业务负债资产类别。</w:t>
      </w:r>
    </w:p>
    <w:p w14:paraId="0A9FBD9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2）代理兑付证券款、代理业务负债核实的方法和结论。</w:t>
      </w:r>
    </w:p>
    <w:p w14:paraId="01E579D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3）代理兑付证券款、代理业务负债评估值的确定方法和结论。</w:t>
      </w:r>
    </w:p>
    <w:p w14:paraId="737E16C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（2）上述负债以外的其他负债</w:t>
      </w:r>
    </w:p>
    <w:p w14:paraId="1B687DB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1）其他负债的内容、种类及形成原因等。</w:t>
      </w:r>
    </w:p>
    <w:p w14:paraId="7834B4F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2）其他负债核实的方法和结论。</w:t>
      </w:r>
    </w:p>
    <w:p w14:paraId="70FA30D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3）其他负债评估值的确定方法和结论。</w:t>
      </w:r>
    </w:p>
    <w:p w14:paraId="770B4BA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四、收益法评估技术说明</w:t>
      </w:r>
    </w:p>
    <w:p w14:paraId="600E773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采用收益法进行企业价值评估，应当根据行业特点、企业经营方式和所确定的预期收益口径以及评估的其他具体情况等，确定评估技术说明的编写内容，一般编写内容指引如下。</w:t>
      </w:r>
    </w:p>
    <w:p w14:paraId="1F4EE6C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（一）说明评估对象，即企业整体价值、股东全部权益和股东部分权益。</w:t>
      </w:r>
    </w:p>
    <w:p w14:paraId="083BA61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（二）收益法的应用前提及选择的理由和依据</w:t>
      </w:r>
    </w:p>
    <w:p w14:paraId="4DD0A7D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1.收益法的定义和原理。</w:t>
      </w:r>
    </w:p>
    <w:p w14:paraId="42BBAAD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2.收益法的应用前提。</w:t>
      </w:r>
    </w:p>
    <w:p w14:paraId="1AC085F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3.收益法选择的理由和依据。</w:t>
      </w:r>
    </w:p>
    <w:p w14:paraId="33BC139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（三）收益预测的假设条件</w:t>
      </w:r>
    </w:p>
    <w:p w14:paraId="60D2FE4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收益预测的假设条件应当结合评估业务的具体情况确定。一般包括：</w:t>
      </w:r>
    </w:p>
    <w:p w14:paraId="679DB54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1.针对评估基准日资产的实际状况，假设企业持续经营。</w:t>
      </w:r>
    </w:p>
    <w:p w14:paraId="5F56FBB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2.假设公司的经营者是负责的，并且公司管理层有能力担当其职务。</w:t>
      </w:r>
    </w:p>
    <w:p w14:paraId="29CCBF7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3.除非另有说明，假设公司完全遵守所有有关的法律法规。</w:t>
      </w:r>
    </w:p>
    <w:p w14:paraId="11F1D9F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4.假设公司未来将采取的会计政策和编写此份报告时所采用的会计政策在重要方面基本一致。</w:t>
      </w:r>
    </w:p>
    <w:p w14:paraId="32E52B7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5.无其他人力不可抗拒因素及不可预见因素对企业造成重大不利影响。根据评估的要求，认定这些假设条件在评估基准日时成立，当未来经济环境发生较大变化时，将不承担由于假设条件改变而推导出不同评估结论的责任。</w:t>
      </w:r>
    </w:p>
    <w:p w14:paraId="18BD193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（四）企业经营、资产、财务分析</w:t>
      </w:r>
    </w:p>
    <w:p w14:paraId="44877B5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1.被评估单位所在行业状况及发展前景，国家货币政策及对金融行业主要监管政策分析。</w:t>
      </w:r>
    </w:p>
    <w:p w14:paraId="358ACDC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2.企业内部管理制度、人力资源、核心技术、研发状况、销售网络、特许经营权、管理层构成等经营管理状况分析。</w:t>
      </w:r>
    </w:p>
    <w:p w14:paraId="5CC476C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3.企业历史年度财务分析。一般包括收入、支出分析，资金运用方式、盈利能力、营运能力分析以及成长性分析等。</w:t>
      </w:r>
    </w:p>
    <w:p w14:paraId="07D7999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针对经营业务内容不同，不同种类的金融企业历史年度经营状况应当重点介绍以下内容，如：</w:t>
      </w:r>
    </w:p>
    <w:p w14:paraId="776C23B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银行的经营状况应当重点说明利率与汇率变化趋势、信贷市场规模、各类业务的市场占有率等历史情况。</w:t>
      </w:r>
    </w:p>
    <w:p w14:paraId="05F932A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保险公司的经营状况应当重点说明保险品种规模、各类业务的市场占有率等历史情况。</w:t>
      </w:r>
    </w:p>
    <w:p w14:paraId="38AFA13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证券公司的经营状况应当重点说明证券市场规模、各类业务的市场占有率等历史情况。</w:t>
      </w:r>
    </w:p>
    <w:p w14:paraId="7AC571B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4.经营性资产、非经营性资产、溢余资产分析。</w:t>
      </w:r>
    </w:p>
    <w:p w14:paraId="20A07A8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（五）评估计算及分析过程</w:t>
      </w:r>
    </w:p>
    <w:p w14:paraId="38CFE03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评估计算及分析过程需要对收益法评估表进行详细解释。</w:t>
      </w:r>
    </w:p>
    <w:p w14:paraId="05CA1A7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1.收益模型的选取</w:t>
      </w:r>
    </w:p>
    <w:p w14:paraId="1BF3CE4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（1）选取收益法的具体测算方法及模型。</w:t>
      </w:r>
    </w:p>
    <w:p w14:paraId="529DA81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（2）列示计算公式并对参数进行解释与说明。</w:t>
      </w:r>
    </w:p>
    <w:p w14:paraId="34A5695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2.收益年限的确定</w:t>
      </w:r>
    </w:p>
    <w:p w14:paraId="05487DA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确定收益年限并说明其理由。</w:t>
      </w:r>
    </w:p>
    <w:p w14:paraId="591E5F2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3.未来收益的确定</w:t>
      </w:r>
    </w:p>
    <w:p w14:paraId="6C9039D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未来收益的确定一般包括以下主要项目的预测，收入、成本费用等项目的名称及具体内容应当根据企业的实际经营情况确定。</w:t>
      </w:r>
    </w:p>
    <w:p w14:paraId="1EAB6C8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（1）经营模式与收益主体、口径的相关性。</w:t>
      </w:r>
    </w:p>
    <w:p w14:paraId="04F470E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（2）收入的预测</w:t>
      </w:r>
    </w:p>
    <w:p w14:paraId="443D51D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1）营业收入的预测。通常包括区域经济发展与市场环境、业内竞争情况与企业对策、公司的营业收入及构成分析和营业收入的预测。</w:t>
      </w:r>
    </w:p>
    <w:p w14:paraId="19FD1D1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2）资金运用收益预测及依据。</w:t>
      </w:r>
    </w:p>
    <w:p w14:paraId="0C51BB6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3）公允价值变动收益预测。</w:t>
      </w:r>
    </w:p>
    <w:p w14:paraId="125B5A9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4）汇兑收益预测。</w:t>
      </w:r>
    </w:p>
    <w:p w14:paraId="1B48B33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5）其他业务收入预测。</w:t>
      </w:r>
    </w:p>
    <w:p w14:paraId="3F4F43C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（3）支出的预测</w:t>
      </w:r>
    </w:p>
    <w:p w14:paraId="218FFD5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1）营业税金及附加的估算。</w:t>
      </w:r>
    </w:p>
    <w:p w14:paraId="750E055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2）业务及管理费用的预测。</w:t>
      </w:r>
    </w:p>
    <w:p w14:paraId="14D4395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3）资产减值损失的预测。</w:t>
      </w:r>
    </w:p>
    <w:p w14:paraId="687B5F5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4）其他业务成本预测。</w:t>
      </w:r>
    </w:p>
    <w:p w14:paraId="761F8B0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（4）折旧与摊销的预测。</w:t>
      </w:r>
    </w:p>
    <w:p w14:paraId="257638C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（5）追加投资预测。</w:t>
      </w:r>
    </w:p>
    <w:p w14:paraId="21782AF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4.折现率的确定</w:t>
      </w:r>
    </w:p>
    <w:p w14:paraId="512F71F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（1）所选折现率的模型。</w:t>
      </w:r>
    </w:p>
    <w:p w14:paraId="6E0296C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（2）模型中有关参数的选取过程。</w:t>
      </w:r>
    </w:p>
    <w:p w14:paraId="638019D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例如：无风险报酬率选取依据及过程、市场收益率选取依据及过程、Beta（贝塔）系数的测算。</w:t>
      </w:r>
    </w:p>
    <w:p w14:paraId="1032CE4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（六）收益法说明应当体现主要业务的预测过程，如：</w:t>
      </w:r>
    </w:p>
    <w:p w14:paraId="6D48C7D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1.银行的收益法说明应当披露信贷业务、投资业务、中间业务等重要业务收益参数的预测过程。</w:t>
      </w:r>
    </w:p>
    <w:p w14:paraId="77AA39A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2.保险公司的收益法说明应当披露保费收入、投资收益、各项保险准备金计提等重要项目收益参数预测过程，寿险公司应当披露评估选取参数与精算报告相关参数的适配性。</w:t>
      </w:r>
    </w:p>
    <w:p w14:paraId="731E49D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3.证券公司的收益法说明应当披露证券市场周期对企业经营的影响分析，应当详细披露经纪业务、承销业务及自营业务等不同业务板块的收益参数预测过程。</w:t>
      </w:r>
    </w:p>
    <w:p w14:paraId="651E420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（七）企业执行国家有关部门制定的行业监管指标情况，并披露其对企业价值的影响。</w:t>
      </w:r>
    </w:p>
    <w:p w14:paraId="5B7162E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（八）评估值测算过程与结论</w:t>
      </w:r>
    </w:p>
    <w:p w14:paraId="79A71FA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1.列表说明公式中的各参数以及测算过程。</w:t>
      </w:r>
    </w:p>
    <w:p w14:paraId="1690984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2.终值的估算。</w:t>
      </w:r>
    </w:p>
    <w:p w14:paraId="51F9842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3.评估结论。</w:t>
      </w:r>
    </w:p>
    <w:p w14:paraId="6F6F7D3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（九）其他资产和负债（如非经营性资产）的评估价值</w:t>
      </w:r>
    </w:p>
    <w:p w14:paraId="4DA6156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1.评估的资产和负债类型。</w:t>
      </w:r>
    </w:p>
    <w:p w14:paraId="0688BEA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2.评估方法。</w:t>
      </w:r>
    </w:p>
    <w:p w14:paraId="555DEA8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3.评估结论。</w:t>
      </w:r>
    </w:p>
    <w:p w14:paraId="7545B1F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（十）评估结论</w:t>
      </w:r>
    </w:p>
    <w:p w14:paraId="4810386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（十一）收益法评估明细表</w:t>
      </w:r>
    </w:p>
    <w:p w14:paraId="1872C40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采用收益法进行企业价值评估，应当编制必要的收益法评估明细表。明细表中的数据应当与资产评估报告相应内容一致。</w:t>
      </w:r>
    </w:p>
    <w:p w14:paraId="5DA0085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不同类型的金融企业业务模式不同，适用的收益法评估表也有所区别。采用股权自由现金流折现模型，通常编制财务报表调整表（如有）、现金流量测算表、收入预测表、支出预测表、所有者权益变动表、其他综合收益预测表、折现率测算表；采用企业自由现金流折现模型，通常编制财务报表调整表（如有）、现金流量测算表、收入预测表、支出预测表、折旧摊销预测表、资本性支出预测表、净流动资金增加额预测表、折现率测算表。</w:t>
      </w:r>
    </w:p>
    <w:p w14:paraId="12095C7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收益法评估表表头应当含有项目名称、被评估单位、评估基准日、金额单位等；必要时，在表外可以对各项数据进行解释。</w:t>
      </w:r>
    </w:p>
    <w:p w14:paraId="0CF4BAE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收益法评估表应当编制以人民币万元为金额单位的收益法评估汇总表。</w:t>
      </w:r>
    </w:p>
    <w:p w14:paraId="4F8E106E">
      <w:pPr>
        <w:shd w:val="clear" w:color="auto" w:fill="FFFFFF"/>
        <w:spacing w:line="440" w:lineRule="atLeast"/>
        <w:ind w:firstLine="480" w:firstLineChars="200"/>
        <w:rPr>
          <w:rFonts w:ascii="宋体" w:hAnsi="宋体" w:eastAsia="宋体" w:cs="宋体"/>
          <w:color w:val="000000"/>
          <w:kern w:val="0"/>
          <w:sz w:val="24"/>
          <w:shd w:val="clear" w:color="auto" w:fill="FFFFFF"/>
        </w:rPr>
      </w:pPr>
      <w:bookmarkStart w:id="125" w:name="_Toc273205929"/>
      <w:bookmarkStart w:id="126" w:name="_Toc273187708"/>
      <w:r>
        <w:rPr>
          <w:rFonts w:hint="eastAsia" w:ascii="宋体" w:hAnsi="宋体" w:eastAsia="宋体" w:cs="宋体"/>
          <w:color w:val="000000"/>
          <w:kern w:val="0"/>
          <w:sz w:val="24"/>
          <w:shd w:val="clear" w:color="auto" w:fill="FFFFFF"/>
        </w:rPr>
        <w:t>五、市场法评估技术说明</w:t>
      </w:r>
      <w:bookmarkEnd w:id="125"/>
      <w:bookmarkEnd w:id="126"/>
    </w:p>
    <w:p w14:paraId="1DFF9DA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采用市场法进行企业价值评估，应当根据所采用的具体评估方法（如上市公司比较法或者交易案例比较法）确定评估技术说明的编写内容。一般编写内容指引如下。</w:t>
      </w:r>
    </w:p>
    <w:p w14:paraId="7EC9B95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（一）说明评估对象，包括企业整体价值、股东全部权益、股东部分权益。</w:t>
      </w:r>
    </w:p>
    <w:p w14:paraId="75731B7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（二）选取的市场法的定义、原理、应用前提及评估选用的理由。</w:t>
      </w:r>
    </w:p>
    <w:p w14:paraId="2E57687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（三）对被评估单位所在行业发展状况与前景进行分析。</w:t>
      </w:r>
    </w:p>
    <w:p w14:paraId="051FFBA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（四）搜集相关资料，对评估对象基本情况进行阐述。</w:t>
      </w:r>
    </w:p>
    <w:p w14:paraId="3DC8F32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（五）分析、确定可比公司，对可比公司与评估对象的可比性进行分析。</w:t>
      </w:r>
    </w:p>
    <w:p w14:paraId="6ECB020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（六）确定可比因素的方法和过程</w:t>
      </w:r>
    </w:p>
    <w:p w14:paraId="0923919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1．对可比因素进行分析时，除考虑主要财务指标外，还应当结合不同种类的金融企业的特点选择恰当的可比因素，如：</w:t>
      </w:r>
    </w:p>
    <w:p w14:paraId="02F4C85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（1）银行的存贷款规模、营业网点、客户质量与数量等因素。</w:t>
      </w:r>
    </w:p>
    <w:p w14:paraId="3C538CF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（2）保险公司的客户质量与数量、营业网点等因素。</w:t>
      </w:r>
    </w:p>
    <w:p w14:paraId="78C763F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（3）证券公司的证券市场周期对企业经营的影响，客户质量与数量、营业网点、经营模式等因素。</w:t>
      </w:r>
    </w:p>
    <w:p w14:paraId="772E867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2．说明各项可比因素的确定过程。</w:t>
      </w:r>
    </w:p>
    <w:p w14:paraId="3AF8EFB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（七）企业执行国家有关部门制定的行业监管指标情况，并披露其对企业价值的影响。</w:t>
      </w:r>
    </w:p>
    <w:p w14:paraId="092F88E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（八）评估值的估算过程、评估结论及分析。</w:t>
      </w:r>
    </w:p>
    <w:p w14:paraId="1BDF388E">
      <w:pPr>
        <w:shd w:val="clear" w:color="auto" w:fill="FFFFFF"/>
        <w:spacing w:line="440" w:lineRule="atLeast"/>
        <w:ind w:firstLine="480" w:firstLineChars="200"/>
        <w:rPr>
          <w:rFonts w:ascii="宋体" w:hAnsi="宋体" w:eastAsia="宋体" w:cs="宋体"/>
          <w:color w:val="000000"/>
          <w:kern w:val="0"/>
          <w:sz w:val="24"/>
          <w:shd w:val="clear" w:color="auto" w:fill="FFFFFF"/>
        </w:rPr>
      </w:pPr>
      <w:bookmarkStart w:id="127" w:name="_Toc273205930"/>
      <w:bookmarkStart w:id="128" w:name="_Toc273187709"/>
      <w:r>
        <w:rPr>
          <w:rFonts w:hint="eastAsia" w:ascii="宋体" w:hAnsi="宋体" w:eastAsia="宋体" w:cs="宋体"/>
          <w:color w:val="000000"/>
          <w:kern w:val="0"/>
          <w:sz w:val="24"/>
          <w:shd w:val="clear" w:color="auto" w:fill="FFFFFF"/>
        </w:rPr>
        <w:t>六、评估结论及分析</w:t>
      </w:r>
      <w:bookmarkEnd w:id="127"/>
      <w:bookmarkEnd w:id="128"/>
    </w:p>
    <w:p w14:paraId="0CF3CDF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（一）评估结论</w:t>
      </w:r>
    </w:p>
    <w:p w14:paraId="43FB5F4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1．用文字叙述账面价值和评估价值，采用两种或者两种以上方法进行企业价值评估，应当分别说明评估价值，以及不同评估方法结论的差异及其原因和确定最终评估结论的理由。</w:t>
      </w:r>
    </w:p>
    <w:p w14:paraId="3C200B9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2．含有“评估结论根据以上评估工作得出”的字样。</w:t>
      </w:r>
    </w:p>
    <w:p w14:paraId="35DA536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3．对于存在多家被评估单位的情况，应当分别说明评估价值。</w:t>
      </w:r>
    </w:p>
    <w:p w14:paraId="7753729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4．对于不纳入评估汇总表的评估结果，应当单独列示。</w:t>
      </w:r>
    </w:p>
    <w:p w14:paraId="7E3790C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（二）评估结论与账面价值比较变动情况及原因</w:t>
      </w:r>
    </w:p>
    <w:p w14:paraId="65160F7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1．说明评估结论与账面价值比较变动情况，包括绝对变动额和相对变动率。</w:t>
      </w:r>
    </w:p>
    <w:p w14:paraId="6BDCF4A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2．分析评估结论与账面价值比较变动原因。</w:t>
      </w:r>
    </w:p>
    <w:p w14:paraId="72E7E5A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（三）折价或者溢价情况（如有）</w:t>
      </w:r>
    </w:p>
    <w:p w14:paraId="4F16597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企业价值评估，在适当及切实可行的情况下需要考虑由于控股权和少数股权等因素产生的溢价或者折价，以及流动性对评估对象价值的影响，包括但不限于：</w:t>
      </w:r>
    </w:p>
    <w:p w14:paraId="735ADB7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1．说明是否考虑了折价与溢价。</w:t>
      </w:r>
    </w:p>
    <w:p w14:paraId="67790DB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2．说明折价或者溢价测算的方法，对其合理性做出判断。</w:t>
      </w:r>
    </w:p>
    <w:p w14:paraId="3B4297E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br w:type="page"/>
      </w:r>
    </w:p>
    <w:p w14:paraId="0AB006D3">
      <w:pPr>
        <w:pStyle w:val="5"/>
        <w:spacing w:line="440" w:lineRule="atLeast"/>
        <w:jc w:val="center"/>
        <w:rPr>
          <w:rFonts w:ascii="宋体" w:hAnsi="宋体" w:eastAsia="宋体" w:cs="宋体"/>
        </w:rPr>
      </w:pPr>
      <w:bookmarkStart w:id="129" w:name="_Toc26310"/>
      <w:r>
        <w:rPr>
          <w:rFonts w:hint="eastAsia" w:ascii="宋体" w:hAnsi="宋体" w:eastAsia="宋体" w:cs="宋体"/>
        </w:rPr>
        <w:t>知识产权资产评估指南</w:t>
      </w:r>
      <w:bookmarkEnd w:id="129"/>
    </w:p>
    <w:p w14:paraId="318A352A">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第一章　总则</w:t>
      </w:r>
    </w:p>
    <w:p w14:paraId="1F257B9D">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第一条</w:t>
      </w:r>
      <w:r>
        <w:rPr>
          <w:rFonts w:hint="eastAsia" w:ascii="宋体" w:hAnsi="宋体" w:eastAsia="宋体" w:cs="宋体"/>
          <w:color w:val="000000"/>
          <w:kern w:val="0"/>
          <w:sz w:val="24"/>
          <w:shd w:val="clear" w:color="auto" w:fill="FFFFFF"/>
        </w:rPr>
        <w:t>　为规范知识产权资产评估行为，保护资产评估当事人合法权益和公共利益，根据《资产评估执业准则——无形资产》制定本指南。</w:t>
      </w:r>
    </w:p>
    <w:p w14:paraId="37234CA3">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第二条</w:t>
      </w:r>
      <w:r>
        <w:rPr>
          <w:rFonts w:hint="eastAsia" w:ascii="宋体" w:hAnsi="宋体" w:eastAsia="宋体" w:cs="宋体"/>
          <w:color w:val="000000"/>
          <w:kern w:val="0"/>
          <w:sz w:val="24"/>
          <w:shd w:val="clear" w:color="auto" w:fill="FFFFFF"/>
        </w:rPr>
        <w:t>　本指南所称知识产权资产，是指知识产权权利人拥有或者控制的，能够持续发挥作用并且带来经济利益的知识产权权益。知识产权资产包括专利权、商标专用权、著作权、商业秘密、集成电路布图设计和植物新品种等。</w:t>
      </w:r>
    </w:p>
    <w:p w14:paraId="3A44E46F">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第三条</w:t>
      </w:r>
      <w:r>
        <w:rPr>
          <w:rFonts w:hint="eastAsia" w:ascii="宋体" w:hAnsi="宋体" w:eastAsia="宋体" w:cs="宋体"/>
          <w:color w:val="000000"/>
          <w:kern w:val="0"/>
          <w:sz w:val="24"/>
          <w:shd w:val="clear" w:color="auto" w:fill="FFFFFF"/>
        </w:rPr>
        <w:t>　本指南所称知识产权资产评估，是指资产评估机构及其资产评估专业人员遵守法律、行政法规和资产评估准则，根据委托对评估基准日特定目的下的知识产权资产价值进行评定和估算，并出具资产评估报告的专业服务行为。</w:t>
      </w:r>
    </w:p>
    <w:p w14:paraId="2E236DFC">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第四条</w:t>
      </w:r>
      <w:r>
        <w:rPr>
          <w:rFonts w:hint="eastAsia" w:ascii="宋体" w:hAnsi="宋体" w:eastAsia="宋体" w:cs="宋体"/>
          <w:color w:val="000000"/>
          <w:kern w:val="0"/>
          <w:sz w:val="24"/>
          <w:shd w:val="clear" w:color="auto" w:fill="FFFFFF"/>
        </w:rPr>
        <w:t>　执行知识产权资产评估业务，应当遵守本指南。</w:t>
      </w:r>
    </w:p>
    <w:p w14:paraId="5A327328">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第二章　基本遵循</w:t>
      </w:r>
    </w:p>
    <w:p w14:paraId="4D6D6E62">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第五条</w:t>
      </w:r>
      <w:r>
        <w:rPr>
          <w:rFonts w:hint="eastAsia" w:ascii="宋体" w:hAnsi="宋体" w:eastAsia="宋体" w:cs="宋体"/>
          <w:color w:val="000000"/>
          <w:kern w:val="0"/>
          <w:sz w:val="24"/>
          <w:shd w:val="clear" w:color="auto" w:fill="FFFFFF"/>
        </w:rPr>
        <w:t>　资产评估机构及其资产评估专业人员开展知识产权资产评估业务，应当遵守法律、行政法规的规定，坚持独立、客观、公正的原则，诚实守信，勤勉尽责，谨慎从业，遵守职业道德规范，自觉维护职业形象，不得从事损害职业形象的活动。</w:t>
      </w:r>
    </w:p>
    <w:p w14:paraId="505152A9">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第六条</w:t>
      </w:r>
      <w:r>
        <w:rPr>
          <w:rFonts w:hint="eastAsia" w:ascii="宋体" w:hAnsi="宋体" w:eastAsia="宋体" w:cs="宋体"/>
          <w:color w:val="000000"/>
          <w:kern w:val="0"/>
          <w:sz w:val="24"/>
          <w:shd w:val="clear" w:color="auto" w:fill="FFFFFF"/>
        </w:rPr>
        <w:t>　资产评估机构及其资产评估专业人员开展知识产权资产评估业务，应当独立进行分析和估算并形成专业意见，拒绝委托人或者其他相关当事人的干预，不得直接以预先设定的价值作为评估结论。</w:t>
      </w:r>
    </w:p>
    <w:p w14:paraId="4F573403">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第七条</w:t>
      </w:r>
      <w:r>
        <w:rPr>
          <w:rFonts w:hint="eastAsia" w:ascii="宋体" w:hAnsi="宋体" w:eastAsia="宋体" w:cs="宋体"/>
          <w:color w:val="000000"/>
          <w:kern w:val="0"/>
          <w:sz w:val="24"/>
          <w:shd w:val="clear" w:color="auto" w:fill="FFFFFF"/>
        </w:rPr>
        <w:t>　执行知识产权资产评估业务，应当具备知识产权资产评估的专业知识和实践经验，能够胜任所执行的知识产权资产评估业务。</w:t>
      </w:r>
    </w:p>
    <w:p w14:paraId="4C060D1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执行某项特定业务缺乏特定的专业知识和经验时，应当采取弥补措施，包括利用专家及相关报告等。</w:t>
      </w:r>
    </w:p>
    <w:p w14:paraId="1912AAA9">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第八条</w:t>
      </w:r>
      <w:r>
        <w:rPr>
          <w:rFonts w:hint="eastAsia" w:ascii="宋体" w:hAnsi="宋体" w:eastAsia="宋体" w:cs="宋体"/>
          <w:color w:val="000000"/>
          <w:kern w:val="0"/>
          <w:sz w:val="24"/>
          <w:shd w:val="clear" w:color="auto" w:fill="FFFFFF"/>
        </w:rPr>
        <w:t>　资产评估机构应当关注知识产权资产评估业务的复杂性，根据自身的资产评估专业人员配备、专业知识和经验，审慎考虑是否有能力受理知识产权资产评估业务。</w:t>
      </w:r>
    </w:p>
    <w:p w14:paraId="6872644F">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第九条</w:t>
      </w:r>
      <w:r>
        <w:rPr>
          <w:rFonts w:hint="eastAsia" w:ascii="宋体" w:hAnsi="宋体" w:eastAsia="宋体" w:cs="宋体"/>
          <w:color w:val="000000"/>
          <w:kern w:val="0"/>
          <w:sz w:val="24"/>
          <w:shd w:val="clear" w:color="auto" w:fill="FFFFFF"/>
        </w:rPr>
        <w:t>　执行知识产权资产评估业务，应当明确评估对象、评估范围、评估目的、评估基准日、价值类型和资产评估报告使用人。</w:t>
      </w:r>
    </w:p>
    <w:p w14:paraId="3FC89523">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第十条</w:t>
      </w:r>
      <w:r>
        <w:rPr>
          <w:rFonts w:hint="eastAsia" w:ascii="宋体" w:hAnsi="宋体" w:eastAsia="宋体" w:cs="宋体"/>
          <w:color w:val="000000"/>
          <w:kern w:val="0"/>
          <w:sz w:val="24"/>
          <w:shd w:val="clear" w:color="auto" w:fill="FFFFFF"/>
        </w:rPr>
        <w:t>　知识产权资产评估目的通常包括转让、许可使用、出资、质押、诉讼、财务报告等。</w:t>
      </w:r>
    </w:p>
    <w:p w14:paraId="03C14B77">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第十一条</w:t>
      </w:r>
      <w:r>
        <w:rPr>
          <w:rFonts w:hint="eastAsia" w:ascii="宋体" w:hAnsi="宋体" w:eastAsia="宋体" w:cs="宋体"/>
          <w:color w:val="000000"/>
          <w:kern w:val="0"/>
          <w:sz w:val="24"/>
          <w:shd w:val="clear" w:color="auto" w:fill="FFFFFF"/>
        </w:rPr>
        <w:t>　执行知识产权资产评估业务，应当充分考虑评估目的、市场条件、评估对象自身条件等因素，恰当选择价值类型。</w:t>
      </w:r>
    </w:p>
    <w:p w14:paraId="4D503136">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第十二条</w:t>
      </w:r>
      <w:r>
        <w:rPr>
          <w:rFonts w:hint="eastAsia" w:ascii="宋体" w:hAnsi="宋体" w:eastAsia="宋体" w:cs="宋体"/>
          <w:color w:val="000000"/>
          <w:kern w:val="0"/>
          <w:sz w:val="24"/>
          <w:shd w:val="clear" w:color="auto" w:fill="FFFFFF"/>
        </w:rPr>
        <w:t>　执行知识产权资产评估业务，应当对资产评估活动中使用的资料进行核查验证。</w:t>
      </w:r>
    </w:p>
    <w:p w14:paraId="7257F10F">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第十三条</w:t>
      </w:r>
      <w:r>
        <w:rPr>
          <w:rFonts w:hint="eastAsia" w:ascii="宋体" w:hAnsi="宋体" w:eastAsia="宋体" w:cs="宋体"/>
          <w:color w:val="000000"/>
          <w:kern w:val="0"/>
          <w:sz w:val="24"/>
          <w:shd w:val="clear" w:color="auto" w:fill="FFFFFF"/>
        </w:rPr>
        <w:t>　执行知识产权资产评估业务，应当合理使用评估假设。</w:t>
      </w:r>
    </w:p>
    <w:p w14:paraId="62907311">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第十四条</w:t>
      </w:r>
      <w:r>
        <w:rPr>
          <w:rFonts w:hint="eastAsia" w:ascii="宋体" w:hAnsi="宋体" w:eastAsia="宋体" w:cs="宋体"/>
          <w:color w:val="000000"/>
          <w:kern w:val="0"/>
          <w:sz w:val="24"/>
          <w:shd w:val="clear" w:color="auto" w:fill="FFFFFF"/>
        </w:rPr>
        <w:t>　执行知识产权资产评估业务，应当关注宏观经济政策、行业政策、经营条件、生产能力、市场状况、产品生命周期等各项因素对知识产权资产效能发挥的作用，以及对知识产权资产价值产生的影响。</w:t>
      </w:r>
    </w:p>
    <w:p w14:paraId="507D410B">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第十五条</w:t>
      </w:r>
      <w:r>
        <w:rPr>
          <w:rFonts w:hint="eastAsia" w:ascii="宋体" w:hAnsi="宋体" w:eastAsia="宋体" w:cs="宋体"/>
          <w:color w:val="000000"/>
          <w:kern w:val="0"/>
          <w:sz w:val="24"/>
          <w:shd w:val="clear" w:color="auto" w:fill="FFFFFF"/>
        </w:rPr>
        <w:t>　执行知识产权资产评估业务，应当关注知识产权资产的基本情况：</w:t>
      </w:r>
    </w:p>
    <w:p w14:paraId="4D2B65D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（一）知识产权资产权利的法律文件、权属有效性文件或者其他证明资料；</w:t>
      </w:r>
    </w:p>
    <w:p w14:paraId="2B987F5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（二）知识产权资产特征和使用状况，历史沿革以及评估与交易情况；</w:t>
      </w:r>
    </w:p>
    <w:p w14:paraId="7EB085D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（三）知识产权资产实施的地域范围、领域范围、获利能力与获利方式，知识产权资产是否能给权利人带来显著、持续的可辨识经济利益；</w:t>
      </w:r>
    </w:p>
    <w:p w14:paraId="0B3D27D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（四）知识产权资产的法定寿命和剩余经济寿命，知识产权资产的保护措施；</w:t>
      </w:r>
    </w:p>
    <w:p w14:paraId="3B05D7D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（五）知识产权资产实施过程中所受到的法律、行政法规或者其他限制；</w:t>
      </w:r>
    </w:p>
    <w:p w14:paraId="0447CA4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（六）类似知识产权资产的市场价格信息；</w:t>
      </w:r>
    </w:p>
    <w:p w14:paraId="5DFDD3D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（七）其他相关信息。</w:t>
      </w:r>
    </w:p>
    <w:p w14:paraId="493C969A">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第十六条</w:t>
      </w:r>
      <w:r>
        <w:rPr>
          <w:rFonts w:hint="eastAsia" w:ascii="宋体" w:hAnsi="宋体" w:eastAsia="宋体" w:cs="宋体"/>
          <w:color w:val="000000"/>
          <w:kern w:val="0"/>
          <w:sz w:val="24"/>
          <w:shd w:val="clear" w:color="auto" w:fill="FFFFFF"/>
        </w:rPr>
        <w:t>　执行知识产权资产评估业务，应当要求委托人明确评估对象，并关注评估对象的权利状况以及法律、经济、技术等具体特征。</w:t>
      </w:r>
    </w:p>
    <w:p w14:paraId="5DB88E5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知识产权资产通常与其他资产共同发挥作用，执行知识产权资产评估业务应当根据评估对象的具体情况和评估目的分析、判断知识产权资产的作用，恰当进行单项知识产权资产或者知识产权资产组合的评估，合理确定知识产权资产的价值。</w:t>
      </w:r>
    </w:p>
    <w:p w14:paraId="24269436">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第十七条</w:t>
      </w:r>
      <w:r>
        <w:rPr>
          <w:rFonts w:hint="eastAsia" w:ascii="宋体" w:hAnsi="宋体" w:eastAsia="宋体" w:cs="宋体"/>
          <w:color w:val="000000"/>
          <w:kern w:val="0"/>
          <w:sz w:val="24"/>
          <w:shd w:val="clear" w:color="auto" w:fill="FFFFFF"/>
        </w:rPr>
        <w:t>　专利资产是指专利权利人拥有或者控制的，能够持续发挥作用并且带来经济利益的专利权益。专利资产评估业务的评估对象是指专利资产权益，包括专利所有权和专利使用权。专利使用权是指专利实施许可权，具体形式包括专利权独占许可、独家许可、普通许可和其他许可形式。</w:t>
      </w:r>
    </w:p>
    <w:p w14:paraId="78D8791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执行专利资产评估业务，应当明确专利资产的权利属性。评估对象为专利所有权的，应当关注专利权是否已经许可他人使用以及使用权的具体形式，并关注其对专利所有权价值的影响。评估对象为专利使用权的，应当明确专利使用权的许可形式、许可内容及许可期限。</w:t>
      </w:r>
    </w:p>
    <w:p w14:paraId="75304A7C">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第十八条</w:t>
      </w:r>
      <w:r>
        <w:rPr>
          <w:rFonts w:hint="eastAsia" w:ascii="宋体" w:hAnsi="宋体" w:eastAsia="宋体" w:cs="宋体"/>
          <w:color w:val="000000"/>
          <w:kern w:val="0"/>
          <w:sz w:val="24"/>
          <w:shd w:val="clear" w:color="auto" w:fill="FFFFFF"/>
        </w:rPr>
        <w:t>　商标资产是指商标权利人拥有或者控制的，能够持续发挥作用并且能带来经济利益的注册商标权益。注册商标包括商品商标、服务商标、集体商标、证明商标。商标资产评估涉及的商标通常为商品商标和服务商标。</w:t>
      </w:r>
    </w:p>
    <w:p w14:paraId="77D3F30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商标资产评估对象是指受法律保护的注册商标资产权益，包括商标专用权、商标许可权。评估对象为商标专用权的，应当关注商标是否已经许可他人使用以及具体许可形式评估对象为商标许可权的，应当明确该权利的具体许可形式、内容和期限。</w:t>
      </w:r>
    </w:p>
    <w:p w14:paraId="2D856016">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第十九条</w:t>
      </w:r>
      <w:r>
        <w:rPr>
          <w:rFonts w:hint="eastAsia" w:ascii="宋体" w:hAnsi="宋体" w:eastAsia="宋体" w:cs="宋体"/>
          <w:color w:val="000000"/>
          <w:kern w:val="0"/>
          <w:sz w:val="24"/>
          <w:shd w:val="clear" w:color="auto" w:fill="FFFFFF"/>
        </w:rPr>
        <w:t>　著作权资产，是指著作权权利人拥有或者控制的，能够持续发挥作用并且带来经济利益的著作权财产权益和与著作权有关权利的财产权益。著作权资产评估对象是指著作权中的财产权益以及与著作权有关权利的财产权益。</w:t>
      </w:r>
    </w:p>
    <w:p w14:paraId="30472BC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著作权财产权利种类包括：复制权、发行权、出租权、展览权、表演权、放映权、广播权、信息网络传播权、摄制权、改编权、翻译权、汇编权以及著作权人享有的其他财产权利。</w:t>
      </w:r>
    </w:p>
    <w:p w14:paraId="17156BB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与著作权评估有关的权利通常包括：出版者对其出版的图书、期刊的版式设计的权利，表演者对其表演享有的权利，录音、录像制作者对其制作的录音、录像制品享有的权利，广播电台、电视台对其制作的广播、电视所享有的权利以及由法律、行政法规规定的其他与著作权有关的权利。</w:t>
      </w:r>
    </w:p>
    <w:p w14:paraId="1F256F2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著作权资产的财产权利形式包括著作权人享有的权利，以及转让或者许可他人使用的权利。许可使用形式包括法定许可和授权许可；授权许可形式包括专有许可、非专有许可和其他形式许可等。</w:t>
      </w:r>
    </w:p>
    <w:p w14:paraId="2014D23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执行著作权资产评估业务，应当明确著作权资产的权利形式。当评估对象为著作权许可使用权时，应当明确具体许可形式、内容和期限。</w:t>
      </w:r>
    </w:p>
    <w:p w14:paraId="2F5DB1F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执行著作权资产评估业务，还应当关注原创著作权和衍生著作权之间的权利关系以及著作权与有关权利之间的关系。</w:t>
      </w:r>
    </w:p>
    <w:p w14:paraId="3D895581">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第二十条</w:t>
      </w:r>
      <w:r>
        <w:rPr>
          <w:rFonts w:hint="eastAsia" w:ascii="宋体" w:hAnsi="宋体" w:eastAsia="宋体" w:cs="宋体"/>
          <w:color w:val="000000"/>
          <w:kern w:val="0"/>
          <w:sz w:val="24"/>
          <w:shd w:val="clear" w:color="auto" w:fill="FFFFFF"/>
        </w:rPr>
        <w:t>　商业秘密，是指不为公众所知悉、能为权利人带来经济利益、具有实用性并经权利人采取保密措施的技术信息和经营信息，包括设计、程序、产品配方、制作工艺、制作方法、管理诀窍、客户名单、货源情报、产销策略、招投标中的标底及标书内容等信息。设计、程序、产品配方、制作工艺、制作方法等在实务中通常称为专有技术或者技术诀窍。</w:t>
      </w:r>
    </w:p>
    <w:p w14:paraId="6C13FDF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执行商业秘密资产评估业务，应当关注商业秘密的保密级别、保密期限、应用范围等，同时应当考虑权利人对商业秘密采取的保护措施，如竞业禁止协议等对商业秘密价值的影响。</w:t>
      </w:r>
    </w:p>
    <w:p w14:paraId="1B710599">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第二十一条</w:t>
      </w:r>
      <w:r>
        <w:rPr>
          <w:rFonts w:hint="eastAsia" w:ascii="宋体" w:hAnsi="宋体" w:eastAsia="宋体" w:cs="宋体"/>
          <w:color w:val="000000"/>
          <w:kern w:val="0"/>
          <w:sz w:val="24"/>
          <w:shd w:val="clear" w:color="auto" w:fill="FFFFFF"/>
        </w:rPr>
        <w:t>　集成电路布图设计，是指集成电路中至少有一个是有源元件的两个以上元件和部分或者全部互连线路的三维配置，或者为制造集成电路而准备的上述三维配置。其中，集成电路是指半导体集成电路，即以半导体材料为基片，将至少有一个是有源元件的两个以上元件和部分或者全部互连线路集成在基片之中或者基片之上，以执行某种电子功能的中间产品或者最终产品。</w:t>
      </w:r>
    </w:p>
    <w:p w14:paraId="13EFEEB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集成电路布图设计资产评估对象是指集成电路布图设计资产的权益，包括专有权和许可他人使用的权利。</w:t>
      </w:r>
    </w:p>
    <w:p w14:paraId="5DE4853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集成电路布图设计权利人享有下列专有权：</w:t>
      </w:r>
    </w:p>
    <w:p w14:paraId="07604B3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（一）对受保护的布图设计的全部或者其中任何具有独创性的部分进行复制；</w:t>
      </w:r>
    </w:p>
    <w:p w14:paraId="6689AA1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（二）将受保护的布图设计、含有该布图设计的集成电路或者含有该集成电路的物品投入商业利用。</w:t>
      </w:r>
    </w:p>
    <w:p w14:paraId="6682795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集成电路布图设计权利人可以将其专有权转让或者许可他人使用其布图设计。</w:t>
      </w:r>
    </w:p>
    <w:p w14:paraId="16A1369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在执行集成电路布图设计资产评估业务时，应当关注是否存在反向工程、强制许可、独立创作的相同设计等情况，并考虑其对评估结论的影响。</w:t>
      </w:r>
    </w:p>
    <w:p w14:paraId="113F32E7">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第二十二条</w:t>
      </w:r>
      <w:r>
        <w:rPr>
          <w:rFonts w:hint="eastAsia" w:ascii="宋体" w:hAnsi="宋体" w:eastAsia="宋体" w:cs="宋体"/>
          <w:color w:val="000000"/>
          <w:kern w:val="0"/>
          <w:sz w:val="24"/>
          <w:shd w:val="clear" w:color="auto" w:fill="FFFFFF"/>
        </w:rPr>
        <w:t>　植物新品种是指经过人工培育的或者对发现的野生植物加以开发，具备新颖性、特异性、一致性和稳定性，并有适当命名的植物品种。</w:t>
      </w:r>
    </w:p>
    <w:p w14:paraId="503D720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植物新品种资产评估对象是指相关权利人拥有或控制的，能够持续发挥作用并且能带来经济利益的由农业部门或者林业部门授予的植物新品种权益。</w:t>
      </w:r>
    </w:p>
    <w:p w14:paraId="6CE23D7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执行涉外转让植物新品种资产评估业务，应当要求委托人提供包括相关审批机关予以登记的证明、相关审批机关同意转让的批准回复以及相关审批机关发布的转让公告等经济行为依据。</w:t>
      </w:r>
    </w:p>
    <w:p w14:paraId="72B1B2F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执行植物新品种资产评估业务，应当关注植物新品种是否已经由相关部门审定、以及审定对植物新品种应用范围的限制。</w:t>
      </w:r>
    </w:p>
    <w:p w14:paraId="3B116EAE">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第二十三条</w:t>
      </w:r>
      <w:r>
        <w:rPr>
          <w:rFonts w:hint="eastAsia" w:ascii="宋体" w:hAnsi="宋体" w:eastAsia="宋体" w:cs="宋体"/>
          <w:color w:val="000000"/>
          <w:kern w:val="0"/>
          <w:sz w:val="24"/>
          <w:shd w:val="clear" w:color="auto" w:fill="FFFFFF"/>
        </w:rPr>
        <w:t>　确定知识产权资产价值的评估方法包括市场法、收益法和成本法三种基本方法及其衍生方法。</w:t>
      </w:r>
    </w:p>
    <w:p w14:paraId="4CF0831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执行知识产权资产评估业务，应当根据评估目的、评估对象、价值类型、资料收集等情况，分析上述三种基本方法的适用性，选择评估方法。</w:t>
      </w:r>
    </w:p>
    <w:p w14:paraId="19427BB1">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第二十四条</w:t>
      </w:r>
      <w:r>
        <w:rPr>
          <w:rFonts w:hint="eastAsia" w:ascii="宋体" w:hAnsi="宋体" w:eastAsia="宋体" w:cs="宋体"/>
          <w:color w:val="000000"/>
          <w:kern w:val="0"/>
          <w:sz w:val="24"/>
          <w:shd w:val="clear" w:color="auto" w:fill="FFFFFF"/>
        </w:rPr>
        <w:t>　编制知识产权资产评估报告应当反映知识产权资产的特点，通常包括下列内容：</w:t>
      </w:r>
    </w:p>
    <w:p w14:paraId="48ADE83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（一）知识产权资产的性质、权利状况及限制条件；</w:t>
      </w:r>
    </w:p>
    <w:p w14:paraId="11BC7AE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（二）知识产权资产实施的地域限制、领域限制及法律限制条件；</w:t>
      </w:r>
    </w:p>
    <w:p w14:paraId="195022E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（三）宏观经济和行业前景；</w:t>
      </w:r>
    </w:p>
    <w:p w14:paraId="61A8D5D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（四）知识产权资产应用的历史、现实状况与发展前景；</w:t>
      </w:r>
    </w:p>
    <w:p w14:paraId="66C7AA1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（五）知识产权资产的获利期限；</w:t>
      </w:r>
    </w:p>
    <w:p w14:paraId="7043C54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（六）评估依据的信息来源；</w:t>
      </w:r>
    </w:p>
    <w:p w14:paraId="41084BB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（七）其他必要信息。</w:t>
      </w:r>
    </w:p>
    <w:p w14:paraId="4FB842B6">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第二十五条</w:t>
      </w:r>
      <w:r>
        <w:rPr>
          <w:rFonts w:hint="eastAsia" w:ascii="宋体" w:hAnsi="宋体" w:eastAsia="宋体" w:cs="宋体"/>
          <w:color w:val="000000"/>
          <w:kern w:val="0"/>
          <w:sz w:val="24"/>
          <w:shd w:val="clear" w:color="auto" w:fill="FFFFFF"/>
        </w:rPr>
        <w:t>　知识产权资产评估报告应当明确说明评估过程和依据，通常包括下列内容：</w:t>
      </w:r>
    </w:p>
    <w:p w14:paraId="431F204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（一）价值类型的选择及其定义；</w:t>
      </w:r>
    </w:p>
    <w:p w14:paraId="192747E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（二）评估方法的选择及其理由；</w:t>
      </w:r>
    </w:p>
    <w:p w14:paraId="2467AD1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（三）各重要参数的来源、分析、比较与测算过程；</w:t>
      </w:r>
    </w:p>
    <w:p w14:paraId="76FE3C3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（四）对测算结果进行分析，形成评估结论的过程；</w:t>
      </w:r>
    </w:p>
    <w:p w14:paraId="53341A7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（五）评估结论成立的假设前提和限制条件；</w:t>
      </w:r>
    </w:p>
    <w:p w14:paraId="629035F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（六）可能影响评估结论的特别事项。</w:t>
      </w:r>
    </w:p>
    <w:p w14:paraId="117E6C2F">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第三章　以转让或者许可使用为目的的知识产权资产评估</w:t>
      </w:r>
    </w:p>
    <w:p w14:paraId="3E92A864">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第二十六条</w:t>
      </w:r>
      <w:r>
        <w:rPr>
          <w:rFonts w:hint="eastAsia" w:ascii="宋体" w:hAnsi="宋体" w:eastAsia="宋体" w:cs="宋体"/>
          <w:color w:val="000000"/>
          <w:kern w:val="0"/>
          <w:sz w:val="24"/>
          <w:shd w:val="clear" w:color="auto" w:fill="FFFFFF"/>
        </w:rPr>
        <w:t>　执行以转让或者许可使用为目的的知识产权资产评估业务，应当知晓评估对象通常为知识产权资产的所有权或者使用权，并要求委托人明确评估对象。</w:t>
      </w:r>
    </w:p>
    <w:p w14:paraId="66533BDF">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第二十七条</w:t>
      </w:r>
      <w:r>
        <w:rPr>
          <w:rFonts w:hint="eastAsia" w:ascii="宋体" w:hAnsi="宋体" w:eastAsia="宋体" w:cs="宋体"/>
          <w:color w:val="000000"/>
          <w:kern w:val="0"/>
          <w:sz w:val="24"/>
          <w:shd w:val="clear" w:color="auto" w:fill="FFFFFF"/>
        </w:rPr>
        <w:t>　执行以转让或者许可使用为目的的知识产权资产评估业务，应当考虑评估目的、市场条件、评估对象自身条件等因素，恰当选择价值类型。以出资、转让、许可使用等交易为目的的通常选择市场价值或者投资价值。</w:t>
      </w:r>
    </w:p>
    <w:p w14:paraId="4EEF3BEA">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第二十八条</w:t>
      </w:r>
      <w:r>
        <w:rPr>
          <w:rFonts w:hint="eastAsia" w:ascii="宋体" w:hAnsi="宋体" w:eastAsia="宋体" w:cs="宋体"/>
          <w:color w:val="000000"/>
          <w:kern w:val="0"/>
          <w:sz w:val="24"/>
          <w:shd w:val="clear" w:color="auto" w:fill="FFFFFF"/>
        </w:rPr>
        <w:t>　执行以转让为目的的知识产权资产评估业务，应当关注委托人已经确定的转让方式和转让价款的支付方式等因素，确定其对评估结论的影响，并在资产评估报告中披露转让方式等事项。</w:t>
      </w:r>
    </w:p>
    <w:p w14:paraId="1A92E23C">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第二十九条</w:t>
      </w:r>
      <w:r>
        <w:rPr>
          <w:rFonts w:hint="eastAsia" w:ascii="宋体" w:hAnsi="宋体" w:eastAsia="宋体" w:cs="宋体"/>
          <w:color w:val="000000"/>
          <w:kern w:val="0"/>
          <w:sz w:val="24"/>
          <w:shd w:val="clear" w:color="auto" w:fill="FFFFFF"/>
        </w:rPr>
        <w:t>　执行以许可使用为目的的知识产权资产评估业务，应当关注许可使用的具体形式、许可使用费支付方式、许可使用期限和范围等，确定其对评估结论的影响，并在资产评估报告中披露许可使用的具体形式、许可使用费支付方式、许可使用期限和范围等。</w:t>
      </w:r>
    </w:p>
    <w:p w14:paraId="20F00568">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第四章　以出资为目的的知识产权资产评估</w:t>
      </w:r>
    </w:p>
    <w:p w14:paraId="799574AE">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第三十条</w:t>
      </w:r>
      <w:r>
        <w:rPr>
          <w:rFonts w:hint="eastAsia" w:ascii="宋体" w:hAnsi="宋体" w:eastAsia="宋体" w:cs="宋体"/>
          <w:color w:val="000000"/>
          <w:kern w:val="0"/>
          <w:sz w:val="24"/>
          <w:shd w:val="clear" w:color="auto" w:fill="FFFFFF"/>
        </w:rPr>
        <w:t>　执行以出资为目的的知识产权资产评估业务，应当熟悉知识产权管理部门以及工商行政管理部门关于知识产权出资的有关规定。</w:t>
      </w:r>
    </w:p>
    <w:p w14:paraId="4D11E998">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第三十一条</w:t>
      </w:r>
      <w:r>
        <w:rPr>
          <w:rFonts w:hint="eastAsia" w:ascii="宋体" w:hAnsi="宋体" w:eastAsia="宋体" w:cs="宋体"/>
          <w:color w:val="000000"/>
          <w:kern w:val="0"/>
          <w:sz w:val="24"/>
          <w:shd w:val="clear" w:color="auto" w:fill="FFFFFF"/>
        </w:rPr>
        <w:t>　以出资为目的的知识产权资产评估业务包括：</w:t>
      </w:r>
    </w:p>
    <w:p w14:paraId="27B77D4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（一）工商行政管理部门受理的有限责任公司或者股份有限公司设立或者增资时，对作为股东或者发起人出资的知识产权资产进行的评估；</w:t>
      </w:r>
    </w:p>
    <w:p w14:paraId="72AD89E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（二）工商行政管理部门受理的其他非公司法人类型企业所涉及的以知识产权资产出资的资产评估；</w:t>
      </w:r>
    </w:p>
    <w:p w14:paraId="3A517B7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（三）法律、行政法规规定的其他需要进行知识产权资产评估的事项。</w:t>
      </w:r>
    </w:p>
    <w:p w14:paraId="6AA72A0C">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第三十二条</w:t>
      </w:r>
      <w:r>
        <w:rPr>
          <w:rFonts w:hint="eastAsia" w:ascii="宋体" w:hAnsi="宋体" w:eastAsia="宋体" w:cs="宋体"/>
          <w:color w:val="000000"/>
          <w:kern w:val="0"/>
          <w:sz w:val="24"/>
          <w:shd w:val="clear" w:color="auto" w:fill="FFFFFF"/>
        </w:rPr>
        <w:t>　知识产权出资应当符合《中华人民共和国公司法》、《中华人民共和国公司登记管理条例》、《公司注册资本登记管理规定》等法律、行政法规的要求。</w:t>
      </w:r>
    </w:p>
    <w:p w14:paraId="4554A8C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执行知识产权资产出资评估业务应当关注评估对象是否可以用于出资，但不得对评估对象是否可以作为出资资产进行确认或者发表意见。</w:t>
      </w:r>
    </w:p>
    <w:p w14:paraId="64E5F24E">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第三十三条</w:t>
      </w:r>
      <w:r>
        <w:rPr>
          <w:rFonts w:hint="eastAsia" w:ascii="宋体" w:hAnsi="宋体" w:eastAsia="宋体" w:cs="宋体"/>
          <w:color w:val="000000"/>
          <w:kern w:val="0"/>
          <w:sz w:val="24"/>
          <w:shd w:val="clear" w:color="auto" w:fill="FFFFFF"/>
        </w:rPr>
        <w:t>　对重组、改制企业的知识产权资产进行评估时，应当关注的内容通常包括：</w:t>
      </w:r>
    </w:p>
    <w:p w14:paraId="150F900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（一）资产的权利人与出资人是否一致；</w:t>
      </w:r>
    </w:p>
    <w:p w14:paraId="2365163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（二）出资人的经济行为是否需经有权机构批准，并经相关管理部门审查同意；</w:t>
      </w:r>
    </w:p>
    <w:p w14:paraId="5DBCD09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（三）设定他项权利的资产是否与其相对应的负债分离；</w:t>
      </w:r>
    </w:p>
    <w:p w14:paraId="65947D2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（四）企业重组、改制方案以及批复文件和相关法律意见书等。</w:t>
      </w:r>
    </w:p>
    <w:p w14:paraId="326A9EF6">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第三十四条</w:t>
      </w:r>
      <w:r>
        <w:rPr>
          <w:rFonts w:hint="eastAsia" w:ascii="宋体" w:hAnsi="宋体" w:eastAsia="宋体" w:cs="宋体"/>
          <w:color w:val="000000"/>
          <w:kern w:val="0"/>
          <w:sz w:val="24"/>
          <w:shd w:val="clear" w:color="auto" w:fill="FFFFFF"/>
        </w:rPr>
        <w:t>　执行知识产权出资资产评估业务应当关注评估对象可使用期限对其价值的影响，并结合知识产权资产法定保护期限以及受益期限评估其价值。</w:t>
      </w:r>
    </w:p>
    <w:p w14:paraId="3CD3C99B">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第三十五条</w:t>
      </w:r>
      <w:r>
        <w:rPr>
          <w:rFonts w:hint="eastAsia" w:ascii="宋体" w:hAnsi="宋体" w:eastAsia="宋体" w:cs="宋体"/>
          <w:color w:val="000000"/>
          <w:kern w:val="0"/>
          <w:sz w:val="24"/>
          <w:shd w:val="clear" w:color="auto" w:fill="FFFFFF"/>
        </w:rPr>
        <w:t>　采用收益法评估知识产权资产时，应当结合出资目的实现后评估对象合理的生产规模、市场份额、技术及管理水平等因素，综合判断未来收益预测的合理性。</w:t>
      </w:r>
    </w:p>
    <w:p w14:paraId="73AF256B">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第三十六条</w:t>
      </w:r>
      <w:r>
        <w:rPr>
          <w:rFonts w:hint="eastAsia" w:ascii="宋体" w:hAnsi="宋体" w:eastAsia="宋体" w:cs="宋体"/>
          <w:color w:val="000000"/>
          <w:kern w:val="0"/>
          <w:sz w:val="24"/>
          <w:shd w:val="clear" w:color="auto" w:fill="FFFFFF"/>
        </w:rPr>
        <w:t>　对以包含知识产权的资产负债组合出资的，应当依据同口径的可靠财务数据，分别选用适当的评估方法对各项资产和负债价值进行评估，以资产组合方式列示其价值。</w:t>
      </w:r>
    </w:p>
    <w:p w14:paraId="55064D48">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第五章　以质押为目的的知识产权资产评估</w:t>
      </w:r>
    </w:p>
    <w:p w14:paraId="3ACD0F6B">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第三十七条</w:t>
      </w:r>
      <w:r>
        <w:rPr>
          <w:rFonts w:hint="eastAsia" w:ascii="宋体" w:hAnsi="宋体" w:eastAsia="宋体" w:cs="宋体"/>
          <w:color w:val="000000"/>
          <w:kern w:val="0"/>
          <w:sz w:val="24"/>
          <w:shd w:val="clear" w:color="auto" w:fill="FFFFFF"/>
        </w:rPr>
        <w:t>　执行以质押为目的的知识产权资产评估业务，应当熟悉《中华人民共和国担保法》、《中华人民共和国物权法》以及知识产权管理部门、金融管理部门关于知识产权质押融资的相关规定。</w:t>
      </w:r>
    </w:p>
    <w:p w14:paraId="6510F24B">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第三十八条</w:t>
      </w:r>
      <w:r>
        <w:rPr>
          <w:rFonts w:hint="eastAsia" w:ascii="宋体" w:hAnsi="宋体" w:eastAsia="宋体" w:cs="宋体"/>
          <w:color w:val="000000"/>
          <w:kern w:val="0"/>
          <w:sz w:val="24"/>
          <w:shd w:val="clear" w:color="auto" w:fill="FFFFFF"/>
        </w:rPr>
        <w:t>　执行知识产权资产质押评估业务应当关注出质知识产权需要具备的以下基本条件：</w:t>
      </w:r>
    </w:p>
    <w:p w14:paraId="19D0A00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（一）出质人拥有完整、合法、有效的相关知识产权权利，产权关系明晰；</w:t>
      </w:r>
    </w:p>
    <w:p w14:paraId="1515660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（二）出质的知识产权具有一定的价值，可以依法转让；</w:t>
      </w:r>
    </w:p>
    <w:p w14:paraId="5FEB96B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以专利权出质的，应当符合国家知识产权局关于专利权质押登记的相关规定；以商标专用权出质的，应当符合工商行政管理局关于注册商标专用权质权登记的相关规定；以著作权出质的，应当符合国家版权局关于著作权质权登记的相关规定；</w:t>
      </w:r>
    </w:p>
    <w:p w14:paraId="0BC6BC5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（四）构成知识产权组合的各单项知识产权，如果共同出质设定为质押对象，应当符合相关行政主管部门质押登记的有关规定；</w:t>
      </w:r>
    </w:p>
    <w:p w14:paraId="55F1F38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（五）符合其他法律、行政法规的要求。</w:t>
      </w:r>
    </w:p>
    <w:p w14:paraId="1CB0E1BB">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第三十九条</w:t>
      </w:r>
      <w:r>
        <w:rPr>
          <w:rFonts w:hint="eastAsia" w:ascii="宋体" w:hAnsi="宋体" w:eastAsia="宋体" w:cs="宋体"/>
          <w:color w:val="000000"/>
          <w:kern w:val="0"/>
          <w:sz w:val="24"/>
          <w:shd w:val="clear" w:color="auto" w:fill="FFFFFF"/>
        </w:rPr>
        <w:t>　执行知识产权资产质押评估业务应当关注出质知识产权的具体情况：</w:t>
      </w:r>
    </w:p>
    <w:p w14:paraId="291A6D3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（一）在评估共有知识产权时，应当关注知识产权共有人是否一致同意将该知识产权进行质押；</w:t>
      </w:r>
    </w:p>
    <w:p w14:paraId="7C29214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（二）评估对象是否存在合同约定的出质限制，包括时间、地域方面的限制以及存在质押、诉讼等权利限制；</w:t>
      </w:r>
    </w:p>
    <w:p w14:paraId="40292CC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（三）涉及知识产权质物处置评估时，应当关注与质押知识产权资产实施和运用不可分割的其他资产是否一并处置。</w:t>
      </w:r>
    </w:p>
    <w:p w14:paraId="20CCA713">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第四十条</w:t>
      </w:r>
      <w:r>
        <w:rPr>
          <w:rFonts w:hint="eastAsia" w:ascii="宋体" w:hAnsi="宋体" w:eastAsia="宋体" w:cs="宋体"/>
          <w:color w:val="000000"/>
          <w:kern w:val="0"/>
          <w:sz w:val="24"/>
          <w:shd w:val="clear" w:color="auto" w:fill="FFFFFF"/>
        </w:rPr>
        <w:t>　执行知识产权资产质押评估业务应当关注评估对象是否可以用于出质，但不得对评估对象是否可以作为出质资产进行确认或者发表意见。</w:t>
      </w:r>
    </w:p>
    <w:p w14:paraId="1CC6E56F">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第四十一条</w:t>
      </w:r>
      <w:r>
        <w:rPr>
          <w:rFonts w:hint="eastAsia" w:ascii="宋体" w:hAnsi="宋体" w:eastAsia="宋体" w:cs="宋体"/>
          <w:color w:val="000000"/>
          <w:kern w:val="0"/>
          <w:sz w:val="24"/>
          <w:shd w:val="clear" w:color="auto" w:fill="FFFFFF"/>
        </w:rPr>
        <w:t>　委托人将评估基准日设定在确定贷款审批发放或者作出其他质押融资决策之前的，为了解知识产权资产在通常条件下能够合理实现的价值并以此确定贷款额度，可以委托评估其市场价值或者其他类型的价值。</w:t>
      </w:r>
    </w:p>
    <w:p w14:paraId="528ABE9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委托人将评估基准日设定在出质人违约、拟处置知识产权资产时，为确定处置底价或者可变现价值提供参考依据，可以委托评估其市场价值或者清算价值。</w:t>
      </w:r>
    </w:p>
    <w:p w14:paraId="0C881CC9">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第四十二条</w:t>
      </w:r>
      <w:r>
        <w:rPr>
          <w:rFonts w:hint="eastAsia" w:ascii="宋体" w:hAnsi="宋体" w:eastAsia="宋体" w:cs="宋体"/>
          <w:color w:val="000000"/>
          <w:kern w:val="0"/>
          <w:sz w:val="24"/>
          <w:shd w:val="clear" w:color="auto" w:fill="FFFFFF"/>
        </w:rPr>
        <w:t>　执行知识产权资产质押评估业务应当关注知识产权资产质押风险对资产评估报告相关信息披露的特殊要求，并对相关事项作出充分披露。</w:t>
      </w:r>
    </w:p>
    <w:p w14:paraId="2A6F0449">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第四十三条</w:t>
      </w:r>
      <w:r>
        <w:rPr>
          <w:rFonts w:hint="eastAsia" w:ascii="宋体" w:hAnsi="宋体" w:eastAsia="宋体" w:cs="宋体"/>
          <w:color w:val="000000"/>
          <w:kern w:val="0"/>
          <w:sz w:val="24"/>
          <w:shd w:val="clear" w:color="auto" w:fill="FFFFFF"/>
        </w:rPr>
        <w:t>　需要在存在重大不确定因素情况下作出评估相关判断的，应当保持必要的谨慎，尽可能充分估计知识产权资产在处置时可能受到的限制、未来可能发生的风险和损失，并在资产评估报告中作出必要的风险提示。法定优先受偿权利等情况的书面查询资料，应当作为资产评估报告的附件。</w:t>
      </w:r>
    </w:p>
    <w:p w14:paraId="4FB43965">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第四十四条</w:t>
      </w:r>
      <w:r>
        <w:rPr>
          <w:rFonts w:hint="eastAsia" w:ascii="宋体" w:hAnsi="宋体" w:eastAsia="宋体" w:cs="宋体"/>
          <w:color w:val="000000"/>
          <w:kern w:val="0"/>
          <w:sz w:val="24"/>
          <w:shd w:val="clear" w:color="auto" w:fill="FFFFFF"/>
        </w:rPr>
        <w:t>　跟踪评估出质知识产权市场价值或者其他类型的价值，应当对知识产权实施市场已经发生的变化予以充分考虑和说明。</w:t>
      </w:r>
    </w:p>
    <w:p w14:paraId="00D9C900">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第六章　以诉讼为目的的知识产权资产评估</w:t>
      </w:r>
    </w:p>
    <w:p w14:paraId="0D78CAC7">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第四十五条</w:t>
      </w:r>
      <w:r>
        <w:rPr>
          <w:rFonts w:hint="eastAsia" w:ascii="宋体" w:hAnsi="宋体" w:eastAsia="宋体" w:cs="宋体"/>
          <w:color w:val="000000"/>
          <w:kern w:val="0"/>
          <w:sz w:val="24"/>
          <w:shd w:val="clear" w:color="auto" w:fill="FFFFFF"/>
        </w:rPr>
        <w:t>　执行以诉讼为目的的知识产权资产评估业务，应当熟悉国家司法部门和知识产权管理部门有关知识产权诉讼的规定。</w:t>
      </w:r>
    </w:p>
    <w:p w14:paraId="2C78100E">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第四十六条</w:t>
      </w:r>
      <w:r>
        <w:rPr>
          <w:rFonts w:hint="eastAsia" w:ascii="宋体" w:hAnsi="宋体" w:eastAsia="宋体" w:cs="宋体"/>
          <w:color w:val="000000"/>
          <w:kern w:val="0"/>
          <w:sz w:val="24"/>
          <w:shd w:val="clear" w:color="auto" w:fill="FFFFFF"/>
        </w:rPr>
        <w:t>　执行以诉讼为目的的知识产权资产评估业务，应当与委托人和相关当事人进行充分沟通，了解案情基本情况，并且通过现场调查和资料收集等确认评估对象和评估范围，诉讼评估的知识产权资产通常为涉案资产或者其他相关经济利益。</w:t>
      </w:r>
    </w:p>
    <w:p w14:paraId="6A3785A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其他相关经济利益是指一方当事人的行为给另一方当事人造成的经济损失以及费用增加等，通常包括侵权损失、资产损害，以及由于个人或者法人经营、合同纠纷等行为引起的相关经济利益变化。</w:t>
      </w:r>
    </w:p>
    <w:p w14:paraId="418E3BD7">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第四十七条</w:t>
      </w:r>
      <w:r>
        <w:rPr>
          <w:rFonts w:hint="eastAsia" w:ascii="宋体" w:hAnsi="宋体" w:eastAsia="宋体" w:cs="宋体"/>
          <w:color w:val="000000"/>
          <w:kern w:val="0"/>
          <w:sz w:val="24"/>
          <w:shd w:val="clear" w:color="auto" w:fill="FFFFFF"/>
        </w:rPr>
        <w:t>　执行以诉讼为目的的知识产权资产评估业务，应当提醒委托人根据评估对象和具体案件的不同，合理确定评估基准日。评估基准日可以是过去或者现在的某一时点。</w:t>
      </w:r>
    </w:p>
    <w:p w14:paraId="1FCE39B4">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第四十八条</w:t>
      </w:r>
      <w:r>
        <w:rPr>
          <w:rFonts w:hint="eastAsia" w:ascii="宋体" w:hAnsi="宋体" w:eastAsia="宋体" w:cs="宋体"/>
          <w:color w:val="000000"/>
          <w:kern w:val="0"/>
          <w:sz w:val="24"/>
          <w:shd w:val="clear" w:color="auto" w:fill="FFFFFF"/>
        </w:rPr>
        <w:t>　执行以诉讼为目的的知识产权资产评估业务，应当根据评估目的、评估对象、案件具体情况以及所处阶段的不同，合理确定涉案知识产权资产评估的价值类型。</w:t>
      </w:r>
    </w:p>
    <w:p w14:paraId="615F55AC">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第四十九条</w:t>
      </w:r>
      <w:r>
        <w:rPr>
          <w:rFonts w:hint="eastAsia" w:ascii="宋体" w:hAnsi="宋体" w:eastAsia="宋体" w:cs="宋体"/>
          <w:color w:val="000000"/>
          <w:kern w:val="0"/>
          <w:sz w:val="24"/>
          <w:shd w:val="clear" w:color="auto" w:fill="FFFFFF"/>
        </w:rPr>
        <w:t>　执行以诉讼为目的的知识产权资产评估业务，应当尽可能要求委托人和其他相关当事人提供相关资料，并要求其对资料的真实性、完整性、合法性进行确认，同时通过市场调查、专家访谈等方式收集评估资料。</w:t>
      </w:r>
    </w:p>
    <w:p w14:paraId="6CE7D8B6">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第五十条</w:t>
      </w:r>
      <w:r>
        <w:rPr>
          <w:rFonts w:hint="eastAsia" w:ascii="宋体" w:hAnsi="宋体" w:eastAsia="宋体" w:cs="宋体"/>
          <w:color w:val="000000"/>
          <w:kern w:val="0"/>
          <w:sz w:val="24"/>
          <w:shd w:val="clear" w:color="auto" w:fill="FFFFFF"/>
        </w:rPr>
        <w:t>　执行以诉讼为目的的知识产权资产评估业务，应当尽可能在委托人、其他相关当事人的配合下进行现场调查。</w:t>
      </w:r>
    </w:p>
    <w:p w14:paraId="58FA68C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现场调查时应当保留必要的文字、语音、照片、影像等资料，以书面形式记录调查的时间、地点、过程、结果等，并与参加现场调查的委托人、其他相关当事人等共同确认。</w:t>
      </w:r>
    </w:p>
    <w:p w14:paraId="6D493FA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如果调查时出现委托人或者其他相关当事人不在现场，或者相关人员不予配合等情况，则应详细记录现场情况，收集必要的证据资料，并在资产评估报告中予以披露。</w:t>
      </w:r>
    </w:p>
    <w:p w14:paraId="051A989E">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第五十一条</w:t>
      </w:r>
      <w:r>
        <w:rPr>
          <w:rFonts w:hint="eastAsia" w:ascii="宋体" w:hAnsi="宋体" w:eastAsia="宋体" w:cs="宋体"/>
          <w:color w:val="000000"/>
          <w:kern w:val="0"/>
          <w:sz w:val="24"/>
          <w:shd w:val="clear" w:color="auto" w:fill="FFFFFF"/>
        </w:rPr>
        <w:t>　编制以诉讼为目的的知识产权资产评估报告，应当重点披露下列内容：</w:t>
      </w:r>
    </w:p>
    <w:p w14:paraId="17EC4BE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（一）是否存在资产评估委托合同（委托要约）对资产评估基本事项约定不明确，或者评估对象和评估范围与资产评估委托合同（委托要约）约定不一致的情形；</w:t>
      </w:r>
    </w:p>
    <w:p w14:paraId="47F69F3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（二）涉案知识产权资产以及其他相关经济利益的具体内容以及价值构成；</w:t>
      </w:r>
    </w:p>
    <w:p w14:paraId="3440B91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（三）现场调查和资料收集过程中委托人和其他相关当事人的配合情况；</w:t>
      </w:r>
    </w:p>
    <w:p w14:paraId="532049D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（四）其他可能影响正确理解评估结论和资产评估报告使用的事项。</w:t>
      </w:r>
    </w:p>
    <w:p w14:paraId="69E7F4AA">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第七章　以财务报告为目的的知识产权资产评估</w:t>
      </w:r>
    </w:p>
    <w:p w14:paraId="3CA9DF98">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第五十二条</w:t>
      </w:r>
      <w:r>
        <w:rPr>
          <w:rFonts w:hint="eastAsia" w:ascii="宋体" w:hAnsi="宋体" w:eastAsia="宋体" w:cs="宋体"/>
          <w:color w:val="000000"/>
          <w:kern w:val="0"/>
          <w:sz w:val="24"/>
          <w:shd w:val="clear" w:color="auto" w:fill="FFFFFF"/>
        </w:rPr>
        <w:t>　执行以财务报告为目的的知识产权评估业务，应当提醒委托人根据项目具体情况以及会计准则要求，合理确定评估对象。评估对象可以是单项知识产权资产，也可以是知识产权资产组合或者与其他有形和无形资产组成的资产组。</w:t>
      </w:r>
    </w:p>
    <w:p w14:paraId="132D4455">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第五十三条</w:t>
      </w:r>
      <w:r>
        <w:rPr>
          <w:rFonts w:hint="eastAsia" w:ascii="宋体" w:hAnsi="宋体" w:eastAsia="宋体" w:cs="宋体"/>
          <w:color w:val="000000"/>
          <w:kern w:val="0"/>
          <w:sz w:val="24"/>
          <w:shd w:val="clear" w:color="auto" w:fill="FFFFFF"/>
        </w:rPr>
        <w:t>　执行会计准则规定的合并对价分摊事项涉及的知识产权资产评估业务，购买方取得的被购买方拥有的但在其财务报表上未确认的知识产权资产被确认为无形资产的，需要满足以下条件之一：</w:t>
      </w:r>
    </w:p>
    <w:p w14:paraId="05DB96F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（一）源于合同性权利或者其他法定权利；</w:t>
      </w:r>
    </w:p>
    <w:p w14:paraId="18BCD0C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（二）能够从被购买方资产分离或者划分出来，并能单独或者与相关合同、资产和负债一起，用于出售、转移、授予许可、租赁或者交换。</w:t>
      </w:r>
    </w:p>
    <w:p w14:paraId="6F4654B0">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第五十四条</w:t>
      </w:r>
      <w:r>
        <w:rPr>
          <w:rFonts w:hint="eastAsia" w:ascii="宋体" w:hAnsi="宋体" w:eastAsia="宋体" w:cs="宋体"/>
          <w:color w:val="000000"/>
          <w:kern w:val="0"/>
          <w:sz w:val="24"/>
          <w:shd w:val="clear" w:color="auto" w:fill="FFFFFF"/>
        </w:rPr>
        <w:t>　执行会计准则规定的合并对价分摊事项涉及的知识产权资产评估业务，如果知识产权资产是不可分离的或者其市场价值不能可靠计量，应当将该项知识产权资产所在的最小资产组作为评估对象；如果与知识产权资产相联系资产的单独市场价值能可靠计量，并且各单项资产具有相同或者近似的使用寿命，可以将该项知识产权资产所在的最小资产组作为评估对象。</w:t>
      </w:r>
    </w:p>
    <w:p w14:paraId="268CC5E4">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第五十五条</w:t>
      </w:r>
      <w:r>
        <w:rPr>
          <w:rFonts w:hint="eastAsia" w:ascii="宋体" w:hAnsi="宋体" w:eastAsia="宋体" w:cs="宋体"/>
          <w:color w:val="000000"/>
          <w:kern w:val="0"/>
          <w:sz w:val="24"/>
          <w:shd w:val="clear" w:color="auto" w:fill="FFFFFF"/>
        </w:rPr>
        <w:t>　执行会计准则规定的减值测试涉及的知识产权资产评估业务应当知晓，使用寿命不确定的知识产权资产一般每年都进行减值测试，而使用寿命确定的知识产权资产只有在存在明显的减值迹象时才进行减值测试。</w:t>
      </w:r>
    </w:p>
    <w:p w14:paraId="3D963647">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第八章　附则</w:t>
      </w:r>
    </w:p>
    <w:p w14:paraId="21A93FF7">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第五十六条</w:t>
      </w:r>
      <w:r>
        <w:rPr>
          <w:rFonts w:hint="eastAsia" w:ascii="宋体" w:hAnsi="宋体" w:eastAsia="宋体" w:cs="宋体"/>
          <w:color w:val="000000"/>
          <w:kern w:val="0"/>
          <w:sz w:val="24"/>
          <w:shd w:val="clear" w:color="auto" w:fill="FFFFFF"/>
        </w:rPr>
        <w:t>　本指南自2017年10月1　日起施行。中国资产评估协会于2015年12月31日发布的《关于印发〈知识产权资产评估指南〉的通知》（中评协〔2015〕82号）同时废止。</w:t>
      </w:r>
    </w:p>
    <w:p w14:paraId="2FEEA45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br w:type="page"/>
      </w:r>
    </w:p>
    <w:p w14:paraId="3E402F94">
      <w:pPr>
        <w:pStyle w:val="5"/>
        <w:spacing w:line="440" w:lineRule="atLeast"/>
        <w:jc w:val="center"/>
        <w:rPr>
          <w:rFonts w:ascii="宋体" w:hAnsi="宋体" w:eastAsia="宋体" w:cs="宋体"/>
        </w:rPr>
      </w:pPr>
      <w:bookmarkStart w:id="130" w:name="_Toc12490"/>
      <w:r>
        <w:rPr>
          <w:rFonts w:hint="eastAsia" w:ascii="宋体" w:hAnsi="宋体" w:eastAsia="宋体" w:cs="宋体"/>
        </w:rPr>
        <w:t>以财务报告为目的的评估指南</w:t>
      </w:r>
      <w:bookmarkEnd w:id="130"/>
    </w:p>
    <w:p w14:paraId="048003B1">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第一章　总则</w:t>
      </w:r>
    </w:p>
    <w:p w14:paraId="0DAFA317">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第一条</w:t>
      </w:r>
      <w:r>
        <w:rPr>
          <w:rFonts w:hint="eastAsia" w:ascii="宋体" w:hAnsi="宋体" w:eastAsia="宋体" w:cs="宋体"/>
          <w:color w:val="000000"/>
          <w:kern w:val="0"/>
          <w:sz w:val="24"/>
          <w:shd w:val="clear" w:color="auto" w:fill="FFFFFF"/>
        </w:rPr>
        <w:t>　为规范以财务报告为目的的评估行为，保护资产评估当事人合法权益和公共利益，根据《资产评估基本准则》制定本指南。</w:t>
      </w:r>
    </w:p>
    <w:p w14:paraId="06292E38">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第二条</w:t>
      </w:r>
      <w:r>
        <w:rPr>
          <w:rFonts w:hint="eastAsia" w:ascii="宋体" w:hAnsi="宋体" w:eastAsia="宋体" w:cs="宋体"/>
          <w:color w:val="000000"/>
          <w:kern w:val="0"/>
          <w:sz w:val="24"/>
          <w:shd w:val="clear" w:color="auto" w:fill="FFFFFF"/>
        </w:rPr>
        <w:t>　本指南所称以财务报告为目的的评估，是指资产评估机构及其资产评估专业人员遵守法律、行政法规、资产评估准则和企业会计准则及会计核算、披露的有关要求，根据委托对评估基准日以财务报告为目的所涉及的各类资产和负债公允价值或者特定价值进行评定和估算，并出具资产评估报告的专业服务行为。</w:t>
      </w:r>
    </w:p>
    <w:p w14:paraId="1388B26C">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第三条</w:t>
      </w:r>
      <w:r>
        <w:rPr>
          <w:rFonts w:hint="eastAsia" w:ascii="宋体" w:hAnsi="宋体" w:eastAsia="宋体" w:cs="宋体"/>
          <w:color w:val="000000"/>
          <w:kern w:val="0"/>
          <w:sz w:val="24"/>
          <w:shd w:val="clear" w:color="auto" w:fill="FFFFFF"/>
        </w:rPr>
        <w:t>　执行以财务报告为目的的评估业务，应当遵守本指南。</w:t>
      </w:r>
    </w:p>
    <w:p w14:paraId="625908F1">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第四条</w:t>
      </w:r>
      <w:r>
        <w:rPr>
          <w:rFonts w:hint="eastAsia" w:ascii="宋体" w:hAnsi="宋体" w:eastAsia="宋体" w:cs="宋体"/>
          <w:color w:val="000000"/>
          <w:kern w:val="0"/>
          <w:sz w:val="24"/>
          <w:shd w:val="clear" w:color="auto" w:fill="FFFFFF"/>
        </w:rPr>
        <w:t>　资产评估专业人员可以参照本指南执行以下与以财务报告为目的的评估业务相关的其他业务，主要包括：</w:t>
      </w:r>
    </w:p>
    <w:p w14:paraId="46692E9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（一）开展与价值估算相关的议定程序，以协助企业判断与资产和负债价值相关的参数、特征等，主要包括：</w:t>
      </w:r>
    </w:p>
    <w:p w14:paraId="30DFB74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1.估算或者测算资产的更新或者复原重置成本；</w:t>
      </w:r>
    </w:p>
    <w:p w14:paraId="464E5A9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2.协助企业判断、确定资产使用年限、尚可使用年限、实物状态、质量等参数、特征，以及验证资产的真实存在性；</w:t>
      </w:r>
    </w:p>
    <w:p w14:paraId="49615C4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3.协助企业确定、判断资产获利能力和预测资产的未来收益；</w:t>
      </w:r>
    </w:p>
    <w:p w14:paraId="7930EB9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4.执行与负债价值有关的议定程序。</w:t>
      </w:r>
    </w:p>
    <w:p w14:paraId="7A9E990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（二）协助企业管理层对能否持续可靠地取得公允价值做出正确的评价。</w:t>
      </w:r>
    </w:p>
    <w:p w14:paraId="328391C2">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第二章　基本遵循</w:t>
      </w:r>
    </w:p>
    <w:p w14:paraId="7F432C0E">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第五条</w:t>
      </w:r>
      <w:r>
        <w:rPr>
          <w:rFonts w:hint="eastAsia" w:ascii="宋体" w:hAnsi="宋体" w:eastAsia="宋体" w:cs="宋体"/>
          <w:color w:val="000000"/>
          <w:kern w:val="0"/>
          <w:sz w:val="24"/>
          <w:shd w:val="clear" w:color="auto" w:fill="FFFFFF"/>
        </w:rPr>
        <w:t>　资产评估专业人员应当坚持独立、客观、公正的原则，勤勉尽责，保持应有的职业谨慎，独立进行分析和估算并形成专业意见。</w:t>
      </w:r>
    </w:p>
    <w:p w14:paraId="44C645C8">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第六条</w:t>
      </w:r>
      <w:r>
        <w:rPr>
          <w:rFonts w:hint="eastAsia" w:ascii="宋体" w:hAnsi="宋体" w:eastAsia="宋体" w:cs="宋体"/>
          <w:color w:val="000000"/>
          <w:kern w:val="0"/>
          <w:sz w:val="24"/>
          <w:shd w:val="clear" w:color="auto" w:fill="FFFFFF"/>
        </w:rPr>
        <w:t>　执行以财务报告为目的的评估业务，应当理解相关会计准则的概念、原则及其与资产评估准则相关概念、原则之间的联系与区别，具备相应的专业知识和实践经验，胜任所执行的评估业务。</w:t>
      </w:r>
    </w:p>
    <w:p w14:paraId="7D172C9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资产评估专业人员应当关注以财务报告为目的的评估业务的复杂性，根据自身的专业知识及经验，审慎考虑是否有能力受理相关评估业务。</w:t>
      </w:r>
    </w:p>
    <w:p w14:paraId="060D480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执行某项特定业务缺乏特定的专业知识和经验时，应当采取弥补措施，包括利用专家及相关报告等。</w:t>
      </w:r>
    </w:p>
    <w:p w14:paraId="658C59F8">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第七条</w:t>
      </w:r>
      <w:r>
        <w:rPr>
          <w:rFonts w:hint="eastAsia" w:ascii="宋体" w:hAnsi="宋体" w:eastAsia="宋体" w:cs="宋体"/>
          <w:color w:val="000000"/>
          <w:kern w:val="0"/>
          <w:sz w:val="24"/>
          <w:shd w:val="clear" w:color="auto" w:fill="FFFFFF"/>
        </w:rPr>
        <w:t>　由于会计准则和相关法规的修改，导致在执行以财务报告为目的的评估业务时无法完全遵守本指南的要求，应当在资产评估报告中进行说明。</w:t>
      </w:r>
    </w:p>
    <w:p w14:paraId="6CEBA249">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第八条</w:t>
      </w:r>
      <w:r>
        <w:rPr>
          <w:rFonts w:hint="eastAsia" w:ascii="宋体" w:hAnsi="宋体" w:eastAsia="宋体" w:cs="宋体"/>
          <w:color w:val="000000"/>
          <w:kern w:val="0"/>
          <w:sz w:val="24"/>
          <w:shd w:val="clear" w:color="auto" w:fill="FFFFFF"/>
        </w:rPr>
        <w:t>　执行以财务报告为目的的评估业务，应当与企业和执行审计业务的注册会计师进行必要的沟通，明确评估业务基本事项并充分理解会计准则或者相关会计核算、披露的具体要求。</w:t>
      </w:r>
    </w:p>
    <w:p w14:paraId="1F68B158">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第九条</w:t>
      </w:r>
      <w:r>
        <w:rPr>
          <w:rFonts w:hint="eastAsia" w:ascii="宋体" w:hAnsi="宋体" w:eastAsia="宋体" w:cs="宋体"/>
          <w:color w:val="000000"/>
          <w:kern w:val="0"/>
          <w:sz w:val="24"/>
          <w:shd w:val="clear" w:color="auto" w:fill="FFFFFF"/>
        </w:rPr>
        <w:t>　资产评估专业人员应当提醒委托人根据会计准则的相关要求确定评估基准日。评估基准日可以是资产负债表日、购买日、减值测试日、首次执行日等。</w:t>
      </w:r>
    </w:p>
    <w:p w14:paraId="2CC8C8A5">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第十条</w:t>
      </w:r>
      <w:r>
        <w:rPr>
          <w:rFonts w:hint="eastAsia" w:ascii="宋体" w:hAnsi="宋体" w:eastAsia="宋体" w:cs="宋体"/>
          <w:color w:val="000000"/>
          <w:kern w:val="0"/>
          <w:sz w:val="24"/>
          <w:shd w:val="clear" w:color="auto" w:fill="FFFFFF"/>
        </w:rPr>
        <w:t>　资产评估专业人员应当要求委托人或者其他相关当事人提供涉及评估对象和评估范围的必要资料。委托人和其他相关当事人依法提供并保证其真实性、完整性、合法性。</w:t>
      </w:r>
    </w:p>
    <w:p w14:paraId="4CB1D2F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资产评估专业人员应当依法对执行以财务报告为目的的评估业务中使用的资料进行核查验证。</w:t>
      </w:r>
    </w:p>
    <w:p w14:paraId="4AF40AF2">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第十一条</w:t>
      </w:r>
      <w:r>
        <w:rPr>
          <w:rFonts w:hint="eastAsia" w:ascii="宋体" w:hAnsi="宋体" w:eastAsia="宋体" w:cs="宋体"/>
          <w:color w:val="000000"/>
          <w:kern w:val="0"/>
          <w:sz w:val="24"/>
          <w:shd w:val="clear" w:color="auto" w:fill="FFFFFF"/>
        </w:rPr>
        <w:t>　资产评估专业人员应当根据以财务报告为目的评估业务的具体情况合理确定评估假设。</w:t>
      </w:r>
    </w:p>
    <w:p w14:paraId="54922AB8">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第三章　评估对象</w:t>
      </w:r>
    </w:p>
    <w:p w14:paraId="297DE1C8">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第十二条</w:t>
      </w:r>
      <w:r>
        <w:rPr>
          <w:rFonts w:hint="eastAsia" w:ascii="宋体" w:hAnsi="宋体" w:eastAsia="宋体" w:cs="宋体"/>
          <w:color w:val="000000"/>
          <w:kern w:val="0"/>
          <w:sz w:val="24"/>
          <w:shd w:val="clear" w:color="auto" w:fill="FFFFFF"/>
        </w:rPr>
        <w:t>　执行以财务报告为目的的评估业务，应当与委托人进行充分协商，明确评估对象，并充分考虑评估对象的法律、物理与经济等具体特征对评估业务的影响。</w:t>
      </w:r>
    </w:p>
    <w:p w14:paraId="3E66D735">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第十三条</w:t>
      </w:r>
      <w:r>
        <w:rPr>
          <w:rFonts w:hint="eastAsia" w:ascii="宋体" w:hAnsi="宋体" w:eastAsia="宋体" w:cs="宋体"/>
          <w:color w:val="000000"/>
          <w:kern w:val="0"/>
          <w:sz w:val="24"/>
          <w:shd w:val="clear" w:color="auto" w:fill="FFFFFF"/>
        </w:rPr>
        <w:t>　资产评估专业人员应当关注会计准则中特定会计事项所对应的评估对象，从委托人或者其他相关当事人处取得的评估对象的具体组成等详细资料，关注相关资产、负债在企业营运中的作用；并提请企业管理层按其经营意图以及会计准则的规定、相关核算要求对有关资产、负债进行妥当的分类。</w:t>
      </w:r>
    </w:p>
    <w:p w14:paraId="00908793">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第十四条</w:t>
      </w:r>
      <w:r>
        <w:rPr>
          <w:rFonts w:hint="eastAsia" w:ascii="宋体" w:hAnsi="宋体" w:eastAsia="宋体" w:cs="宋体"/>
          <w:color w:val="000000"/>
          <w:kern w:val="0"/>
          <w:sz w:val="24"/>
          <w:shd w:val="clear" w:color="auto" w:fill="FFFFFF"/>
        </w:rPr>
        <w:t>　在执行会计准则规定的合并对价分摊事项涉及的评估业务时，对应的评估对象应当是合并中取得的被购买方可辨认资产、负债及或有负债，该评估对象与被购买方企业价值评估所对应的对象不同。</w:t>
      </w:r>
    </w:p>
    <w:p w14:paraId="28C487E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资产评估专业人员应当关注各类可辨认无形资产的识别及计量。</w:t>
      </w:r>
    </w:p>
    <w:p w14:paraId="2FCEF66A">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第十五条</w:t>
      </w:r>
      <w:r>
        <w:rPr>
          <w:rFonts w:hint="eastAsia" w:ascii="宋体" w:hAnsi="宋体" w:eastAsia="宋体" w:cs="宋体"/>
          <w:color w:val="000000"/>
          <w:kern w:val="0"/>
          <w:sz w:val="24"/>
          <w:shd w:val="clear" w:color="auto" w:fill="FFFFFF"/>
        </w:rPr>
        <w:t>　在执行会计准则规定的包括商誉在内的各类资产减值测试涉及的评估业务时，对应的评估对象可能是单项资产，也可能是资产组或者资产组合。其中，固定资产减值测试的评估对象一般以资产组的形式出现；商誉减值测试的评估对象主要以资产组或者资产组组合的形式出现。</w:t>
      </w:r>
    </w:p>
    <w:p w14:paraId="7F07C09E">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第十六条</w:t>
      </w:r>
      <w:r>
        <w:rPr>
          <w:rFonts w:hint="eastAsia" w:ascii="宋体" w:hAnsi="宋体" w:eastAsia="宋体" w:cs="宋体"/>
          <w:color w:val="000000"/>
          <w:kern w:val="0"/>
          <w:sz w:val="24"/>
          <w:shd w:val="clear" w:color="auto" w:fill="FFFFFF"/>
        </w:rPr>
        <w:t>　在执行会计准则规定的投资性房地产评估业务时，对应的评估对象包括已出租的土地使用权、持有并准备增值后转让的土地使用权、已出租的建筑物。</w:t>
      </w:r>
    </w:p>
    <w:p w14:paraId="00017A2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资产评估专业人员应当关注投资性房地产现有租约期限及租金内涵等对公允价值评估的影响，包括租期、租金收取方式、约定租金相对于市场租金的差异、租金内涵、特殊使用目的、分割或者合并使用的差异等，剔除不属于评估对象收益以及非正常因素的影响。</w:t>
      </w:r>
    </w:p>
    <w:p w14:paraId="3BB26E02">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第十七条</w:t>
      </w:r>
      <w:r>
        <w:rPr>
          <w:rFonts w:hint="eastAsia" w:ascii="宋体" w:hAnsi="宋体" w:eastAsia="宋体" w:cs="宋体"/>
          <w:color w:val="000000"/>
          <w:kern w:val="0"/>
          <w:sz w:val="24"/>
          <w:shd w:val="clear" w:color="auto" w:fill="FFFFFF"/>
        </w:rPr>
        <w:t>　资产评估专业人员应当关注金融资产和金融负债公允价值计量过程中是否以单项资产或者资产组为计量单位、资产核算分类、混合金融工具是否分拆等重要影响事项。</w:t>
      </w:r>
    </w:p>
    <w:p w14:paraId="35F45796">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第四章　价值类型</w:t>
      </w:r>
    </w:p>
    <w:p w14:paraId="58ECFDD8">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第十八条</w:t>
      </w:r>
      <w:r>
        <w:rPr>
          <w:rFonts w:hint="eastAsia" w:ascii="宋体" w:hAnsi="宋体" w:eastAsia="宋体" w:cs="宋体"/>
          <w:color w:val="000000"/>
          <w:kern w:val="0"/>
          <w:sz w:val="24"/>
          <w:shd w:val="clear" w:color="auto" w:fill="FFFFFF"/>
        </w:rPr>
        <w:t>　执行以财务报告为目的的评估业务，应当根据会计准则或者相关会计核算与披露的具体要求、评估对象等相关条件明确价值类型。会计准则规定的计量属性可以理解为相对应的评估价值类型。</w:t>
      </w:r>
    </w:p>
    <w:p w14:paraId="7F68F531">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第十九条</w:t>
      </w:r>
      <w:r>
        <w:rPr>
          <w:rFonts w:hint="eastAsia" w:ascii="宋体" w:hAnsi="宋体" w:eastAsia="宋体" w:cs="宋体"/>
          <w:color w:val="000000"/>
          <w:kern w:val="0"/>
          <w:sz w:val="24"/>
          <w:shd w:val="clear" w:color="auto" w:fill="FFFFFF"/>
        </w:rPr>
        <w:t>　资产评估专业人员协助企业进行资产减值测试，应当关注评估对象在减值测试日的可回收价值、资产预计未来现金流量的现值以及公允价值减去处置费用的净额之间的联系及区别。</w:t>
      </w:r>
    </w:p>
    <w:p w14:paraId="2866047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可回收价值等于资产预计未来现金流量的现值或者公允价值减去处置费用的净额孰高者。在已确信资产预计未来现金流量的现值或者公允价值减去处置费用的净额其中任何一项数值已经超过所对应的账面价值，并通过减值测试的前提下，可以不必计算另一项数值。</w:t>
      </w:r>
    </w:p>
    <w:p w14:paraId="0C8A9BE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计算资产预计未来现金流量的现值时，对资产预计未来现金流量的预测应基于特定实体现有管理模式下可能实现的收益。预测一般只考虑单项资产或者资产组内主要资产项目在简单维护下的剩余经济年限，即不考虑单项资产或者资产组内主要资产项目的改良或重置；资产组内资产项目于预测期末的变现净值应当纳入资产预计未来现金流量现值的计算。</w:t>
      </w:r>
    </w:p>
    <w:p w14:paraId="4FB68C2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（三）计算公允价值减去处置费用的净额时，会计准则允许直接以公平交易中销售协议价格，或者与评估对象相同或相似资产在其活跃市场上反映的价格，作为计算公允价值的依据。</w:t>
      </w:r>
    </w:p>
    <w:p w14:paraId="70899E2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当不存在相关活跃市场或者缺乏相关市场信息时，资产评估专业人员可以根据企业以市场参与者的身份，对单项资产或者资产组的运营作出合理性决策，并适当地考虑相关资产或者资产组内资产有效配置、改良或重置前提下提交的预测资料，参照企业价值评估的基本思路及方法，分析及计算单项资产或者资产组的公允价值。</w:t>
      </w:r>
    </w:p>
    <w:p w14:paraId="5387792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计算公允价值减去处置费用的净额时，应当根据会计准则的具体要求合理估算相关处置费用。</w:t>
      </w:r>
    </w:p>
    <w:p w14:paraId="0BEF2C88">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第二十条</w:t>
      </w:r>
      <w:r>
        <w:rPr>
          <w:rFonts w:hint="eastAsia" w:ascii="宋体" w:hAnsi="宋体" w:eastAsia="宋体" w:cs="宋体"/>
          <w:color w:val="000000"/>
          <w:kern w:val="0"/>
          <w:sz w:val="24"/>
          <w:shd w:val="clear" w:color="auto" w:fill="FFFFFF"/>
        </w:rPr>
        <w:t>　净重置成本是指现在购买相同或相似资产所需支付现金或现金等价物的预计金额减去体现相关贬值因素的预计金额，贬值因素主要包括实体性贬值、功能性贬值以及经济性贬值。</w:t>
      </w:r>
    </w:p>
    <w:p w14:paraId="4D9283F1">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第五章　评估方法</w:t>
      </w:r>
    </w:p>
    <w:p w14:paraId="5991E23F">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第二十一条</w:t>
      </w:r>
      <w:r>
        <w:rPr>
          <w:rFonts w:hint="eastAsia" w:ascii="宋体" w:hAnsi="宋体" w:eastAsia="宋体" w:cs="宋体"/>
          <w:color w:val="000000"/>
          <w:kern w:val="0"/>
          <w:sz w:val="24"/>
          <w:shd w:val="clear" w:color="auto" w:fill="FFFFFF"/>
        </w:rPr>
        <w:t>　执行以财务报告为目的的评估业务，应当根据评估对象、价值类型、资料收集情况和数据来源等相关条件，参照会计准则关于评估对象和计量方法的有关规定，选择评估方法。</w:t>
      </w:r>
    </w:p>
    <w:p w14:paraId="0E8E5C67">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第二十二条</w:t>
      </w:r>
      <w:r>
        <w:rPr>
          <w:rFonts w:hint="eastAsia" w:ascii="宋体" w:hAnsi="宋体" w:eastAsia="宋体" w:cs="宋体"/>
          <w:color w:val="000000"/>
          <w:kern w:val="0"/>
          <w:sz w:val="24"/>
          <w:shd w:val="clear" w:color="auto" w:fill="FFFFFF"/>
        </w:rPr>
        <w:t>　资产评估专业人员应当参照会计准则的规定，关注所采用的评估数据，并知晓公允价值获取层级受评估方法选择及评估数据来源的影响。</w:t>
      </w:r>
    </w:p>
    <w:p w14:paraId="2E24809D">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第二十三条</w:t>
      </w:r>
      <w:r>
        <w:rPr>
          <w:rFonts w:hint="eastAsia" w:ascii="宋体" w:hAnsi="宋体" w:eastAsia="宋体" w:cs="宋体"/>
          <w:color w:val="000000"/>
          <w:kern w:val="0"/>
          <w:sz w:val="24"/>
          <w:shd w:val="clear" w:color="auto" w:fill="FFFFFF"/>
        </w:rPr>
        <w:t>　选择评估方法时应当与前期采用的评估方法保持一致。</w:t>
      </w:r>
    </w:p>
    <w:p w14:paraId="61DF238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如果前期采用评估方法所依据的市场数据因发生重大变化而不再适用，或者通过采用与前期不同的评估方法使得评估结论更具代表性、更能反映评估对象的公允价值或者特定价值，可以变更评估方法。</w:t>
      </w:r>
    </w:p>
    <w:p w14:paraId="59EBEE70">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第二十四条</w:t>
      </w:r>
      <w:r>
        <w:rPr>
          <w:rFonts w:hint="eastAsia" w:ascii="宋体" w:hAnsi="宋体" w:eastAsia="宋体" w:cs="宋体"/>
          <w:color w:val="000000"/>
          <w:kern w:val="0"/>
          <w:sz w:val="24"/>
          <w:shd w:val="clear" w:color="auto" w:fill="FFFFFF"/>
        </w:rPr>
        <w:t>　采用市场法进行以财务报告为目的的评估，应当关注相关市场的活跃程度，从相关市场获得足够的交易案例或者其他比较对象，尽可能选择最接近、比较因素调整较少的交易案例或者其他比较对象作为参照物。</w:t>
      </w:r>
    </w:p>
    <w:p w14:paraId="4FFECE00">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第二十五条</w:t>
      </w:r>
      <w:r>
        <w:rPr>
          <w:rFonts w:hint="eastAsia" w:ascii="宋体" w:hAnsi="宋体" w:eastAsia="宋体" w:cs="宋体"/>
          <w:color w:val="000000"/>
          <w:kern w:val="0"/>
          <w:sz w:val="24"/>
          <w:shd w:val="clear" w:color="auto" w:fill="FFFFFF"/>
        </w:rPr>
        <w:t>　采用市场法进行以财务报告为目的的评估，应当对参照物的比较因素进行比较并做出恰当调整，还应重点关注作为参照物的交易案例的交易背景、交易地点、交易市场、交易时间、交易条件、付款方式等因素。</w:t>
      </w:r>
    </w:p>
    <w:p w14:paraId="3CDB8F5A">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第二十六条</w:t>
      </w:r>
      <w:r>
        <w:rPr>
          <w:rFonts w:hint="eastAsia" w:ascii="宋体" w:hAnsi="宋体" w:eastAsia="宋体" w:cs="宋体"/>
          <w:color w:val="000000"/>
          <w:kern w:val="0"/>
          <w:sz w:val="24"/>
          <w:shd w:val="clear" w:color="auto" w:fill="FFFFFF"/>
        </w:rPr>
        <w:t>　采用收益法进行以财务报告为目的的评估，可以根据评估对象的特点及应用条件，采用现金流量折现法、增量收益折现法、节省许可费折现法、多期超额收益折现法等具体评估方法。</w:t>
      </w:r>
    </w:p>
    <w:p w14:paraId="1698BBCC">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第二十七条</w:t>
      </w:r>
      <w:r>
        <w:rPr>
          <w:rFonts w:hint="eastAsia" w:ascii="宋体" w:hAnsi="宋体" w:eastAsia="宋体" w:cs="宋体"/>
          <w:color w:val="000000"/>
          <w:kern w:val="0"/>
          <w:sz w:val="24"/>
          <w:shd w:val="clear" w:color="auto" w:fill="FFFFFF"/>
        </w:rPr>
        <w:t>　采用收益法进行以财务报告为目的的评估，应当结合相关会计准则的要求，按照资产评估准则对收益法应用的有关规定，恰当考虑收益法的适用性，合理选择收益口径。</w:t>
      </w:r>
    </w:p>
    <w:p w14:paraId="38C0C3FA">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第二十八条</w:t>
      </w:r>
      <w:r>
        <w:rPr>
          <w:rFonts w:hint="eastAsia" w:ascii="宋体" w:hAnsi="宋体" w:eastAsia="宋体" w:cs="宋体"/>
          <w:color w:val="000000"/>
          <w:kern w:val="0"/>
          <w:sz w:val="24"/>
          <w:shd w:val="clear" w:color="auto" w:fill="FFFFFF"/>
        </w:rPr>
        <w:t>　采用收益法进行以财务报告为目的的评估，应当从委托人或者其他相关当事人获取评估对象的经营状况及相关收益预测资料，按照会计与评估相关准则的规定，与委托人及其他相关当事人讨论未来各种可能性，结合被评估单位的人力资源、技术水平、资本结构、经营状况、历史业绩、发展趋势，考虑宏观经济因素、所在行业现状与发展前景，分析未来收益预测资料与评估目的及评估假设的适用性。</w:t>
      </w:r>
    </w:p>
    <w:p w14:paraId="14F2C214">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第二十九条</w:t>
      </w:r>
      <w:r>
        <w:rPr>
          <w:rFonts w:hint="eastAsia" w:ascii="宋体" w:hAnsi="宋体" w:eastAsia="宋体" w:cs="宋体"/>
          <w:color w:val="000000"/>
          <w:kern w:val="0"/>
          <w:sz w:val="24"/>
          <w:shd w:val="clear" w:color="auto" w:fill="FFFFFF"/>
        </w:rPr>
        <w:t>　资产评估专业人员应当按照资产评估准则的规定，确信折现率与预期收益口径保持一致。</w:t>
      </w:r>
    </w:p>
    <w:p w14:paraId="40BF1E40">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第三十条</w:t>
      </w:r>
      <w:r>
        <w:rPr>
          <w:rFonts w:hint="eastAsia" w:ascii="宋体" w:hAnsi="宋体" w:eastAsia="宋体" w:cs="宋体"/>
          <w:color w:val="000000"/>
          <w:kern w:val="0"/>
          <w:sz w:val="24"/>
          <w:shd w:val="clear" w:color="auto" w:fill="FFFFFF"/>
        </w:rPr>
        <w:t>　采用成本法进行以财务报告为目的的评估，应当按照资产评估准则的规定，考虑评估对象的实体性贬值、功能性贬值及经济性贬值。</w:t>
      </w:r>
    </w:p>
    <w:p w14:paraId="22B049C4">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第三十一条</w:t>
      </w:r>
      <w:r>
        <w:rPr>
          <w:rFonts w:hint="eastAsia" w:ascii="宋体" w:hAnsi="宋体" w:eastAsia="宋体" w:cs="宋体"/>
          <w:color w:val="000000"/>
          <w:kern w:val="0"/>
          <w:sz w:val="24"/>
          <w:shd w:val="clear" w:color="auto" w:fill="FFFFFF"/>
        </w:rPr>
        <w:t>　对于不存在相同或者相似资产活跃市场的，或者不能可靠地以收益法进行评估的资产，可以采用成本法进行评估。但资产评估专业人员应当获取企业的承诺，并在资产评估报告中披露，其评估结论仅在相关资产的价值可以通过资产未来运营得以全额回收的前提下成立。</w:t>
      </w:r>
    </w:p>
    <w:p w14:paraId="2FB19641">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第三十二条</w:t>
      </w:r>
      <w:r>
        <w:rPr>
          <w:rFonts w:hint="eastAsia" w:ascii="宋体" w:hAnsi="宋体" w:eastAsia="宋体" w:cs="宋体"/>
          <w:color w:val="000000"/>
          <w:kern w:val="0"/>
          <w:sz w:val="24"/>
          <w:shd w:val="clear" w:color="auto" w:fill="FFFFFF"/>
        </w:rPr>
        <w:t>　对同一评估对象采用多种评估方法时，应当对形成的各种测算结果进行分析，在综合考虑不同评估方法测算结果的合理性及所使用数据质量及数量的基础上，形成评估结论。</w:t>
      </w:r>
    </w:p>
    <w:p w14:paraId="74A19487">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第三十三条</w:t>
      </w:r>
      <w:r>
        <w:rPr>
          <w:rFonts w:hint="eastAsia" w:ascii="宋体" w:hAnsi="宋体" w:eastAsia="宋体" w:cs="宋体"/>
          <w:color w:val="000000"/>
          <w:kern w:val="0"/>
          <w:sz w:val="24"/>
          <w:shd w:val="clear" w:color="auto" w:fill="FFFFFF"/>
        </w:rPr>
        <w:t>　资产评估专业人员应当知晓相关经济合同所记载的与资产或者负债价值相关的金额不一定等同于该项资产或者负债于某一时点的公允价值。</w:t>
      </w:r>
    </w:p>
    <w:p w14:paraId="40B46F41">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第三十四条</w:t>
      </w:r>
      <w:r>
        <w:rPr>
          <w:rFonts w:hint="eastAsia" w:ascii="宋体" w:hAnsi="宋体" w:eastAsia="宋体" w:cs="宋体"/>
          <w:color w:val="000000"/>
          <w:kern w:val="0"/>
          <w:sz w:val="24"/>
          <w:shd w:val="clear" w:color="auto" w:fill="FFFFFF"/>
        </w:rPr>
        <w:t>　资产评估专业人员应当知晓相关税收法律、行政法规对评估对象价值估算的影响，并在相关评估过程中予以恰当的考虑和处理。</w:t>
      </w:r>
    </w:p>
    <w:p w14:paraId="13B470E6">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第六章　披露要求</w:t>
      </w:r>
    </w:p>
    <w:p w14:paraId="7695DE57">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第三十五条</w:t>
      </w:r>
      <w:r>
        <w:rPr>
          <w:rFonts w:hint="eastAsia" w:ascii="宋体" w:hAnsi="宋体" w:eastAsia="宋体" w:cs="宋体"/>
          <w:color w:val="000000"/>
          <w:kern w:val="0"/>
          <w:sz w:val="24"/>
          <w:shd w:val="clear" w:color="auto" w:fill="FFFFFF"/>
        </w:rPr>
        <w:t>　资产评估报告应当包含必要信息，使资产评估报告使用人能够正确理解评估结论，其中应当重点披露以下内容：</w:t>
      </w:r>
    </w:p>
    <w:p w14:paraId="35C41C7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（一）评估对象的具体描述；</w:t>
      </w:r>
    </w:p>
    <w:p w14:paraId="41DE8F0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（二）价值类型的定义及其与会计准则或者相关会计核算、披露要求的对应关系；</w:t>
      </w:r>
    </w:p>
    <w:p w14:paraId="76AFA28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（三）评估方法的选择过程和依据；</w:t>
      </w:r>
    </w:p>
    <w:p w14:paraId="40FAAC9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（四）评估方法的具体运用，结合相关计算过程、评估参数等加以说明；</w:t>
      </w:r>
    </w:p>
    <w:p w14:paraId="42927FD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（五）关键性假设及前提；</w:t>
      </w:r>
    </w:p>
    <w:p w14:paraId="4959CFD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（六）关键性评估参数的测算、逻辑推理、形成过程和相关评估数据的获取来源；</w:t>
      </w:r>
    </w:p>
    <w:p w14:paraId="61147F7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（七）对企业提供的财务等评估中使用的资料所做的重大或者实质性调整。</w:t>
      </w:r>
    </w:p>
    <w:p w14:paraId="31F21589">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第三十六条</w:t>
      </w:r>
      <w:r>
        <w:rPr>
          <w:rFonts w:hint="eastAsia" w:ascii="宋体" w:hAnsi="宋体" w:eastAsia="宋体" w:cs="宋体"/>
          <w:color w:val="000000"/>
          <w:kern w:val="0"/>
          <w:sz w:val="24"/>
          <w:shd w:val="clear" w:color="auto" w:fill="FFFFFF"/>
        </w:rPr>
        <w:t>　执行以财务报告为目的的评估业务，应当在资产评估报告中披露评估结论所受到的限制，并提醒委托人关注其对财务报告的影响。</w:t>
      </w:r>
    </w:p>
    <w:p w14:paraId="4146263A">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第三十七条</w:t>
      </w:r>
      <w:r>
        <w:rPr>
          <w:rFonts w:hint="eastAsia" w:ascii="宋体" w:hAnsi="宋体" w:eastAsia="宋体" w:cs="宋体"/>
          <w:color w:val="000000"/>
          <w:kern w:val="0"/>
          <w:sz w:val="24"/>
          <w:shd w:val="clear" w:color="auto" w:fill="FFFFFF"/>
        </w:rPr>
        <w:t>　资产评估报告应当披露本次与前次评估相同或者类似资产或者负债时采用的评估方法是否一致；当出现不一致时，应当描述相应的变动并说明变动的原因。</w:t>
      </w:r>
    </w:p>
    <w:p w14:paraId="59BCD1EF">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第七章　附则</w:t>
      </w:r>
    </w:p>
    <w:p w14:paraId="34126D8F">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第三十八条</w:t>
      </w:r>
      <w:r>
        <w:rPr>
          <w:rFonts w:hint="eastAsia" w:ascii="宋体" w:hAnsi="宋体" w:eastAsia="宋体" w:cs="宋体"/>
          <w:color w:val="000000"/>
          <w:kern w:val="0"/>
          <w:sz w:val="24"/>
          <w:shd w:val="clear" w:color="auto" w:fill="FFFFFF"/>
        </w:rPr>
        <w:t>　本指南自2017年10月1日起施行。中国资产评估协会于2007年11月9日发布的《关于印发〈以财务报告为目的的评估指南（试行）〉的通知》（中评协〔2007〕169号）同时废止。</w:t>
      </w:r>
    </w:p>
    <w:p w14:paraId="0776C5F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br w:type="page"/>
      </w:r>
    </w:p>
    <w:p w14:paraId="609DBD46">
      <w:pPr>
        <w:pStyle w:val="5"/>
        <w:spacing w:line="440" w:lineRule="atLeast"/>
        <w:jc w:val="center"/>
        <w:rPr>
          <w:rFonts w:ascii="宋体" w:hAnsi="宋体" w:eastAsia="宋体" w:cs="宋体"/>
        </w:rPr>
      </w:pPr>
      <w:bookmarkStart w:id="131" w:name="_Toc14370"/>
      <w:r>
        <w:rPr>
          <w:rFonts w:hint="eastAsia" w:ascii="宋体" w:hAnsi="宋体" w:eastAsia="宋体" w:cs="宋体"/>
        </w:rPr>
        <w:t>资产评估机构业务质量控制指南</w:t>
      </w:r>
      <w:bookmarkEnd w:id="131"/>
    </w:p>
    <w:p w14:paraId="19253379">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第一章　总则</w:t>
      </w:r>
    </w:p>
    <w:p w14:paraId="4F97DE6A">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第一条</w:t>
      </w:r>
      <w:r>
        <w:rPr>
          <w:rFonts w:hint="eastAsia" w:ascii="宋体" w:hAnsi="宋体" w:eastAsia="宋体" w:cs="宋体"/>
          <w:color w:val="000000"/>
          <w:kern w:val="0"/>
          <w:sz w:val="24"/>
          <w:shd w:val="clear" w:color="auto" w:fill="FFFFFF"/>
        </w:rPr>
        <w:t>　为规范资产评估机构的业务质量控制行为，明确资产评估机构及其人员的质量控制责任，保护资产评估当事人合法权益和公共利益，根据《资产评估基本准则》制定本指南。</w:t>
      </w:r>
    </w:p>
    <w:p w14:paraId="05921AD2">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第二条</w:t>
      </w:r>
      <w:r>
        <w:rPr>
          <w:rFonts w:hint="eastAsia" w:ascii="宋体" w:hAnsi="宋体" w:eastAsia="宋体" w:cs="宋体"/>
          <w:color w:val="000000"/>
          <w:kern w:val="0"/>
          <w:sz w:val="24"/>
          <w:shd w:val="clear" w:color="auto" w:fill="FFFFFF"/>
        </w:rPr>
        <w:t>　资产评估机构应当结合自身规模、业务特征、业务领域等因素，建立质量控制体系，保证评估业务质量，防范执业风险。</w:t>
      </w:r>
    </w:p>
    <w:p w14:paraId="3CA4BBA9">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第三条</w:t>
      </w:r>
      <w:r>
        <w:rPr>
          <w:rFonts w:hint="eastAsia" w:ascii="宋体" w:hAnsi="宋体" w:eastAsia="宋体" w:cs="宋体"/>
          <w:color w:val="000000"/>
          <w:kern w:val="0"/>
          <w:sz w:val="24"/>
          <w:shd w:val="clear" w:color="auto" w:fill="FFFFFF"/>
        </w:rPr>
        <w:t>　质量控制体系包括资产评估机构为实现质量控制目标而制定的质量控制政策，以及为政策执行和监控而设计的必要程序。</w:t>
      </w:r>
    </w:p>
    <w:p w14:paraId="5F4BB1A4">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第四条</w:t>
      </w:r>
      <w:r>
        <w:rPr>
          <w:rFonts w:hint="eastAsia" w:ascii="宋体" w:hAnsi="宋体" w:eastAsia="宋体" w:cs="宋体"/>
          <w:color w:val="000000"/>
          <w:kern w:val="0"/>
          <w:sz w:val="24"/>
          <w:shd w:val="clear" w:color="auto" w:fill="FFFFFF"/>
        </w:rPr>
        <w:t>　质量控制体系包含的控制政策和程序通常包括：</w:t>
      </w:r>
    </w:p>
    <w:p w14:paraId="1C58126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（一）质量控制责任；</w:t>
      </w:r>
    </w:p>
    <w:p w14:paraId="36724DF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（二）职业道德；</w:t>
      </w:r>
    </w:p>
    <w:p w14:paraId="540A615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（三）人力资源；</w:t>
      </w:r>
    </w:p>
    <w:p w14:paraId="379953C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（四）资产评估业务受理；</w:t>
      </w:r>
    </w:p>
    <w:p w14:paraId="5C20D32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（五）资产评估业务计划；</w:t>
      </w:r>
    </w:p>
    <w:p w14:paraId="119BB03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（六）资产评估业务实施和资产评估报告出具；</w:t>
      </w:r>
    </w:p>
    <w:p w14:paraId="19F8987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（七）监控和改进；</w:t>
      </w:r>
    </w:p>
    <w:p w14:paraId="6505778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（八）文件和记录。</w:t>
      </w:r>
    </w:p>
    <w:p w14:paraId="091ED7FA">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第五条</w:t>
      </w:r>
      <w:r>
        <w:rPr>
          <w:rFonts w:hint="eastAsia" w:ascii="宋体" w:hAnsi="宋体" w:eastAsia="宋体" w:cs="宋体"/>
          <w:color w:val="000000"/>
          <w:kern w:val="0"/>
          <w:sz w:val="24"/>
          <w:shd w:val="clear" w:color="auto" w:fill="FFFFFF"/>
        </w:rPr>
        <w:t>　资产评估机构制定的质量控制政策和程序，应当形成书面文件。政策和程序的执行情况应当有适当的记录。</w:t>
      </w:r>
    </w:p>
    <w:p w14:paraId="34E45D70">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第六条</w:t>
      </w:r>
      <w:r>
        <w:rPr>
          <w:rFonts w:hint="eastAsia" w:ascii="宋体" w:hAnsi="宋体" w:eastAsia="宋体" w:cs="宋体"/>
          <w:color w:val="000000"/>
          <w:kern w:val="0"/>
          <w:sz w:val="24"/>
          <w:shd w:val="clear" w:color="auto" w:fill="FFFFFF"/>
        </w:rPr>
        <w:t>　资产评估机构对资产评估业务进行质量控制，应当遵守本指南。</w:t>
      </w:r>
    </w:p>
    <w:p w14:paraId="351E28A3">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第二章　质量控制责任</w:t>
      </w:r>
    </w:p>
    <w:p w14:paraId="13CECD95">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第七条</w:t>
      </w:r>
      <w:r>
        <w:rPr>
          <w:rFonts w:hint="eastAsia" w:ascii="宋体" w:hAnsi="宋体" w:eastAsia="宋体" w:cs="宋体"/>
          <w:color w:val="000000"/>
          <w:kern w:val="0"/>
          <w:sz w:val="24"/>
          <w:shd w:val="clear" w:color="auto" w:fill="FFFFFF"/>
        </w:rPr>
        <w:t>　资产评估机构应当合理界定和细分质量控制体系中控制主体承担的质量控制责任，并建立责任落实和追究机制。控制主体通常包括：</w:t>
      </w:r>
    </w:p>
    <w:p w14:paraId="0D47EB1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（一）最高管理层；</w:t>
      </w:r>
    </w:p>
    <w:p w14:paraId="42D810B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（二）首席评估师；</w:t>
      </w:r>
    </w:p>
    <w:p w14:paraId="5A08959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（三）项目负责人；</w:t>
      </w:r>
    </w:p>
    <w:p w14:paraId="38DD04A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（四）项目审核人员；</w:t>
      </w:r>
    </w:p>
    <w:p w14:paraId="7198997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（五）项目团队成员；</w:t>
      </w:r>
    </w:p>
    <w:p w14:paraId="7CD292D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（六）资产评估机构其他人员。</w:t>
      </w:r>
    </w:p>
    <w:p w14:paraId="331740BF">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第八条</w:t>
      </w:r>
      <w:r>
        <w:rPr>
          <w:rFonts w:hint="eastAsia" w:ascii="宋体" w:hAnsi="宋体" w:eastAsia="宋体" w:cs="宋体"/>
          <w:color w:val="000000"/>
          <w:kern w:val="0"/>
          <w:sz w:val="24"/>
          <w:shd w:val="clear" w:color="auto" w:fill="FFFFFF"/>
        </w:rPr>
        <w:t>　最高管理层是指公司制资产评估机构的董事会（执行董事）或者合伙制资产评估机构的合伙人管理委员会（执行合伙事务的合伙人）。</w:t>
      </w:r>
    </w:p>
    <w:p w14:paraId="2144A84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最高管理层对业务质量控制承担最终责任。</w:t>
      </w:r>
    </w:p>
    <w:p w14:paraId="2BDFF31C">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第九条</w:t>
      </w:r>
      <w:r>
        <w:rPr>
          <w:rFonts w:hint="eastAsia" w:ascii="宋体" w:hAnsi="宋体" w:eastAsia="宋体" w:cs="宋体"/>
          <w:color w:val="000000"/>
          <w:kern w:val="0"/>
          <w:sz w:val="24"/>
          <w:shd w:val="clear" w:color="auto" w:fill="FFFFFF"/>
        </w:rPr>
        <w:t>　最高管理层应当在股东会（或者合伙人会议）授权的或者章程（或者合伙人协议）规定的范围内行使职权，并承担以下职责：</w:t>
      </w:r>
    </w:p>
    <w:p w14:paraId="571D277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（一）树立质量管理意识，让全体人员充分认识到业务质量控制的重要性，全员参与，以达到质量控制目标；</w:t>
      </w:r>
    </w:p>
    <w:p w14:paraId="1A53529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（二）制定资产评估机构的服务宗旨，使全体人员理解服务宗旨的内涵，并评审其持续适宜性；</w:t>
      </w:r>
    </w:p>
    <w:p w14:paraId="5C26903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（三）在相关职能部门层次上建立质量目标，质量目标应当具体、可测量和可实现，并与服务宗旨保持一致；</w:t>
      </w:r>
    </w:p>
    <w:p w14:paraId="6F51804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（四）策划组织架构和质量控制体系，并对其进行定期评审，使其处于适宜、充分和有效的状态；</w:t>
      </w:r>
    </w:p>
    <w:p w14:paraId="2E68F3E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（五）合理授权分支机构的业务权限，对分支机构的业务开展实施控制。</w:t>
      </w:r>
    </w:p>
    <w:p w14:paraId="1793D93A">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第十条</w:t>
      </w:r>
      <w:r>
        <w:rPr>
          <w:rFonts w:hint="eastAsia" w:ascii="宋体" w:hAnsi="宋体" w:eastAsia="宋体" w:cs="宋体"/>
          <w:color w:val="000000"/>
          <w:kern w:val="0"/>
          <w:sz w:val="24"/>
          <w:shd w:val="clear" w:color="auto" w:fill="FFFFFF"/>
        </w:rPr>
        <w:t>　资产评估机构应当建立首席评估师制度。</w:t>
      </w:r>
    </w:p>
    <w:p w14:paraId="366E25C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首席评估师应当为资产评估机构的股东（或者合伙人），并且应当具备履行职责所需要的经验和能力,由最高管理层指定并授予其管理权限，直接对最高管理层负责。</w:t>
      </w:r>
    </w:p>
    <w:p w14:paraId="7CEF49F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除本指南外，首席评估师的产生和任职条件有其他相关规定的，还要符合相关规定要求。</w:t>
      </w:r>
    </w:p>
    <w:p w14:paraId="70882B52">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第十一条</w:t>
      </w:r>
      <w:r>
        <w:rPr>
          <w:rFonts w:hint="eastAsia" w:ascii="宋体" w:hAnsi="宋体" w:eastAsia="宋体" w:cs="宋体"/>
          <w:color w:val="000000"/>
          <w:kern w:val="0"/>
          <w:sz w:val="24"/>
          <w:shd w:val="clear" w:color="auto" w:fill="FFFFFF"/>
        </w:rPr>
        <w:t>　首席评估师承担以下职责：</w:t>
      </w:r>
    </w:p>
    <w:p w14:paraId="54E9B37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（一）建立、实施和保持质量控制体系；</w:t>
      </w:r>
    </w:p>
    <w:p w14:paraId="210AA52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（二）监控质量控制体系的运行情况，向最高管理层报告并提出改进的建议和方案；</w:t>
      </w:r>
    </w:p>
    <w:p w14:paraId="3C9CC57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（三）促进全体人员不断提高业务质量意识。</w:t>
      </w:r>
    </w:p>
    <w:p w14:paraId="6EB5017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除本指南外，首席评估师的职责权限有其他相关规定的，还要符合相关规定要求。</w:t>
      </w:r>
    </w:p>
    <w:p w14:paraId="16C26A46">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第十二条</w:t>
      </w:r>
      <w:r>
        <w:rPr>
          <w:rFonts w:hint="eastAsia" w:ascii="宋体" w:hAnsi="宋体" w:eastAsia="宋体" w:cs="宋体"/>
          <w:color w:val="000000"/>
          <w:kern w:val="0"/>
          <w:sz w:val="24"/>
          <w:shd w:val="clear" w:color="auto" w:fill="FFFFFF"/>
        </w:rPr>
        <w:t>　资产评估机构应当制定评估业务项目负责人制度。项目负责人应当是具备履行职责所要求职业道德、专业知识、执业能力、实践经验的资产评估专业人员，其中法定评估业务的项目负责人应当为资产评估师。</w:t>
      </w:r>
    </w:p>
    <w:p w14:paraId="50B9992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资产评估机构应当根据业务特征对每项资产评估业务委派项目负责人。</w:t>
      </w:r>
    </w:p>
    <w:p w14:paraId="4B630683">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第十三条</w:t>
      </w:r>
      <w:r>
        <w:rPr>
          <w:rFonts w:hint="eastAsia" w:ascii="宋体" w:hAnsi="宋体" w:eastAsia="宋体" w:cs="宋体"/>
          <w:color w:val="000000"/>
          <w:kern w:val="0"/>
          <w:sz w:val="24"/>
          <w:shd w:val="clear" w:color="auto" w:fill="FFFFFF"/>
        </w:rPr>
        <w:t>　项目负责人承担以下职责：</w:t>
      </w:r>
    </w:p>
    <w:p w14:paraId="62D0614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（一）评估计划的制订和组织实施；</w:t>
      </w:r>
    </w:p>
    <w:p w14:paraId="61138FB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（二）评估业务实施中的协调和沟通；</w:t>
      </w:r>
    </w:p>
    <w:p w14:paraId="1AD9943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（三）按照程序报告与评估业务相关的重要信息；</w:t>
      </w:r>
    </w:p>
    <w:p w14:paraId="4BF6AC3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（四）组织复核项目团队人员的工作；</w:t>
      </w:r>
    </w:p>
    <w:p w14:paraId="38AFAC8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（五）合理利用专家工作及工作成果；</w:t>
      </w:r>
    </w:p>
    <w:p w14:paraId="6A86D5F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（六）组织编制资产评估报告，并审核相关内容；</w:t>
      </w:r>
    </w:p>
    <w:p w14:paraId="1A36B67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（七）在出具的资产评估报告上签名；</w:t>
      </w:r>
    </w:p>
    <w:p w14:paraId="11D0F6A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（八）组织处理资产评估报告提交后的反馈意见；</w:t>
      </w:r>
    </w:p>
    <w:p w14:paraId="2231C3A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（九）组织整理归集资产评估档案。</w:t>
      </w:r>
    </w:p>
    <w:p w14:paraId="4F533CF5">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第十四条</w:t>
      </w:r>
      <w:r>
        <w:rPr>
          <w:rFonts w:hint="eastAsia" w:ascii="宋体" w:hAnsi="宋体" w:eastAsia="宋体" w:cs="宋体"/>
          <w:color w:val="000000"/>
          <w:kern w:val="0"/>
          <w:sz w:val="24"/>
          <w:shd w:val="clear" w:color="auto" w:fill="FFFFFF"/>
        </w:rPr>
        <w:t>　项目审核人员应当符合下列要求：</w:t>
      </w:r>
    </w:p>
    <w:p w14:paraId="7C313D3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（一）具备履行职责的技术专长；</w:t>
      </w:r>
    </w:p>
    <w:p w14:paraId="1E3E717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（二）具备审核业务所需要的经验和权限；</w:t>
      </w:r>
    </w:p>
    <w:p w14:paraId="66F1718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（三）保证审核工作的客观性。</w:t>
      </w:r>
    </w:p>
    <w:p w14:paraId="7EA9A72A">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第十五条</w:t>
      </w:r>
      <w:r>
        <w:rPr>
          <w:rFonts w:hint="eastAsia" w:ascii="宋体" w:hAnsi="宋体" w:eastAsia="宋体" w:cs="宋体"/>
          <w:color w:val="000000"/>
          <w:kern w:val="0"/>
          <w:sz w:val="24"/>
          <w:shd w:val="clear" w:color="auto" w:fill="FFFFFF"/>
        </w:rPr>
        <w:t>　项目审核人员承担以下职责：</w:t>
      </w:r>
    </w:p>
    <w:p w14:paraId="6DCB788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（一）审核评估程序执行情况；</w:t>
      </w:r>
    </w:p>
    <w:p w14:paraId="2519249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（二）审核拟出具的资产评估报告；</w:t>
      </w:r>
    </w:p>
    <w:p w14:paraId="3C4D988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（三）审核工作底稿；</w:t>
      </w:r>
    </w:p>
    <w:p w14:paraId="143E6E0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（四）综合评价项目风险，提出出具资产评估报告的明确意见。</w:t>
      </w:r>
    </w:p>
    <w:p w14:paraId="0658F866">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第十六条</w:t>
      </w:r>
      <w:r>
        <w:rPr>
          <w:rFonts w:hint="eastAsia" w:ascii="宋体" w:hAnsi="宋体" w:eastAsia="宋体" w:cs="宋体"/>
          <w:color w:val="000000"/>
          <w:kern w:val="0"/>
          <w:sz w:val="24"/>
          <w:shd w:val="clear" w:color="auto" w:fill="FFFFFF"/>
        </w:rPr>
        <w:t>　项目团队成员通常包括承担或者参与资产评估业务项目工作的资产评估专业人员、业务助理人员等。项目团队成员承担以下职责：</w:t>
      </w:r>
    </w:p>
    <w:p w14:paraId="30B0DCA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（一）接受项目负责人的领导，了解拟执行工作的目标，理解项目负责人的工作指令；</w:t>
      </w:r>
    </w:p>
    <w:p w14:paraId="3EB7074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（二）按照资产评估机构质量控制政策和程序的要求从事具体评估业务工作，形成工作底稿；</w:t>
      </w:r>
    </w:p>
    <w:p w14:paraId="76876F2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（三）汇报执行业务过程中发现的重大问题；</w:t>
      </w:r>
    </w:p>
    <w:p w14:paraId="5358A97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（四）复核已经完成的工作底稿并接受审核。</w:t>
      </w:r>
    </w:p>
    <w:p w14:paraId="00372917">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第十七条</w:t>
      </w:r>
      <w:r>
        <w:rPr>
          <w:rFonts w:hint="eastAsia" w:ascii="宋体" w:hAnsi="宋体" w:eastAsia="宋体" w:cs="宋体"/>
          <w:color w:val="000000"/>
          <w:kern w:val="0"/>
          <w:sz w:val="24"/>
          <w:shd w:val="clear" w:color="auto" w:fill="FFFFFF"/>
        </w:rPr>
        <w:t>　资产评估机构应当明确处于质量控制体系中其他人员的职责，该类人员通常包括：</w:t>
      </w:r>
    </w:p>
    <w:p w14:paraId="2AF06BC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（一）业务洽谈人员；</w:t>
      </w:r>
    </w:p>
    <w:p w14:paraId="6EE9093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（二）业务部门负责人；</w:t>
      </w:r>
    </w:p>
    <w:p w14:paraId="1D33617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（三）分支机构负责人；</w:t>
      </w:r>
    </w:p>
    <w:p w14:paraId="1E14776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（四）人力资源管理人员；</w:t>
      </w:r>
    </w:p>
    <w:p w14:paraId="3A08B6C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（五）信息管理人员；</w:t>
      </w:r>
    </w:p>
    <w:p w14:paraId="18E14F1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（六）档案管理人员；</w:t>
      </w:r>
    </w:p>
    <w:p w14:paraId="2156391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（七）文秘人员。</w:t>
      </w:r>
    </w:p>
    <w:p w14:paraId="539264FC">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第三章　职业道德</w:t>
      </w:r>
    </w:p>
    <w:p w14:paraId="6AA59918">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第十八条</w:t>
      </w:r>
      <w:r>
        <w:rPr>
          <w:rFonts w:hint="eastAsia" w:ascii="宋体" w:hAnsi="宋体" w:eastAsia="宋体" w:cs="宋体"/>
          <w:color w:val="000000"/>
          <w:kern w:val="0"/>
          <w:sz w:val="24"/>
          <w:shd w:val="clear" w:color="auto" w:fill="FFFFFF"/>
        </w:rPr>
        <w:t>　资产评估机构应当制定政策和程序，以利于全体人员遵守资产评估职业道德准则。</w:t>
      </w:r>
    </w:p>
    <w:p w14:paraId="6B9C72D5">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第十九条</w:t>
      </w:r>
      <w:r>
        <w:rPr>
          <w:rFonts w:hint="eastAsia" w:ascii="宋体" w:hAnsi="宋体" w:eastAsia="宋体" w:cs="宋体"/>
          <w:color w:val="000000"/>
          <w:kern w:val="0"/>
          <w:sz w:val="24"/>
          <w:shd w:val="clear" w:color="auto" w:fill="FFFFFF"/>
        </w:rPr>
        <w:t>　资产评估机构制定的政策和程序，应当强调遵守资产评估职业道德准则的重要性。资产评估机构可以采用管理层的示范、教育和培训、监控以及对违反资产评估职业道德准则行为的处理等方式予以强化。</w:t>
      </w:r>
    </w:p>
    <w:p w14:paraId="0031A73D">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第二十条</w:t>
      </w:r>
      <w:r>
        <w:rPr>
          <w:rFonts w:hint="eastAsia" w:ascii="宋体" w:hAnsi="宋体" w:eastAsia="宋体" w:cs="宋体"/>
          <w:color w:val="000000"/>
          <w:kern w:val="0"/>
          <w:sz w:val="24"/>
          <w:shd w:val="clear" w:color="auto" w:fill="FFFFFF"/>
        </w:rPr>
        <w:t>　资产评估机构应当按照资产评估职业道德准则的要求，坚持独立、客观、公正的原则。资产评估机构可以针对具体评估业务特点采用适当的处理方式保持独立性，如：</w:t>
      </w:r>
    </w:p>
    <w:p w14:paraId="0FD3458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（一）对影响独立性和客观性的利益关系等因素进行分析和判断，最大限度地减少或者消除不利因素，直至放弃评估业务，以使对独立性和客观性的不利影响降至可接受水平；</w:t>
      </w:r>
    </w:p>
    <w:p w14:paraId="274A514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（二）要求内部相关人员就有关独立性的信息进行沟通，以确定是否存在违反独立性的情形；</w:t>
      </w:r>
    </w:p>
    <w:p w14:paraId="1197602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（三）排除影响资产评估专业人员做出独立专业判断的外部因素干扰。</w:t>
      </w:r>
    </w:p>
    <w:p w14:paraId="14D8B9CC">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第二十一条</w:t>
      </w:r>
      <w:r>
        <w:rPr>
          <w:rFonts w:hint="eastAsia" w:ascii="宋体" w:hAnsi="宋体" w:eastAsia="宋体" w:cs="宋体"/>
          <w:color w:val="000000"/>
          <w:kern w:val="0"/>
          <w:sz w:val="24"/>
          <w:shd w:val="clear" w:color="auto" w:fill="FFFFFF"/>
        </w:rPr>
        <w:t>　资产评估机构制定的保密政策，应当要求资产评估专业人员及其他人员对国家秘密、委托人和其他相关当事人的商业秘密、所在资产评估机构的商业秘密负有保密义务。除下列人员和机构依法从资产评估机构获取和保留国家秘密及商业秘密外，不得向他人泄露在评估活动中获得的不应当公开的信息以及资产评估结论：</w:t>
      </w:r>
    </w:p>
    <w:p w14:paraId="73F7CFF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（一）委托人或者由委托人书面许可的人；</w:t>
      </w:r>
    </w:p>
    <w:p w14:paraId="71A10B0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（二）法律、行政法规允许的第三方；</w:t>
      </w:r>
    </w:p>
    <w:p w14:paraId="4EAB1C2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（三）具有管辖权的监管机构、行业协会。</w:t>
      </w:r>
    </w:p>
    <w:p w14:paraId="20A940E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资产评估专业人员及其他人员在为委托人和其他相关当事人服务结束或者离开所在资产评估机构后，应当按照有关规定或者合同约定承担保密义务。</w:t>
      </w:r>
    </w:p>
    <w:p w14:paraId="70C48C1C">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第四章　人力资源</w:t>
      </w:r>
    </w:p>
    <w:p w14:paraId="35285126">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第二十二条</w:t>
      </w:r>
      <w:r>
        <w:rPr>
          <w:rFonts w:hint="eastAsia" w:ascii="宋体" w:hAnsi="宋体" w:eastAsia="宋体" w:cs="宋体"/>
          <w:color w:val="000000"/>
          <w:kern w:val="0"/>
          <w:sz w:val="24"/>
          <w:shd w:val="clear" w:color="auto" w:fill="FFFFFF"/>
        </w:rPr>
        <w:t>　资产评估机构应当配置必需的人力资源，并根据业务的变化，对人力资源进行调整和更新。</w:t>
      </w:r>
    </w:p>
    <w:p w14:paraId="59DDF5D1">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第二十三条</w:t>
      </w:r>
      <w:r>
        <w:rPr>
          <w:rFonts w:hint="eastAsia" w:ascii="宋体" w:hAnsi="宋体" w:eastAsia="宋体" w:cs="宋体"/>
          <w:color w:val="000000"/>
          <w:kern w:val="0"/>
          <w:sz w:val="24"/>
          <w:shd w:val="clear" w:color="auto" w:fill="FFFFFF"/>
        </w:rPr>
        <w:t>　资产评估机构在制定人力资源政策和程序时，通常可以考虑以下内容：</w:t>
      </w:r>
    </w:p>
    <w:p w14:paraId="782A9A7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（一）人力资源规划；</w:t>
      </w:r>
    </w:p>
    <w:p w14:paraId="758F8BE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（二）岗位职责和任职要求；</w:t>
      </w:r>
    </w:p>
    <w:p w14:paraId="32AE53D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（三）招聘与选拔；</w:t>
      </w:r>
    </w:p>
    <w:p w14:paraId="0C82BA5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（四）教育与培训；</w:t>
      </w:r>
    </w:p>
    <w:p w14:paraId="41EF867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（五）绩效考评；</w:t>
      </w:r>
    </w:p>
    <w:p w14:paraId="0DBC215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（六）薪酬制度。</w:t>
      </w:r>
    </w:p>
    <w:p w14:paraId="6BD8D94A">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第二十四条</w:t>
      </w:r>
      <w:r>
        <w:rPr>
          <w:rFonts w:hint="eastAsia" w:ascii="宋体" w:hAnsi="宋体" w:eastAsia="宋体" w:cs="宋体"/>
          <w:color w:val="000000"/>
          <w:kern w:val="0"/>
          <w:sz w:val="24"/>
          <w:shd w:val="clear" w:color="auto" w:fill="FFFFFF"/>
        </w:rPr>
        <w:t>　资产评估机构在制定项目团队成员配备政策和程序时，可以重点考察项目团队成员是否具备下列条件：</w:t>
      </w:r>
    </w:p>
    <w:p w14:paraId="69CA50B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（一）必要的职业道德素质，能够保持独立性；</w:t>
      </w:r>
    </w:p>
    <w:p w14:paraId="7E08C75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（二）必要的专业知识和实践经验；</w:t>
      </w:r>
    </w:p>
    <w:p w14:paraId="025DA86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（三）遵守资产评估机构业务质量控制政策和程序的意识。</w:t>
      </w:r>
    </w:p>
    <w:p w14:paraId="3158BB48">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第二十五条</w:t>
      </w:r>
      <w:r>
        <w:rPr>
          <w:rFonts w:hint="eastAsia" w:ascii="宋体" w:hAnsi="宋体" w:eastAsia="宋体" w:cs="宋体"/>
          <w:color w:val="000000"/>
          <w:kern w:val="0"/>
          <w:sz w:val="24"/>
          <w:shd w:val="clear" w:color="auto" w:fill="FFFFFF"/>
        </w:rPr>
        <w:t>　资产评估机构聘请专家和外部人员协助工作的，应当制定利用专家和外部人员工作的政策和程序，使其承担的工作符合项目质量要求。</w:t>
      </w:r>
    </w:p>
    <w:p w14:paraId="16E69A90">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第五章　资产评估业务受理</w:t>
      </w:r>
    </w:p>
    <w:p w14:paraId="2EAEA0F6">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第二十六条</w:t>
      </w:r>
      <w:r>
        <w:rPr>
          <w:rFonts w:hint="eastAsia" w:ascii="宋体" w:hAnsi="宋体" w:eastAsia="宋体" w:cs="宋体"/>
          <w:color w:val="000000"/>
          <w:kern w:val="0"/>
          <w:sz w:val="24"/>
          <w:shd w:val="clear" w:color="auto" w:fill="FFFFFF"/>
        </w:rPr>
        <w:t>　资产评估机构应当制定资产评估业务受理环节的控制政策和程序，确保在与委托人正式签订资产评估委托合同之前，对拟委托事项进行必要了解，以决定是否接受委托。</w:t>
      </w:r>
    </w:p>
    <w:p w14:paraId="0E23BC83">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第二十七条</w:t>
      </w:r>
      <w:r>
        <w:rPr>
          <w:rFonts w:hint="eastAsia" w:ascii="宋体" w:hAnsi="宋体" w:eastAsia="宋体" w:cs="宋体"/>
          <w:color w:val="000000"/>
          <w:kern w:val="0"/>
          <w:sz w:val="24"/>
          <w:shd w:val="clear" w:color="auto" w:fill="FFFFFF"/>
        </w:rPr>
        <w:t>　资产评估机构应当谨慎地选择客户和业务，在制定业务受理环节政策和程序时，通常考虑以下方面：</w:t>
      </w:r>
    </w:p>
    <w:p w14:paraId="76F3934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（一）业务洽谈；</w:t>
      </w:r>
    </w:p>
    <w:p w14:paraId="58676F7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（二）资产评估委托合同的审核和签订；</w:t>
      </w:r>
    </w:p>
    <w:p w14:paraId="6E78C85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（三）发生资产评估委托合同变更、中止、终止情形时的处置。</w:t>
      </w:r>
    </w:p>
    <w:p w14:paraId="01FF8D1B">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第二十八条</w:t>
      </w:r>
      <w:r>
        <w:rPr>
          <w:rFonts w:hint="eastAsia" w:ascii="宋体" w:hAnsi="宋体" w:eastAsia="宋体" w:cs="宋体"/>
          <w:color w:val="000000"/>
          <w:kern w:val="0"/>
          <w:sz w:val="24"/>
          <w:shd w:val="clear" w:color="auto" w:fill="FFFFFF"/>
        </w:rPr>
        <w:t>　资产评估机构应当规定业务洽谈人员所具备的条件。业务洽谈人员在洽谈业务时，可以重点关注下列事项：</w:t>
      </w:r>
    </w:p>
    <w:p w14:paraId="5A2FAEE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（一）资产评估业务基本事项；</w:t>
      </w:r>
    </w:p>
    <w:p w14:paraId="77454EA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（二）法律、行政法规、资产评估准则规定；</w:t>
      </w:r>
    </w:p>
    <w:p w14:paraId="5709EBA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（三）拟委托内容；</w:t>
      </w:r>
    </w:p>
    <w:p w14:paraId="09D2E9D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（四）被评估单位的情况。</w:t>
      </w:r>
    </w:p>
    <w:p w14:paraId="2E0F9AC7">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第二十九条</w:t>
      </w:r>
      <w:r>
        <w:rPr>
          <w:rFonts w:hint="eastAsia" w:ascii="宋体" w:hAnsi="宋体" w:eastAsia="宋体" w:cs="宋体"/>
          <w:color w:val="000000"/>
          <w:kern w:val="0"/>
          <w:sz w:val="24"/>
          <w:shd w:val="clear" w:color="auto" w:fill="FFFFFF"/>
        </w:rPr>
        <w:t>　在订立资产评估委托合同之前，资产评估机构应当通过考虑与资产评估业务有关的要求、风险、胜任能力等因素，正确理解拟委托内容，初步识别和评价风险，以确定是否受理评估业务。</w:t>
      </w:r>
    </w:p>
    <w:p w14:paraId="783A3D92">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第三十条</w:t>
      </w:r>
      <w:r>
        <w:rPr>
          <w:rFonts w:hint="eastAsia" w:ascii="宋体" w:hAnsi="宋体" w:eastAsia="宋体" w:cs="宋体"/>
          <w:color w:val="000000"/>
          <w:kern w:val="0"/>
          <w:sz w:val="24"/>
          <w:shd w:val="clear" w:color="auto" w:fill="FFFFFF"/>
        </w:rPr>
        <w:t>　资产评估机构应当根据业务风险对资产评估业务进行分类，分类时可以考虑下列因素：</w:t>
      </w:r>
    </w:p>
    <w:p w14:paraId="36CB4F0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（一）来自委托人和其他相关当事人的风险；</w:t>
      </w:r>
    </w:p>
    <w:p w14:paraId="7507BA0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（二）来自评估对象的风险；</w:t>
      </w:r>
    </w:p>
    <w:p w14:paraId="40AC7DF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（三）来自资产评估机构及其人员的风险；</w:t>
      </w:r>
    </w:p>
    <w:p w14:paraId="03056B7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（四）资产评估报告使用不当的风险。</w:t>
      </w:r>
    </w:p>
    <w:p w14:paraId="38942716">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第三十一条</w:t>
      </w:r>
      <w:r>
        <w:rPr>
          <w:rFonts w:hint="eastAsia" w:ascii="宋体" w:hAnsi="宋体" w:eastAsia="宋体" w:cs="宋体"/>
          <w:color w:val="000000"/>
          <w:kern w:val="0"/>
          <w:sz w:val="24"/>
          <w:shd w:val="clear" w:color="auto" w:fill="FFFFFF"/>
        </w:rPr>
        <w:t>　当发生资产评估委托合同变更、中止、终止情形时，资产评估机构应当采取措施进行处置，并保持记录。采取的措施通常包括：</w:t>
      </w:r>
    </w:p>
    <w:p w14:paraId="4B6F16C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（一）对变更、中止、终止的情形进行重新审核；</w:t>
      </w:r>
    </w:p>
    <w:p w14:paraId="61C2196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（二）就拟采取的行动及原因与委托人沟通；</w:t>
      </w:r>
    </w:p>
    <w:p w14:paraId="3788183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（三）将信息传达到相关人员。</w:t>
      </w:r>
    </w:p>
    <w:p w14:paraId="5C749DE4">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第六章　资产评估业务计划</w:t>
      </w:r>
    </w:p>
    <w:p w14:paraId="6B56BA65">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第三十二条</w:t>
      </w:r>
      <w:r>
        <w:rPr>
          <w:rFonts w:hint="eastAsia" w:ascii="宋体" w:hAnsi="宋体" w:eastAsia="宋体" w:cs="宋体"/>
          <w:color w:val="000000"/>
          <w:kern w:val="0"/>
          <w:sz w:val="24"/>
          <w:shd w:val="clear" w:color="auto" w:fill="FFFFFF"/>
        </w:rPr>
        <w:t>　资产评估机构可以通过制定资产评估业务计划的控制政策和程序等达成以下目的：</w:t>
      </w:r>
    </w:p>
    <w:p w14:paraId="3E8385A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（一）项目团队成员了解工作内容、工作目标、重点关注领域；</w:t>
      </w:r>
    </w:p>
    <w:p w14:paraId="44BA988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（二）项目负责人有效组织和管理资产评估业务；</w:t>
      </w:r>
    </w:p>
    <w:p w14:paraId="27BA5BB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（三）管理层人员有效监控资产评估业务；</w:t>
      </w:r>
    </w:p>
    <w:p w14:paraId="327B0CB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（四）使委托人和其他相关当事人了解资产评估计划的内容，配合项目团队工作。</w:t>
      </w:r>
    </w:p>
    <w:p w14:paraId="5C5BDB1F">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第三十三条</w:t>
      </w:r>
      <w:r>
        <w:rPr>
          <w:rFonts w:hint="eastAsia" w:ascii="宋体" w:hAnsi="宋体" w:eastAsia="宋体" w:cs="宋体"/>
          <w:color w:val="000000"/>
          <w:kern w:val="0"/>
          <w:sz w:val="24"/>
          <w:shd w:val="clear" w:color="auto" w:fill="FFFFFF"/>
        </w:rPr>
        <w:t>　资产评估机构制定资产评估业务计划控制政策和程序，通常可以按照计划编制的流程分别考虑：</w:t>
      </w:r>
    </w:p>
    <w:p w14:paraId="57A7C50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（一）计划编制前对资产评估业务基本事项进一步明确；</w:t>
      </w:r>
    </w:p>
    <w:p w14:paraId="1A3C18A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（二）资产评估计划编制和批准的参与者；</w:t>
      </w:r>
    </w:p>
    <w:p w14:paraId="6A801FD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（三）资产评估计划的内容和繁简程度；</w:t>
      </w:r>
    </w:p>
    <w:p w14:paraId="5A2017D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（四）资产评估计划的编制、审核、批准流程。</w:t>
      </w:r>
    </w:p>
    <w:p w14:paraId="1DA27BDB">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第三十四条</w:t>
      </w:r>
      <w:r>
        <w:rPr>
          <w:rFonts w:hint="eastAsia" w:ascii="宋体" w:hAnsi="宋体" w:eastAsia="宋体" w:cs="宋体"/>
          <w:color w:val="000000"/>
          <w:kern w:val="0"/>
          <w:sz w:val="24"/>
          <w:shd w:val="clear" w:color="auto" w:fill="FFFFFF"/>
        </w:rPr>
        <w:t>　资产评估机构制定的资产评估业务计划环节的控制政策和程序，应当要求资产评估项目负责人在编制资产评估计划时开展如下工作：</w:t>
      </w:r>
    </w:p>
    <w:p w14:paraId="0CEC6F0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（一）为编制资产评估计划、开展后续工作而组织资源；</w:t>
      </w:r>
    </w:p>
    <w:p w14:paraId="07A1586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（二）确定是否对委托人和其他相关当事人进行必要的业务指导；</w:t>
      </w:r>
    </w:p>
    <w:p w14:paraId="0D47C6F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（三）确定是否对项目团队成员进行适当的培训；</w:t>
      </w:r>
    </w:p>
    <w:p w14:paraId="7EBAC41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（四）确定是否开展初步评估活动。</w:t>
      </w:r>
    </w:p>
    <w:p w14:paraId="65E0001D">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第七章　资产评估业务实施和资产评估报告出具</w:t>
      </w:r>
    </w:p>
    <w:p w14:paraId="51D698BC">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第三十五条</w:t>
      </w:r>
      <w:r>
        <w:rPr>
          <w:rFonts w:hint="eastAsia" w:ascii="宋体" w:hAnsi="宋体" w:eastAsia="宋体" w:cs="宋体"/>
          <w:color w:val="000000"/>
          <w:kern w:val="0"/>
          <w:sz w:val="24"/>
          <w:shd w:val="clear" w:color="auto" w:fill="FFFFFF"/>
        </w:rPr>
        <w:t>　资产评估机构应当制定资产评估业务实施和资产评估报告出具环节的控制政策和程序，以保证法律、行政法规和资产评估准则得以遵守，满足出具资产评估报告的要求。</w:t>
      </w:r>
    </w:p>
    <w:p w14:paraId="20BB1927">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第三十六条</w:t>
      </w:r>
      <w:r>
        <w:rPr>
          <w:rFonts w:hint="eastAsia" w:ascii="宋体" w:hAnsi="宋体" w:eastAsia="宋体" w:cs="宋体"/>
          <w:color w:val="000000"/>
          <w:kern w:val="0"/>
          <w:sz w:val="24"/>
          <w:shd w:val="clear" w:color="auto" w:fill="FFFFFF"/>
        </w:rPr>
        <w:t>　资产评估机构应当针对以下事项制定资产评估业务实施和资产评估报告出具环节的控制政策和程序：</w:t>
      </w:r>
    </w:p>
    <w:p w14:paraId="2F91453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（一）项目团队组建及工作委派；</w:t>
      </w:r>
    </w:p>
    <w:p w14:paraId="341A47F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（二）现场调查、评估资料收集和评定估算；</w:t>
      </w:r>
    </w:p>
    <w:p w14:paraId="7B40109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（三）资产评估报告编制；</w:t>
      </w:r>
    </w:p>
    <w:p w14:paraId="04414F8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（四）利用专家及相关报告；</w:t>
      </w:r>
    </w:p>
    <w:p w14:paraId="79B1CA4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（五）疑难问题或者争议事项的解决；</w:t>
      </w:r>
    </w:p>
    <w:p w14:paraId="771533D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（六）项目负责人的指导与监督；</w:t>
      </w:r>
    </w:p>
    <w:p w14:paraId="086AFCC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（七）内部审核；</w:t>
      </w:r>
    </w:p>
    <w:p w14:paraId="74DEEFE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（八）资产评估报告签发及提交。</w:t>
      </w:r>
    </w:p>
    <w:p w14:paraId="3A86231F">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第三十七条</w:t>
      </w:r>
      <w:r>
        <w:rPr>
          <w:rFonts w:hint="eastAsia" w:ascii="宋体" w:hAnsi="宋体" w:eastAsia="宋体" w:cs="宋体"/>
          <w:color w:val="000000"/>
          <w:kern w:val="0"/>
          <w:sz w:val="24"/>
          <w:shd w:val="clear" w:color="auto" w:fill="FFFFFF"/>
        </w:rPr>
        <w:t>　资产评估机构在制定不同特征资产（企业）的现场调查、收集评估资料、评定估算以及编制资产评估报告的控制政策和程序时，通常考虑以下要素：</w:t>
      </w:r>
    </w:p>
    <w:p w14:paraId="516F130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（一）现场调查方案的可行性；</w:t>
      </w:r>
    </w:p>
    <w:p w14:paraId="77232F6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（二）评估资料的真实性、完整性和合法性；</w:t>
      </w:r>
    </w:p>
    <w:p w14:paraId="00DA64D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（三）评估方法的恰当性、评估参数的合理性；</w:t>
      </w:r>
    </w:p>
    <w:p w14:paraId="041E86B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（四）资产评估报告的合规性。</w:t>
      </w:r>
    </w:p>
    <w:p w14:paraId="52AC301E">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第三十八条</w:t>
      </w:r>
      <w:r>
        <w:rPr>
          <w:rFonts w:hint="eastAsia" w:ascii="宋体" w:hAnsi="宋体" w:eastAsia="宋体" w:cs="宋体"/>
          <w:color w:val="000000"/>
          <w:kern w:val="0"/>
          <w:sz w:val="24"/>
          <w:shd w:val="clear" w:color="auto" w:fill="FFFFFF"/>
        </w:rPr>
        <w:t>　资产评估机构制定的解决疑难问题或者争议事项的控制政策和程序，通常包括：</w:t>
      </w:r>
    </w:p>
    <w:p w14:paraId="2D1FCE3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（一）疑难问题的内部报告及处理；</w:t>
      </w:r>
    </w:p>
    <w:p w14:paraId="47A0EAE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（二）处理项目执行过程中的意见分歧。</w:t>
      </w:r>
    </w:p>
    <w:p w14:paraId="24346F5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只有对分歧意见形成结论，资产评估机构才能出具资产评估报告。</w:t>
      </w:r>
    </w:p>
    <w:p w14:paraId="75113872">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第三十九条</w:t>
      </w:r>
      <w:r>
        <w:rPr>
          <w:rFonts w:hint="eastAsia" w:ascii="宋体" w:hAnsi="宋体" w:eastAsia="宋体" w:cs="宋体"/>
          <w:color w:val="000000"/>
          <w:kern w:val="0"/>
          <w:sz w:val="24"/>
          <w:shd w:val="clear" w:color="auto" w:fill="FFFFFF"/>
        </w:rPr>
        <w:t>　资产评估机构制定的项目负责人对项目团队成员的工作进行指导、监督的控制政策和程序通常包括：</w:t>
      </w:r>
    </w:p>
    <w:p w14:paraId="145887C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（一）项目团队的组建和管理；</w:t>
      </w:r>
    </w:p>
    <w:p w14:paraId="064EC20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（二）业务时间进度；</w:t>
      </w:r>
    </w:p>
    <w:p w14:paraId="659DA42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（三）业务沟通；</w:t>
      </w:r>
    </w:p>
    <w:p w14:paraId="79DBB7A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（四）业务风险。</w:t>
      </w:r>
    </w:p>
    <w:p w14:paraId="6FF5FAC0">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第四十条</w:t>
      </w:r>
      <w:r>
        <w:rPr>
          <w:rFonts w:hint="eastAsia" w:ascii="宋体" w:hAnsi="宋体" w:eastAsia="宋体" w:cs="宋体"/>
          <w:color w:val="000000"/>
          <w:kern w:val="0"/>
          <w:sz w:val="24"/>
          <w:shd w:val="clear" w:color="auto" w:fill="FFFFFF"/>
        </w:rPr>
        <w:t>　资产评估机构应当设置专门部门或者专门岗位实施资产评估业务的内部审核，内部审核政策和程序的目标是未经审核合格的事项不进入下一程序。内部审核的政策和程序，通常包括：</w:t>
      </w:r>
    </w:p>
    <w:p w14:paraId="767CF98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（一）内部审核流程；</w:t>
      </w:r>
    </w:p>
    <w:p w14:paraId="50042BF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（二）项目审核人员的专业能力要求；</w:t>
      </w:r>
    </w:p>
    <w:p w14:paraId="1A76511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（三）审核的时间、范围和方法。</w:t>
      </w:r>
    </w:p>
    <w:p w14:paraId="5F84B164">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第四十一条</w:t>
      </w:r>
      <w:r>
        <w:rPr>
          <w:rFonts w:hint="eastAsia" w:ascii="宋体" w:hAnsi="宋体" w:eastAsia="宋体" w:cs="宋体"/>
          <w:color w:val="000000"/>
          <w:kern w:val="0"/>
          <w:sz w:val="24"/>
          <w:shd w:val="clear" w:color="auto" w:fill="FFFFFF"/>
        </w:rPr>
        <w:t>　资产评估机构应当制定资产评估报告签发政策和程序。</w:t>
      </w:r>
    </w:p>
    <w:p w14:paraId="54D4095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资产评估报告签发政策和程序应当规定，一旦发现已经提交的资产评估报告存在瑕疵、错误等问题时，资产评估机构为挽回不良影响，根据问题的严重程度或者潜在影响程度应当采取的相应措施。</w:t>
      </w:r>
    </w:p>
    <w:p w14:paraId="34572A92">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第八章　监控和改进</w:t>
      </w:r>
    </w:p>
    <w:p w14:paraId="28AA5727">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第四十二条</w:t>
      </w:r>
      <w:r>
        <w:rPr>
          <w:rFonts w:hint="eastAsia" w:ascii="宋体" w:hAnsi="宋体" w:eastAsia="宋体" w:cs="宋体"/>
          <w:color w:val="000000"/>
          <w:kern w:val="0"/>
          <w:sz w:val="24"/>
          <w:shd w:val="clear" w:color="auto" w:fill="FFFFFF"/>
        </w:rPr>
        <w:t>　资产评估机构应当制定政策和程序，对质量控制体系运行情况进行监控。监控应当关注以下内容：</w:t>
      </w:r>
    </w:p>
    <w:p w14:paraId="3E3E4C6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（一）质量控制体系是否符合本指南要求，是否符合资产评估机构实际情况；</w:t>
      </w:r>
    </w:p>
    <w:p w14:paraId="06EC6BF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（二）质量控制体系是否达到了质量目标；</w:t>
      </w:r>
    </w:p>
    <w:p w14:paraId="24A3798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（三）质量控制体系是否得到有效的实施和保持。</w:t>
      </w:r>
    </w:p>
    <w:p w14:paraId="7CA45657">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第四十三条</w:t>
      </w:r>
      <w:r>
        <w:rPr>
          <w:rFonts w:hint="eastAsia" w:ascii="宋体" w:hAnsi="宋体" w:eastAsia="宋体" w:cs="宋体"/>
          <w:color w:val="000000"/>
          <w:kern w:val="0"/>
          <w:sz w:val="24"/>
          <w:shd w:val="clear" w:color="auto" w:fill="FFFFFF"/>
        </w:rPr>
        <w:t>　资产评估机构应当根据本机构的管理特点对质量控制体系运行情况实施监控。监控措施通常包括：</w:t>
      </w:r>
    </w:p>
    <w:p w14:paraId="787B301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（一）收集、管理和利用不同渠道来源的相关信息，为评价和改进质量控制体系提供依据；</w:t>
      </w:r>
    </w:p>
    <w:p w14:paraId="35EB569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（二）对质量控制体系运行的过程进行监控；</w:t>
      </w:r>
    </w:p>
    <w:p w14:paraId="12355A9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（三）对质量控制体系的运行情况进行定期检查和评价。</w:t>
      </w:r>
    </w:p>
    <w:p w14:paraId="0B637CB8">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第四十四条</w:t>
      </w:r>
      <w:r>
        <w:rPr>
          <w:rFonts w:hint="eastAsia" w:ascii="宋体" w:hAnsi="宋体" w:eastAsia="宋体" w:cs="宋体"/>
          <w:color w:val="000000"/>
          <w:kern w:val="0"/>
          <w:sz w:val="24"/>
          <w:shd w:val="clear" w:color="auto" w:fill="FFFFFF"/>
        </w:rPr>
        <w:t>　对监控中发现的问题和隐患，质量控制体系中的相关控制主体应当采取适当的纠正和预防措施，并对所采取措施的有效性和效率进行评价。</w:t>
      </w:r>
    </w:p>
    <w:p w14:paraId="7C33583E">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第四十五条</w:t>
      </w:r>
      <w:r>
        <w:rPr>
          <w:rFonts w:hint="eastAsia" w:ascii="宋体" w:hAnsi="宋体" w:eastAsia="宋体" w:cs="宋体"/>
          <w:color w:val="000000"/>
          <w:kern w:val="0"/>
          <w:sz w:val="24"/>
          <w:shd w:val="clear" w:color="auto" w:fill="FFFFFF"/>
        </w:rPr>
        <w:t>　资产评估机构应当根据监控和其他方面的信息对质量控制体系的适当性和有效性进行评价，并提出改进意见。</w:t>
      </w:r>
    </w:p>
    <w:p w14:paraId="4887C3AC">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第九章　文件和记录</w:t>
      </w:r>
    </w:p>
    <w:p w14:paraId="4EF56EDF">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第四十六条</w:t>
      </w:r>
      <w:r>
        <w:rPr>
          <w:rFonts w:hint="eastAsia" w:ascii="宋体" w:hAnsi="宋体" w:eastAsia="宋体" w:cs="宋体"/>
          <w:color w:val="000000"/>
          <w:kern w:val="0"/>
          <w:sz w:val="24"/>
          <w:shd w:val="clear" w:color="auto" w:fill="FFFFFF"/>
        </w:rPr>
        <w:t>　资产评估机构应当制定文件控制政策和程序，确保质量控制体系各过程中使用的文件均为有效版本，防止误用失效或者废止的文件和资料。</w:t>
      </w:r>
    </w:p>
    <w:p w14:paraId="3B01BE05">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第四十七条</w:t>
      </w:r>
      <w:r>
        <w:rPr>
          <w:rFonts w:hint="eastAsia" w:ascii="宋体" w:hAnsi="宋体" w:eastAsia="宋体" w:cs="宋体"/>
          <w:color w:val="000000"/>
          <w:kern w:val="0"/>
          <w:sz w:val="24"/>
          <w:shd w:val="clear" w:color="auto" w:fill="FFFFFF"/>
        </w:rPr>
        <w:t>　资产评估机构应当制定政策和程序，保持业务质量控制的相关记录并及时归档。</w:t>
      </w:r>
    </w:p>
    <w:p w14:paraId="5813275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记录控制的政策和程序，应当规定记录的标识、储存、保护、检索、保存期限和超期后处置所需的控制要求。</w:t>
      </w:r>
    </w:p>
    <w:p w14:paraId="466BC6B1">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第四十八条</w:t>
      </w:r>
      <w:r>
        <w:rPr>
          <w:rFonts w:hint="eastAsia" w:ascii="宋体" w:hAnsi="宋体" w:eastAsia="宋体" w:cs="宋体"/>
          <w:color w:val="000000"/>
          <w:kern w:val="0"/>
          <w:sz w:val="24"/>
          <w:shd w:val="clear" w:color="auto" w:fill="FFFFFF"/>
        </w:rPr>
        <w:t>　资产评估业务质量控制记录主要包括：</w:t>
      </w:r>
    </w:p>
    <w:p w14:paraId="399EE97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（一）评估业务工作底稿；</w:t>
      </w:r>
    </w:p>
    <w:p w14:paraId="016B2A9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（二）监控和改进记录；</w:t>
      </w:r>
    </w:p>
    <w:p w14:paraId="37C1DF1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（三）质量控制体系评审记录。</w:t>
      </w:r>
    </w:p>
    <w:p w14:paraId="1E315582">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第四十九条</w:t>
      </w:r>
      <w:r>
        <w:rPr>
          <w:rFonts w:hint="eastAsia" w:ascii="宋体" w:hAnsi="宋体" w:eastAsia="宋体" w:cs="宋体"/>
          <w:color w:val="000000"/>
          <w:kern w:val="0"/>
          <w:sz w:val="24"/>
          <w:shd w:val="clear" w:color="auto" w:fill="FFFFFF"/>
        </w:rPr>
        <w:t>　资产评估业务质量控制记录，应当根据重要性和必要性设计其内容，以符合法律、行政法规和资产评估准则的要求。</w:t>
      </w:r>
    </w:p>
    <w:p w14:paraId="7EFDDFBB">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第十章　附则</w:t>
      </w:r>
    </w:p>
    <w:p w14:paraId="4AE9BA3F">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第五十条</w:t>
      </w:r>
      <w:r>
        <w:rPr>
          <w:rFonts w:hint="eastAsia" w:ascii="宋体" w:hAnsi="宋体" w:eastAsia="宋体" w:cs="宋体"/>
          <w:color w:val="000000"/>
          <w:kern w:val="0"/>
          <w:sz w:val="24"/>
          <w:shd w:val="clear" w:color="auto" w:fill="FFFFFF"/>
        </w:rPr>
        <w:t>　具有证券评估业务资格的资产评估机构应当遵守本指南，其他资产评估机构可以参照本指南。</w:t>
      </w:r>
    </w:p>
    <w:p w14:paraId="5C6091A9">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第五十一条</w:t>
      </w:r>
      <w:r>
        <w:rPr>
          <w:rFonts w:hint="eastAsia" w:ascii="宋体" w:hAnsi="宋体" w:eastAsia="宋体" w:cs="宋体"/>
          <w:color w:val="000000"/>
          <w:kern w:val="0"/>
          <w:sz w:val="24"/>
          <w:shd w:val="clear" w:color="auto" w:fill="FFFFFF"/>
        </w:rPr>
        <w:t>　本指南自2017年10月1日起施行。中国资产评估协会于2010年12月18日发布的《关于印发〈评估机构业务质量控制指南〉的通知》（中评协〔2010〕214号）同时废止。</w:t>
      </w:r>
    </w:p>
    <w:p w14:paraId="1BCAF10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br w:type="page"/>
      </w:r>
    </w:p>
    <w:p w14:paraId="6F7EEC74">
      <w:pPr>
        <w:pStyle w:val="5"/>
        <w:spacing w:line="440" w:lineRule="atLeast"/>
        <w:jc w:val="center"/>
        <w:rPr>
          <w:rFonts w:ascii="宋体" w:hAnsi="宋体" w:eastAsia="宋体" w:cs="宋体"/>
        </w:rPr>
      </w:pPr>
      <w:bookmarkStart w:id="132" w:name="_Toc12513"/>
      <w:r>
        <w:rPr>
          <w:rFonts w:hint="eastAsia" w:ascii="宋体" w:hAnsi="宋体" w:eastAsia="宋体" w:cs="宋体"/>
        </w:rPr>
        <w:t>文化企业无形资产评估指导意见</w:t>
      </w:r>
      <w:bookmarkEnd w:id="132"/>
    </w:p>
    <w:p w14:paraId="6BCC3443">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第一章　引言</w:t>
      </w:r>
    </w:p>
    <w:p w14:paraId="3F357F51">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bCs/>
          <w:color w:val="000000"/>
          <w:kern w:val="0"/>
          <w:sz w:val="24"/>
          <w:shd w:val="clear" w:color="auto" w:fill="FFFFFF"/>
        </w:rPr>
        <w:t>第一条</w:t>
      </w:r>
      <w:r>
        <w:rPr>
          <w:rFonts w:hint="eastAsia" w:ascii="宋体" w:hAnsi="宋体" w:eastAsia="宋体" w:cs="宋体"/>
          <w:color w:val="000000"/>
          <w:kern w:val="0"/>
          <w:sz w:val="24"/>
          <w:shd w:val="clear" w:color="auto" w:fill="FFFFFF"/>
        </w:rPr>
        <w:t>　为规范资产评估师执行文化企业无形资产评估业务行为，维护社会公共利益和资产评估各方当事人合法权益，根据《资产评估准则——无形资产》，制定本指导意见。</w:t>
      </w:r>
    </w:p>
    <w:p w14:paraId="2E1A7CC5">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bCs/>
          <w:color w:val="000000"/>
          <w:kern w:val="0"/>
          <w:sz w:val="24"/>
          <w:shd w:val="clear" w:color="auto" w:fill="FFFFFF"/>
        </w:rPr>
        <w:t>第二条</w:t>
      </w:r>
      <w:r>
        <w:rPr>
          <w:rFonts w:hint="eastAsia" w:ascii="宋体" w:hAnsi="宋体" w:eastAsia="宋体" w:cs="宋体"/>
          <w:color w:val="000000"/>
          <w:kern w:val="0"/>
          <w:sz w:val="24"/>
          <w:shd w:val="clear" w:color="auto" w:fill="FFFFFF"/>
        </w:rPr>
        <w:t>　本指导意见所称文化企业，包括新闻出版发行服务企业、广播电视电影服务企业、文化艺术服务企业、文化信息传输服务企业、文化创意和设计服务企业、文化休闲娱乐服务企业和工艺美术品生产企业等。</w:t>
      </w:r>
    </w:p>
    <w:p w14:paraId="0A309F28">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bCs/>
          <w:color w:val="000000"/>
          <w:kern w:val="0"/>
          <w:sz w:val="24"/>
          <w:shd w:val="clear" w:color="auto" w:fill="FFFFFF"/>
        </w:rPr>
        <w:t>第三条</w:t>
      </w:r>
      <w:r>
        <w:rPr>
          <w:rFonts w:hint="eastAsia" w:ascii="宋体" w:hAnsi="宋体" w:eastAsia="宋体" w:cs="宋体"/>
          <w:color w:val="000000"/>
          <w:kern w:val="0"/>
          <w:sz w:val="24"/>
          <w:shd w:val="clear" w:color="auto" w:fill="FFFFFF"/>
        </w:rPr>
        <w:t>　本指导意见所称文化企业无形资产，是指文化企业所拥有或者控制的，不具有实物形态，能够持续发挥作用并且带来经济利益的资源。</w:t>
      </w:r>
    </w:p>
    <w:p w14:paraId="55E12568">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bCs/>
          <w:color w:val="000000"/>
          <w:kern w:val="0"/>
          <w:sz w:val="24"/>
          <w:shd w:val="clear" w:color="auto" w:fill="FFFFFF"/>
        </w:rPr>
        <w:t>第四条</w:t>
      </w:r>
      <w:r>
        <w:rPr>
          <w:rFonts w:hint="eastAsia" w:ascii="宋体" w:hAnsi="宋体" w:eastAsia="宋体" w:cs="宋体"/>
          <w:color w:val="000000"/>
          <w:kern w:val="0"/>
          <w:sz w:val="24"/>
          <w:shd w:val="clear" w:color="auto" w:fill="FFFFFF"/>
        </w:rPr>
        <w:t>　本指导意见所称文化企业无形资产评估，是指资产评估师依据相关法律、法规和资产评估准则，对文化企业无形资产的价值进行分析、估算并发表专业意见的行为和过程。</w:t>
      </w:r>
    </w:p>
    <w:p w14:paraId="65BEDA59">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bCs/>
          <w:color w:val="000000"/>
          <w:kern w:val="0"/>
          <w:sz w:val="24"/>
          <w:shd w:val="clear" w:color="auto" w:fill="FFFFFF"/>
        </w:rPr>
        <w:t>第五条</w:t>
      </w:r>
      <w:r>
        <w:rPr>
          <w:rFonts w:hint="eastAsia" w:ascii="宋体" w:hAnsi="宋体" w:eastAsia="宋体" w:cs="宋体"/>
          <w:color w:val="000000"/>
          <w:kern w:val="0"/>
          <w:sz w:val="24"/>
          <w:shd w:val="clear" w:color="auto" w:fill="FFFFFF"/>
        </w:rPr>
        <w:t>　资产评估师执行文化企业无形资产评估业务，应当遵守本指导意见。</w:t>
      </w:r>
    </w:p>
    <w:p w14:paraId="5BE7289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资产评估师执行与文化企业无形资产价值估算相关的其他业务，可以参照本指导意见。</w:t>
      </w:r>
    </w:p>
    <w:p w14:paraId="7B85BDA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涉及土地使用权的评估执行相关评估准则的规定。</w:t>
      </w:r>
    </w:p>
    <w:p w14:paraId="073F4420">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第二章　基本要求</w:t>
      </w:r>
    </w:p>
    <w:p w14:paraId="39DF1876">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bCs/>
          <w:color w:val="000000"/>
          <w:kern w:val="0"/>
          <w:sz w:val="24"/>
          <w:shd w:val="clear" w:color="auto" w:fill="FFFFFF"/>
        </w:rPr>
        <w:t>第六条</w:t>
      </w:r>
      <w:r>
        <w:rPr>
          <w:rFonts w:hint="eastAsia" w:ascii="宋体" w:hAnsi="宋体" w:eastAsia="宋体" w:cs="宋体"/>
          <w:color w:val="000000"/>
          <w:kern w:val="0"/>
          <w:sz w:val="24"/>
          <w:shd w:val="clear" w:color="auto" w:fill="FFFFFF"/>
        </w:rPr>
        <w:t>　资产评估师执行文化企业无形资产评估业务，应当遵守相关法律、法规和资产评估准则。</w:t>
      </w:r>
    </w:p>
    <w:p w14:paraId="26A733CA">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bCs/>
          <w:color w:val="000000"/>
          <w:kern w:val="0"/>
          <w:sz w:val="24"/>
          <w:shd w:val="clear" w:color="auto" w:fill="FFFFFF"/>
        </w:rPr>
        <w:t>第七条</w:t>
      </w:r>
      <w:r>
        <w:rPr>
          <w:rFonts w:hint="eastAsia" w:ascii="宋体" w:hAnsi="宋体" w:eastAsia="宋体" w:cs="宋体"/>
          <w:color w:val="000000"/>
          <w:kern w:val="0"/>
          <w:sz w:val="24"/>
          <w:shd w:val="clear" w:color="auto" w:fill="FFFFFF"/>
        </w:rPr>
        <w:t>　资产评估师执行文化企业无形资产评估业务，应当了解文化企业是提供精神产品、传播思想信息、担负文化传承使命的特殊企业，必须始终坚持把社会效益放在首位、实现社会效益和经济效益相统一，应当关注文化企业社会效益对文化企业无形资产价值的影响。</w:t>
      </w:r>
    </w:p>
    <w:p w14:paraId="21710559">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bCs/>
          <w:color w:val="000000"/>
          <w:kern w:val="0"/>
          <w:sz w:val="24"/>
          <w:shd w:val="clear" w:color="auto" w:fill="FFFFFF"/>
        </w:rPr>
        <w:t>第八条</w:t>
      </w:r>
      <w:r>
        <w:rPr>
          <w:rFonts w:hint="eastAsia" w:ascii="宋体" w:hAnsi="宋体" w:eastAsia="宋体" w:cs="宋体"/>
          <w:color w:val="000000"/>
          <w:kern w:val="0"/>
          <w:sz w:val="24"/>
          <w:shd w:val="clear" w:color="auto" w:fill="FFFFFF"/>
        </w:rPr>
        <w:t>　资产评估师执行文化企业无形资产评估业务，应当具备文化企业无形资产评估相关的专业知识和经验，具有专业胜任能力。</w:t>
      </w:r>
    </w:p>
    <w:p w14:paraId="01D1DFC5">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bCs/>
          <w:color w:val="000000"/>
          <w:kern w:val="0"/>
          <w:sz w:val="24"/>
          <w:shd w:val="clear" w:color="auto" w:fill="FFFFFF"/>
        </w:rPr>
        <w:t>第九条</w:t>
      </w:r>
      <w:r>
        <w:rPr>
          <w:rFonts w:hint="eastAsia" w:ascii="宋体" w:hAnsi="宋体" w:eastAsia="宋体" w:cs="宋体"/>
          <w:color w:val="000000"/>
          <w:kern w:val="0"/>
          <w:sz w:val="24"/>
          <w:shd w:val="clear" w:color="auto" w:fill="FFFFFF"/>
        </w:rPr>
        <w:t>　资产评估师执行文化企业无形资产评估业务，应当恪守独立、客观、公正的原则，勤勉尽责，保持应有的职业谨慎，避免出现对评估结论具有重大影响的疏漏。</w:t>
      </w:r>
    </w:p>
    <w:p w14:paraId="210B8C55">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bCs/>
          <w:color w:val="000000"/>
          <w:kern w:val="0"/>
          <w:sz w:val="24"/>
          <w:shd w:val="clear" w:color="auto" w:fill="FFFFFF"/>
        </w:rPr>
        <w:t>第十条</w:t>
      </w:r>
      <w:r>
        <w:rPr>
          <w:rFonts w:hint="eastAsia" w:ascii="宋体" w:hAnsi="宋体" w:eastAsia="宋体" w:cs="宋体"/>
          <w:color w:val="000000"/>
          <w:kern w:val="0"/>
          <w:sz w:val="24"/>
          <w:shd w:val="clear" w:color="auto" w:fill="FFFFFF"/>
        </w:rPr>
        <w:t>　资产评估师执行文化企业无形资产评估业务，应当结合经济行为类型，明确评估目的。</w:t>
      </w:r>
    </w:p>
    <w:p w14:paraId="489A59B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（一）文化企业无形资产评估业务，分为单项资产评估业务中的无形资产评估和企业价值评估业务中的无形资产评估。</w:t>
      </w:r>
    </w:p>
    <w:p w14:paraId="0471779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单项资产评估业务中的无形资产评估所涉及的经济行为主要包括质押、出资、转让、许可使用、财务报告、涉税和诉讼等。企业价值评估业务中的无形资产评估所涉及的经济行为主要包括改制、并购重组和清算等。</w:t>
      </w:r>
    </w:p>
    <w:p w14:paraId="0D9AAF51">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bCs/>
          <w:color w:val="000000"/>
          <w:kern w:val="0"/>
          <w:sz w:val="24"/>
          <w:shd w:val="clear" w:color="auto" w:fill="FFFFFF"/>
        </w:rPr>
        <w:t>第十一条</w:t>
      </w:r>
      <w:r>
        <w:rPr>
          <w:rFonts w:hint="eastAsia" w:ascii="宋体" w:hAnsi="宋体" w:eastAsia="宋体" w:cs="宋体"/>
          <w:color w:val="000000"/>
          <w:kern w:val="0"/>
          <w:sz w:val="24"/>
          <w:shd w:val="clear" w:color="auto" w:fill="FFFFFF"/>
        </w:rPr>
        <w:t>　资产评估师执行文化企业无形资产评估业务，应当在合理考虑评估目的、市场条件、评估对象自身条件等因素的基础上，恰当选择价值类型。</w:t>
      </w:r>
    </w:p>
    <w:p w14:paraId="5E416F0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以质押为目的可以根据实际情况选择市场价值或者根据担保法等相关法律、法规以及金融监管机构的规定选择评估结论的价值类型，以出资、转让、许可使用等交易为目的一般选择市场价值或者投资价值，以财务报告为目的一般根据企业会计准则相关要求选择相应的价值类型。</w:t>
      </w:r>
    </w:p>
    <w:p w14:paraId="6ECE913E">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bCs/>
          <w:color w:val="000000"/>
          <w:kern w:val="0"/>
          <w:sz w:val="24"/>
          <w:shd w:val="clear" w:color="auto" w:fill="FFFFFF"/>
        </w:rPr>
        <w:t>第十二条</w:t>
      </w:r>
      <w:r>
        <w:rPr>
          <w:rFonts w:hint="eastAsia" w:ascii="宋体" w:hAnsi="宋体" w:eastAsia="宋体" w:cs="宋体"/>
          <w:color w:val="000000"/>
          <w:kern w:val="0"/>
          <w:sz w:val="24"/>
          <w:shd w:val="clear" w:color="auto" w:fill="FFFFFF"/>
        </w:rPr>
        <w:t>　资产评估师执行文化企业无形资产评估业务，应当合理使用评估假设和限定条件，并考虑其与价值类型的相关性。</w:t>
      </w:r>
    </w:p>
    <w:p w14:paraId="50EF6388">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bCs/>
          <w:color w:val="000000"/>
          <w:kern w:val="0"/>
          <w:sz w:val="24"/>
          <w:shd w:val="clear" w:color="auto" w:fill="FFFFFF"/>
        </w:rPr>
        <w:t>第十三条</w:t>
      </w:r>
      <w:r>
        <w:rPr>
          <w:rFonts w:hint="eastAsia" w:ascii="宋体" w:hAnsi="宋体" w:eastAsia="宋体" w:cs="宋体"/>
          <w:color w:val="000000"/>
          <w:kern w:val="0"/>
          <w:sz w:val="24"/>
          <w:shd w:val="clear" w:color="auto" w:fill="FFFFFF"/>
        </w:rPr>
        <w:t>　资产评估师执行文化企业无形资产评估业务，应当获取必要信息，并分析信息来源的可靠性，恰当利用信息。</w:t>
      </w:r>
    </w:p>
    <w:p w14:paraId="0BDEBD0B">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bCs/>
          <w:color w:val="000000"/>
          <w:kern w:val="0"/>
          <w:sz w:val="24"/>
          <w:shd w:val="clear" w:color="auto" w:fill="FFFFFF"/>
        </w:rPr>
        <w:t>第十四条</w:t>
      </w:r>
      <w:r>
        <w:rPr>
          <w:rFonts w:hint="eastAsia" w:ascii="宋体" w:hAnsi="宋体" w:eastAsia="宋体" w:cs="宋体"/>
          <w:color w:val="000000"/>
          <w:kern w:val="0"/>
          <w:sz w:val="24"/>
          <w:shd w:val="clear" w:color="auto" w:fill="FFFFFF"/>
        </w:rPr>
        <w:t>　资产评估师执行文化企业无形资产评估业务，涉及特殊专业知识和经验时，可以利用专家工作，但应当履行必要程序恰当利用专家工作。</w:t>
      </w:r>
    </w:p>
    <w:p w14:paraId="2FFBF71B">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第三章　评估对象和范围</w:t>
      </w:r>
    </w:p>
    <w:p w14:paraId="06565089">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bCs/>
          <w:color w:val="000000"/>
          <w:kern w:val="0"/>
          <w:sz w:val="24"/>
          <w:shd w:val="clear" w:color="auto" w:fill="FFFFFF"/>
        </w:rPr>
        <w:t>第十五条</w:t>
      </w:r>
      <w:r>
        <w:rPr>
          <w:rFonts w:hint="eastAsia" w:ascii="宋体" w:hAnsi="宋体" w:eastAsia="宋体" w:cs="宋体"/>
          <w:color w:val="000000"/>
          <w:kern w:val="0"/>
          <w:sz w:val="24"/>
          <w:shd w:val="clear" w:color="auto" w:fill="FFFFFF"/>
        </w:rPr>
        <w:t>　资产评估师执行文化企业无形资产评估业务，应当明确评估对象。</w:t>
      </w:r>
    </w:p>
    <w:p w14:paraId="2150794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文化企业无形资产评估对象，是指文化企业无形资产的财产权益，或者特定无形资产组合的财产权益。文化企业无形资产通常包括著作权、专利权、专有技术、商标专用权、销售网络、客户关系、特许经营权、合同权益、域名和商誉等。</w:t>
      </w:r>
    </w:p>
    <w:p w14:paraId="1B65463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文化企业无形资产不局限于无形资产会计科目核算的资产。符合资产评估准则关于无形资产定义的资产，均可以构成无形资产评估对象。</w:t>
      </w:r>
    </w:p>
    <w:p w14:paraId="205DBA55">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bCs/>
          <w:color w:val="000000"/>
          <w:kern w:val="0"/>
          <w:sz w:val="24"/>
          <w:shd w:val="clear" w:color="auto" w:fill="FFFFFF"/>
        </w:rPr>
        <w:t>第十六条</w:t>
      </w:r>
      <w:r>
        <w:rPr>
          <w:rFonts w:hint="eastAsia" w:ascii="宋体" w:hAnsi="宋体" w:eastAsia="宋体" w:cs="宋体"/>
          <w:color w:val="000000"/>
          <w:kern w:val="0"/>
          <w:sz w:val="24"/>
          <w:shd w:val="clear" w:color="auto" w:fill="FFFFFF"/>
        </w:rPr>
        <w:t>　资产评估师执行文化企业无形资产评估业务，应当明确评估范围。</w:t>
      </w:r>
    </w:p>
    <w:p w14:paraId="2AF0028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文化企业无形资产评估范围应当服从评估对象的选择，最终确定权在于委托方。评估机构和资产评估师应当根据专业经验建议委托方合理确定评估范围，并在业务约定书中明确约定评估范围。</w:t>
      </w:r>
    </w:p>
    <w:p w14:paraId="274FD434">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bCs/>
          <w:color w:val="000000"/>
          <w:kern w:val="0"/>
          <w:sz w:val="24"/>
          <w:shd w:val="clear" w:color="auto" w:fill="FFFFFF"/>
        </w:rPr>
        <w:t>第十七条</w:t>
      </w:r>
      <w:r>
        <w:rPr>
          <w:rFonts w:hint="eastAsia" w:ascii="宋体" w:hAnsi="宋体" w:eastAsia="宋体" w:cs="宋体"/>
          <w:color w:val="000000"/>
          <w:kern w:val="0"/>
          <w:sz w:val="24"/>
          <w:shd w:val="clear" w:color="auto" w:fill="FFFFFF"/>
        </w:rPr>
        <w:t>　资产评估师执行文化企业价值评估业务中的无形资产评估，应当根据会计政策、企业经营等情况，对被评估企业资产负债表表内以及表外的无形资产进行识别。</w:t>
      </w:r>
    </w:p>
    <w:p w14:paraId="787E775B">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bCs/>
          <w:color w:val="000000"/>
          <w:kern w:val="0"/>
          <w:sz w:val="24"/>
          <w:shd w:val="clear" w:color="auto" w:fill="FFFFFF"/>
        </w:rPr>
        <w:t>第十八条</w:t>
      </w:r>
      <w:r>
        <w:rPr>
          <w:rFonts w:hint="eastAsia" w:ascii="宋体" w:hAnsi="宋体" w:eastAsia="宋体" w:cs="宋体"/>
          <w:color w:val="000000"/>
          <w:kern w:val="0"/>
          <w:sz w:val="24"/>
          <w:shd w:val="clear" w:color="auto" w:fill="FFFFFF"/>
        </w:rPr>
        <w:t>　资产评估师执行文化企业著作权资产评估业务，应当结合文化企业特点关注著作权的法律、经济、技术等特征。</w:t>
      </w:r>
    </w:p>
    <w:p w14:paraId="5401B3D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（一）著作权财产权利包括复制权、发行权、出租权、展览权、表演权、放映权、广播权、信息网络传播权、摄制权、改编权、翻译权、汇编权以及著作权人享有的其他财产权利。</w:t>
      </w:r>
    </w:p>
    <w:p w14:paraId="4A1D39B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与著作权有关的权利，包括出版者对其出版的图书和期刊的版式设计享有的权利，表演者对其表演享有的权利，录音录像制作者对其制作的录音录像制品享有的权利，广播电台、电视台对其制作的广播、电视节目享有的权利等。</w:t>
      </w:r>
    </w:p>
    <w:p w14:paraId="745485A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这些权利与文化企业特定产品（作品）相关联。由于作品自身特性，并不是每一种作品都具有这些权利。</w:t>
      </w:r>
    </w:p>
    <w:p w14:paraId="2A28960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著作权对应的作品包括以各种形式创作的文学、艺术和自然科学、社会科学、工程技术等作品，具体形式有文字作品；口述作品；音乐、戏剧、曲艺、舞蹈、杂技艺术作品；美术、建筑作品；摄影作品；电影作品和以类似摄制电影的方法创作的作品；工程设计图、产品设计图、地图、示意图等图形作品和模型作品；计算机软件等。与著作权有关的权利对应的作品，包括录音录像制品等。</w:t>
      </w:r>
    </w:p>
    <w:p w14:paraId="61FECDE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不同类型的文化企业所拥有的特定作品形式可能存在较大差异。这些作品在创作人员、创作流程、创作成本、传播方式、传播成本、传播范围等方面存在各自特点和差异。这些差异最终都会反映在文化企业产品的成本和收益中。</w:t>
      </w:r>
    </w:p>
    <w:p w14:paraId="01AAFEF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文化企业著作权资产评估对象按照文化企业具体作品与著作权中各种财产权利组合的方式来表现，具体可描述为“作品名称+权利名称”或者“某某作品的某某权”。评估对象要与经济行为、评估目的保持一致，可能是一件作品的单项权利或者多项权利，也可能是多件作品的某一单项权利组合或者多件作品的多项权利的组合。</w:t>
      </w:r>
    </w:p>
    <w:p w14:paraId="73FA943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（四）资产评估师执行文化企业著作权资产评估业务，应当关注著作权的权利属性，区分著作权使用权和所有权。评估被许可行使的著作权，应当明确具体许可期限、许可使用范围、许可使用方式等许可内容。</w:t>
      </w:r>
    </w:p>
    <w:p w14:paraId="4E036C6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文化企业作品的著作权与该作品实体的物权既有联系，又有区别。作品物权转移并不必然导致该作品著作权全部或者部分财产权益的同时转移。绘画、书法、雕塑等美术作品物权是依赖于绘画、书法、雕塑等实体的承载，物权需要随实体一同转移。文化企业拥有绘画、书法、雕塑等实体作品物权，也不必然拥有该作品的著作权。对文化企业评估涉及美术作品实体，资产评估师应当要求委托方明确评估对象是否包含著作权财产权益，并对委托方提供的权属证明材料进行相应查验。</w:t>
      </w:r>
    </w:p>
    <w:p w14:paraId="1123D44F">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bCs/>
          <w:color w:val="000000"/>
          <w:kern w:val="0"/>
          <w:sz w:val="24"/>
          <w:shd w:val="clear" w:color="auto" w:fill="FFFFFF"/>
        </w:rPr>
        <w:t>第十九条</w:t>
      </w:r>
      <w:r>
        <w:rPr>
          <w:rFonts w:hint="eastAsia" w:ascii="宋体" w:hAnsi="宋体" w:eastAsia="宋体" w:cs="宋体"/>
          <w:color w:val="000000"/>
          <w:kern w:val="0"/>
          <w:sz w:val="24"/>
          <w:shd w:val="clear" w:color="auto" w:fill="FFFFFF"/>
        </w:rPr>
        <w:t>　资产评估师执行文化企业专利、专有技术资产评估业务，应当结合文化企业特点关注专利资产、专有技术资产的法律、经济、技术等特征。</w:t>
      </w:r>
    </w:p>
    <w:p w14:paraId="6B90BF9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（一）专利资产的类型通常包括发明专利、实用新型专利和外观设计专利。专有技术资产通常包括设计资料、技术规范、工艺流程、配方、图纸、数据、经营诀窍等。</w:t>
      </w:r>
    </w:p>
    <w:p w14:paraId="5135D01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资产评估师执行文化企业专利资产评估业务，应当了解专利资产的基本状况，通常包括专利法律状态、专利名称、专利类别、专利申请的国别或者地区、专利申请号或者专利号、专利申请人或者专利权人、专利申请日、专利授权日、专利保护期、专利有效性、专利权利要求等。</w:t>
      </w:r>
    </w:p>
    <w:p w14:paraId="62C01E7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资产评估师执行文化企业专有技术资产评估业务，应当结合专有技术所属技术领域的技术发展阶段和技术开发活跃程度了解其基本情况，通常包括能反映该专有技术客观存在的相关特征。</w:t>
      </w:r>
      <w:r>
        <w:rPr>
          <w:rFonts w:hint="eastAsia" w:ascii="宋体" w:hAnsi="宋体" w:eastAsia="宋体" w:cs="宋体"/>
          <w:color w:val="000000"/>
          <w:kern w:val="0"/>
          <w:sz w:val="24"/>
          <w:shd w:val="clear" w:color="auto" w:fill="FFFFFF"/>
        </w:rPr>
        <w:tab/>
      </w:r>
    </w:p>
    <w:p w14:paraId="002C33F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资产评估师执行文化企业专利、专有技术资产评估业务，应当关注专利、专有技术的权利属性，区分专利、专有技术资产的使用权和所有权。评估被许可使用的专利、专有技术资产，应当明确具体许可期限、许可使用范围、许可使用方式等被许可内容。</w:t>
      </w:r>
    </w:p>
    <w:p w14:paraId="2867EA7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（四）资产评估师执行文化企业专利、专有技术资产评估业务，应当关注该专利、专有技术的实施情况，及其在文化企业产业链中的作用与地位。</w:t>
      </w:r>
    </w:p>
    <w:p w14:paraId="14A3E7D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例如，资产评估师执行互联网信息服务企业专利、专有技术资产评估，应当关注技术的竞争优势，及其与企业超额收益的关系。</w:t>
      </w:r>
    </w:p>
    <w:p w14:paraId="1DF333A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资产评估师执行文化企业专利、专有技术资产评估业务，评估对象可以采用单项专利、专有技术资产的形式，也可以采用专利、专有技术资产组合的形式。资产评估师应当要求委托方根据评估目的、评估对象的具体情况对无形资产进行合理分离或者合并，恰当选择评估对象的具体形式。</w:t>
      </w:r>
    </w:p>
    <w:p w14:paraId="3F03F1D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例如，资产评估师执行广播电视电影服务企业专利、专有技术资产评估，涉及互联网数据传输、存储、防盗链等专利、专有技术资产时，应当根据评估目的、评估对象的具体情况，对专利和专有技术资产进行分类、整合，并在此基础上恰当采取单项专利或者专利组合、单项专有技术资产或者专有技术资产组合、专利与专有技术资产组合的形式进行评估。</w:t>
      </w:r>
    </w:p>
    <w:p w14:paraId="149AF49A">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第二十条</w:t>
      </w:r>
      <w:r>
        <w:rPr>
          <w:rFonts w:hint="eastAsia" w:ascii="宋体" w:hAnsi="宋体" w:eastAsia="宋体" w:cs="宋体"/>
          <w:color w:val="000000"/>
          <w:kern w:val="0"/>
          <w:sz w:val="24"/>
          <w:shd w:val="clear" w:color="auto" w:fill="FFFFFF"/>
        </w:rPr>
        <w:t>　资产评估师执行文化企业商标资产评估业务，应当结合文化企业特点关注商标的法律、经济、技术等特征。</w:t>
      </w:r>
    </w:p>
    <w:p w14:paraId="4BE31E8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资产评估师执行文化企业商标资产评估业务，应当结合商标注册资料，了解商标的基本状况，通常包括商标的图案、文字、注册号、注册期限、核准的注册类别，以及商标注册、转让和继承程序办理情况等。</w:t>
      </w:r>
    </w:p>
    <w:p w14:paraId="71406C2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（二）资产评估师执行文化企业商标资产评估业务，应当关注商标的权利属性，区分商标专用权和商标许可权。评估商标许可权应当明确该权利的具体许可期限、许可使用范围、许可使用方式等被许可内容。</w:t>
      </w:r>
    </w:p>
    <w:p w14:paraId="5FF13CA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（三）资产评估师执行文化企业商标资产评估业务，应当关注商标的使用情况，以及使用该商标的产品或者服务的经营情况。</w:t>
      </w:r>
    </w:p>
    <w:p w14:paraId="3DFE3D3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（四）资产评估师执行文化企业商标资产评估业务，评估对象可以是某一项商标，也可以是某一项商标与防御商标、扩展商标等相关商标组合的形式。</w:t>
      </w:r>
    </w:p>
    <w:p w14:paraId="63F466B4">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第二十一条</w:t>
      </w:r>
      <w:r>
        <w:rPr>
          <w:rFonts w:hint="eastAsia" w:ascii="宋体" w:hAnsi="宋体" w:eastAsia="宋体" w:cs="宋体"/>
          <w:color w:val="000000"/>
          <w:kern w:val="0"/>
          <w:sz w:val="24"/>
          <w:shd w:val="clear" w:color="auto" w:fill="FFFFFF"/>
        </w:rPr>
        <w:t>　资产评估师执行文化企业其他无形资产评估业务，应当结合文化企业特点，对纳入评估范围的其他各类无形资产的法律、经济、技术等特征进行调查、分析。</w:t>
      </w:r>
    </w:p>
    <w:p w14:paraId="5E7E8A6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（一）销售网络是企业为了销售产品或者服务而与其他企业进行合作所建立的能够持续发挥作用并且带来经济利益的文化传播渠道。</w:t>
      </w:r>
    </w:p>
    <w:p w14:paraId="65E6DA0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例如，文艺创作与表演企业通过与旅行社建立合作关系，从而提高客流量，则该企业可能存在销售网络无形资产。</w:t>
      </w:r>
    </w:p>
    <w:p w14:paraId="4E31E7A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资产评估师执行文化企业销售网络资产评估业务，应当了解销售网络资产的构成和规模、使用情况等，重点关注企业与渠道成员之间的合作方式、权利和义务的约定事项、市场竞争的合法合规性、销售网络的经济贡献等。</w:t>
      </w:r>
    </w:p>
    <w:p w14:paraId="32CF305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（二）客户关系是企业与供应商、顾客等客户建立的能够持续发挥作用并且带来经济利益的往来关系。</w:t>
      </w:r>
    </w:p>
    <w:p w14:paraId="0B2236B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例如，新闻出版发行服务企业通过成立读书俱乐部，形成稳定的客户群，并获得收益，则该企业可能存在客户关系无形资产。</w:t>
      </w:r>
    </w:p>
    <w:p w14:paraId="1FAB562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资产评估师执行文化企业客户关系资产评估业务，应当了解企业在开发新客户和维护老客户方面所采取的措施、客户的统计资料和流失情况、市场竞争的合法性、客户关系的经济贡献等。</w:t>
      </w:r>
    </w:p>
    <w:p w14:paraId="4B3C217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特许经营权是特许人与被特许人约定授予被特许人在一定地区、一定期限内生产经营某项业务，或者使用某项著作权、商标、专利、专有技术等资产，并且能够获取额外经济利益的权利。特许经营权可以分为独占许可、独家许可和普通许可。</w:t>
      </w:r>
    </w:p>
    <w:p w14:paraId="596D204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资产评估师执行文化企业特许经营权资产评估业务，应当了解特许经营权的性质，许可方式、许可年限和许可范围等约定事项，以及特许经营权的实施成本和效益等。</w:t>
      </w:r>
    </w:p>
    <w:p w14:paraId="0EC870D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（四）合同权益是企业因为签订了租赁合同、劳务性合同、供应合同、销售合同等长期合同而在约定期限内所获得的连续性经济利益。</w:t>
      </w:r>
    </w:p>
    <w:p w14:paraId="18F1720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例如，当文化软件服务企业开发网络游戏的核心技术团队成为企业获得持续竞争优势的关键因素，企业与核心技术团队人员签订长期劳动合同，并明确约定了竞业限制条款，则该企业可能存在合同权益无形资产。</w:t>
      </w:r>
    </w:p>
    <w:p w14:paraId="457D625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资产评估师执行文化企业合同权益资产评估业务，应当了解合同的类别、合同期限、约定的权利与义务等基本条款、法律上的有效性、履约风险、合同权益的贡献等。</w:t>
      </w:r>
    </w:p>
    <w:p w14:paraId="4C7D573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域名是互联网上的一个服务器或者一个网络系统的名字，在世界范围内具有唯一性。企业在互联网上注册域名，可以成为宣传自己的产品和服务，并进行电子商务等商业活动的标志。域名和商标一样属于营销类的无形资产。</w:t>
      </w:r>
    </w:p>
    <w:p w14:paraId="5E40A29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资产评估师执行文化企业域名资产评估业务，应当了解域名资产的组成结构和主体词汇等基本特征、取得情况、权属状况、使用情况等。</w:t>
      </w:r>
    </w:p>
    <w:p w14:paraId="4425942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（六）商誉是企业整体声誉的体现，是不可辨认无形资产，不能离开企业单独存在。在不同的财务报告或者税收制度下，商誉可能被赋予不同的定义。</w:t>
      </w:r>
    </w:p>
    <w:p w14:paraId="13921BB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资产评估师执行文化企业商誉资产评估业务，应当了解商誉资产的定义和内涵、取得方式、形成原因、与可辨认资产之间的相互关系以及可辨认资产的使用情况等。</w:t>
      </w:r>
    </w:p>
    <w:p w14:paraId="36BD5A3A">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第二十二条</w:t>
      </w:r>
      <w:r>
        <w:rPr>
          <w:rFonts w:hint="eastAsia" w:ascii="宋体" w:hAnsi="宋体" w:eastAsia="宋体" w:cs="宋体"/>
          <w:color w:val="000000"/>
          <w:kern w:val="0"/>
          <w:sz w:val="24"/>
          <w:shd w:val="clear" w:color="auto" w:fill="FFFFFF"/>
        </w:rPr>
        <w:t>　资产评估师执行文化企业无形资产评估业务，应当根据被评估企业所属行业特征和资产对企业价值的贡献方式、表现形式等情况，合理识别和界定无形资产类别。</w:t>
      </w:r>
    </w:p>
    <w:p w14:paraId="25197F5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人力资源作为文化企业资源的组成部分，通常纳入商誉范畴进行评估。人力资源在特定情形下也可能表现为经纪服务合同约定的权益。</w:t>
      </w:r>
    </w:p>
    <w:p w14:paraId="335FD2C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例如，影视企业与著名导演、演员等签署的经纪服务合同，该类合同权益属于可辨认无形资产。</w:t>
      </w:r>
    </w:p>
    <w:p w14:paraId="64BFC190">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第四章　操作要求</w:t>
      </w:r>
    </w:p>
    <w:p w14:paraId="2FC96F18">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第二十三条</w:t>
      </w:r>
      <w:r>
        <w:rPr>
          <w:rFonts w:hint="eastAsia" w:ascii="宋体" w:hAnsi="宋体" w:eastAsia="宋体" w:cs="宋体"/>
          <w:color w:val="000000"/>
          <w:kern w:val="0"/>
          <w:sz w:val="24"/>
          <w:shd w:val="clear" w:color="auto" w:fill="FFFFFF"/>
        </w:rPr>
        <w:t>　资产评估师执行文化企业无形资产评估业务，应当结合文化企业特点，关注社会环境、宏观经济政策、产业政策、法律保护状况、市场竞争状况、经营条件、生产能力、文化差异、产品（作品）类型等各项因素对无形资产效能发挥的制约和激励作用，及其对无形资产价值产生的影响。</w:t>
      </w:r>
    </w:p>
    <w:p w14:paraId="5AD9316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例如，评估文化企业无形资产，应当关注不同类型的文化企业在政治导向、文化创作生产和服务、受众反应、社会影响、内部制度和队伍建设等方面产生的社会效益对其无形资产价值的影响。</w:t>
      </w:r>
    </w:p>
    <w:p w14:paraId="0FAAEA8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例如，评估著作权财产权益时，同一作品权益在不同的文化企业运营模式下，可能会有不同的盈利模式，从而获得不同的经济价值。不同作品类型自身特点差异，有其特定的传播规律，造成在法律监管、艺术表现、技术支持方面的差异，进而影响其获利方式、成本构成、经济寿命等。不同财产权益体现了对作品的不同利用方式，这些利用方式受技术发展水平的制约，从而影响财产权益价值。</w:t>
      </w:r>
    </w:p>
    <w:p w14:paraId="0508299A">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第二十四条</w:t>
      </w:r>
      <w:r>
        <w:rPr>
          <w:rFonts w:hint="eastAsia" w:ascii="宋体" w:hAnsi="宋体" w:eastAsia="宋体" w:cs="宋体"/>
          <w:color w:val="000000"/>
          <w:kern w:val="0"/>
          <w:sz w:val="24"/>
          <w:shd w:val="clear" w:color="auto" w:fill="FFFFFF"/>
        </w:rPr>
        <w:t>　资产评估师执行文化企业无形资产评估业务，应当结合无形资产的特点，重点关注影响被评估无形资产价值的主要因素。</w:t>
      </w:r>
    </w:p>
    <w:p w14:paraId="1019EAC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影响著作权资产价值的主要因素包括：著作权财产权利类型、权利属性、作品特征、内容导向、收益方式、传播情况等。</w:t>
      </w:r>
    </w:p>
    <w:p w14:paraId="00BDB7C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（二）影响专利和专有技术资产价值的主要因素包括：专利的法律保护状况、专有技术的保密情况、专利和专有技术的技术特征、权利属性、实施情况、所实施产品或者服务的经营情况等。</w:t>
      </w:r>
    </w:p>
    <w:p w14:paraId="1E80587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（三）影响商标资产价值的主要因素包括：商标注册情况，权利属性，市场影响力，使用该商标的产品或者服务的经营情况，广告宣传状况等。</w:t>
      </w:r>
    </w:p>
    <w:p w14:paraId="32AB0B3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（四）影响销售网络价值的主要因素包括：销售网络的构成和范围、销售网络的运行效率等。</w:t>
      </w:r>
    </w:p>
    <w:p w14:paraId="17F75F4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（五）影响文化企业客户关系价值的主要因素包括：客户构成、消费偏好和消费能力、对企业的忠诚度等。</w:t>
      </w:r>
    </w:p>
    <w:p w14:paraId="560C1B8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（六）影响文化企业特许经营权价值的主要因素包括：特许经营方式、许可经营期限与范围、许可双方权利与义务、许可费率以及支付方式等。</w:t>
      </w:r>
    </w:p>
    <w:p w14:paraId="5F68247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（七）影响以合同权益方式体现的文化企业人力资源的价值的主要因素包括：合同的合法性、公平性、服务期限、合同约定的激励措施、保密条款、竞业禁止条件等。</w:t>
      </w:r>
    </w:p>
    <w:p w14:paraId="7E0F638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（八）影响文化企业域名价值的主要因素包括：域名的种类、网站的访问量、与该域名相关的业务发展情况、潜在的需求者等。</w:t>
      </w:r>
    </w:p>
    <w:p w14:paraId="3F61AF5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九）影响文化企业商誉价值的主要因素包括：商誉的定义、形成方式和构成要素，重点关注企业是否存在优越的地理位置、高素质的专业团队、丰富的生产经营经验、科学而健全的管理制度、高效的组织机构、优质的产品和服务、积极的企业文化、良好的社会关系等。</w:t>
      </w:r>
    </w:p>
    <w:p w14:paraId="63B10244">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第二十五条</w:t>
      </w:r>
      <w:r>
        <w:rPr>
          <w:rFonts w:hint="eastAsia" w:ascii="宋体" w:hAnsi="宋体" w:eastAsia="宋体" w:cs="宋体"/>
          <w:color w:val="000000"/>
          <w:kern w:val="0"/>
          <w:sz w:val="24"/>
          <w:shd w:val="clear" w:color="auto" w:fill="FFFFFF"/>
        </w:rPr>
        <w:t>　资产评估师执行文化企业无形资产评估业务，应当针对不同类型的无形资产分别收集相关资料，通常包括：</w:t>
      </w:r>
    </w:p>
    <w:p w14:paraId="7DB59E1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（一）无形资产清查评估明细表；</w:t>
      </w:r>
    </w:p>
    <w:p w14:paraId="6D60F07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（二）无形资产法律保护状况资料；</w:t>
      </w:r>
    </w:p>
    <w:p w14:paraId="31C06EE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（三）无形资产权利人基本情况；</w:t>
      </w:r>
    </w:p>
    <w:p w14:paraId="44FBCB7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（四）无形资产的具体内容和使用情况；</w:t>
      </w:r>
    </w:p>
    <w:p w14:paraId="417CC87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（五）无形资产质押情况资料；</w:t>
      </w:r>
    </w:p>
    <w:p w14:paraId="69E1BFC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（六）无形资产取得成本和历史收益情况资料；</w:t>
      </w:r>
    </w:p>
    <w:p w14:paraId="6690CBB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（七）无形资产收益期和预期收益情况资料；</w:t>
      </w:r>
    </w:p>
    <w:p w14:paraId="5CA0176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（八）无形资产以往交易情况以及评估情况资料；</w:t>
      </w:r>
    </w:p>
    <w:p w14:paraId="513A148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（九）无形资产实施过程中涉及的政治、经济和法律环境等方面的资料。</w:t>
      </w:r>
    </w:p>
    <w:p w14:paraId="7A54662C">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第二十六条</w:t>
      </w:r>
      <w:r>
        <w:rPr>
          <w:rFonts w:hint="eastAsia" w:ascii="宋体" w:hAnsi="宋体" w:eastAsia="宋体" w:cs="宋体"/>
          <w:color w:val="000000"/>
          <w:kern w:val="0"/>
          <w:sz w:val="24"/>
          <w:shd w:val="clear" w:color="auto" w:fill="FFFFFF"/>
        </w:rPr>
        <w:t>　资产评估师执行文化企业无形资产评估业务，应当根据具体情况选择查验资料、访谈、函证、现场查勘等方式，对各类无形资产以及无形资产实施情况进行调查，重点关注影响无形资产价值的各项因素，并对无形资产的权属状况、使用状况等进行调查。</w:t>
      </w:r>
    </w:p>
    <w:p w14:paraId="1BD5AA00">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第二十七条</w:t>
      </w:r>
      <w:r>
        <w:rPr>
          <w:rFonts w:hint="eastAsia" w:ascii="宋体" w:hAnsi="宋体" w:eastAsia="宋体" w:cs="宋体"/>
          <w:color w:val="000000"/>
          <w:kern w:val="0"/>
          <w:sz w:val="24"/>
          <w:shd w:val="clear" w:color="auto" w:fill="FFFFFF"/>
        </w:rPr>
        <w:t>　资产评估师执行文化企业无形资产评估业务，应当根据评估目的，恰当考虑各类无形资产评估业务的特点和要求。</w:t>
      </w:r>
    </w:p>
    <w:p w14:paraId="5921DF8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资产评估师执行以质押为目的的文化企业无形资产评估业务，应当分析判断拟用于质押的无形资产是否符合相关法律法规的要求，了解借款人和贷款人对不同时点的无形资产价值的需求差异，分析此期间借款人经济、法律、技术等特定环境条件变化情况，审慎选定无形资产利用方式得出持续创造现金流的能力。</w:t>
      </w:r>
    </w:p>
    <w:p w14:paraId="2E434F2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资产评估师执行以出资或者企业改制为目的的文化企业无形资产评估业务，应当分析判断拟用作出资的无形资产是否符合相关法律法规的要求，区分评估结论是作为注册资本金折算依据，还是仅用于验证注册资本金与所有者权益账面价值之间的关系。如果以评估结论核定资本金，应当尽可能地对重要无形资产进行逐项辨认，并单独进行评估。</w:t>
      </w:r>
    </w:p>
    <w:p w14:paraId="5CD8AD7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资产评估师执行以出资、转让、许可使用等交易或者企业并购为目的的文化企业无形资产评估业务，应当关注未来权利人的利用方案，评估报告中是否存在评估假设的经济、法律、技术等特定环境与未来应用状况不匹配的情形，合理确定无形资产价值。</w:t>
      </w:r>
    </w:p>
    <w:p w14:paraId="0C3DC9A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资产评估师执行以财务报告为目的的文化企业无形资产评估业务，在确信总体价值合理的基础上，以及重要无形资产明确辨认和单独评估的情形下，可以视情况采用简便的方法对其他各类无形资产进行合理分析。</w:t>
      </w:r>
    </w:p>
    <w:p w14:paraId="3FF8BF59">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第二十八条</w:t>
      </w:r>
      <w:r>
        <w:rPr>
          <w:rFonts w:hint="eastAsia" w:ascii="宋体" w:hAnsi="宋体" w:eastAsia="宋体" w:cs="宋体"/>
          <w:color w:val="000000"/>
          <w:kern w:val="0"/>
          <w:sz w:val="24"/>
          <w:shd w:val="clear" w:color="auto" w:fill="FFFFFF"/>
        </w:rPr>
        <w:t>　资产评估师执行文化企业无形资产评估业务，应当分析判断被评估无形资产是否与其他资产共同发挥作用。</w:t>
      </w:r>
    </w:p>
    <w:p w14:paraId="4F1D0B2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如果被评估无形资产与其他资产共同发挥作用，应当合理确定该无形资产的贡献，或者区分并剔除与该无形资产无关的资产的贡献。</w:t>
      </w:r>
    </w:p>
    <w:p w14:paraId="390FD85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如果被评估无形资产是无形资产组合，在不影响资产组合整体评估结论的前提下，可以不区分无形资产组合内部各项无形资产的贡献。</w:t>
      </w:r>
    </w:p>
    <w:p w14:paraId="1FA7B82D">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第二十九条</w:t>
      </w:r>
      <w:r>
        <w:rPr>
          <w:rFonts w:hint="eastAsia" w:ascii="宋体" w:hAnsi="宋体" w:eastAsia="宋体" w:cs="宋体"/>
          <w:color w:val="000000"/>
          <w:kern w:val="0"/>
          <w:sz w:val="24"/>
          <w:shd w:val="clear" w:color="auto" w:fill="FFFFFF"/>
        </w:rPr>
        <w:t>　资产评估师执行文化企业无形资产评估业务，应当关注创造和维护文化企业无形资产的主体是否存在分离现象。对创造和维护主体分离的情形，应当综合考虑各方的成本投入情况、相关权利和义务的约定等价值分割依据，合理确定无形资产各类权利人的合法权益。</w:t>
      </w:r>
    </w:p>
    <w:p w14:paraId="4163CD3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例如，评估商标资产价值，当商标的注册人和使用者分属于不同的主体时，应当考虑商标使用者所投入的维护成本对商标资产价值的贡献。</w:t>
      </w:r>
    </w:p>
    <w:p w14:paraId="4EB4FB73">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第三十条</w:t>
      </w:r>
      <w:r>
        <w:rPr>
          <w:rFonts w:hint="eastAsia" w:ascii="宋体" w:hAnsi="宋体" w:eastAsia="宋体" w:cs="宋体"/>
          <w:color w:val="000000"/>
          <w:kern w:val="0"/>
          <w:sz w:val="24"/>
          <w:shd w:val="clear" w:color="auto" w:fill="FFFFFF"/>
        </w:rPr>
        <w:t>　资产评估师执行文化企业无形资产评估业务，应当结合无形资产实施或者拟实施企业的经营状况进行评估。对于尚未实施的无形资产，可以利用专业机构出具的专业报告作为评估依据。</w:t>
      </w:r>
    </w:p>
    <w:p w14:paraId="37A5FD57">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第五章　评估方法</w:t>
      </w:r>
    </w:p>
    <w:p w14:paraId="0943A93B">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第三十一条</w:t>
      </w:r>
      <w:r>
        <w:rPr>
          <w:rFonts w:hint="eastAsia" w:ascii="宋体" w:hAnsi="宋体" w:eastAsia="宋体" w:cs="宋体"/>
          <w:color w:val="000000"/>
          <w:kern w:val="0"/>
          <w:sz w:val="24"/>
          <w:shd w:val="clear" w:color="auto" w:fill="FFFFFF"/>
        </w:rPr>
        <w:t>　资产评估师执行文化企业无形资产评估业务，应当根据评估目的、评估对象、价值类型、资料收集情况等相关条件，分析收益法、市场法和成本法三种资产评估基本方法的适用性，恰当选择一种或者多种资产评估方法。</w:t>
      </w:r>
    </w:p>
    <w:p w14:paraId="05260878">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第三十二条</w:t>
      </w:r>
      <w:r>
        <w:rPr>
          <w:rFonts w:hint="eastAsia" w:ascii="宋体" w:hAnsi="宋体" w:eastAsia="宋体" w:cs="宋体"/>
          <w:color w:val="000000"/>
          <w:kern w:val="0"/>
          <w:sz w:val="24"/>
          <w:shd w:val="clear" w:color="auto" w:fill="FFFFFF"/>
        </w:rPr>
        <w:t>　资产评估师采用各种方法评估文化企业无形资产，应当关注文化企业社会效益对相关参数的影响。不同类型的文化企业对社会效益的重视程度和管理效果可能不同，进而影响该企业的持续经营能力，最终将反映在无形资产未来收益规模、风险水平和经济寿命年限等评估参数上。</w:t>
      </w:r>
    </w:p>
    <w:p w14:paraId="799BE4F9">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第三十三条</w:t>
      </w:r>
      <w:r>
        <w:rPr>
          <w:rFonts w:hint="eastAsia" w:ascii="宋体" w:hAnsi="宋体" w:eastAsia="宋体" w:cs="宋体"/>
          <w:color w:val="000000"/>
          <w:kern w:val="0"/>
          <w:sz w:val="24"/>
          <w:shd w:val="clear" w:color="auto" w:fill="FFFFFF"/>
        </w:rPr>
        <w:t>　资产评估师采用收益法评估文化企业无形资产，应当合理确定无形资产的收益期限以及未来收益水平。</w:t>
      </w:r>
    </w:p>
    <w:p w14:paraId="20F52BE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（一）确定文化企业无形资产收益期限，应当综合考虑无形资产对应的产品和服务的经济寿命期限、相关法律保护期限、合同约定期限和被评估企业及其所属行业的发展状况等影响因素。</w:t>
      </w:r>
    </w:p>
    <w:p w14:paraId="03139D8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资产评估师应当了解，大部分文化产品和服务具有生命周期短、重复利用价值低的特征。如果对应的无形资产不能用于开发其他新产品和服务，则无形资产的经济寿命期限不会超过该文化产品和服务的经济寿命期限。</w:t>
      </w:r>
    </w:p>
    <w:p w14:paraId="5510F1D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资产评估师应当分析无形资产权利人在维持和创造无形资产方面所具有的资金、技术、固定资产、人力资源和外部环境等条件，确定各类无形资产的持续收益时间。</w:t>
      </w:r>
    </w:p>
    <w:p w14:paraId="42412A3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（二）预测文化企业无形资产收益，可以通过节省许可费、收益分成、增量收益或者超额收益等方式。</w:t>
      </w:r>
    </w:p>
    <w:p w14:paraId="2D0F5DC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（三）预测文化企业无形资产未来收益，应当考虑文化企业运营模式、产品和服务的类型对无形资产收益的影响。</w:t>
      </w:r>
    </w:p>
    <w:p w14:paraId="425F7D1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在不同的运营模式下，无形资产可能会有不同的盈利模式，从而获得不同的收益。通常情形下，资产评估师应当按照无形资产权利人的经济、技术、法律等特定环境条件考虑无形资产的使用方式。当无形资产使用方式不受所处环境限制时，资产评估师可以设定无形资产处于最佳使用方式。资产评估师应当知晓，商标、商誉等无形资产通常和企业密不可分，其盈利模式与权利人的生产经营条件密切相关，通常按照权利人的使用方式考虑其价值。</w:t>
      </w:r>
    </w:p>
    <w:p w14:paraId="3E9D7CB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文化企业主要进行文化内容的创作与传播，内容是文化产品的核心。不同类型文化产品和服务由于自身特点，在创作目的、内容载体、创作人员、创作成本、创作流程、传播方式、传播成本、传播范围等方面都可能存在差异，进而影响收益范围和收益水平。</w:t>
      </w:r>
    </w:p>
    <w:p w14:paraId="2A2518A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例如，预测电影作品著作权收益，除宏观经济环境、产业政策等因素外，需要考虑该电影作品类型、制片人、导演、演员、剧本、以及制作人员对电影作品的影响，同时考虑发行方、院线、放映场次和档期等因素。电影作品制作投资高并不必然产生高的票房收入。对于已经播映过的电影作品，需要关注信息网络传播渠道可能产生的收益，形成衍生产品的可能性及其收益。</w:t>
      </w:r>
    </w:p>
    <w:p w14:paraId="67A9B9C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预测文化企业无形资产未来收益，应当考虑文化产品和服务的价格、文化基础设施的建设、公众的收入水平、文化素质、闲暇时间等因素对文化产品和服务市场需求的影响，合理确定文化产品和服务的收入。</w:t>
      </w:r>
    </w:p>
    <w:p w14:paraId="625C51A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（五）预测文化企业无形资产未来收益，应当考虑文化产品和服务具有高固定成本和传播边际成本递减等特点，合理确定文化产品和服务的成本。</w:t>
      </w:r>
    </w:p>
    <w:p w14:paraId="23EB62D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（六）预测文化企业无形资产未来收益，应当考虑无形资产在不同阶段的获利能力差异。</w:t>
      </w:r>
    </w:p>
    <w:p w14:paraId="2815A4B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例如，著作权的盈利能力通常在产出初期高于后期衍生权益阶段，后期衍生著作权收益中可能包括前期原创著作权应分享的收益。</w:t>
      </w:r>
    </w:p>
    <w:p w14:paraId="3C275AA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七）预测文化企业无形资产未来收益，应当结合行业特征考虑无形资产对文化产品和服务收益的贡献程度。在难以直接区分或者没有必要区分各类无形资产收益贡献的情况下，可以综合预测多种无形资产的共同收益。</w:t>
      </w:r>
    </w:p>
    <w:p w14:paraId="2A65CB7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八）预测文化企业无形资产未来收益，应当区分文化企业整体收益与无形资产对应的文化产品和服务的收益。文化产品和服务的收益取决于该文化产品和服务的盈利能力，文化企业整体收益取决于不断开发和传播新的文化产品和服务的能力。</w:t>
      </w:r>
    </w:p>
    <w:p w14:paraId="019CBFB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例如，广播电视电影服务企业主要依靠制作电影、电视剧并通过发行、放映、信息网络传播等方式获得收益。此类企业的电影、电视剧作品制作能力受到被评估企业品牌、资金规模、剧本储备、签约艺人、专业管理人员等因素的影响。传播能力受宏观经济环境、行业发展趋势、院线放映能力、电视台频道资源、信息网络平台等因素影响。</w:t>
      </w:r>
    </w:p>
    <w:p w14:paraId="3F9FB2A9">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第三十四条</w:t>
      </w:r>
      <w:r>
        <w:rPr>
          <w:rFonts w:hint="eastAsia" w:ascii="宋体" w:hAnsi="宋体" w:eastAsia="宋体" w:cs="宋体"/>
          <w:color w:val="000000"/>
          <w:kern w:val="0"/>
          <w:sz w:val="24"/>
          <w:shd w:val="clear" w:color="auto" w:fill="FFFFFF"/>
        </w:rPr>
        <w:t>　资产评估师采用收益法评估文化企业无形资产，应当合理确定折现率。</w:t>
      </w:r>
    </w:p>
    <w:p w14:paraId="79B94C8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（一）估算文化企业无形资产折现率，可以采用风险累加、企业加权平均资本成本途径等方式。</w:t>
      </w:r>
    </w:p>
    <w:p w14:paraId="5C098D8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估算文化企业无形资产折现率，应当关注文化消费的不确定性所产生的市场风险。在快速变动的社会中，消费者对文化产品和服务价值的认知随时可能会改变，文化政策的调整可能形成文化需求变动，大部分文化产品和服务的生命周期短，重复利用的价值较低，技术更新换代和替代品的竞争可能产生技术风险。</w:t>
      </w:r>
    </w:p>
    <w:p w14:paraId="2CB5CA0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估算文化企业无形资产折现率，应当关注国家或者地区有关法律规范以及文化产品在内容审查、传播限制等方面可能产生的法律风险，关注产品复制难易程度、传播成本、法律保护力度、法定赔偿等因素，综合考虑侵权风险，关注不同区域、民族、性别、年龄、收入的人群间文化的差异所产生的风险。</w:t>
      </w:r>
    </w:p>
    <w:p w14:paraId="59EEDFA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（四）估算文化企业无形资产折现率，应当关注文化产品和服务在生产和传播过程中面临的盈利模式不清晰、生产资源得不到保障或者管理效率低下等原因所造成的经营风险。</w:t>
      </w:r>
    </w:p>
    <w:p w14:paraId="3B4F782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（五）估算文化企业无形资产折现率，应当关注文化产品和服务在生产和传播过程中面临的资金匮乏或者高杠杆所形成的财务风险。</w:t>
      </w:r>
    </w:p>
    <w:p w14:paraId="27D2DA91">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第三十五条</w:t>
      </w:r>
      <w:r>
        <w:rPr>
          <w:rFonts w:hint="eastAsia" w:ascii="宋体" w:hAnsi="宋体" w:eastAsia="宋体" w:cs="宋体"/>
          <w:color w:val="000000"/>
          <w:kern w:val="0"/>
          <w:sz w:val="24"/>
          <w:shd w:val="clear" w:color="auto" w:fill="FFFFFF"/>
        </w:rPr>
        <w:t>　资产评估师采用市场法评估文化企业无形资产，应当根据所获取交易案例与评估对象的相似程度、交易案例相关数据的充分性和可靠性等因素，恰当选择可比案例。</w:t>
      </w:r>
    </w:p>
    <w:p w14:paraId="167D653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评估文化企业中与人力资源有关的合同权益等无形资产，可以结合人才流动市场的定价方式或者文化企业与生产要素供应方的合作模式收集交易案例。</w:t>
      </w:r>
    </w:p>
    <w:p w14:paraId="43D19882">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第三十六条</w:t>
      </w:r>
      <w:r>
        <w:rPr>
          <w:rFonts w:hint="eastAsia" w:ascii="宋体" w:hAnsi="宋体" w:eastAsia="宋体" w:cs="宋体"/>
          <w:color w:val="000000"/>
          <w:kern w:val="0"/>
          <w:sz w:val="24"/>
          <w:shd w:val="clear" w:color="auto" w:fill="FFFFFF"/>
        </w:rPr>
        <w:t>　资产评估师采用市场法评估文化企业无形资产，应当分析评估对象与可比案例在交易时间、权利种类或者形式、维护费用、贡献水平、风险程度、经济寿命期限等方面的差异，并考虑该差异因素对无形资产价值的影响。</w:t>
      </w:r>
    </w:p>
    <w:p w14:paraId="06694C65">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第三十七条</w:t>
      </w:r>
      <w:r>
        <w:rPr>
          <w:rFonts w:hint="eastAsia" w:ascii="宋体" w:hAnsi="宋体" w:eastAsia="宋体" w:cs="宋体"/>
          <w:color w:val="000000"/>
          <w:kern w:val="0"/>
          <w:sz w:val="24"/>
          <w:shd w:val="clear" w:color="auto" w:fill="FFFFFF"/>
        </w:rPr>
        <w:t>　资产评估师采用成本法评估文化企业无形资产，应当分析无形资产投入成本与价值的相关程度，恰当考虑成本法的适用性。</w:t>
      </w:r>
    </w:p>
    <w:p w14:paraId="3D6EA10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例如，评估文艺创作与表演服务企业、文化创意和设计服务企业的无形资产，其投入成本与价值的关联程度较低，一般不宜采用成本法。</w:t>
      </w:r>
    </w:p>
    <w:p w14:paraId="754629F2">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第三十八条</w:t>
      </w:r>
      <w:r>
        <w:rPr>
          <w:rFonts w:hint="eastAsia" w:ascii="宋体" w:hAnsi="宋体" w:eastAsia="宋体" w:cs="宋体"/>
          <w:color w:val="000000"/>
          <w:kern w:val="0"/>
          <w:sz w:val="24"/>
          <w:shd w:val="clear" w:color="auto" w:fill="FFFFFF"/>
        </w:rPr>
        <w:t>　资产评估师采用成本法评估文化企业无形资产，应当结合评估对象和范围合理确定评估对象的重置成本。</w:t>
      </w:r>
    </w:p>
    <w:p w14:paraId="22BD8FA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例如，评估景区游览类文化企业无形资产，应当关注景区无形资产与景观资源在成本上的合理划分。</w:t>
      </w:r>
    </w:p>
    <w:p w14:paraId="18A6D90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重置成本包括合理的成本、利润和相关税费等。资产评估师应当结合形成无形资产所需的研发人员、管理人员、材料、设备、场地等投入要素，合理确定评估对象的重置成本。</w:t>
      </w:r>
    </w:p>
    <w:p w14:paraId="7ED61735">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第三十九条</w:t>
      </w:r>
      <w:r>
        <w:rPr>
          <w:rFonts w:hint="eastAsia" w:ascii="宋体" w:hAnsi="宋体" w:eastAsia="宋体" w:cs="宋体"/>
          <w:color w:val="000000"/>
          <w:kern w:val="0"/>
          <w:sz w:val="24"/>
          <w:shd w:val="clear" w:color="auto" w:fill="FFFFFF"/>
        </w:rPr>
        <w:t>　资产评估师采用成本法评估文化企业无形资产，应当结合评估对象的价值变化规律，合理确定评估对象的贬值。</w:t>
      </w:r>
    </w:p>
    <w:p w14:paraId="3257EE8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例如，著作权资产的贬值在其经济寿命期内可能不是均匀分布的，应当采用适当方法确定其贬值。</w:t>
      </w:r>
    </w:p>
    <w:p w14:paraId="7DA55C1A">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第四十条</w:t>
      </w:r>
      <w:r>
        <w:rPr>
          <w:rFonts w:hint="eastAsia" w:ascii="宋体" w:hAnsi="宋体" w:eastAsia="宋体" w:cs="宋体"/>
          <w:color w:val="000000"/>
          <w:kern w:val="0"/>
          <w:sz w:val="24"/>
          <w:shd w:val="clear" w:color="auto" w:fill="FFFFFF"/>
        </w:rPr>
        <w:t>　资产评估师对同一无形资产采用多种评估方法时，应当对所获得各种初步价值结论进行分析，形成合理评估结论。</w:t>
      </w:r>
    </w:p>
    <w:p w14:paraId="3901E5B2">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第六章　披露要求</w:t>
      </w:r>
    </w:p>
    <w:p w14:paraId="3ACFF29E">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第四十一条</w:t>
      </w:r>
      <w:r>
        <w:rPr>
          <w:rFonts w:hint="eastAsia" w:ascii="宋体" w:hAnsi="宋体" w:eastAsia="宋体" w:cs="宋体"/>
          <w:color w:val="000000"/>
          <w:kern w:val="0"/>
          <w:sz w:val="24"/>
          <w:shd w:val="clear" w:color="auto" w:fill="FFFFFF"/>
        </w:rPr>
        <w:t>　资产评估师执行文化企业无形资产评估业务，应当在履行必要的评估程序后，根据《资产评估准则——评估报告》编制评估报告，并进行恰当披露，使评估报告使用者能够合理理解评估结论。</w:t>
      </w:r>
    </w:p>
    <w:p w14:paraId="1565D59B">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第四十二条</w:t>
      </w:r>
      <w:r>
        <w:rPr>
          <w:rFonts w:hint="eastAsia" w:ascii="宋体" w:hAnsi="宋体" w:eastAsia="宋体" w:cs="宋体"/>
          <w:color w:val="000000"/>
          <w:kern w:val="0"/>
          <w:sz w:val="24"/>
          <w:shd w:val="clear" w:color="auto" w:fill="FFFFFF"/>
        </w:rPr>
        <w:t>　资产评估师执行文化企业无形资产评估业务，应当在评估报告中重点披露无形资产识别的过程和依据，通常包括对无形资产基本状况、法律状况、技术特征和经济特征实施调查的过程、方法和结论。</w:t>
      </w:r>
    </w:p>
    <w:p w14:paraId="5948551D">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第四十三条</w:t>
      </w:r>
      <w:r>
        <w:rPr>
          <w:rFonts w:hint="eastAsia" w:ascii="宋体" w:hAnsi="宋体" w:eastAsia="宋体" w:cs="宋体"/>
          <w:color w:val="000000"/>
          <w:kern w:val="0"/>
          <w:sz w:val="24"/>
          <w:shd w:val="clear" w:color="auto" w:fill="FFFFFF"/>
        </w:rPr>
        <w:t>　资产评估师执行文化企业无形资产评估业务，应当在评估报告中重点披露无形资产的评估情况，通常包括以下内容：</w:t>
      </w:r>
    </w:p>
    <w:p w14:paraId="49F626A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（一）影响无形资产价值的宏观经济状况和区域经济状况、政策因素、法律因素等；</w:t>
      </w:r>
    </w:p>
    <w:p w14:paraId="12FF14A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（二）无形资产涉及的行业现状以及未来发展前景；</w:t>
      </w:r>
    </w:p>
    <w:p w14:paraId="35876C4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（三）无形资产涉及的企业业务、财务、资产状况分析；</w:t>
      </w:r>
    </w:p>
    <w:p w14:paraId="7B022EA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（四）无形资产评估测算依据、重要参数的来源；</w:t>
      </w:r>
    </w:p>
    <w:p w14:paraId="077E57C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（五）无形资产评估假设前提以及限制条件；</w:t>
      </w:r>
    </w:p>
    <w:p w14:paraId="52B5014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（六）无形资产评估方法，包括评估方法的选择以及理由，评估方法的运用和计算过程；</w:t>
      </w:r>
    </w:p>
    <w:p w14:paraId="2526102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（七）评估结论以及分析。</w:t>
      </w:r>
    </w:p>
    <w:p w14:paraId="5EE3FCED">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第七章　附则</w:t>
      </w:r>
    </w:p>
    <w:p w14:paraId="7F9B4B96">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第四十四条</w:t>
      </w:r>
      <w:r>
        <w:rPr>
          <w:rFonts w:hint="eastAsia" w:ascii="宋体" w:hAnsi="宋体" w:eastAsia="宋体" w:cs="宋体"/>
          <w:color w:val="000000"/>
          <w:kern w:val="0"/>
          <w:sz w:val="24"/>
          <w:shd w:val="clear" w:color="auto" w:fill="FFFFFF"/>
        </w:rPr>
        <w:t>　本指导意见自2016年7月1日起施行。</w:t>
      </w:r>
    </w:p>
    <w:p w14:paraId="0100AD0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br w:type="page"/>
      </w:r>
    </w:p>
    <w:p w14:paraId="772D1A81">
      <w:pPr>
        <w:pStyle w:val="5"/>
        <w:spacing w:line="440" w:lineRule="atLeast"/>
        <w:jc w:val="center"/>
        <w:rPr>
          <w:rFonts w:ascii="宋体" w:hAnsi="宋体" w:eastAsia="宋体" w:cs="宋体"/>
        </w:rPr>
      </w:pPr>
      <w:bookmarkStart w:id="133" w:name="_Toc7551"/>
      <w:r>
        <w:rPr>
          <w:rFonts w:hint="eastAsia" w:ascii="宋体" w:hAnsi="宋体" w:eastAsia="宋体" w:cs="宋体"/>
        </w:rPr>
        <w:t>资产评估价值类型指导意见</w:t>
      </w:r>
      <w:bookmarkEnd w:id="133"/>
    </w:p>
    <w:p w14:paraId="64E0C329">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第一章　总则</w:t>
      </w:r>
    </w:p>
    <w:p w14:paraId="5AA58D96">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第一条</w:t>
      </w:r>
      <w:r>
        <w:rPr>
          <w:rFonts w:hint="eastAsia" w:ascii="宋体" w:hAnsi="宋体" w:eastAsia="宋体" w:cs="宋体"/>
          <w:color w:val="000000"/>
          <w:kern w:val="0"/>
          <w:sz w:val="24"/>
          <w:shd w:val="clear" w:color="auto" w:fill="FFFFFF"/>
        </w:rPr>
        <w:t>　为规范资产评估专业人员选择、使用和定义价值类型行为，保护资产评估当事人合法权益和公共利益，根据《资产评估基本准则》制定本指导意见。</w:t>
      </w:r>
    </w:p>
    <w:p w14:paraId="442AFD7C">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第二条</w:t>
      </w:r>
      <w:r>
        <w:rPr>
          <w:rFonts w:hint="eastAsia" w:ascii="宋体" w:hAnsi="宋体" w:eastAsia="宋体" w:cs="宋体"/>
          <w:color w:val="000000"/>
          <w:kern w:val="0"/>
          <w:sz w:val="24"/>
          <w:shd w:val="clear" w:color="auto" w:fill="FFFFFF"/>
        </w:rPr>
        <w:t>　执行资产评估业务，应当遵守本指导意见。</w:t>
      </w:r>
    </w:p>
    <w:p w14:paraId="46440CE6">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第二章　价值类型及其定义</w:t>
      </w:r>
    </w:p>
    <w:p w14:paraId="0CC488E4">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第三条</w:t>
      </w:r>
      <w:r>
        <w:rPr>
          <w:rFonts w:hint="eastAsia" w:ascii="宋体" w:hAnsi="宋体" w:eastAsia="宋体" w:cs="宋体"/>
          <w:color w:val="000000"/>
          <w:kern w:val="0"/>
          <w:sz w:val="24"/>
          <w:shd w:val="clear" w:color="auto" w:fill="FFFFFF"/>
        </w:rPr>
        <w:t>　本指导意见所称资产评估价值类型包括市场价值和市场价值以外的价值类型。</w:t>
      </w:r>
    </w:p>
    <w:p w14:paraId="40F63711">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第四条</w:t>
      </w:r>
      <w:r>
        <w:rPr>
          <w:rFonts w:hint="eastAsia" w:ascii="宋体" w:hAnsi="宋体" w:eastAsia="宋体" w:cs="宋体"/>
          <w:color w:val="000000"/>
          <w:kern w:val="0"/>
          <w:sz w:val="24"/>
          <w:shd w:val="clear" w:color="auto" w:fill="FFFFFF"/>
        </w:rPr>
        <w:t>　市场价值是指自愿买方和自愿卖方在各自理性行事且未受任何强迫的情况下，评估对象在评估基准日进行正常公平交易的价值估计数额。</w:t>
      </w:r>
    </w:p>
    <w:p w14:paraId="62132C72">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第五条</w:t>
      </w:r>
      <w:r>
        <w:rPr>
          <w:rFonts w:hint="eastAsia" w:ascii="宋体" w:hAnsi="宋体" w:eastAsia="宋体" w:cs="宋体"/>
          <w:color w:val="000000"/>
          <w:kern w:val="0"/>
          <w:sz w:val="24"/>
          <w:shd w:val="clear" w:color="auto" w:fill="FFFFFF"/>
        </w:rPr>
        <w:t>　市场价值以外的价值类型包括投资价值、在用价值、清算价值、残余价值等。</w:t>
      </w:r>
    </w:p>
    <w:p w14:paraId="183162F9">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第六条</w:t>
      </w:r>
      <w:r>
        <w:rPr>
          <w:rFonts w:hint="eastAsia" w:ascii="宋体" w:hAnsi="宋体" w:eastAsia="宋体" w:cs="宋体"/>
          <w:color w:val="000000"/>
          <w:kern w:val="0"/>
          <w:sz w:val="24"/>
          <w:shd w:val="clear" w:color="auto" w:fill="FFFFFF"/>
        </w:rPr>
        <w:t>　投资价值是指评估对象对于具有明确投资目标的特定投资者或者某一类投资者所具有的价值估计数额，亦称特定投资者价值。</w:t>
      </w:r>
    </w:p>
    <w:p w14:paraId="425AD0BE">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第七条</w:t>
      </w:r>
      <w:r>
        <w:rPr>
          <w:rFonts w:hint="eastAsia" w:ascii="宋体" w:hAnsi="宋体" w:eastAsia="宋体" w:cs="宋体"/>
          <w:color w:val="000000"/>
          <w:kern w:val="0"/>
          <w:sz w:val="24"/>
          <w:shd w:val="clear" w:color="auto" w:fill="FFFFFF"/>
        </w:rPr>
        <w:t>　在用价值是指将评估对象作为企业、资产组组成部分或者要素资产按其正在使用方式和程度及其对所属企业、资产组的贡献的价值估计数额。</w:t>
      </w:r>
    </w:p>
    <w:p w14:paraId="3C0E1990">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第八条</w:t>
      </w:r>
      <w:r>
        <w:rPr>
          <w:rFonts w:hint="eastAsia" w:ascii="宋体" w:hAnsi="宋体" w:eastAsia="宋体" w:cs="宋体"/>
          <w:color w:val="000000"/>
          <w:kern w:val="0"/>
          <w:sz w:val="24"/>
          <w:shd w:val="clear" w:color="auto" w:fill="FFFFFF"/>
        </w:rPr>
        <w:t>　清算价值是指评估对象处于被迫出售、快速变现等非正常市场条件下的价值估计数额。</w:t>
      </w:r>
    </w:p>
    <w:p w14:paraId="3E42C30F">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第九条</w:t>
      </w:r>
      <w:r>
        <w:rPr>
          <w:rFonts w:hint="eastAsia" w:ascii="宋体" w:hAnsi="宋体" w:eastAsia="宋体" w:cs="宋体"/>
          <w:color w:val="000000"/>
          <w:kern w:val="0"/>
          <w:sz w:val="24"/>
          <w:shd w:val="clear" w:color="auto" w:fill="FFFFFF"/>
        </w:rPr>
        <w:t>　残余价值是指机器设备、房屋建筑物或者其他有形资产等的拆零变现价值估计数额。</w:t>
      </w:r>
    </w:p>
    <w:p w14:paraId="209A5473">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第十条</w:t>
      </w:r>
      <w:r>
        <w:rPr>
          <w:rFonts w:hint="eastAsia" w:ascii="宋体" w:hAnsi="宋体" w:eastAsia="宋体" w:cs="宋体"/>
          <w:color w:val="000000"/>
          <w:kern w:val="0"/>
          <w:sz w:val="24"/>
          <w:shd w:val="clear" w:color="auto" w:fill="FFFFFF"/>
        </w:rPr>
        <w:t>　某些特定评估业务评估结论的价值类型可能会受到法律、行政法规或者合同的约束，这些评估业务的评估结论应当按照法律、行政法规或者合同的规定选择评估结论的价值类型；法律、行政法规或者合同没有规定的，可以根据实际情况选择市场价值或者市场价值以外的价值类型，并予以定义。</w:t>
      </w:r>
    </w:p>
    <w:p w14:paraId="08D8755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特定评估业务包括：以抵（质）押为目的的评估业务、以税收为目的的评估业务、以保险为目的的评估业务、以财务报告为目的的评估业务等。</w:t>
      </w:r>
    </w:p>
    <w:p w14:paraId="45D68D53">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第十一条</w:t>
      </w:r>
      <w:r>
        <w:rPr>
          <w:rFonts w:hint="eastAsia" w:ascii="宋体" w:hAnsi="宋体" w:eastAsia="宋体" w:cs="宋体"/>
          <w:color w:val="000000"/>
          <w:kern w:val="0"/>
          <w:sz w:val="24"/>
          <w:shd w:val="clear" w:color="auto" w:fill="FFFFFF"/>
        </w:rPr>
        <w:t>　执行资产评估业务，应当合理考虑本指导意见与其他相关准则的协调。采用本指导意见规定之外的价值类型时，应当在资产评估报告中披露。</w:t>
      </w:r>
    </w:p>
    <w:p w14:paraId="3C98D9A3">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第三章　价值类型的选择和使用</w:t>
      </w:r>
    </w:p>
    <w:p w14:paraId="7EA302EE">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第十二条</w:t>
      </w:r>
      <w:r>
        <w:rPr>
          <w:rFonts w:hint="eastAsia" w:ascii="宋体" w:hAnsi="宋体" w:eastAsia="宋体" w:cs="宋体"/>
          <w:color w:val="000000"/>
          <w:kern w:val="0"/>
          <w:sz w:val="24"/>
          <w:shd w:val="clear" w:color="auto" w:fill="FFFFFF"/>
        </w:rPr>
        <w:t>　法律、行政法规或者合同对价值类型有规定的，应当按其规定选择价值类型；没有规定的，可以根据实际情况选择市场价值或者市场价值以外的价值类型。</w:t>
      </w:r>
    </w:p>
    <w:p w14:paraId="5BED8763">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第十三条</w:t>
      </w:r>
      <w:r>
        <w:rPr>
          <w:rFonts w:hint="eastAsia" w:ascii="宋体" w:hAnsi="宋体" w:eastAsia="宋体" w:cs="宋体"/>
          <w:color w:val="000000"/>
          <w:kern w:val="0"/>
          <w:sz w:val="24"/>
          <w:shd w:val="clear" w:color="auto" w:fill="FFFFFF"/>
        </w:rPr>
        <w:t>　执行资产评估业务，选择和使用价值类型，应当充分考虑评估目的、市场条件、评估对象自身条件等因素。</w:t>
      </w:r>
    </w:p>
    <w:p w14:paraId="7175D09F">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第十四条</w:t>
      </w:r>
      <w:r>
        <w:rPr>
          <w:rFonts w:hint="eastAsia" w:ascii="宋体" w:hAnsi="宋体" w:eastAsia="宋体" w:cs="宋体"/>
          <w:color w:val="000000"/>
          <w:kern w:val="0"/>
          <w:sz w:val="24"/>
          <w:shd w:val="clear" w:color="auto" w:fill="FFFFFF"/>
        </w:rPr>
        <w:t>　资产评估专业人员选择价值类型，应当考虑价值类型与评估假设的相关性。</w:t>
      </w:r>
    </w:p>
    <w:p w14:paraId="6CE91977">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第十五条</w:t>
      </w:r>
      <w:r>
        <w:rPr>
          <w:rFonts w:hint="eastAsia" w:ascii="宋体" w:hAnsi="宋体" w:eastAsia="宋体" w:cs="宋体"/>
          <w:color w:val="000000"/>
          <w:kern w:val="0"/>
          <w:sz w:val="24"/>
          <w:shd w:val="clear" w:color="auto" w:fill="FFFFFF"/>
        </w:rPr>
        <w:t>　评估方法是估计和判断市场价值和市场价值以外的价值类型评估结论的技术手段，某一种价值类型下的评估结论可以通过一种或者多种评估方法得出。</w:t>
      </w:r>
    </w:p>
    <w:p w14:paraId="3807EFE0">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第十六条</w:t>
      </w:r>
      <w:r>
        <w:rPr>
          <w:rFonts w:hint="eastAsia" w:ascii="宋体" w:hAnsi="宋体" w:eastAsia="宋体" w:cs="宋体"/>
          <w:color w:val="000000"/>
          <w:kern w:val="0"/>
          <w:sz w:val="24"/>
          <w:shd w:val="clear" w:color="auto" w:fill="FFFFFF"/>
        </w:rPr>
        <w:t>　执行资产评估业务，当评估目的、评估对象等资产评估基本要素满足市场价值定义的要求时，一般选择市场价值作为评估结论的价值类型。</w:t>
      </w:r>
    </w:p>
    <w:p w14:paraId="37C2EAE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资产评估专业人员选择市场价值作为价值类型，应当知晓同一资产在不同市场的价值可能存在差异。</w:t>
      </w:r>
    </w:p>
    <w:p w14:paraId="4A440E56">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第十七条</w:t>
      </w:r>
      <w:r>
        <w:rPr>
          <w:rFonts w:hint="eastAsia" w:ascii="宋体" w:hAnsi="宋体" w:eastAsia="宋体" w:cs="宋体"/>
          <w:color w:val="000000"/>
          <w:kern w:val="0"/>
          <w:sz w:val="24"/>
          <w:shd w:val="clear" w:color="auto" w:fill="FFFFFF"/>
        </w:rPr>
        <w:t>　执行资产评估业务，当评估业务针对的是特定投资者或者某一类投资者，并在评估业务执行过程中充分考虑并使用了仅适用于特定投资者或者某一类投资者的特定评估资料和经济技术参数时，通常选择投资价值作为评估结论的价值类型。</w:t>
      </w:r>
    </w:p>
    <w:p w14:paraId="798B18D1">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第十八条</w:t>
      </w:r>
      <w:r>
        <w:rPr>
          <w:rFonts w:hint="eastAsia" w:ascii="宋体" w:hAnsi="宋体" w:eastAsia="宋体" w:cs="宋体"/>
          <w:color w:val="000000"/>
          <w:kern w:val="0"/>
          <w:sz w:val="24"/>
          <w:shd w:val="clear" w:color="auto" w:fill="FFFFFF"/>
        </w:rPr>
        <w:t>　执行资产评估业务，评估对象是企业或者整体资产中的要素资产，并在评估业务执行过程中只考虑了该要素资产正在使用的方式和贡献程度，没有考虑该资产作为独立资产所具有的效用及在公开市场上交易等对评估结论的影响，通常选择在用价值作为评估结论的价值类型。</w:t>
      </w:r>
    </w:p>
    <w:p w14:paraId="492B9AB6">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第十九条</w:t>
      </w:r>
      <w:r>
        <w:rPr>
          <w:rFonts w:hint="eastAsia" w:ascii="宋体" w:hAnsi="宋体" w:eastAsia="宋体" w:cs="宋体"/>
          <w:color w:val="000000"/>
          <w:kern w:val="0"/>
          <w:sz w:val="24"/>
          <w:shd w:val="clear" w:color="auto" w:fill="FFFFFF"/>
        </w:rPr>
        <w:t>　执行资产评估业务，当评估对象面临被迫出售、快速变现或者评估对象具有潜在被迫出售、快速变现等情况时，通常选择清算价值作为评估结论的价值类型。</w:t>
      </w:r>
    </w:p>
    <w:p w14:paraId="7F0AF5E7">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第二十条</w:t>
      </w:r>
      <w:r>
        <w:rPr>
          <w:rFonts w:hint="eastAsia" w:ascii="宋体" w:hAnsi="宋体" w:eastAsia="宋体" w:cs="宋体"/>
          <w:color w:val="000000"/>
          <w:kern w:val="0"/>
          <w:sz w:val="24"/>
          <w:shd w:val="clear" w:color="auto" w:fill="FFFFFF"/>
        </w:rPr>
        <w:t>　执行资产评估业务，当评估对象无法使用或者不宜整体使用时，通常考虑评估对象的拆零变现，并选择残余价值作为评估结论的价值类型。</w:t>
      </w:r>
    </w:p>
    <w:p w14:paraId="3F8FAF36">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第二十一条</w:t>
      </w:r>
      <w:r>
        <w:rPr>
          <w:rFonts w:hint="eastAsia" w:ascii="宋体" w:hAnsi="宋体" w:eastAsia="宋体" w:cs="宋体"/>
          <w:color w:val="000000"/>
          <w:kern w:val="0"/>
          <w:sz w:val="24"/>
          <w:shd w:val="clear" w:color="auto" w:fill="FFFFFF"/>
        </w:rPr>
        <w:t>　执行以抵（质）押为目的的资产评估业务，应当根据《中华人民共和国担保法》等相关法律、行政法规及金融监管机关的规定选择评估结论的价值类型；相关法律、行政法规及金融监管机关没有规定的，可以根据实际情况选择市场价值或者市场价值以外的价值类型作为抵（质）押物评估结论的价值类型。</w:t>
      </w:r>
    </w:p>
    <w:p w14:paraId="78E45650">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第二十二条</w:t>
      </w:r>
      <w:r>
        <w:rPr>
          <w:rFonts w:hint="eastAsia" w:ascii="宋体" w:hAnsi="宋体" w:eastAsia="宋体" w:cs="宋体"/>
          <w:color w:val="000000"/>
          <w:kern w:val="0"/>
          <w:sz w:val="24"/>
          <w:shd w:val="clear" w:color="auto" w:fill="FFFFFF"/>
        </w:rPr>
        <w:t>　执行以税收为目的的资产评估业务，应当根据税法等相关法律、行政法规规定选择评估结论的价值类型；相关法律、行政法规没有规定的，可以根据实际情况选择市场价值或者市场价值以外的价值类型作为课税对象评估结论的价值类型。</w:t>
      </w:r>
    </w:p>
    <w:p w14:paraId="234E6A78">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第二十三条</w:t>
      </w:r>
      <w:r>
        <w:rPr>
          <w:rFonts w:hint="eastAsia" w:ascii="宋体" w:hAnsi="宋体" w:eastAsia="宋体" w:cs="宋体"/>
          <w:color w:val="000000"/>
          <w:kern w:val="0"/>
          <w:sz w:val="24"/>
          <w:shd w:val="clear" w:color="auto" w:fill="FFFFFF"/>
        </w:rPr>
        <w:t>　执行以保险为目的的资产评估业务，应当根据《中华人民共和国保险法》等相关法律、行政法规或者合同规定选择评估结论的价值类型；相关法律、行政法规或者合同没有规定的，可以根据实际情况选择市场价值或者市场价值以外的价值类型作为保险标的物评估结论的价值类型。</w:t>
      </w:r>
    </w:p>
    <w:p w14:paraId="7F1EB677">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第二十四条</w:t>
      </w:r>
      <w:r>
        <w:rPr>
          <w:rFonts w:hint="eastAsia" w:ascii="宋体" w:hAnsi="宋体" w:eastAsia="宋体" w:cs="宋体"/>
          <w:color w:val="000000"/>
          <w:kern w:val="0"/>
          <w:sz w:val="24"/>
          <w:shd w:val="clear" w:color="auto" w:fill="FFFFFF"/>
        </w:rPr>
        <w:t>　执行以财务报告为目的的资产评估业务，应当根据会计准则或者相关会计核算与披露的具体要求、评估对象等相关条件明确价值类型，会计准则规定的计量属性可以理解为相对应的资产评估价值类型。</w:t>
      </w:r>
    </w:p>
    <w:p w14:paraId="66F15CA6">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第二十五条</w:t>
      </w:r>
      <w:r>
        <w:rPr>
          <w:rFonts w:hint="eastAsia" w:ascii="宋体" w:hAnsi="宋体" w:eastAsia="宋体" w:cs="宋体"/>
          <w:color w:val="000000"/>
          <w:kern w:val="0"/>
          <w:sz w:val="24"/>
          <w:shd w:val="clear" w:color="auto" w:fill="FFFFFF"/>
        </w:rPr>
        <w:t>　执行资产评估业务，应当根据《资产评估执业准则——资产评估报告》对价值类型及其定义进行披露。</w:t>
      </w:r>
    </w:p>
    <w:p w14:paraId="53833D36">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第四章　附则</w:t>
      </w:r>
    </w:p>
    <w:p w14:paraId="6EFDEC64">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第二十六条</w:t>
      </w:r>
      <w:r>
        <w:rPr>
          <w:rFonts w:hint="eastAsia" w:ascii="宋体" w:hAnsi="宋体" w:eastAsia="宋体" w:cs="宋体"/>
          <w:color w:val="000000"/>
          <w:kern w:val="0"/>
          <w:sz w:val="24"/>
          <w:shd w:val="clear" w:color="auto" w:fill="FFFFFF"/>
        </w:rPr>
        <w:t>　本指导意见自2017年10月1日起施行。中国资产评估协会于2007年11月28日发布的《关于印发〈资产评估准则——评估报告〉等7项资产评估准则的通知》（中评协〔2007〕189号）中的《资产评估价值类型指导意见》同时废止。</w:t>
      </w:r>
    </w:p>
    <w:p w14:paraId="3C4CE89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br w:type="page"/>
      </w:r>
    </w:p>
    <w:p w14:paraId="07A85941">
      <w:pPr>
        <w:pStyle w:val="5"/>
        <w:spacing w:line="440" w:lineRule="atLeast"/>
        <w:jc w:val="center"/>
        <w:rPr>
          <w:rFonts w:ascii="宋体" w:hAnsi="宋体" w:eastAsia="宋体" w:cs="宋体"/>
        </w:rPr>
      </w:pPr>
      <w:bookmarkStart w:id="134" w:name="_Toc2436"/>
      <w:r>
        <w:rPr>
          <w:rFonts w:hint="eastAsia" w:ascii="宋体" w:hAnsi="宋体" w:eastAsia="宋体" w:cs="宋体"/>
        </w:rPr>
        <w:t>资产评估对象法律权属指导意见</w:t>
      </w:r>
      <w:bookmarkEnd w:id="134"/>
    </w:p>
    <w:p w14:paraId="294847C7">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第一条</w:t>
      </w:r>
      <w:r>
        <w:rPr>
          <w:rFonts w:hint="eastAsia" w:ascii="宋体" w:hAnsi="宋体" w:eastAsia="宋体" w:cs="宋体"/>
          <w:color w:val="000000"/>
          <w:kern w:val="0"/>
          <w:sz w:val="24"/>
          <w:shd w:val="clear" w:color="auto" w:fill="FFFFFF"/>
        </w:rPr>
        <w:t>　为规范资产评估机构及其资产评估专业人员执业行为，保护资产评估当事人合法权益和公共利益，根据《资产评估基本准则》制定本指导意见。</w:t>
      </w:r>
    </w:p>
    <w:p w14:paraId="22BCC7EA">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第二条</w:t>
      </w:r>
      <w:r>
        <w:rPr>
          <w:rFonts w:hint="eastAsia" w:ascii="宋体" w:hAnsi="宋体" w:eastAsia="宋体" w:cs="宋体"/>
          <w:color w:val="000000"/>
          <w:kern w:val="0"/>
          <w:sz w:val="24"/>
          <w:shd w:val="clear" w:color="auto" w:fill="FFFFFF"/>
        </w:rPr>
        <w:t>　本指导意见所称资产评估对象法律权属，是指资产评估对象的所有权和与所有权有关的其他财产权利。</w:t>
      </w:r>
    </w:p>
    <w:p w14:paraId="5CD81BEC">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第三条</w:t>
      </w:r>
      <w:r>
        <w:rPr>
          <w:rFonts w:hint="eastAsia" w:ascii="宋体" w:hAnsi="宋体" w:eastAsia="宋体" w:cs="宋体"/>
          <w:color w:val="000000"/>
          <w:kern w:val="0"/>
          <w:sz w:val="24"/>
          <w:shd w:val="clear" w:color="auto" w:fill="FFFFFF"/>
        </w:rPr>
        <w:t>　委托人和其他相关当事人委托资产评估业务，应当依法提供资产评估对象法律权属等资料，并保证其真实性、完整性、合法性。</w:t>
      </w:r>
    </w:p>
    <w:p w14:paraId="40A06DCB">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第四条</w:t>
      </w:r>
      <w:r>
        <w:rPr>
          <w:rFonts w:hint="eastAsia" w:ascii="宋体" w:hAnsi="宋体" w:eastAsia="宋体" w:cs="宋体"/>
          <w:color w:val="000000"/>
          <w:kern w:val="0"/>
          <w:sz w:val="24"/>
          <w:shd w:val="clear" w:color="auto" w:fill="FFFFFF"/>
        </w:rPr>
        <w:t>　资产评估对象法律权属对理解资产评估结论有重大影响，执行资产评估业务应当予以关注并恰当披露。</w:t>
      </w:r>
    </w:p>
    <w:p w14:paraId="6471631C">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第五条</w:t>
      </w:r>
      <w:r>
        <w:rPr>
          <w:rFonts w:hint="eastAsia" w:ascii="宋体" w:hAnsi="宋体" w:eastAsia="宋体" w:cs="宋体"/>
          <w:color w:val="000000"/>
          <w:kern w:val="0"/>
          <w:sz w:val="24"/>
          <w:shd w:val="clear" w:color="auto" w:fill="FFFFFF"/>
        </w:rPr>
        <w:t>　执行资产评估业务，应当明确告知委托人和其他相关当事人，执行资产评估业务的目的是对资产评估对象价值进行估算并发表专业意见，对资产评估对象法律权属确认或者发表意见超出资产评估专业人员的执业范围。资产评估专业人员不得对资产评估对象的法律权属提供保证。</w:t>
      </w:r>
    </w:p>
    <w:p w14:paraId="303F1C86">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第六条</w:t>
      </w:r>
      <w:r>
        <w:rPr>
          <w:rFonts w:hint="eastAsia" w:ascii="宋体" w:hAnsi="宋体" w:eastAsia="宋体" w:cs="宋体"/>
          <w:color w:val="000000"/>
          <w:kern w:val="0"/>
          <w:sz w:val="24"/>
          <w:shd w:val="clear" w:color="auto" w:fill="FFFFFF"/>
        </w:rPr>
        <w:t>　对于法律权属不清、存在瑕疵，权属关系复杂、权属资料不完备的资产评估对象，资产评估专业人员应当对其法律权属予以特别关注，要求委托人和其他相关当事人提供承诺函或者说明函予以充分说明。资产评估机构应当根据前述法律权属状况可能对资产评估结论和资产评估目的所对应经济行为造成的影响，考虑是否受理资产评估业务。</w:t>
      </w:r>
    </w:p>
    <w:p w14:paraId="4E1B2E2B">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第七条</w:t>
      </w:r>
      <w:r>
        <w:rPr>
          <w:rFonts w:hint="eastAsia" w:ascii="宋体" w:hAnsi="宋体" w:eastAsia="宋体" w:cs="宋体"/>
          <w:color w:val="000000"/>
          <w:kern w:val="0"/>
          <w:sz w:val="24"/>
          <w:shd w:val="clear" w:color="auto" w:fill="FFFFFF"/>
        </w:rPr>
        <w:t>　资产评估专业人员发现委托人和其他相关当事人提供虚假的法律权属资料，或者委托人和其他相关当事人拒绝或者无法提供执行资产评估业务必要的权属证明，资产评估机构有权依法拒绝其履行合同的要求。</w:t>
      </w:r>
    </w:p>
    <w:p w14:paraId="3CAF9E68">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第八条</w:t>
      </w:r>
      <w:r>
        <w:rPr>
          <w:rFonts w:hint="eastAsia" w:ascii="宋体" w:hAnsi="宋体" w:eastAsia="宋体" w:cs="宋体"/>
          <w:color w:val="000000"/>
          <w:kern w:val="0"/>
          <w:sz w:val="24"/>
          <w:shd w:val="clear" w:color="auto" w:fill="FFFFFF"/>
        </w:rPr>
        <w:t>　执行资产评估业务，应当对委托人和其他相关当事人提供的资产评估对象法律权属资料进行核查验证，并对核查验证情况予以披露。</w:t>
      </w:r>
    </w:p>
    <w:p w14:paraId="2CA8B16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对资产评估对象法律权属资料核查验证的方式通常包括核对原件与复印件的一致性、通过公开的信息渠道进行查询、到相关产权登记部门现场查询等。</w:t>
      </w:r>
    </w:p>
    <w:p w14:paraId="1F254A6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资产评估对象是股权的，应当按照重要性原则，对相关资产的法律权属资料进行核查验证。</w:t>
      </w:r>
    </w:p>
    <w:p w14:paraId="57E9AE9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超出资产评估专业人员能力的核查验证事项，资产评估专业人员可以委托或者要求委托人委托律师事务所等相关机构出具专业意见。无法核查验证的事项，可以根据其对评估结论的影响程度采取在资产评估报告中披露等措施，直至终止执行资产评估业务。</w:t>
      </w:r>
    </w:p>
    <w:p w14:paraId="66805C7E">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第九条</w:t>
      </w:r>
      <w:r>
        <w:rPr>
          <w:rFonts w:hint="eastAsia" w:ascii="宋体" w:hAnsi="宋体" w:eastAsia="宋体" w:cs="宋体"/>
          <w:color w:val="000000"/>
          <w:kern w:val="0"/>
          <w:sz w:val="24"/>
          <w:shd w:val="clear" w:color="auto" w:fill="FFFFFF"/>
        </w:rPr>
        <w:t>　资产评估专业人员应当在资产评估报告中描述资产评估对象法律权属，对评估对象法律权属存在的瑕疵予以披露。</w:t>
      </w:r>
    </w:p>
    <w:p w14:paraId="446BA80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资产评估专业人员以设定产权为前提进行资产评估，应当对资产评估对象法律权属和设定产权前提予以充分披露。</w:t>
      </w:r>
    </w:p>
    <w:p w14:paraId="3BE74C78">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第十条</w:t>
      </w:r>
      <w:r>
        <w:rPr>
          <w:rFonts w:hint="eastAsia" w:ascii="宋体" w:hAnsi="宋体" w:eastAsia="宋体" w:cs="宋体"/>
          <w:color w:val="000000"/>
          <w:kern w:val="0"/>
          <w:sz w:val="24"/>
          <w:shd w:val="clear" w:color="auto" w:fill="FFFFFF"/>
        </w:rPr>
        <w:t>　委托人和其他相关当事人提供的资产评估对象法律权属资料、核查验证情况以及其他相关说明材料，应当在资产评估报告和工作底稿中反映。</w:t>
      </w:r>
    </w:p>
    <w:p w14:paraId="3C5CF686">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第十一条</w:t>
      </w:r>
      <w:r>
        <w:rPr>
          <w:rFonts w:hint="eastAsia" w:ascii="宋体" w:hAnsi="宋体" w:eastAsia="宋体" w:cs="宋体"/>
          <w:color w:val="000000"/>
          <w:kern w:val="0"/>
          <w:sz w:val="24"/>
          <w:shd w:val="clear" w:color="auto" w:fill="FFFFFF"/>
        </w:rPr>
        <w:t>　本指导意见自2017年10月1日起施行。中国注册会计师协会于2003年1月28日发布的《关于印发〈注册资产评估师关注评估对象法律权属指导意见〉的通知》（会协〔2003〕18号）同时废止。</w:t>
      </w:r>
      <w:bookmarkStart w:id="135" w:name="不良资产"/>
      <w:bookmarkEnd w:id="135"/>
    </w:p>
    <w:p w14:paraId="08BBB3D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br w:type="page"/>
      </w:r>
    </w:p>
    <w:p w14:paraId="763AC4A7">
      <w:pPr>
        <w:pStyle w:val="5"/>
        <w:spacing w:line="440" w:lineRule="atLeast"/>
        <w:jc w:val="center"/>
        <w:rPr>
          <w:rFonts w:ascii="宋体" w:hAnsi="宋体" w:eastAsia="宋体" w:cs="宋体"/>
        </w:rPr>
      </w:pPr>
      <w:bookmarkStart w:id="136" w:name="_Toc19591"/>
      <w:r>
        <w:rPr>
          <w:rFonts w:hint="eastAsia" w:ascii="宋体" w:hAnsi="宋体" w:eastAsia="宋体" w:cs="宋体"/>
        </w:rPr>
        <w:t>专利资产评估指导意见</w:t>
      </w:r>
      <w:bookmarkEnd w:id="136"/>
    </w:p>
    <w:p w14:paraId="5A6FE4DC">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第一章</w:t>
      </w:r>
      <w:r>
        <w:rPr>
          <w:rFonts w:hint="eastAsia" w:ascii="宋体" w:hAnsi="宋体" w:eastAsia="宋体" w:cs="宋体"/>
          <w:color w:val="000000"/>
          <w:kern w:val="0"/>
          <w:sz w:val="24"/>
          <w:shd w:val="clear" w:color="auto" w:fill="FFFFFF"/>
        </w:rPr>
        <w:t>　</w:t>
      </w:r>
      <w:r>
        <w:rPr>
          <w:rFonts w:hint="eastAsia" w:ascii="黑体" w:hAnsi="黑体" w:eastAsia="黑体" w:cs="黑体"/>
          <w:bCs/>
          <w:color w:val="000000"/>
          <w:kern w:val="0"/>
          <w:sz w:val="28"/>
          <w:szCs w:val="28"/>
          <w:shd w:val="clear" w:color="auto" w:fill="FFFFFF"/>
        </w:rPr>
        <w:t>总则</w:t>
      </w:r>
    </w:p>
    <w:p w14:paraId="3BB63A15">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第一条</w:t>
      </w:r>
      <w:r>
        <w:rPr>
          <w:rFonts w:hint="eastAsia" w:ascii="宋体" w:hAnsi="宋体" w:eastAsia="宋体" w:cs="宋体"/>
          <w:color w:val="000000"/>
          <w:kern w:val="0"/>
          <w:sz w:val="24"/>
          <w:shd w:val="clear" w:color="auto" w:fill="FFFFFF"/>
        </w:rPr>
        <w:t>　为规范专利资产评估行为，保护资产评估当事人的合法权益和公共利益，根据《资产评估执业准则——无形资产》制定本指导意见。</w:t>
      </w:r>
    </w:p>
    <w:p w14:paraId="2ADA69F1">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第二条</w:t>
      </w:r>
      <w:r>
        <w:rPr>
          <w:rFonts w:hint="eastAsia" w:ascii="宋体" w:hAnsi="宋体" w:eastAsia="宋体" w:cs="宋体"/>
          <w:color w:val="000000"/>
          <w:kern w:val="0"/>
          <w:sz w:val="24"/>
          <w:shd w:val="clear" w:color="auto" w:fill="FFFFFF"/>
        </w:rPr>
        <w:t>　本指导意见所称专利资产，是指专利权人拥有或者控制的，能持续发挥作用并且能带来经济利益的专利权益。</w:t>
      </w:r>
    </w:p>
    <w:p w14:paraId="6D6491B7">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第三条</w:t>
      </w:r>
      <w:r>
        <w:rPr>
          <w:rFonts w:hint="eastAsia" w:ascii="宋体" w:hAnsi="宋体" w:eastAsia="宋体" w:cs="宋体"/>
          <w:color w:val="000000"/>
          <w:kern w:val="0"/>
          <w:sz w:val="24"/>
          <w:shd w:val="clear" w:color="auto" w:fill="FFFFFF"/>
        </w:rPr>
        <w:t>　本指导意见所称专利资产评估，是指资产评估机构及其资产评估专业人员遵守法律、行政法规和资产评估准则，根据委托对评估基准日特定目的下的专利资产价值进行评定和估算，并出具资产评估报告的专业服务行为。</w:t>
      </w:r>
    </w:p>
    <w:p w14:paraId="60F8309E">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第四条</w:t>
      </w:r>
      <w:r>
        <w:rPr>
          <w:rFonts w:hint="eastAsia" w:ascii="宋体" w:hAnsi="宋体" w:eastAsia="宋体" w:cs="宋体"/>
          <w:color w:val="000000"/>
          <w:kern w:val="0"/>
          <w:sz w:val="24"/>
          <w:shd w:val="clear" w:color="auto" w:fill="FFFFFF"/>
        </w:rPr>
        <w:t>　执行专利资产评估业务，应当遵守本指导意见。</w:t>
      </w:r>
    </w:p>
    <w:p w14:paraId="444EED47">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第二章</w:t>
      </w:r>
      <w:r>
        <w:rPr>
          <w:rFonts w:hint="eastAsia" w:ascii="宋体" w:hAnsi="宋体" w:eastAsia="宋体" w:cs="宋体"/>
          <w:color w:val="000000"/>
          <w:kern w:val="0"/>
          <w:sz w:val="24"/>
          <w:shd w:val="clear" w:color="auto" w:fill="FFFFFF"/>
        </w:rPr>
        <w:t>　</w:t>
      </w:r>
      <w:r>
        <w:rPr>
          <w:rFonts w:hint="eastAsia" w:ascii="黑体" w:hAnsi="黑体" w:eastAsia="黑体" w:cs="黑体"/>
          <w:bCs/>
          <w:color w:val="000000"/>
          <w:kern w:val="0"/>
          <w:sz w:val="28"/>
          <w:szCs w:val="28"/>
          <w:shd w:val="clear" w:color="auto" w:fill="FFFFFF"/>
        </w:rPr>
        <w:t>基本遵循</w:t>
      </w:r>
    </w:p>
    <w:p w14:paraId="34CF4251">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第五条</w:t>
      </w:r>
      <w:r>
        <w:rPr>
          <w:rFonts w:hint="eastAsia" w:ascii="宋体" w:hAnsi="宋体" w:eastAsia="宋体" w:cs="宋体"/>
          <w:color w:val="000000"/>
          <w:kern w:val="0"/>
          <w:sz w:val="24"/>
          <w:shd w:val="clear" w:color="auto" w:fill="FFFFFF"/>
        </w:rPr>
        <w:t>　资产评估机构及其资产评估专业人员开展专利权资产评估业务，应当遵守法律、行政法规的规定，坚持独立、客观、公正的原则，诚实守信，勤勉尽责，谨慎从业，遵守职业道德规范，自觉维护职业形象，不得从事损害职业形象的活动。</w:t>
      </w:r>
    </w:p>
    <w:p w14:paraId="4D61379E">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第六条</w:t>
      </w:r>
      <w:r>
        <w:rPr>
          <w:rFonts w:hint="eastAsia" w:ascii="宋体" w:hAnsi="宋体" w:eastAsia="宋体" w:cs="宋体"/>
          <w:color w:val="000000"/>
          <w:kern w:val="0"/>
          <w:sz w:val="24"/>
          <w:shd w:val="clear" w:color="auto" w:fill="FFFFFF"/>
        </w:rPr>
        <w:t>　资产评估机构及其资产评估专业人员开展专利资产评估业务，应当独立进行分析和估算并形成专业意见，拒绝委托人或者其他相关当事人的干预，不得直接以预先设定的价值作为评估结论。</w:t>
      </w:r>
    </w:p>
    <w:p w14:paraId="7D6D1019">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第七条</w:t>
      </w:r>
      <w:r>
        <w:rPr>
          <w:rFonts w:hint="eastAsia" w:ascii="宋体" w:hAnsi="宋体" w:eastAsia="宋体" w:cs="宋体"/>
          <w:color w:val="000000"/>
          <w:kern w:val="0"/>
          <w:sz w:val="24"/>
          <w:shd w:val="clear" w:color="auto" w:fill="FFFFFF"/>
        </w:rPr>
        <w:t>　执行专利资产评估业务，应当具备专利资产评估的专业知识和实践经验，能够胜任所执行的专利资产评估业务。</w:t>
      </w:r>
    </w:p>
    <w:p w14:paraId="3BFDBDA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执行某项特定业务缺乏特定的专业知识和经验时，应当采取弥补措施，包括利用专家及相关报告等。</w:t>
      </w:r>
    </w:p>
    <w:p w14:paraId="55F0D295">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第八条</w:t>
      </w:r>
      <w:r>
        <w:rPr>
          <w:rFonts w:hint="eastAsia" w:ascii="宋体" w:hAnsi="宋体" w:eastAsia="宋体" w:cs="宋体"/>
          <w:color w:val="000000"/>
          <w:kern w:val="0"/>
          <w:sz w:val="24"/>
          <w:shd w:val="clear" w:color="auto" w:fill="FFFFFF"/>
        </w:rPr>
        <w:t>　执行企业价值评估中的专利资产评估业务，应当了解在对持续经营前提下的企业价值进行评估时，专利资产作为企业资产的组成部分的价值可能有别于作为单项资产的价值，其价值取决于它对企业价值的贡献程度。</w:t>
      </w:r>
    </w:p>
    <w:p w14:paraId="51D27D0A">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第九条</w:t>
      </w:r>
      <w:r>
        <w:rPr>
          <w:rFonts w:hint="eastAsia" w:ascii="宋体" w:hAnsi="宋体" w:eastAsia="宋体" w:cs="宋体"/>
          <w:color w:val="000000"/>
          <w:kern w:val="0"/>
          <w:sz w:val="24"/>
          <w:shd w:val="clear" w:color="auto" w:fill="FFFFFF"/>
        </w:rPr>
        <w:t>　执行专利资产评估业务，应当在考虑评估目的、市场条件、评估对象自身条件等因素的基础上，选择价值类型。</w:t>
      </w:r>
    </w:p>
    <w:p w14:paraId="005ADDB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以质押为目的可以选择市场价值或者市场价值以外的价值类型，以交易为目的通常选择市场价值或者投资价值，以财务报告为目的通常根据会计准则相关要求选择相应的价值类型。</w:t>
      </w:r>
    </w:p>
    <w:p w14:paraId="162AE77B">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第十条</w:t>
      </w:r>
      <w:r>
        <w:rPr>
          <w:rFonts w:hint="eastAsia" w:ascii="宋体" w:hAnsi="宋体" w:eastAsia="宋体" w:cs="宋体"/>
          <w:color w:val="000000"/>
          <w:kern w:val="0"/>
          <w:sz w:val="24"/>
          <w:shd w:val="clear" w:color="auto" w:fill="FFFFFF"/>
        </w:rPr>
        <w:t>　执行专利资产评估业务，应当确定评估假设和限制条件。</w:t>
      </w:r>
    </w:p>
    <w:p w14:paraId="476B1855">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第三章</w:t>
      </w:r>
      <w:r>
        <w:rPr>
          <w:rFonts w:hint="eastAsia" w:ascii="宋体" w:hAnsi="宋体" w:eastAsia="宋体" w:cs="宋体"/>
          <w:color w:val="000000"/>
          <w:kern w:val="0"/>
          <w:sz w:val="24"/>
          <w:shd w:val="clear" w:color="auto" w:fill="FFFFFF"/>
        </w:rPr>
        <w:t>　</w:t>
      </w:r>
      <w:r>
        <w:rPr>
          <w:rFonts w:hint="eastAsia" w:ascii="黑体" w:hAnsi="黑体" w:eastAsia="黑体" w:cs="黑体"/>
          <w:bCs/>
          <w:color w:val="000000"/>
          <w:kern w:val="0"/>
          <w:sz w:val="28"/>
          <w:szCs w:val="28"/>
          <w:shd w:val="clear" w:color="auto" w:fill="FFFFFF"/>
        </w:rPr>
        <w:t>资产评估对象</w:t>
      </w:r>
    </w:p>
    <w:p w14:paraId="0D57A6C7">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第十一条</w:t>
      </w:r>
      <w:r>
        <w:rPr>
          <w:rFonts w:hint="eastAsia" w:ascii="宋体" w:hAnsi="宋体" w:eastAsia="宋体" w:cs="宋体"/>
          <w:color w:val="000000"/>
          <w:kern w:val="0"/>
          <w:sz w:val="24"/>
          <w:shd w:val="clear" w:color="auto" w:fill="FFFFFF"/>
        </w:rPr>
        <w:t>　专利资产评估业务的评估对象是指专利资产权益，包括专利所有权和专利使用权。专利使用权是指专利实施许可权,具体包括专利权独占许可、独家许可、普通许可和其他许可形式。</w:t>
      </w:r>
    </w:p>
    <w:p w14:paraId="0188101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执行专利资产评估业务，应当明确专利资产的权利属性。评估对象为专利所有权的，应当关注专利权是否已经许可他人使用及使用权的具体形式，并关注其对专利所有权价值的影响。评估对象为专利使用权的，应当明确专利使用权的许可形式、许可内容及许可期限。</w:t>
      </w:r>
    </w:p>
    <w:p w14:paraId="1C258357">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第十二条</w:t>
      </w:r>
      <w:r>
        <w:rPr>
          <w:rFonts w:hint="eastAsia" w:ascii="宋体" w:hAnsi="宋体" w:eastAsia="宋体" w:cs="宋体"/>
          <w:color w:val="000000"/>
          <w:kern w:val="0"/>
          <w:sz w:val="24"/>
          <w:shd w:val="clear" w:color="auto" w:fill="FFFFFF"/>
        </w:rPr>
        <w:t>　执行专利资产评估业务，应当要求委托人明确专利资产的基本状况。专利资产的基本状况通常包括：</w:t>
      </w:r>
    </w:p>
    <w:p w14:paraId="44A77E9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（一）专利名称；</w:t>
      </w:r>
    </w:p>
    <w:p w14:paraId="277FEEF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（二）专利类别；</w:t>
      </w:r>
    </w:p>
    <w:p w14:paraId="51E30D3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（三）专利申请的国别或者地区；</w:t>
      </w:r>
    </w:p>
    <w:p w14:paraId="065565C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（四）专利申请号或者专利号；</w:t>
      </w:r>
    </w:p>
    <w:p w14:paraId="3B9FEC3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（五）专利的法律状态；</w:t>
      </w:r>
    </w:p>
    <w:p w14:paraId="5B874A7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（六）专利申请日；</w:t>
      </w:r>
    </w:p>
    <w:p w14:paraId="31FE83D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（七）专利授权日；</w:t>
      </w:r>
    </w:p>
    <w:p w14:paraId="6AD6AB1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（八）专利权利要求书所记载的主权利要求；</w:t>
      </w:r>
    </w:p>
    <w:p w14:paraId="582DAD9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（九）专利使用权利。</w:t>
      </w:r>
    </w:p>
    <w:p w14:paraId="7AC9A4A3">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第十三条</w:t>
      </w:r>
      <w:r>
        <w:rPr>
          <w:rFonts w:hint="eastAsia" w:ascii="宋体" w:hAnsi="宋体" w:eastAsia="宋体" w:cs="宋体"/>
          <w:color w:val="000000"/>
          <w:kern w:val="0"/>
          <w:sz w:val="24"/>
          <w:shd w:val="clear" w:color="auto" w:fill="FFFFFF"/>
        </w:rPr>
        <w:t>　执行专利资产评估业务，应当关注专利的法律状态。专利的法律状态通常包括专利申请人或者专利权人及其变更情况，专利所处的专利审批阶段、年费缴纳情况、专利权的终止、专利权的恢复、专利权的质押，以及是否涉及法律诉讼或者处于复审、宣告无效状态。</w:t>
      </w:r>
    </w:p>
    <w:p w14:paraId="19AFB961">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第十四条</w:t>
      </w:r>
      <w:r>
        <w:rPr>
          <w:rFonts w:hint="eastAsia" w:ascii="宋体" w:hAnsi="宋体" w:eastAsia="宋体" w:cs="宋体"/>
          <w:color w:val="000000"/>
          <w:kern w:val="0"/>
          <w:sz w:val="24"/>
          <w:shd w:val="clear" w:color="auto" w:fill="FFFFFF"/>
        </w:rPr>
        <w:t>　执行专利资产评估业务，应当关注专利资产的技术状况、实施状况及获利状况。</w:t>
      </w:r>
    </w:p>
    <w:p w14:paraId="0D80E948">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第十五条</w:t>
      </w:r>
      <w:r>
        <w:rPr>
          <w:rFonts w:hint="eastAsia" w:ascii="宋体" w:hAnsi="宋体" w:eastAsia="宋体" w:cs="宋体"/>
          <w:color w:val="000000"/>
          <w:kern w:val="0"/>
          <w:sz w:val="24"/>
          <w:shd w:val="clear" w:color="auto" w:fill="FFFFFF"/>
        </w:rPr>
        <w:t>　执行专利资产评估业务，应当在要求委托人根据评估对象的具体情况和评估目的对专利资产进行合理的分离或者合并的基础上，恰当进行单项专利资产或者专利资产组合的评估。</w:t>
      </w:r>
    </w:p>
    <w:p w14:paraId="3EAC7B3B">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第十六条</w:t>
      </w:r>
      <w:r>
        <w:rPr>
          <w:rFonts w:hint="eastAsia" w:ascii="宋体" w:hAnsi="宋体" w:eastAsia="宋体" w:cs="宋体"/>
          <w:color w:val="000000"/>
          <w:kern w:val="0"/>
          <w:sz w:val="24"/>
          <w:shd w:val="clear" w:color="auto" w:fill="FFFFFF"/>
        </w:rPr>
        <w:t>　执行质押、诉讼目的的专利资产评估业务，应当要求委托人提交由国家知识产权局出具的专利登记簿副本。评估对象为实用新型、外观设计专利的，应当要求委托人提供专利检索报告，当实用新型、外观设计专利数量较多时，应当选取部分专利由委托人提供检索报告。</w:t>
      </w:r>
    </w:p>
    <w:p w14:paraId="6056F617">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第四章</w:t>
      </w:r>
      <w:r>
        <w:rPr>
          <w:rFonts w:hint="eastAsia" w:ascii="宋体" w:hAnsi="宋体" w:eastAsia="宋体" w:cs="宋体"/>
          <w:color w:val="000000"/>
          <w:kern w:val="0"/>
          <w:sz w:val="24"/>
          <w:shd w:val="clear" w:color="auto" w:fill="FFFFFF"/>
        </w:rPr>
        <w:t>　</w:t>
      </w:r>
      <w:r>
        <w:rPr>
          <w:rFonts w:hint="eastAsia" w:ascii="黑体" w:hAnsi="黑体" w:eastAsia="黑体" w:cs="黑体"/>
          <w:bCs/>
          <w:color w:val="000000"/>
          <w:kern w:val="0"/>
          <w:sz w:val="28"/>
          <w:szCs w:val="28"/>
          <w:shd w:val="clear" w:color="auto" w:fill="FFFFFF"/>
        </w:rPr>
        <w:t>操作要求</w:t>
      </w:r>
    </w:p>
    <w:p w14:paraId="0267ECF3">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第十七条</w:t>
      </w:r>
      <w:r>
        <w:rPr>
          <w:rFonts w:hint="eastAsia" w:ascii="宋体" w:hAnsi="宋体" w:eastAsia="宋体" w:cs="宋体"/>
          <w:color w:val="000000"/>
          <w:kern w:val="0"/>
          <w:sz w:val="24"/>
          <w:shd w:val="clear" w:color="auto" w:fill="FFFFFF"/>
        </w:rPr>
        <w:t>　执行专利资产评估业务，应当对专利及其实施情况进行调查，包括必要的现场调查、市场调查，并收集相关信息、资料等。</w:t>
      </w:r>
    </w:p>
    <w:p w14:paraId="6DB26DE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调查过程收集的相关信息、资料包括：</w:t>
      </w:r>
    </w:p>
    <w:p w14:paraId="01AAC6F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（一）专利资产的权利人及实施企业基本情况；</w:t>
      </w:r>
    </w:p>
    <w:p w14:paraId="05A5617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（二）专利证书、最近一期的专利缴费凭证；</w:t>
      </w:r>
    </w:p>
    <w:p w14:paraId="3D71F7F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（三）专利权利要求书、专利说明书及其附图；</w:t>
      </w:r>
    </w:p>
    <w:p w14:paraId="59BED9A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专利技术的研发过程、技术实验报告，专利资产所属技术领域的发展状况、技术水平、技术成熟度、同类技术竞争状况、技术更新速度等有关信息、资料；如果技术效果需要检测，还应当收集相关产品检测报告；</w:t>
      </w:r>
    </w:p>
    <w:p w14:paraId="700762F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（五）与分析专利产品的适用范围、市场需求、市场前景及市场寿命、相关行业政策发展状况、宏观经济、同类产品的竞争状况、专利产品的获利能力等相关的信息、资料；</w:t>
      </w:r>
    </w:p>
    <w:p w14:paraId="6104372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（六）以往的评估和交易情况，包括专利权转让合同、实施许可合同及其他交易情况。</w:t>
      </w:r>
    </w:p>
    <w:p w14:paraId="2FB17F76">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第十八条</w:t>
      </w:r>
      <w:r>
        <w:rPr>
          <w:rFonts w:hint="eastAsia" w:ascii="宋体" w:hAnsi="宋体" w:eastAsia="宋体" w:cs="宋体"/>
          <w:color w:val="000000"/>
          <w:kern w:val="0"/>
          <w:sz w:val="24"/>
          <w:shd w:val="clear" w:color="auto" w:fill="FFFFFF"/>
        </w:rPr>
        <w:t>　执行专利资产评估业务，应当尽可能获取与专利资产相关的财务数据及专利实施企业经审计的财务报表，对专利资产的相关财务数据进行分析。</w:t>
      </w:r>
    </w:p>
    <w:p w14:paraId="7E4B8EE2">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第十九条</w:t>
      </w:r>
      <w:r>
        <w:rPr>
          <w:rFonts w:hint="eastAsia" w:ascii="宋体" w:hAnsi="宋体" w:eastAsia="宋体" w:cs="宋体"/>
          <w:color w:val="000000"/>
          <w:kern w:val="0"/>
          <w:sz w:val="24"/>
          <w:shd w:val="clear" w:color="auto" w:fill="FFFFFF"/>
        </w:rPr>
        <w:t>　执行专利资产评估业务，应当分析下列事项及其对专利资产价值的影响：</w:t>
      </w:r>
    </w:p>
    <w:p w14:paraId="7F44407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（一）专利权利要求书、专利说明书及其附图的内容；</w:t>
      </w:r>
    </w:p>
    <w:p w14:paraId="533D897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（二）专利权利要求书所记载的专利技术产品与其实施企业所生产产品的对应性。</w:t>
      </w:r>
    </w:p>
    <w:p w14:paraId="2C5C93B1">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第二十条</w:t>
      </w:r>
      <w:r>
        <w:rPr>
          <w:rFonts w:hint="eastAsia" w:ascii="宋体" w:hAnsi="宋体" w:eastAsia="宋体" w:cs="宋体"/>
          <w:color w:val="000000"/>
          <w:kern w:val="0"/>
          <w:sz w:val="24"/>
          <w:shd w:val="clear" w:color="auto" w:fill="FFFFFF"/>
        </w:rPr>
        <w:t>　执行专利资产评估业务，应当对影响专利资产价值的法律因素进行分析，通常包括专利资产的权利属性及权利限制、专利类别、专利的法律状态、专利剩余法定保护期限、专利的保护范围等。资产评估专业人员应当关注专利所有权与使用权的差异、专利使用权的具体形式、以往许可和转让的情况对专利资产价值的影响。</w:t>
      </w:r>
    </w:p>
    <w:p w14:paraId="569FE5E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资产评估专业人员应当关注发明、实用新型、外观设计的审批条件、审批程序、保护范围、保护期限、审批阶段的差异对专利资产价值的影响。</w:t>
      </w:r>
    </w:p>
    <w:p w14:paraId="7CC416A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资产评估专业人员应当关注专利所处审批阶段，专利是否涉及法律诉讼或者处于复审、宣告无效状态，以及专利有效性维持情况对专利资产价值的影响。</w:t>
      </w:r>
    </w:p>
    <w:p w14:paraId="28448858">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第二十一条</w:t>
      </w:r>
      <w:r>
        <w:rPr>
          <w:rFonts w:hint="eastAsia" w:ascii="宋体" w:hAnsi="宋体" w:eastAsia="宋体" w:cs="宋体"/>
          <w:color w:val="000000"/>
          <w:kern w:val="0"/>
          <w:sz w:val="24"/>
          <w:shd w:val="clear" w:color="auto" w:fill="FFFFFF"/>
        </w:rPr>
        <w:t>　执行专利资产评估业务，应当对影响专利资产价值的技术因素进行分析，通常包括替代性、先进性、创新性、成熟度、实用性、防御性、垄断性等。</w:t>
      </w:r>
    </w:p>
    <w:p w14:paraId="324BCECA">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第二十二条</w:t>
      </w:r>
      <w:r>
        <w:rPr>
          <w:rFonts w:hint="eastAsia" w:ascii="宋体" w:hAnsi="宋体" w:eastAsia="宋体" w:cs="宋体"/>
          <w:color w:val="000000"/>
          <w:kern w:val="0"/>
          <w:sz w:val="24"/>
          <w:shd w:val="clear" w:color="auto" w:fill="FFFFFF"/>
        </w:rPr>
        <w:t>　对影响专利资产价值的经济因素进行分析时，通常包括专利资产的取得成本、获利状况、许可费、类似资产的交易价格、市场应用情况、市场规模情况、市场占有率、竞争情况等。</w:t>
      </w:r>
    </w:p>
    <w:p w14:paraId="64DB3268">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第二十三条</w:t>
      </w:r>
      <w:r>
        <w:rPr>
          <w:rFonts w:hint="eastAsia" w:ascii="宋体" w:hAnsi="宋体" w:eastAsia="宋体" w:cs="宋体"/>
          <w:color w:val="000000"/>
          <w:kern w:val="0"/>
          <w:sz w:val="24"/>
          <w:shd w:val="clear" w:color="auto" w:fill="FFFFFF"/>
        </w:rPr>
        <w:t>　当专利资产与其他资产共同发挥作用时，资产评估专业人员应当分析专利资产的作用，确定该专利资产的价值。</w:t>
      </w:r>
    </w:p>
    <w:p w14:paraId="781AAE8D">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第二十四条</w:t>
      </w:r>
      <w:r>
        <w:rPr>
          <w:rFonts w:hint="eastAsia" w:ascii="宋体" w:hAnsi="宋体" w:eastAsia="宋体" w:cs="宋体"/>
          <w:color w:val="000000"/>
          <w:kern w:val="0"/>
          <w:sz w:val="24"/>
          <w:shd w:val="clear" w:color="auto" w:fill="FFFFFF"/>
        </w:rPr>
        <w:t>　执行专利资产评估业务，应当关注经营条件等对专利资产作用和价值的影响。</w:t>
      </w:r>
    </w:p>
    <w:p w14:paraId="6FE8CF24">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第二十五条</w:t>
      </w:r>
      <w:r>
        <w:rPr>
          <w:rFonts w:hint="eastAsia" w:ascii="宋体" w:hAnsi="宋体" w:eastAsia="宋体" w:cs="宋体"/>
          <w:color w:val="000000"/>
          <w:kern w:val="0"/>
          <w:sz w:val="24"/>
          <w:shd w:val="clear" w:color="auto" w:fill="FFFFFF"/>
        </w:rPr>
        <w:t>　执行专利资产法律诉讼评估业务，应当关注相关案情基本情况、经过质证的资料以及专利权的历史诉讼情况。</w:t>
      </w:r>
    </w:p>
    <w:p w14:paraId="256EF9C4">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第二十六条</w:t>
      </w:r>
      <w:r>
        <w:rPr>
          <w:rFonts w:hint="eastAsia" w:ascii="宋体" w:hAnsi="宋体" w:eastAsia="宋体" w:cs="宋体"/>
          <w:color w:val="000000"/>
          <w:kern w:val="0"/>
          <w:sz w:val="24"/>
          <w:shd w:val="clear" w:color="auto" w:fill="FFFFFF"/>
        </w:rPr>
        <w:t>　确定专利资产价值的评估方法包括市场法、收益法和成本法三种基本方法及其衍生方法。</w:t>
      </w:r>
    </w:p>
    <w:p w14:paraId="0EFE3C2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执行专利资产评估业务，应当根据评估目的、评估对象、价值类型、资料收集等情况，分析上述三种基本方法的适用性，选择评估方法。</w:t>
      </w:r>
    </w:p>
    <w:p w14:paraId="1318DF42">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第二十七条</w:t>
      </w:r>
      <w:r>
        <w:rPr>
          <w:rFonts w:hint="eastAsia" w:ascii="宋体" w:hAnsi="宋体" w:eastAsia="宋体" w:cs="宋体"/>
          <w:color w:val="000000"/>
          <w:kern w:val="0"/>
          <w:sz w:val="24"/>
          <w:shd w:val="clear" w:color="auto" w:fill="FFFFFF"/>
        </w:rPr>
        <w:t>　运用收益法进行专利资产评估时，应当收集专利产品的相关收入、成本、费用等数据。</w:t>
      </w:r>
    </w:p>
    <w:p w14:paraId="3953843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资产评估专业人员应当对委托人或者其他相关当事人提供的专利未来实施情况和收益状况的预测进行分析、判断和调整，确信相关预测的合理性。</w:t>
      </w:r>
    </w:p>
    <w:p w14:paraId="44A9427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资产评估专业人员应当根据专利资产的具体情况选择收益口径。</w:t>
      </w:r>
    </w:p>
    <w:p w14:paraId="3BF1731A">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第二十八条</w:t>
      </w:r>
      <w:r>
        <w:rPr>
          <w:rFonts w:hint="eastAsia" w:ascii="宋体" w:hAnsi="宋体" w:eastAsia="宋体" w:cs="宋体"/>
          <w:color w:val="000000"/>
          <w:kern w:val="0"/>
          <w:sz w:val="24"/>
          <w:shd w:val="clear" w:color="auto" w:fill="FFFFFF"/>
        </w:rPr>
        <w:t>　采用收益法进行专利资产评估时，应当确定预期收益。</w:t>
      </w:r>
    </w:p>
    <w:p w14:paraId="3A2F022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专利资产的预期收益应当是专利的使用而额外带来的收益，可以通过增量收益、节省许可费、收益分成或者超额收益等方式估算。确定预期收益时，应当区分并剔除与委托评估的专利资产无关的业务产生的收益，并关注专利产品或者服务所属行业的市场规模、市场地位及相关企业的经营情况。</w:t>
      </w:r>
    </w:p>
    <w:p w14:paraId="2A5775EF">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第二十九条</w:t>
      </w:r>
      <w:r>
        <w:rPr>
          <w:rFonts w:hint="eastAsia" w:ascii="宋体" w:hAnsi="宋体" w:eastAsia="宋体" w:cs="宋体"/>
          <w:color w:val="000000"/>
          <w:kern w:val="0"/>
          <w:sz w:val="24"/>
          <w:shd w:val="clear" w:color="auto" w:fill="FFFFFF"/>
        </w:rPr>
        <w:t>　采用收益法进行专利资产评估时应当合理确定专利资产收益期限。收益期限可以通过分析专利资产的技术寿命、技术成熟度、专利法定寿命及与专利资产相关的合同约定期限等确定。</w:t>
      </w:r>
    </w:p>
    <w:p w14:paraId="02A00608">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第三十条</w:t>
      </w:r>
      <w:r>
        <w:rPr>
          <w:rFonts w:hint="eastAsia" w:ascii="宋体" w:hAnsi="宋体" w:eastAsia="宋体" w:cs="宋体"/>
          <w:color w:val="000000"/>
          <w:kern w:val="0"/>
          <w:sz w:val="24"/>
          <w:shd w:val="clear" w:color="auto" w:fill="FFFFFF"/>
        </w:rPr>
        <w:t>　采用收益法进行专利资产评估时应当合理确定折现率。折现率可以通过分析评估基准日的利率、投资回报率，以及专利实施过程中的技术、经营、市场、资金等因素确定。专利资产折现率可以采用无风险报酬率加风险报酬率的方式确定。专利资产折现率应当与预期收益的口径保持一致。</w:t>
      </w:r>
    </w:p>
    <w:p w14:paraId="2DDD115C">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第三十一条</w:t>
      </w:r>
      <w:r>
        <w:rPr>
          <w:rFonts w:hint="eastAsia" w:ascii="宋体" w:hAnsi="宋体" w:eastAsia="宋体" w:cs="宋体"/>
          <w:color w:val="000000"/>
          <w:kern w:val="0"/>
          <w:sz w:val="24"/>
          <w:shd w:val="clear" w:color="auto" w:fill="FFFFFF"/>
        </w:rPr>
        <w:t>　采用市场法进行专利资产评估时，应当收集足够的可比交易案例，并对专利资产与可比交易案例之间的各种差异因素进行分析、比较和调整。</w:t>
      </w:r>
    </w:p>
    <w:p w14:paraId="3D9F4CFE">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第三十二条</w:t>
      </w:r>
      <w:r>
        <w:rPr>
          <w:rFonts w:hint="eastAsia" w:ascii="宋体" w:hAnsi="宋体" w:eastAsia="宋体" w:cs="宋体"/>
          <w:color w:val="000000"/>
          <w:kern w:val="0"/>
          <w:sz w:val="24"/>
          <w:shd w:val="clear" w:color="auto" w:fill="FFFFFF"/>
        </w:rPr>
        <w:t>　采用成本法进行专利资产评估时，应当合理确定专利资产的重置成本。重置成本包括合理的成本、利润和相关税费等。</w:t>
      </w:r>
    </w:p>
    <w:p w14:paraId="490541F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确定专利资产重置成本时，应当确定形成专利资产所需的直接成本、间接费用、合理的利润及相关的税费等。</w:t>
      </w:r>
    </w:p>
    <w:p w14:paraId="6746EFA9">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第三十三条</w:t>
      </w:r>
      <w:r>
        <w:rPr>
          <w:rFonts w:hint="eastAsia" w:ascii="宋体" w:hAnsi="宋体" w:eastAsia="宋体" w:cs="宋体"/>
          <w:color w:val="000000"/>
          <w:kern w:val="0"/>
          <w:sz w:val="24"/>
          <w:shd w:val="clear" w:color="auto" w:fill="FFFFFF"/>
        </w:rPr>
        <w:t>　采用成本法进行专利资产评估时，应当合理确定贬值。</w:t>
      </w:r>
    </w:p>
    <w:p w14:paraId="0546AB08">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第五章</w:t>
      </w:r>
      <w:r>
        <w:rPr>
          <w:rFonts w:hint="eastAsia" w:ascii="宋体" w:hAnsi="宋体" w:eastAsia="宋体" w:cs="宋体"/>
          <w:color w:val="000000"/>
          <w:kern w:val="0"/>
          <w:sz w:val="24"/>
          <w:shd w:val="clear" w:color="auto" w:fill="FFFFFF"/>
        </w:rPr>
        <w:t>　</w:t>
      </w:r>
      <w:r>
        <w:rPr>
          <w:rFonts w:hint="eastAsia" w:ascii="黑体" w:hAnsi="黑体" w:eastAsia="黑体" w:cs="黑体"/>
          <w:bCs/>
          <w:color w:val="000000"/>
          <w:kern w:val="0"/>
          <w:sz w:val="28"/>
          <w:szCs w:val="28"/>
          <w:shd w:val="clear" w:color="auto" w:fill="FFFFFF"/>
        </w:rPr>
        <w:t>披露要求</w:t>
      </w:r>
    </w:p>
    <w:p w14:paraId="1CCD6FFB">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第三十四条</w:t>
      </w:r>
      <w:r>
        <w:rPr>
          <w:rFonts w:hint="eastAsia" w:ascii="宋体" w:hAnsi="宋体" w:eastAsia="宋体" w:cs="宋体"/>
          <w:color w:val="000000"/>
          <w:kern w:val="0"/>
          <w:sz w:val="24"/>
          <w:shd w:val="clear" w:color="auto" w:fill="FFFFFF"/>
        </w:rPr>
        <w:t>　编制专利资产评估报告应当反映专利资产的特点，通常包括下列内容：</w:t>
      </w:r>
    </w:p>
    <w:p w14:paraId="1D4C49D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（一）评估对象的详细情况，通常包括专利资产的权利属性、使用权具体形式、法律状态、专利申请号及专利权利要求等；</w:t>
      </w:r>
    </w:p>
    <w:p w14:paraId="6055B57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（二）专利资产的技术状况和实施状况；</w:t>
      </w:r>
    </w:p>
    <w:p w14:paraId="04DF4F0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（三）对影响专利资产价值的法律因素、技术因素、经济因素的分析过程；</w:t>
      </w:r>
    </w:p>
    <w:p w14:paraId="2F52311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（四）专利的实施经营条件；</w:t>
      </w:r>
    </w:p>
    <w:p w14:paraId="1689AD3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（五）使用的评估假设和限制条件；</w:t>
      </w:r>
    </w:p>
    <w:p w14:paraId="4486FED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（六）专利权许可、转让、诉讼、无效请求及质押情况；</w:t>
      </w:r>
    </w:p>
    <w:p w14:paraId="34F4DA3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（七）有关评估方法的主要内容，包括评估方法的选取及其理由，评估方法中的运算和逻辑推理方式，各重要参数的来源、分析、比较与测算过程，对测算结果进行分析并形成评估结论的过程；</w:t>
      </w:r>
    </w:p>
    <w:p w14:paraId="5C720B8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（八）其他必要信息。</w:t>
      </w:r>
    </w:p>
    <w:p w14:paraId="532430D5">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第六章</w:t>
      </w:r>
      <w:r>
        <w:rPr>
          <w:rFonts w:hint="eastAsia" w:ascii="宋体" w:hAnsi="宋体" w:eastAsia="宋体" w:cs="宋体"/>
          <w:color w:val="000000"/>
          <w:kern w:val="0"/>
          <w:sz w:val="24"/>
          <w:shd w:val="clear" w:color="auto" w:fill="FFFFFF"/>
        </w:rPr>
        <w:t>　</w:t>
      </w:r>
      <w:r>
        <w:rPr>
          <w:rFonts w:hint="eastAsia" w:ascii="黑体" w:hAnsi="黑体" w:eastAsia="黑体" w:cs="黑体"/>
          <w:bCs/>
          <w:color w:val="000000"/>
          <w:kern w:val="0"/>
          <w:sz w:val="28"/>
          <w:szCs w:val="28"/>
          <w:shd w:val="clear" w:color="auto" w:fill="FFFFFF"/>
        </w:rPr>
        <w:t>附则</w:t>
      </w:r>
    </w:p>
    <w:p w14:paraId="20113E14">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第三十五条</w:t>
      </w:r>
      <w:r>
        <w:rPr>
          <w:rFonts w:hint="eastAsia" w:ascii="宋体" w:hAnsi="宋体" w:eastAsia="宋体" w:cs="宋体"/>
          <w:color w:val="000000"/>
          <w:kern w:val="0"/>
          <w:sz w:val="24"/>
          <w:shd w:val="clear" w:color="auto" w:fill="FFFFFF"/>
        </w:rPr>
        <w:t>　本指导意见自2017年10月1日起施行。中国资产评估协会于2008年11月28日发布的《关于印发〈资产评估准则——无形资产〉和〈专利资产评估指导意见〉的通知》（中评协〔2008〕217号）中的《专利资产评估指导意见》同时废止。</w:t>
      </w:r>
    </w:p>
    <w:p w14:paraId="4F5ABC0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br w:type="page"/>
      </w:r>
    </w:p>
    <w:p w14:paraId="0E006FFA">
      <w:pPr>
        <w:pStyle w:val="5"/>
        <w:spacing w:line="440" w:lineRule="atLeast"/>
        <w:jc w:val="center"/>
        <w:rPr>
          <w:rFonts w:ascii="宋体" w:hAnsi="宋体" w:eastAsia="宋体" w:cs="宋体"/>
        </w:rPr>
      </w:pPr>
      <w:bookmarkStart w:id="137" w:name="_Toc22584"/>
      <w:r>
        <w:rPr>
          <w:rFonts w:hint="eastAsia" w:ascii="宋体" w:hAnsi="宋体" w:eastAsia="宋体" w:cs="宋体"/>
        </w:rPr>
        <w:t>著作权资产评估指导意见</w:t>
      </w:r>
      <w:bookmarkEnd w:id="137"/>
    </w:p>
    <w:p w14:paraId="7F78B78B">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第一章　总则</w:t>
      </w:r>
    </w:p>
    <w:p w14:paraId="2B781A26">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第一条</w:t>
      </w:r>
      <w:r>
        <w:rPr>
          <w:rFonts w:hint="eastAsia" w:ascii="宋体" w:hAnsi="宋体" w:eastAsia="宋体" w:cs="宋体"/>
          <w:color w:val="000000"/>
          <w:kern w:val="0"/>
          <w:sz w:val="24"/>
          <w:shd w:val="clear" w:color="auto" w:fill="FFFFFF"/>
        </w:rPr>
        <w:t>　为规范著作权资产评估行为，保护资产评估当事人合法权益和公共利益，根据《资产评估执业准则——无形资产》制定本指导意见。</w:t>
      </w:r>
    </w:p>
    <w:p w14:paraId="671E9624">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第二条</w:t>
      </w:r>
      <w:r>
        <w:rPr>
          <w:rFonts w:hint="eastAsia" w:ascii="宋体" w:hAnsi="宋体" w:eastAsia="宋体" w:cs="宋体"/>
          <w:color w:val="000000"/>
          <w:kern w:val="0"/>
          <w:sz w:val="24"/>
          <w:shd w:val="clear" w:color="auto" w:fill="FFFFFF"/>
        </w:rPr>
        <w:t>　本指导意见所称著作权资产，是指著作权权利人拥有或者控制的，能够持续发挥作用并且能带来经济利益的著作权的财产权益和与著作权有关权利的财产权益。</w:t>
      </w:r>
    </w:p>
    <w:p w14:paraId="37989386">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第三条</w:t>
      </w:r>
      <w:r>
        <w:rPr>
          <w:rFonts w:hint="eastAsia" w:ascii="宋体" w:hAnsi="宋体" w:eastAsia="宋体" w:cs="宋体"/>
          <w:color w:val="000000"/>
          <w:kern w:val="0"/>
          <w:sz w:val="24"/>
          <w:shd w:val="clear" w:color="auto" w:fill="FFFFFF"/>
        </w:rPr>
        <w:t>　本指导意见所称著作权资产评估，是指资产评估机构及其资产评估专业人员遵守法律、行政法规和资产评估准则，根据委托对评估基准日特定目的下的著作权资产价值进行评定和估算，并出具资产评估报告的专业服务行为。</w:t>
      </w:r>
    </w:p>
    <w:p w14:paraId="2BA8BDD9">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第四条</w:t>
      </w:r>
      <w:r>
        <w:rPr>
          <w:rFonts w:hint="eastAsia" w:ascii="宋体" w:hAnsi="宋体" w:eastAsia="宋体" w:cs="宋体"/>
          <w:color w:val="000000"/>
          <w:kern w:val="0"/>
          <w:sz w:val="24"/>
          <w:shd w:val="clear" w:color="auto" w:fill="FFFFFF"/>
        </w:rPr>
        <w:t>　执行著作权资产评估业务，应当遵守本指导意见。</w:t>
      </w:r>
    </w:p>
    <w:p w14:paraId="22297C19">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第二章　基本遵循</w:t>
      </w:r>
    </w:p>
    <w:p w14:paraId="7BA4BE3E">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第五条</w:t>
      </w:r>
      <w:r>
        <w:rPr>
          <w:rFonts w:hint="eastAsia" w:ascii="宋体" w:hAnsi="宋体" w:eastAsia="宋体" w:cs="宋体"/>
          <w:color w:val="000000"/>
          <w:kern w:val="0"/>
          <w:sz w:val="24"/>
          <w:shd w:val="clear" w:color="auto" w:fill="FFFFFF"/>
        </w:rPr>
        <w:t>　资产评估机构及其资产评估专业人员开展著作权资产评估业务，应当遵守法律、行政法规的规定，坚持独立、客观、公正的原则，诚实守信，勤勉尽责，谨慎从业，遵守职业道德规范，自觉维护职业形象，不得从事损害职业形象的活动。</w:t>
      </w:r>
    </w:p>
    <w:p w14:paraId="468CC75D">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第六条</w:t>
      </w:r>
      <w:r>
        <w:rPr>
          <w:rFonts w:hint="eastAsia" w:ascii="宋体" w:hAnsi="宋体" w:eastAsia="宋体" w:cs="宋体"/>
          <w:color w:val="000000"/>
          <w:kern w:val="0"/>
          <w:sz w:val="24"/>
          <w:shd w:val="clear" w:color="auto" w:fill="FFFFFF"/>
        </w:rPr>
        <w:t>　资产评估机构及其资产评估专业人员开展著作权资产评估业务，应当独立进行分析和估算并形成专业意见，拒绝委托人或者其他相关当事人的干预，不得直接以预先设定的价值作为评估结论。</w:t>
      </w:r>
    </w:p>
    <w:p w14:paraId="67287CD8">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第七条</w:t>
      </w:r>
      <w:r>
        <w:rPr>
          <w:rFonts w:hint="eastAsia" w:ascii="宋体" w:hAnsi="宋体" w:eastAsia="宋体" w:cs="宋体"/>
          <w:color w:val="000000"/>
          <w:kern w:val="0"/>
          <w:sz w:val="24"/>
          <w:shd w:val="clear" w:color="auto" w:fill="FFFFFF"/>
        </w:rPr>
        <w:t>　执行著作权资产评估业务，应当具备著作权资产评估的专业知识和实践经验，能够胜任所执行的著作权资产评估业务。</w:t>
      </w:r>
    </w:p>
    <w:p w14:paraId="5634147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执行某项特定业务缺乏特定的专业知识和经验时，应当采取弥补措施，包括利用专家及相关报告等。</w:t>
      </w:r>
    </w:p>
    <w:p w14:paraId="0881AD70">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第八条</w:t>
      </w:r>
      <w:r>
        <w:rPr>
          <w:rFonts w:hint="eastAsia" w:ascii="宋体" w:hAnsi="宋体" w:eastAsia="宋体" w:cs="宋体"/>
          <w:color w:val="000000"/>
          <w:kern w:val="0"/>
          <w:sz w:val="24"/>
          <w:shd w:val="clear" w:color="auto" w:fill="FFFFFF"/>
        </w:rPr>
        <w:t>　执行企业价值评估中的著作权资产评估业务，应当了解在对持续经营前提下的企业价值进行评估时，著作权资产作为企业资产的组成部分的价值可能有别于作为单项资产的价值，其价值取决于它对企业价值的贡献程度。</w:t>
      </w:r>
    </w:p>
    <w:p w14:paraId="23E1F9A5">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第九条</w:t>
      </w:r>
      <w:r>
        <w:rPr>
          <w:rFonts w:hint="eastAsia" w:ascii="宋体" w:hAnsi="宋体" w:eastAsia="宋体" w:cs="宋体"/>
          <w:color w:val="000000"/>
          <w:kern w:val="0"/>
          <w:sz w:val="24"/>
          <w:shd w:val="clear" w:color="auto" w:fill="FFFFFF"/>
        </w:rPr>
        <w:t>　执行著作权资产评估业务，应当在考虑评估目的等因素的基础上，恰当选择价值类型。</w:t>
      </w:r>
    </w:p>
    <w:p w14:paraId="4D49E31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以质押为目的可以选择市场价值或者市场价值以外的价值类型，以交易为目的通常选择市场价值或者投资价值，以财务报告为目的通常根据会计准则相关要求选择相应的价值类型　</w:t>
      </w:r>
    </w:p>
    <w:p w14:paraId="4759643D">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第十条</w:t>
      </w:r>
      <w:r>
        <w:rPr>
          <w:rFonts w:hint="eastAsia" w:ascii="宋体" w:hAnsi="宋体" w:eastAsia="宋体" w:cs="宋体"/>
          <w:color w:val="000000"/>
          <w:kern w:val="0"/>
          <w:sz w:val="24"/>
          <w:shd w:val="clear" w:color="auto" w:fill="FFFFFF"/>
        </w:rPr>
        <w:t>　执行著作权资产评估业务，应当确定评估假设和限制条件。</w:t>
      </w:r>
    </w:p>
    <w:p w14:paraId="490A9707">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第三章　资产评估对象</w:t>
      </w:r>
    </w:p>
    <w:p w14:paraId="7232FEAF">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第十一条</w:t>
      </w:r>
      <w:r>
        <w:rPr>
          <w:rFonts w:hint="eastAsia" w:ascii="宋体" w:hAnsi="宋体" w:eastAsia="宋体" w:cs="宋体"/>
          <w:color w:val="000000"/>
          <w:kern w:val="0"/>
          <w:sz w:val="24"/>
          <w:shd w:val="clear" w:color="auto" w:fill="FFFFFF"/>
        </w:rPr>
        <w:t>　著作权资产评估对象是指著作权中的财产权益以及与著作权有关权利的财产权益。</w:t>
      </w:r>
    </w:p>
    <w:p w14:paraId="53AC499F">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第十二条</w:t>
      </w:r>
      <w:r>
        <w:rPr>
          <w:rFonts w:hint="eastAsia" w:ascii="宋体" w:hAnsi="宋体" w:eastAsia="宋体" w:cs="宋体"/>
          <w:color w:val="000000"/>
          <w:kern w:val="0"/>
          <w:sz w:val="24"/>
          <w:shd w:val="clear" w:color="auto" w:fill="FFFFFF"/>
        </w:rPr>
        <w:t>　著作权资产的财产权利形式包括著作权人享有的权利和转让或者许可他人使用的权利。</w:t>
      </w:r>
    </w:p>
    <w:p w14:paraId="0D7C340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许可使用形式包括法定许可和授权许可；授权许可形式包括专有许可、非专有许可和其他形式许可等。</w:t>
      </w:r>
    </w:p>
    <w:p w14:paraId="490C733E">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第十三条</w:t>
      </w:r>
      <w:r>
        <w:rPr>
          <w:rFonts w:hint="eastAsia" w:ascii="宋体" w:hAnsi="宋体" w:eastAsia="宋体" w:cs="宋体"/>
          <w:color w:val="000000"/>
          <w:kern w:val="0"/>
          <w:sz w:val="24"/>
          <w:shd w:val="clear" w:color="auto" w:fill="FFFFFF"/>
        </w:rPr>
        <w:t>　执行著作权资产评估业务，应当明确著作权资产的权利形式。当评估对象为著作权许可使用权时，应当明确具体许可形式、内容和期限。</w:t>
      </w:r>
    </w:p>
    <w:p w14:paraId="3B6437A7">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第十四条</w:t>
      </w:r>
      <w:r>
        <w:rPr>
          <w:rFonts w:hint="eastAsia" w:ascii="宋体" w:hAnsi="宋体" w:eastAsia="宋体" w:cs="宋体"/>
          <w:color w:val="000000"/>
          <w:kern w:val="0"/>
          <w:sz w:val="24"/>
          <w:shd w:val="clear" w:color="auto" w:fill="FFFFFF"/>
        </w:rPr>
        <w:t>　著作权财产权利种类包括：复制权、发行权、出租权、展览权、表演权、放映权、广播权、信息网络传播权、摄制权、改编权、翻译权、汇编权以及著作权人享有的其他财产权利。这些权利是和特定作品（产品）相关联的。由于作品自身特性，并不是每一种作品都具有这些财产权利。　　</w:t>
      </w:r>
    </w:p>
    <w:p w14:paraId="3E222E7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与著作权评估有关的权利通常包括：出版者对其出版的图书、期刊的版式设计权利，表演者对其表演享有的权利，录音、录像制作者对其制作的录音、录像制品享有的权利，广播电台、电视台对其制作的广播、电视所享有的权利以及由法律、行政法规规定的其他与著作权有关的权利。</w:t>
      </w:r>
    </w:p>
    <w:p w14:paraId="18BD18B2">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第十五条</w:t>
      </w:r>
      <w:r>
        <w:rPr>
          <w:rFonts w:hint="eastAsia" w:ascii="宋体" w:hAnsi="宋体" w:eastAsia="宋体" w:cs="宋体"/>
          <w:color w:val="000000"/>
          <w:kern w:val="0"/>
          <w:sz w:val="24"/>
          <w:shd w:val="clear" w:color="auto" w:fill="FFFFFF"/>
        </w:rPr>
        <w:t>　执行著作权资产评估业务，应当关注评估对象的基本状况以及在时间、地域和其他方面的限制条件，评估对象涉及的作品在著作权法中所属的作品类别，作品的发表状况、使用状态、登记情况以及著作权的保护期限。</w:t>
      </w:r>
    </w:p>
    <w:p w14:paraId="50B13969">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第十六条</w:t>
      </w:r>
      <w:r>
        <w:rPr>
          <w:rFonts w:hint="eastAsia" w:ascii="宋体" w:hAnsi="宋体" w:eastAsia="宋体" w:cs="宋体"/>
          <w:color w:val="000000"/>
          <w:kern w:val="0"/>
          <w:sz w:val="24"/>
          <w:shd w:val="clear" w:color="auto" w:fill="FFFFFF"/>
        </w:rPr>
        <w:t>　执行著作权资产评估业务，应当要求委托人明确著作权资产评估对象的组成形式。著作权资产评估对象通常有下列组成形式：　</w:t>
      </w:r>
    </w:p>
    <w:p w14:paraId="775C0FA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（一）单个著作权中的单项财产权利；</w:t>
      </w:r>
    </w:p>
    <w:p w14:paraId="7799638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（二）单个著作权中的多项财产权利的组合；</w:t>
      </w:r>
    </w:p>
    <w:p w14:paraId="56B3D97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（三）分属于不同著作权的单项或者多项财产权利的组合；</w:t>
      </w:r>
    </w:p>
    <w:p w14:paraId="6198D33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（四）著作权中财产权和与著作权有关权利的财产权益的组合；</w:t>
      </w:r>
    </w:p>
    <w:p w14:paraId="5F1AAA8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（五）在权利客体不可分割或者不需要分割的情况下，著作权资产与其他无形资产的组合。</w:t>
      </w:r>
    </w:p>
    <w:p w14:paraId="697FEEDB">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第十七条</w:t>
      </w:r>
      <w:r>
        <w:rPr>
          <w:rFonts w:hint="eastAsia" w:ascii="宋体" w:hAnsi="宋体" w:eastAsia="宋体" w:cs="宋体"/>
          <w:color w:val="000000"/>
          <w:kern w:val="0"/>
          <w:sz w:val="24"/>
          <w:shd w:val="clear" w:color="auto" w:fill="FFFFFF"/>
        </w:rPr>
        <w:t>　执行著作权资产评估业务，应当关注著作权的法律状态。著作权的法律状态包括著作权权利人信息、权利人变更情况、著作权质押情况和涉及诉讼情况等。</w:t>
      </w:r>
    </w:p>
    <w:p w14:paraId="1992C2DF">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第十八条</w:t>
      </w:r>
      <w:r>
        <w:rPr>
          <w:rFonts w:hint="eastAsia" w:ascii="宋体" w:hAnsi="宋体" w:eastAsia="宋体" w:cs="宋体"/>
          <w:color w:val="000000"/>
          <w:kern w:val="0"/>
          <w:sz w:val="24"/>
          <w:shd w:val="clear" w:color="auto" w:fill="FFFFFF"/>
        </w:rPr>
        <w:t>　执行质押目的著作权资产评估业务，应当要求委托人提交由著作权登记机关出具的登记证书；执行出资目的著作权资产评估业务，应当关注著作权的登记情况。</w:t>
      </w:r>
    </w:p>
    <w:p w14:paraId="2CFEE06A">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第四章　操作要求</w:t>
      </w:r>
    </w:p>
    <w:p w14:paraId="5DB7B6F0">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第十九条</w:t>
      </w:r>
      <w:r>
        <w:rPr>
          <w:rFonts w:hint="eastAsia" w:ascii="宋体" w:hAnsi="宋体" w:eastAsia="宋体" w:cs="宋体"/>
          <w:color w:val="000000"/>
          <w:kern w:val="0"/>
          <w:sz w:val="24"/>
          <w:shd w:val="clear" w:color="auto" w:fill="FFFFFF"/>
        </w:rPr>
        <w:t>　执行著作权资产评估业务，应当对享有著作权的作品相关情况进行调查，包括必要的现场调查、市场调查，并收集相关信息、资料等。</w:t>
      </w:r>
    </w:p>
    <w:p w14:paraId="049FA63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调查过程收集的相关信息、资料通常包括：</w:t>
      </w:r>
    </w:p>
    <w:p w14:paraId="304B8F4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（一）作品作者和著作权权利人的基本情况；</w:t>
      </w:r>
    </w:p>
    <w:p w14:paraId="2B64A2E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（二）作品基本情况，包括作品创作完成时间、首次发表时间、复制、发行、出租、展览、表演、放映、广播、信息网络传播、摄制、改编、翻译、汇编等使用情况；</w:t>
      </w:r>
    </w:p>
    <w:p w14:paraId="2C63774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作品的类别，包括文字作品，口述作品，音乐、戏剧、曲艺、舞蹈、杂技艺术作品，美术、建筑作品，摄影作品，电影作品和以类似摄制电影的方法创作的作品，工程设计图、产品设计图、地图、示意图等图形作品和模型作品，计算机软件，法律、行政法规规定的其他作品；</w:t>
      </w:r>
    </w:p>
    <w:p w14:paraId="6779244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（四）作品的创作形式，包括原创或者各种形式的改编、翻译、注释、整理等；</w:t>
      </w:r>
    </w:p>
    <w:p w14:paraId="77F1207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（五）作品的题材类型、体裁特征等情况；</w:t>
      </w:r>
    </w:p>
    <w:p w14:paraId="33E324F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（六）著作权和与著作权有关权利的情况及其登记情况；</w:t>
      </w:r>
    </w:p>
    <w:p w14:paraId="74015AE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（七）各种权利限制情况，包括相关财产权利在时间、地域方面的限制以及质押、诉讼等方面的限制；</w:t>
      </w:r>
    </w:p>
    <w:p w14:paraId="477CED1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（八）与作品相关的其他无形资产权利的情况；</w:t>
      </w:r>
    </w:p>
    <w:p w14:paraId="2E6C7B1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（九）作品的创作成本、费用支出；</w:t>
      </w:r>
    </w:p>
    <w:p w14:paraId="1B6CCE9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（十）著作权资产以往的评估和交易情况，包括转让、许可使用以及其他形式的交易情况；</w:t>
      </w:r>
    </w:p>
    <w:p w14:paraId="502559D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（十一）著作权权利维护情况；</w:t>
      </w:r>
    </w:p>
    <w:p w14:paraId="5C25C1F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（十二）宏观经济发展和相关行业政策与作品市场发展状况；</w:t>
      </w:r>
    </w:p>
    <w:p w14:paraId="2BCF11E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（十三）作品的使用范围、市场需求、同类产品的竞争状况；</w:t>
      </w:r>
    </w:p>
    <w:p w14:paraId="16D4769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（十四）作品使用、收益的可能性和方式；</w:t>
      </w:r>
    </w:p>
    <w:p w14:paraId="33E6632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（十五）同类作品近期的市场交易及成交价格情况。</w:t>
      </w:r>
    </w:p>
    <w:p w14:paraId="20C2ACF3">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第二十条</w:t>
      </w:r>
      <w:r>
        <w:rPr>
          <w:rFonts w:hint="eastAsia" w:ascii="宋体" w:hAnsi="宋体" w:eastAsia="宋体" w:cs="宋体"/>
          <w:color w:val="000000"/>
          <w:kern w:val="0"/>
          <w:sz w:val="24"/>
          <w:shd w:val="clear" w:color="auto" w:fill="FFFFFF"/>
        </w:rPr>
        <w:t>　执行著作权资产评估业务，应当了解与著作权资产共同发挥作用的其他因素，并重点关注下列情况：</w:t>
      </w:r>
    </w:p>
    <w:p w14:paraId="48FF2E0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（一）著作权资产与相关有形资产以及其他无形资产共同发挥作用；</w:t>
      </w:r>
    </w:p>
    <w:p w14:paraId="124436C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（二）原创作品著作权与演绎作品著作权共同发挥作用；</w:t>
      </w:r>
    </w:p>
    <w:p w14:paraId="7F703D0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（三）著作权和与著作权有关权利共同发挥作用。</w:t>
      </w:r>
    </w:p>
    <w:p w14:paraId="14047CF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当存在与评估对象共同发挥作用的其他因素时，应当分析这些因素对著作权资产价值的影响。</w:t>
      </w:r>
    </w:p>
    <w:p w14:paraId="4827C566">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第二十一条</w:t>
      </w:r>
      <w:r>
        <w:rPr>
          <w:rFonts w:hint="eastAsia" w:ascii="宋体" w:hAnsi="宋体" w:eastAsia="宋体" w:cs="宋体"/>
          <w:color w:val="000000"/>
          <w:kern w:val="0"/>
          <w:sz w:val="24"/>
          <w:shd w:val="clear" w:color="auto" w:fill="FFFFFF"/>
        </w:rPr>
        <w:t>　执行著作权法律诉讼资产评估业务，应当关注相关案情基本情况，经过质证的资料，以及著作权的历史诉讼情况。</w:t>
      </w:r>
    </w:p>
    <w:p w14:paraId="7036436A">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第二十二条</w:t>
      </w:r>
      <w:r>
        <w:rPr>
          <w:rFonts w:hint="eastAsia" w:ascii="宋体" w:hAnsi="宋体" w:eastAsia="宋体" w:cs="宋体"/>
          <w:color w:val="000000"/>
          <w:kern w:val="0"/>
          <w:sz w:val="24"/>
          <w:shd w:val="clear" w:color="auto" w:fill="FFFFFF"/>
        </w:rPr>
        <w:t>　确定著作权资产价值的评估方法包括市场法、收益法和成本法三种基本方法及其衍生方法。</w:t>
      </w:r>
    </w:p>
    <w:p w14:paraId="6F7BF5F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执行著作权资产评估业务，应当根据评估目的、评估对象、价值类型、资料收集等情况，分析上述三种基本方法的适用性，选择评估方法。</w:t>
      </w:r>
    </w:p>
    <w:p w14:paraId="3C9228A9">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第二十三条</w:t>
      </w:r>
      <w:r>
        <w:rPr>
          <w:rFonts w:hint="eastAsia" w:ascii="宋体" w:hAnsi="宋体" w:eastAsia="宋体" w:cs="宋体"/>
          <w:color w:val="000000"/>
          <w:kern w:val="0"/>
          <w:sz w:val="24"/>
          <w:shd w:val="clear" w:color="auto" w:fill="FFFFFF"/>
        </w:rPr>
        <w:t>　采用收益法进行著作权资产评估时，应当根据著作权资产对应作品的运营模式估计评估对象的预期收益，并关注相关经营情况。著作权资产的预期收益通常通过分析计算增量收益、节省许可费和超额收益等途径实现。</w:t>
      </w:r>
    </w:p>
    <w:p w14:paraId="62FF5432">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第二十四条</w:t>
      </w:r>
      <w:r>
        <w:rPr>
          <w:rFonts w:hint="eastAsia" w:ascii="宋体" w:hAnsi="宋体" w:eastAsia="宋体" w:cs="宋体"/>
          <w:color w:val="000000"/>
          <w:kern w:val="0"/>
          <w:sz w:val="24"/>
          <w:shd w:val="clear" w:color="auto" w:fill="FFFFFF"/>
        </w:rPr>
        <w:t>　执行著作权资产评估业务，应当关注该作品演绎出新作品并产生衍生收益的可能性。当具有充分证据证明该作品在可预见的未来可能会演绎出新作品并产生衍生收益时，应当谨慎、恰当地考虑这种衍生收益对著作权资产价值的影响。</w:t>
      </w:r>
    </w:p>
    <w:p w14:paraId="4D69D68C">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第二十五条</w:t>
      </w:r>
      <w:r>
        <w:rPr>
          <w:rFonts w:hint="eastAsia" w:ascii="宋体" w:hAnsi="宋体" w:eastAsia="宋体" w:cs="宋体"/>
          <w:color w:val="000000"/>
          <w:kern w:val="0"/>
          <w:sz w:val="24"/>
          <w:shd w:val="clear" w:color="auto" w:fill="FFFFFF"/>
        </w:rPr>
        <w:t>　当原创作品的演绎作品尚未形成时，应当了解其衍生收益的产生在评估基准日具有较大的不确定性，可以按或有资产评估衍生收益对应的著作权资产价值。</w:t>
      </w:r>
    </w:p>
    <w:p w14:paraId="115437F0">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第二十六条</w:t>
      </w:r>
      <w:r>
        <w:rPr>
          <w:rFonts w:hint="eastAsia" w:ascii="宋体" w:hAnsi="宋体" w:eastAsia="宋体" w:cs="宋体"/>
          <w:color w:val="000000"/>
          <w:kern w:val="0"/>
          <w:sz w:val="24"/>
          <w:shd w:val="clear" w:color="auto" w:fill="FFFFFF"/>
        </w:rPr>
        <w:t>　采用收益法进行著作权资产评估时，应当确定资产的剩余经济寿命。剩余经济寿命可以通过综合考虑法律保护期限、相关合同约定期限、作品类别、创作完成时间、首次发表时间以及作品的权利状况等因素确定。</w:t>
      </w:r>
    </w:p>
    <w:p w14:paraId="0945A219">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第二十七条</w:t>
      </w:r>
      <w:r>
        <w:rPr>
          <w:rFonts w:hint="eastAsia" w:ascii="宋体" w:hAnsi="宋体" w:eastAsia="宋体" w:cs="宋体"/>
          <w:color w:val="000000"/>
          <w:kern w:val="0"/>
          <w:sz w:val="24"/>
          <w:shd w:val="clear" w:color="auto" w:fill="FFFFFF"/>
        </w:rPr>
        <w:t>　采用收益法进行著作权资产评估时应当合理确定折现率。折现率可以通过分析评估基准日的利率、投资回报率，以及著作权实施过程中的技术、经营、市场、生命周期等因素确定。著作权资产折现率可以采用无风险报酬率加风险报酬率的方式确定。著作权资产折现率口径应当与预期收益的口径保持一致。</w:t>
      </w:r>
    </w:p>
    <w:p w14:paraId="7B90D159">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第二十八条</w:t>
      </w:r>
      <w:r>
        <w:rPr>
          <w:rFonts w:hint="eastAsia" w:ascii="宋体" w:hAnsi="宋体" w:eastAsia="宋体" w:cs="宋体"/>
          <w:color w:val="000000"/>
          <w:kern w:val="0"/>
          <w:sz w:val="24"/>
          <w:shd w:val="clear" w:color="auto" w:fill="FFFFFF"/>
        </w:rPr>
        <w:t>　采用市场法进行著作权资产评估时应当：</w:t>
      </w:r>
    </w:p>
    <w:p w14:paraId="5F687AE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（一）考虑该著作权资产或者类似著作权资产是否存在活跃的市场，恰当考虑市场法的适用性；</w:t>
      </w:r>
    </w:p>
    <w:p w14:paraId="21ED314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（二）收集类似著作权资产交易案例的市场交易价格、交易时间及交易条件等交易信息；</w:t>
      </w:r>
    </w:p>
    <w:p w14:paraId="6C2762F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（三）选择具有比较基础的可比著作权资产交易案例；</w:t>
      </w:r>
    </w:p>
    <w:p w14:paraId="26B7253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（四）收集评估对象近期的交易信息；</w:t>
      </w:r>
    </w:p>
    <w:p w14:paraId="58DB577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（五）对可比交易案例和评估对象近期交易信息进行必要调整。</w:t>
      </w:r>
    </w:p>
    <w:p w14:paraId="08AF14A9">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第二十九条</w:t>
      </w:r>
      <w:r>
        <w:rPr>
          <w:rFonts w:hint="eastAsia" w:ascii="宋体" w:hAnsi="宋体" w:eastAsia="宋体" w:cs="宋体"/>
          <w:color w:val="000000"/>
          <w:kern w:val="0"/>
          <w:sz w:val="24"/>
          <w:shd w:val="clear" w:color="auto" w:fill="FFFFFF"/>
        </w:rPr>
        <w:t>　采用成本法进行著作权资产评估时，应当合理确定作品的重置成本。作品重置成本包括直接成本、间接费用、合理利润及相关税费等。</w:t>
      </w:r>
    </w:p>
    <w:p w14:paraId="6AC02D10">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第三十条</w:t>
      </w:r>
      <w:r>
        <w:rPr>
          <w:rFonts w:hint="eastAsia" w:ascii="宋体" w:hAnsi="宋体" w:eastAsia="宋体" w:cs="宋体"/>
          <w:color w:val="000000"/>
          <w:kern w:val="0"/>
          <w:sz w:val="24"/>
          <w:shd w:val="clear" w:color="auto" w:fill="FFFFFF"/>
        </w:rPr>
        <w:t>　采用成本法进行著作权资产评估时，应当采用适当方法合理确定评估对象的贬值。</w:t>
      </w:r>
    </w:p>
    <w:p w14:paraId="2983779A">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第五章　披露要求</w:t>
      </w:r>
    </w:p>
    <w:p w14:paraId="29A39F3A">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第三十一条</w:t>
      </w:r>
      <w:r>
        <w:rPr>
          <w:rFonts w:hint="eastAsia" w:ascii="宋体" w:hAnsi="宋体" w:eastAsia="宋体" w:cs="宋体"/>
          <w:color w:val="000000"/>
          <w:kern w:val="0"/>
          <w:sz w:val="24"/>
          <w:shd w:val="clear" w:color="auto" w:fill="FFFFFF"/>
        </w:rPr>
        <w:t>　编制著作权资产评估报告应当反映著作权资产的特点，通常包括下列内容：</w:t>
      </w:r>
    </w:p>
    <w:p w14:paraId="2955599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（一）作者和著作权权利人的基本情况；</w:t>
      </w:r>
    </w:p>
    <w:p w14:paraId="26B83EF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（二）评估对象的具体组成情况，包括作品基本情况、作品的类别、作品的创作形式、涉及的演绎作品等情况；</w:t>
      </w:r>
    </w:p>
    <w:p w14:paraId="2E739C4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（三）评估对象包含的财产权利限制条件；</w:t>
      </w:r>
    </w:p>
    <w:p w14:paraId="6A551FB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（四）与著作权有关的权利情况；</w:t>
      </w:r>
    </w:p>
    <w:p w14:paraId="3D54F04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（五）著作权和与著作权有关权利事项登记情况；</w:t>
      </w:r>
    </w:p>
    <w:p w14:paraId="4434629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（六）作品含有其他无形资产的情况；</w:t>
      </w:r>
    </w:p>
    <w:p w14:paraId="18A9679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（七）作品产生收益的方式；</w:t>
      </w:r>
    </w:p>
    <w:p w14:paraId="4610B45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（八）著作权剩余法定保护期限以及剩余经济寿命；</w:t>
      </w:r>
    </w:p>
    <w:p w14:paraId="37AA5EE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（九）对著作权资产价值影响因素的分析过程；</w:t>
      </w:r>
    </w:p>
    <w:p w14:paraId="6374040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（十）著作权资产许可、转让、诉讼以及质押等情况；</w:t>
      </w:r>
    </w:p>
    <w:p w14:paraId="1AF1F06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（十一）其他必要信息。</w:t>
      </w:r>
    </w:p>
    <w:p w14:paraId="20E00763">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第六章　附则</w:t>
      </w:r>
    </w:p>
    <w:p w14:paraId="1926177E">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第三十二条</w:t>
      </w:r>
      <w:r>
        <w:rPr>
          <w:rFonts w:hint="eastAsia" w:ascii="宋体" w:hAnsi="宋体" w:eastAsia="宋体" w:cs="宋体"/>
          <w:color w:val="000000"/>
          <w:kern w:val="0"/>
          <w:sz w:val="24"/>
          <w:shd w:val="clear" w:color="auto" w:fill="FFFFFF"/>
        </w:rPr>
        <w:t>　本指导意见自2017年10月1日起施行。中国资产评估协会于2010年12月18日发布的《关于印发〈著作权资产评估指导意见〉的通知》（中评协〔2010〕215号）同时废止。</w:t>
      </w:r>
    </w:p>
    <w:p w14:paraId="3DC5FE4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br w:type="page"/>
      </w:r>
    </w:p>
    <w:p w14:paraId="5A245361">
      <w:pPr>
        <w:pStyle w:val="5"/>
        <w:spacing w:line="440" w:lineRule="atLeast"/>
        <w:jc w:val="center"/>
        <w:rPr>
          <w:rFonts w:ascii="宋体" w:hAnsi="宋体" w:eastAsia="宋体" w:cs="宋体"/>
        </w:rPr>
      </w:pPr>
      <w:bookmarkStart w:id="138" w:name="_Toc14630"/>
      <w:r>
        <w:rPr>
          <w:rFonts w:hint="eastAsia" w:ascii="宋体" w:hAnsi="宋体" w:eastAsia="宋体" w:cs="宋体"/>
        </w:rPr>
        <w:t>商标资产评估指导意见</w:t>
      </w:r>
      <w:bookmarkEnd w:id="138"/>
    </w:p>
    <w:p w14:paraId="0F333E7E">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第一章</w:t>
      </w:r>
      <w:r>
        <w:rPr>
          <w:rFonts w:hint="eastAsia" w:ascii="宋体" w:hAnsi="宋体" w:eastAsia="宋体" w:cs="宋体"/>
          <w:color w:val="000000"/>
          <w:kern w:val="0"/>
          <w:sz w:val="24"/>
          <w:shd w:val="clear" w:color="auto" w:fill="FFFFFF"/>
        </w:rPr>
        <w:t>　</w:t>
      </w:r>
      <w:r>
        <w:rPr>
          <w:rFonts w:hint="eastAsia" w:ascii="黑体" w:hAnsi="黑体" w:eastAsia="黑体" w:cs="黑体"/>
          <w:bCs/>
          <w:color w:val="000000"/>
          <w:kern w:val="0"/>
          <w:sz w:val="28"/>
          <w:szCs w:val="28"/>
          <w:shd w:val="clear" w:color="auto" w:fill="FFFFFF"/>
        </w:rPr>
        <w:t>总则</w:t>
      </w:r>
    </w:p>
    <w:p w14:paraId="2F9E3769">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第一条</w:t>
      </w:r>
      <w:r>
        <w:rPr>
          <w:rFonts w:hint="eastAsia" w:ascii="宋体" w:hAnsi="宋体" w:eastAsia="宋体" w:cs="宋体"/>
          <w:color w:val="000000"/>
          <w:kern w:val="0"/>
          <w:sz w:val="24"/>
          <w:shd w:val="clear" w:color="auto" w:fill="FFFFFF"/>
        </w:rPr>
        <w:t>　为规范商标资产评估行为，保护资产评估当事人合法权益和公共利益，根据《资产评估执业准则——无形资产》制定本指导意见。</w:t>
      </w:r>
    </w:p>
    <w:p w14:paraId="49AF5649">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第二条</w:t>
      </w:r>
      <w:r>
        <w:rPr>
          <w:rFonts w:hint="eastAsia" w:ascii="宋体" w:hAnsi="宋体" w:eastAsia="宋体" w:cs="宋体"/>
          <w:color w:val="000000"/>
          <w:kern w:val="0"/>
          <w:sz w:val="24"/>
          <w:shd w:val="clear" w:color="auto" w:fill="FFFFFF"/>
        </w:rPr>
        <w:t>　本指导意见所称商标资产，是指商标权利人拥有或者控制的，能够持续发挥作用并且能带来经济利益的注册商标权益。</w:t>
      </w:r>
    </w:p>
    <w:p w14:paraId="568C8400">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第三条</w:t>
      </w:r>
      <w:r>
        <w:rPr>
          <w:rFonts w:hint="eastAsia" w:ascii="宋体" w:hAnsi="宋体" w:eastAsia="宋体" w:cs="宋体"/>
          <w:color w:val="000000"/>
          <w:kern w:val="0"/>
          <w:sz w:val="24"/>
          <w:shd w:val="clear" w:color="auto" w:fill="FFFFFF"/>
        </w:rPr>
        <w:t>　本指导意见所称商标资产评估，是指资产评估机构及其资产评估专业人员遵守法律、行政法规和资产评估准则，根据委托对评估基准日特定目的下的商标资产价值进行评定和估算，并出具资产评估报告的专业服务行为。</w:t>
      </w:r>
    </w:p>
    <w:p w14:paraId="43FBCE18">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第四条</w:t>
      </w:r>
      <w:r>
        <w:rPr>
          <w:rFonts w:hint="eastAsia" w:ascii="宋体" w:hAnsi="宋体" w:eastAsia="宋体" w:cs="宋体"/>
          <w:color w:val="000000"/>
          <w:kern w:val="0"/>
          <w:sz w:val="24"/>
          <w:shd w:val="clear" w:color="auto" w:fill="FFFFFF"/>
        </w:rPr>
        <w:t>　执行商标资产评估业务，应当遵守本指导意见。</w:t>
      </w:r>
    </w:p>
    <w:p w14:paraId="32EEF679">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第二章　基本遵循</w:t>
      </w:r>
    </w:p>
    <w:p w14:paraId="3BD9C704">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第五条</w:t>
      </w:r>
      <w:r>
        <w:rPr>
          <w:rFonts w:hint="eastAsia" w:ascii="宋体" w:hAnsi="宋体" w:eastAsia="宋体" w:cs="宋体"/>
          <w:color w:val="000000"/>
          <w:kern w:val="0"/>
          <w:sz w:val="24"/>
          <w:shd w:val="clear" w:color="auto" w:fill="FFFFFF"/>
        </w:rPr>
        <w:t>　资产评估机构及其资产评估专业人员开展商标资产评估业务，遵守法律、行政法规的规定，坚持独立、客观、公正的原则，诚实守信，勤勉尽责，谨慎从业，遵守职业道德规范，自觉维护职业形象，不得从事损害职业形象的活动。</w:t>
      </w:r>
    </w:p>
    <w:p w14:paraId="00EE3233">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第六条</w:t>
      </w:r>
      <w:r>
        <w:rPr>
          <w:rFonts w:hint="eastAsia" w:ascii="宋体" w:hAnsi="宋体" w:eastAsia="宋体" w:cs="宋体"/>
          <w:color w:val="000000"/>
          <w:kern w:val="0"/>
          <w:sz w:val="24"/>
          <w:shd w:val="clear" w:color="auto" w:fill="FFFFFF"/>
        </w:rPr>
        <w:t>　资产评估机构及其资产评估专业人员开展商标资产评估业务，应当独立进行分析和估算并形成专业意见，拒绝委托人或者其他相关当事人的干预，不得直接以预先设定的价值作为评估结论。</w:t>
      </w:r>
    </w:p>
    <w:p w14:paraId="31EF9A6F">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第七条</w:t>
      </w:r>
      <w:r>
        <w:rPr>
          <w:rFonts w:hint="eastAsia" w:ascii="宋体" w:hAnsi="宋体" w:eastAsia="宋体" w:cs="宋体"/>
          <w:color w:val="000000"/>
          <w:kern w:val="0"/>
          <w:sz w:val="24"/>
          <w:shd w:val="clear" w:color="auto" w:fill="FFFFFF"/>
        </w:rPr>
        <w:t>　执行商标资产评估业务，应当具备商标资产评估的专业知识和实践经验，能够胜任所执行的商标资产评估业务。</w:t>
      </w:r>
    </w:p>
    <w:p w14:paraId="6173BBC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执行某项特定业务缺乏特定的专业知识和经验时，应当采取弥补措施，包括利用专家及相关报告等。</w:t>
      </w:r>
    </w:p>
    <w:p w14:paraId="31386690">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第八条</w:t>
      </w:r>
      <w:r>
        <w:rPr>
          <w:rFonts w:hint="eastAsia" w:ascii="宋体" w:hAnsi="宋体" w:eastAsia="宋体" w:cs="宋体"/>
          <w:color w:val="000000"/>
          <w:kern w:val="0"/>
          <w:sz w:val="24"/>
          <w:shd w:val="clear" w:color="auto" w:fill="FFFFFF"/>
        </w:rPr>
        <w:t>　执行企业价值评估中的商标资产评估业务，应当了解在对持续经营前提下的企业价值进行评估时，商标资产作为企业资产的组成部分的价值可能有别于作为单项资产的价值，其价值取决于它对企业价值的贡献程度。</w:t>
      </w:r>
    </w:p>
    <w:p w14:paraId="393958C7">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第九条</w:t>
      </w:r>
      <w:r>
        <w:rPr>
          <w:rFonts w:hint="eastAsia" w:ascii="宋体" w:hAnsi="宋体" w:eastAsia="宋体" w:cs="宋体"/>
          <w:color w:val="000000"/>
          <w:kern w:val="0"/>
          <w:sz w:val="24"/>
          <w:shd w:val="clear" w:color="auto" w:fill="FFFFFF"/>
        </w:rPr>
        <w:t>　执行商标资产评估业务，应当在考虑评估目的等因素的基础上，恰当选择价值类型。</w:t>
      </w:r>
    </w:p>
    <w:p w14:paraId="6B64468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以质押为目的可以选择市场价值或者市场价值以外的价值类型，以交易为目的通常选择市场价值或者投资价值，以财务报告为目的通常根据会计准则相关要求选择相应的价值类型。</w:t>
      </w:r>
    </w:p>
    <w:p w14:paraId="1064CF30">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第十条</w:t>
      </w:r>
      <w:r>
        <w:rPr>
          <w:rFonts w:hint="eastAsia" w:ascii="宋体" w:hAnsi="宋体" w:eastAsia="宋体" w:cs="宋体"/>
          <w:color w:val="000000"/>
          <w:kern w:val="0"/>
          <w:sz w:val="24"/>
          <w:shd w:val="clear" w:color="auto" w:fill="FFFFFF"/>
        </w:rPr>
        <w:t>　执行商标资产评估业务，应当合理确定评估假设和限制条件。</w:t>
      </w:r>
    </w:p>
    <w:p w14:paraId="3B65469A">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第三章　评估对象</w:t>
      </w:r>
    </w:p>
    <w:p w14:paraId="67FF6535">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第十一条</w:t>
      </w:r>
      <w:r>
        <w:rPr>
          <w:rFonts w:hint="eastAsia" w:ascii="宋体" w:hAnsi="宋体" w:eastAsia="宋体" w:cs="宋体"/>
          <w:color w:val="000000"/>
          <w:kern w:val="0"/>
          <w:sz w:val="24"/>
          <w:shd w:val="clear" w:color="auto" w:fill="FFFFFF"/>
        </w:rPr>
        <w:t>　商标资产评估对象是指受法律保护的注册商标权益。</w:t>
      </w:r>
    </w:p>
    <w:p w14:paraId="7799E6D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执行商标资产评估业务，应当明确商标资产的权利属性。评估对象为商标专用权的，应当关注商标是否已经许可他人使用及具体许可形式。评估对象为商标许可权时，应当明确该权利的具体许可形式、内容和期限。</w:t>
      </w:r>
    </w:p>
    <w:p w14:paraId="253D46CF">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第十二条</w:t>
      </w:r>
      <w:r>
        <w:rPr>
          <w:rFonts w:hint="eastAsia" w:ascii="宋体" w:hAnsi="宋体" w:eastAsia="宋体" w:cs="宋体"/>
          <w:color w:val="000000"/>
          <w:kern w:val="0"/>
          <w:sz w:val="24"/>
          <w:shd w:val="clear" w:color="auto" w:fill="FFFFFF"/>
        </w:rPr>
        <w:t>　注册商标包括商品商标、服务商标、集体商标、证明商标。商标资产评估涉及的商标通常为商品商标和服务商标。</w:t>
      </w:r>
    </w:p>
    <w:p w14:paraId="4A6100EC">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第十三条</w:t>
      </w:r>
      <w:r>
        <w:rPr>
          <w:rFonts w:hint="eastAsia" w:ascii="宋体" w:hAnsi="宋体" w:eastAsia="宋体" w:cs="宋体"/>
          <w:color w:val="000000"/>
          <w:kern w:val="0"/>
          <w:sz w:val="24"/>
          <w:shd w:val="clear" w:color="auto" w:fill="FFFFFF"/>
        </w:rPr>
        <w:t>　执行商标资产评估业务，应当要求委托人明确商标的基本状况，通常包括：</w:t>
      </w:r>
    </w:p>
    <w:p w14:paraId="016922E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（一）商标的文字、图形、字母、数字、三维标志和颜色组合及其说明，商标注册号、注册期限及核准的注册类别；</w:t>
      </w:r>
    </w:p>
    <w:p w14:paraId="6A400A0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（二）商标的取得，包括原始取得和继受取得，以及商标注册、转让和继承程序办理情况；</w:t>
      </w:r>
    </w:p>
    <w:p w14:paraId="08DCAD0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（三）指定使用注册商标的商品或者服务项目；</w:t>
      </w:r>
    </w:p>
    <w:p w14:paraId="61F08BD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（四）在类似商品或者服务上注册的相同或者近似的商标情况。</w:t>
      </w:r>
    </w:p>
    <w:p w14:paraId="7D3899AB">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第十四条</w:t>
      </w:r>
      <w:r>
        <w:rPr>
          <w:rFonts w:hint="eastAsia" w:ascii="宋体" w:hAnsi="宋体" w:eastAsia="宋体" w:cs="宋体"/>
          <w:color w:val="000000"/>
          <w:kern w:val="0"/>
          <w:sz w:val="24"/>
          <w:shd w:val="clear" w:color="auto" w:fill="FFFFFF"/>
        </w:rPr>
        <w:t>　执行商标资产评估业务，应当关注商标资产的法律状态。商标资产的法律状态通常包括商标注册人及变更情况，商标续展情况，商标专用权质押情况，商标专用权权属纠纷及涉及诉讼情况等。</w:t>
      </w:r>
    </w:p>
    <w:p w14:paraId="3D792569">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第十五条</w:t>
      </w:r>
      <w:r>
        <w:rPr>
          <w:rFonts w:hint="eastAsia" w:ascii="宋体" w:hAnsi="宋体" w:eastAsia="宋体" w:cs="宋体"/>
          <w:color w:val="000000"/>
          <w:kern w:val="0"/>
          <w:sz w:val="24"/>
          <w:shd w:val="clear" w:color="auto" w:fill="FFFFFF"/>
        </w:rPr>
        <w:t>　执行商标资产评估业务，应当根据具体情况将评估对象确定为单一商标或者商标组合。</w:t>
      </w:r>
    </w:p>
    <w:p w14:paraId="518F054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对商标专用权评估时，应当将商标注册人在相同或者类似商品和服务上注册的相同或者近似的商标作为商标组合。</w:t>
      </w:r>
    </w:p>
    <w:p w14:paraId="5AFCC4E7">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第十六条</w:t>
      </w:r>
      <w:r>
        <w:rPr>
          <w:rFonts w:hint="eastAsia" w:ascii="宋体" w:hAnsi="宋体" w:eastAsia="宋体" w:cs="宋体"/>
          <w:color w:val="000000"/>
          <w:kern w:val="0"/>
          <w:sz w:val="24"/>
          <w:shd w:val="clear" w:color="auto" w:fill="FFFFFF"/>
        </w:rPr>
        <w:t>　执行商标许可权资产评估业务，应当要求委托人提供商标登记机关的备案资料或者有关商标许可约定的书面文件。</w:t>
      </w:r>
    </w:p>
    <w:p w14:paraId="7AA92B88">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第十七条</w:t>
      </w:r>
      <w:r>
        <w:rPr>
          <w:rFonts w:hint="eastAsia" w:ascii="宋体" w:hAnsi="宋体" w:eastAsia="宋体" w:cs="宋体"/>
          <w:color w:val="000000"/>
          <w:kern w:val="0"/>
          <w:sz w:val="24"/>
          <w:shd w:val="clear" w:color="auto" w:fill="FFFFFF"/>
        </w:rPr>
        <w:t>　执行注册商标专用权质押资产评估业务，应当关注注册商标专用权的历史质押记录，以及对相同或者类似商品或者服务上注册的相同或者近似商标一并办理质权登记的情况。</w:t>
      </w:r>
    </w:p>
    <w:p w14:paraId="200097F4">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第四章　操作要求</w:t>
      </w:r>
    </w:p>
    <w:p w14:paraId="762F9EB8">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第十八条</w:t>
      </w:r>
      <w:r>
        <w:rPr>
          <w:rFonts w:hint="eastAsia" w:ascii="宋体" w:hAnsi="宋体" w:eastAsia="宋体" w:cs="宋体"/>
          <w:color w:val="000000"/>
          <w:kern w:val="0"/>
          <w:sz w:val="24"/>
          <w:shd w:val="clear" w:color="auto" w:fill="FFFFFF"/>
        </w:rPr>
        <w:t>　执行商标资产评估业务，应当对商标资产相关情况进行调查，包括必要的现场调查、市场调查，并收集相关资料等。</w:t>
      </w:r>
    </w:p>
    <w:p w14:paraId="0632F7F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调查过程中收集的相关资料通常包括：</w:t>
      </w:r>
    </w:p>
    <w:p w14:paraId="6761382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（一）商标注册人和商标使用人的基本情况；</w:t>
      </w:r>
    </w:p>
    <w:p w14:paraId="12C66ED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（二）商标的权属及登记情况；包括注册、变更、许可、续展、质押、纠纷及诉讼等；</w:t>
      </w:r>
    </w:p>
    <w:p w14:paraId="7952FB4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（三）对商标的知晓程度；</w:t>
      </w:r>
    </w:p>
    <w:p w14:paraId="0921BF5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（四）相关商品或者服务的销售渠道和销售网络等；</w:t>
      </w:r>
    </w:p>
    <w:p w14:paraId="15B07A3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（五）商标使用的持续时间；</w:t>
      </w:r>
    </w:p>
    <w:p w14:paraId="1D1EBD4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（六）商标宣传工作的持续时间、程度、费用和地理范围；</w:t>
      </w:r>
    </w:p>
    <w:p w14:paraId="07A9C9F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（七）与使用该商标的商品或者服务相关的著作权、专利、专有技术等其他无形资产权利的情况；</w:t>
      </w:r>
    </w:p>
    <w:p w14:paraId="1F95B90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（八）宏观经济发展和相关行业政策与商标商品或者服务市场发展状况；</w:t>
      </w:r>
    </w:p>
    <w:p w14:paraId="4BE3AD1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（九）商标商品或者服务的使用范围、市场需求、同类商品或者服务的竞争状况；</w:t>
      </w:r>
    </w:p>
    <w:p w14:paraId="49CF259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（十）商标使用、收益的可能性和方式；包括实施企业财务状况、行业竞争地位、未来发展规划等；</w:t>
      </w:r>
    </w:p>
    <w:p w14:paraId="12F44F3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（十一）近似商标近期的市场交易情况；　</w:t>
      </w:r>
    </w:p>
    <w:p w14:paraId="54EF027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（十二）商标以往的评估及交易情况；</w:t>
      </w:r>
    </w:p>
    <w:p w14:paraId="65FB984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（十三）商标权利维护方面的情况，包括权利维护方式、效果、成本费用等。</w:t>
      </w:r>
    </w:p>
    <w:p w14:paraId="6983F119">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第十九条</w:t>
      </w:r>
      <w:r>
        <w:rPr>
          <w:rFonts w:hint="eastAsia" w:ascii="宋体" w:hAnsi="宋体" w:eastAsia="宋体" w:cs="宋体"/>
          <w:color w:val="000000"/>
          <w:kern w:val="0"/>
          <w:sz w:val="24"/>
          <w:shd w:val="clear" w:color="auto" w:fill="FFFFFF"/>
        </w:rPr>
        <w:t>　执行商标资产评估业务，应当尽可能获取与商标资产使用相关的财务数据或者经审计的财务报表，对商标资产的相关财务数据进行必要的分析。</w:t>
      </w:r>
    </w:p>
    <w:p w14:paraId="1F59F736">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第二十条</w:t>
      </w:r>
      <w:r>
        <w:rPr>
          <w:rFonts w:hint="eastAsia" w:ascii="宋体" w:hAnsi="宋体" w:eastAsia="宋体" w:cs="宋体"/>
          <w:color w:val="000000"/>
          <w:kern w:val="0"/>
          <w:sz w:val="24"/>
          <w:shd w:val="clear" w:color="auto" w:fill="FFFFFF"/>
        </w:rPr>
        <w:t>　执行商标资产评估业务，应当了解商标资产与相关有形资产以及专利权、专有技术和著作权等无形资产共同发挥作用的情况，并考虑其对商标资产价值的影响。</w:t>
      </w:r>
    </w:p>
    <w:p w14:paraId="2A5132CE">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第二十一条</w:t>
      </w:r>
      <w:r>
        <w:rPr>
          <w:rFonts w:hint="eastAsia" w:ascii="宋体" w:hAnsi="宋体" w:eastAsia="宋体" w:cs="宋体"/>
          <w:color w:val="000000"/>
          <w:kern w:val="0"/>
          <w:sz w:val="24"/>
          <w:shd w:val="clear" w:color="auto" w:fill="FFFFFF"/>
        </w:rPr>
        <w:t>　执行商标资产评估业务，应当分析商标商品或者服务的市场需求，关注商标的美誉度、认知度以及商标商品或者服务在相关行业的市场竞争力等因素对商标资产价值的影响。</w:t>
      </w:r>
    </w:p>
    <w:p w14:paraId="76B19504">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第二十二条</w:t>
      </w:r>
      <w:r>
        <w:rPr>
          <w:rFonts w:hint="eastAsia" w:ascii="宋体" w:hAnsi="宋体" w:eastAsia="宋体" w:cs="宋体"/>
          <w:color w:val="000000"/>
          <w:kern w:val="0"/>
          <w:sz w:val="24"/>
          <w:shd w:val="clear" w:color="auto" w:fill="FFFFFF"/>
        </w:rPr>
        <w:t>　执行注册商标专用权法律诉讼资产评估业务，应当关注相关案情基本情况，经过质证的资料，以及注册商标专用权的历史诉讼情况。</w:t>
      </w:r>
    </w:p>
    <w:p w14:paraId="25F94DA7">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第二十三条</w:t>
      </w:r>
      <w:r>
        <w:rPr>
          <w:rFonts w:hint="eastAsia" w:ascii="宋体" w:hAnsi="宋体" w:eastAsia="宋体" w:cs="宋体"/>
          <w:color w:val="000000"/>
          <w:kern w:val="0"/>
          <w:sz w:val="24"/>
          <w:shd w:val="clear" w:color="auto" w:fill="FFFFFF"/>
        </w:rPr>
        <w:t>　确定商标资产价值的评估方法包括市场法、收益法和成本法三种基本方法及其衍生方法。</w:t>
      </w:r>
    </w:p>
    <w:p w14:paraId="73CCB81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执行商标资产评估业务，应当根据评估目的、评估对象、价值类型、资料收集等情况，分析上述三种基本方法及其衍生方法的适用性，选择评估方法。</w:t>
      </w:r>
    </w:p>
    <w:p w14:paraId="45E0669B">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第二十四条</w:t>
      </w:r>
      <w:r>
        <w:rPr>
          <w:rFonts w:hint="eastAsia" w:ascii="宋体" w:hAnsi="宋体" w:eastAsia="宋体" w:cs="宋体"/>
          <w:color w:val="000000"/>
          <w:kern w:val="0"/>
          <w:sz w:val="24"/>
          <w:shd w:val="clear" w:color="auto" w:fill="FFFFFF"/>
        </w:rPr>
        <w:t>　运用收益法进行商标资产评估时，应当合理确定预期收益。</w:t>
      </w:r>
    </w:p>
    <w:p w14:paraId="3DA67BE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商标资产的预期收益应当是因商标的使用而额外带来的收益，可以通过增量收益、节省许可费、收益分成或者超额收益等方式估算。确定预期收益时，应当区分并剔除与商标无关的业务产生的收益，并关注商标商品或者服务所属行业的市场规模、市场地位及相关企业的经营情况。</w:t>
      </w:r>
    </w:p>
    <w:p w14:paraId="50FC2347">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第二十五条</w:t>
      </w:r>
      <w:r>
        <w:rPr>
          <w:rFonts w:hint="eastAsia" w:ascii="宋体" w:hAnsi="宋体" w:eastAsia="宋体" w:cs="宋体"/>
          <w:color w:val="000000"/>
          <w:kern w:val="0"/>
          <w:sz w:val="24"/>
          <w:shd w:val="clear" w:color="auto" w:fill="FFFFFF"/>
        </w:rPr>
        <w:t>　采用收益法评估商标资产时，应当根据具体情况选择恰当的收益口径。可以按照销售收入、利润或者现金流等口径估算商标资产预期产生的收益。</w:t>
      </w:r>
    </w:p>
    <w:p w14:paraId="284B89F0">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第二十六条</w:t>
      </w:r>
      <w:r>
        <w:rPr>
          <w:rFonts w:hint="eastAsia" w:ascii="宋体" w:hAnsi="宋体" w:eastAsia="宋体" w:cs="宋体"/>
          <w:color w:val="000000"/>
          <w:kern w:val="0"/>
          <w:sz w:val="24"/>
          <w:shd w:val="clear" w:color="auto" w:fill="FFFFFF"/>
        </w:rPr>
        <w:t>　采用收益法评估商标资产时，应当合理确定商标资产收益期限。收益期限可以通过分析商标商品或者服务所属行业的发展趋势，通过综合考虑法律保护期限、相关合同约定期限、商标商品的产品寿命、商标商品或者服务的市场份额及发展潜力、商标未来维护费用、所属行业及企业的发展状况、商标注册人的经营年限等因素确定。</w:t>
      </w:r>
    </w:p>
    <w:p w14:paraId="2EFAFCFD">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第二十七条</w:t>
      </w:r>
      <w:r>
        <w:rPr>
          <w:rFonts w:hint="eastAsia" w:ascii="宋体" w:hAnsi="宋体" w:eastAsia="宋体" w:cs="宋体"/>
          <w:color w:val="000000"/>
          <w:kern w:val="0"/>
          <w:sz w:val="24"/>
          <w:shd w:val="clear" w:color="auto" w:fill="FFFFFF"/>
        </w:rPr>
        <w:t>　采用收益法进行商标资产评估时，应当合理确定折现率。折现率可以通过分析评估基准日的利率、投资回报率，以及商标商品生产、销售实施过程中的技术、经营、市场等因素确定。商标资产折现率应当有别于企业或者其他资产折现率。商标资产折现率可以采用无风险报酬率加风险报酬率的方式确定。商标资产折现率口径应当与预期收益的口径保持一致。</w:t>
      </w:r>
    </w:p>
    <w:p w14:paraId="165D0B36">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第二十八条</w:t>
      </w:r>
      <w:r>
        <w:rPr>
          <w:rFonts w:hint="eastAsia" w:ascii="宋体" w:hAnsi="宋体" w:eastAsia="宋体" w:cs="宋体"/>
          <w:color w:val="000000"/>
          <w:kern w:val="0"/>
          <w:sz w:val="24"/>
          <w:shd w:val="clear" w:color="auto" w:fill="FFFFFF"/>
        </w:rPr>
        <w:t>　采用市场法进行商标资产评估时，应当对收集的可比交易案例与评估对象进行比较，分析时可以从交易时间、权利种类或形式、交易方的关系、获利能力、竞争能力、预计收益期限、商标维护费用、风险程度等方面的差异进行比较。</w:t>
      </w:r>
    </w:p>
    <w:p w14:paraId="5BEDA05C">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第二十九条</w:t>
      </w:r>
      <w:r>
        <w:rPr>
          <w:rFonts w:hint="eastAsia" w:ascii="宋体" w:hAnsi="宋体" w:eastAsia="宋体" w:cs="宋体"/>
          <w:color w:val="000000"/>
          <w:kern w:val="0"/>
          <w:sz w:val="24"/>
          <w:shd w:val="clear" w:color="auto" w:fill="FFFFFF"/>
        </w:rPr>
        <w:t>　采用成本法进行商标资产评估时，应当考虑商标资产价值与成本的相关程度,恰当考虑成本法的适用性。</w:t>
      </w:r>
    </w:p>
    <w:p w14:paraId="0855113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商标重置成本包括合理成本、利润和相关税费等。</w:t>
      </w:r>
    </w:p>
    <w:p w14:paraId="53D2259B">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第三十条</w:t>
      </w:r>
      <w:r>
        <w:rPr>
          <w:rFonts w:hint="eastAsia" w:ascii="宋体" w:hAnsi="宋体" w:eastAsia="宋体" w:cs="宋体"/>
          <w:color w:val="000000"/>
          <w:kern w:val="0"/>
          <w:sz w:val="24"/>
          <w:shd w:val="clear" w:color="auto" w:fill="FFFFFF"/>
        </w:rPr>
        <w:t>　采用成本法进行商标资产评估时，应当关注评估对象的贬值。</w:t>
      </w:r>
    </w:p>
    <w:p w14:paraId="39B3942B">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第五章　披露要求</w:t>
      </w:r>
    </w:p>
    <w:p w14:paraId="70D718F0">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第三十一条</w:t>
      </w:r>
      <w:r>
        <w:rPr>
          <w:rFonts w:hint="eastAsia" w:ascii="宋体" w:hAnsi="宋体" w:eastAsia="宋体" w:cs="宋体"/>
          <w:color w:val="000000"/>
          <w:kern w:val="0"/>
          <w:sz w:val="24"/>
          <w:shd w:val="clear" w:color="auto" w:fill="FFFFFF"/>
        </w:rPr>
        <w:t>　编制商标资产评估报告应当反映商标资产的特点，通常包括下列内容：</w:t>
      </w:r>
    </w:p>
    <w:p w14:paraId="5177044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（一）商标注册人的基本情况；</w:t>
      </w:r>
    </w:p>
    <w:p w14:paraId="6FA8F47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（二）商标的基本情况；</w:t>
      </w:r>
    </w:p>
    <w:p w14:paraId="5A65020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（三）商标商品或者服务的基本情况；</w:t>
      </w:r>
    </w:p>
    <w:p w14:paraId="6A98FF7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（四）商标商品或者服务的生产、销售中涉及的著作权、专利、专有技术等其他无形资产情况；</w:t>
      </w:r>
    </w:p>
    <w:p w14:paraId="507C23B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（五）商标资产产生收益的方式；</w:t>
      </w:r>
    </w:p>
    <w:p w14:paraId="74B2DFD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（六）商标剩余法定保护期限以及预计收益期限；</w:t>
      </w:r>
    </w:p>
    <w:p w14:paraId="797A260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（七）对影响商标资产价值因素的分析过程；</w:t>
      </w:r>
    </w:p>
    <w:p w14:paraId="0740519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（八）使用的评估假设和限制条件；</w:t>
      </w:r>
    </w:p>
    <w:p w14:paraId="66AE231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（九）商标资产许可、转让、诉讼以及质押等情况；</w:t>
      </w:r>
    </w:p>
    <w:p w14:paraId="70C9738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（十）其他必要说明。</w:t>
      </w:r>
    </w:p>
    <w:p w14:paraId="77854410">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第六章　附则</w:t>
      </w:r>
    </w:p>
    <w:p w14:paraId="45EAEBC1">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第三十二条</w:t>
      </w:r>
      <w:r>
        <w:rPr>
          <w:rFonts w:hint="eastAsia" w:ascii="宋体" w:hAnsi="宋体" w:eastAsia="宋体" w:cs="宋体"/>
          <w:color w:val="000000"/>
          <w:kern w:val="0"/>
          <w:sz w:val="24"/>
          <w:shd w:val="clear" w:color="auto" w:fill="FFFFFF"/>
        </w:rPr>
        <w:t>　本指导意见自2017年10月1日起施行。中国资产评估协会于2011年12月30日发布的《关于印发〈商标资产评估指导意见〉的通知》（中评协〔2011〕228号）同时废止。</w:t>
      </w:r>
    </w:p>
    <w:p w14:paraId="07A5DB7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br w:type="page"/>
      </w:r>
    </w:p>
    <w:p w14:paraId="5200F9F8">
      <w:pPr>
        <w:pStyle w:val="5"/>
        <w:spacing w:line="440" w:lineRule="atLeast"/>
        <w:jc w:val="center"/>
        <w:rPr>
          <w:rFonts w:ascii="宋体" w:hAnsi="宋体" w:eastAsia="宋体" w:cs="宋体"/>
        </w:rPr>
      </w:pPr>
      <w:bookmarkStart w:id="139" w:name="_Toc17356"/>
      <w:r>
        <w:rPr>
          <w:rFonts w:hint="eastAsia" w:ascii="宋体" w:hAnsi="宋体" w:eastAsia="宋体" w:cs="宋体"/>
        </w:rPr>
        <w:t>金融不良资产评估指导意见</w:t>
      </w:r>
      <w:bookmarkEnd w:id="139"/>
    </w:p>
    <w:p w14:paraId="233E7E24">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第一章　总则</w:t>
      </w:r>
    </w:p>
    <w:p w14:paraId="79081B47">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第一条</w:t>
      </w:r>
      <w:r>
        <w:rPr>
          <w:rFonts w:hint="eastAsia" w:ascii="宋体" w:hAnsi="宋体" w:eastAsia="宋体" w:cs="宋体"/>
          <w:color w:val="000000"/>
          <w:kern w:val="0"/>
          <w:sz w:val="24"/>
          <w:shd w:val="clear" w:color="auto" w:fill="FFFFFF"/>
        </w:rPr>
        <w:t>　为规范金融不良资产评估行为，保护资产评估当事人合法权益和公共利益，根据《资产评估基本准则》制定本指导意见。</w:t>
      </w:r>
    </w:p>
    <w:p w14:paraId="0FEE02B2">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第二条</w:t>
      </w:r>
      <w:r>
        <w:rPr>
          <w:rFonts w:hint="eastAsia" w:ascii="宋体" w:hAnsi="宋体" w:eastAsia="宋体" w:cs="宋体"/>
          <w:color w:val="000000"/>
          <w:kern w:val="0"/>
          <w:sz w:val="24"/>
          <w:shd w:val="clear" w:color="auto" w:fill="FFFFFF"/>
        </w:rPr>
        <w:t>　本指导意见所称金融不良资产,是指银行持有的次级、可疑及损失类贷款，金融资产管理公司收购或者接管的金融不良债权，以及其他非银行金融机构持有的不良债权。</w:t>
      </w:r>
    </w:p>
    <w:p w14:paraId="22C3AD0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本指导意见所称金融不良资产评估业务包括资产评估专业人员执行的以金融不良资产处置为目的的价值评估业务（以下简称“价值评估业务”）和以金融不良资产处置为目的的价值分析业务（以下简称“价值分析业务”）。</w:t>
      </w:r>
    </w:p>
    <w:p w14:paraId="68E4D8F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价值评估业务是指资产评估机构及其资产评估专业人员遵守法律、行政法规和资产评估准则，根据委托对在评估基准日特定目的下的金融不良资产价值进行评定和估算，并出具评估报告的专业服务行为。</w:t>
      </w:r>
    </w:p>
    <w:p w14:paraId="1D8C6FA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价值分析业务是指资产评估机构及其资产评估专业人员根据委托，对无法履行必要资产评估程序的金融不良资产在基准日特定目的下的价值或者价值可实现程度进行分析、估算，并出具价值分析报告等咨询报告的专业服务行为。</w:t>
      </w:r>
    </w:p>
    <w:p w14:paraId="72242A8F">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第三条</w:t>
      </w:r>
      <w:r>
        <w:rPr>
          <w:rFonts w:hint="eastAsia" w:ascii="宋体" w:hAnsi="宋体" w:eastAsia="宋体" w:cs="宋体"/>
          <w:color w:val="000000"/>
          <w:kern w:val="0"/>
          <w:sz w:val="24"/>
          <w:shd w:val="clear" w:color="auto" w:fill="FFFFFF"/>
        </w:rPr>
        <w:t>　执行金融不良资产评估业务，应当遵守本指导意见。</w:t>
      </w:r>
    </w:p>
    <w:p w14:paraId="38D476CC">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第二章　基本遵循</w:t>
      </w:r>
    </w:p>
    <w:p w14:paraId="42F505B9">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第四条</w:t>
      </w:r>
      <w:r>
        <w:rPr>
          <w:rFonts w:hint="eastAsia" w:ascii="宋体" w:hAnsi="宋体" w:eastAsia="宋体" w:cs="宋体"/>
          <w:color w:val="000000"/>
          <w:kern w:val="0"/>
          <w:sz w:val="24"/>
          <w:shd w:val="clear" w:color="auto" w:fill="FFFFFF"/>
        </w:rPr>
        <w:t>　执行金融不良资产评估业务，应当具备金融不良资产评估的专业知识和实践经验，能够胜任所执行的金融不良资产评估业务。</w:t>
      </w:r>
    </w:p>
    <w:p w14:paraId="2215FB14">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第五条</w:t>
      </w:r>
      <w:r>
        <w:rPr>
          <w:rFonts w:hint="eastAsia" w:ascii="宋体" w:hAnsi="宋体" w:eastAsia="宋体" w:cs="宋体"/>
          <w:color w:val="000000"/>
          <w:kern w:val="0"/>
          <w:sz w:val="24"/>
          <w:shd w:val="clear" w:color="auto" w:fill="FFFFFF"/>
        </w:rPr>
        <w:t>　执行金融不良资产评估业务，应当坚持独立、客观、公正的原则，勤勉尽责，保持应有的职业谨慎，独立进行分析、估算并形成专业意见。</w:t>
      </w:r>
    </w:p>
    <w:p w14:paraId="2C06E14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资产评估机构及其资产评估专业人员应当与委托人、被评估单位以及其他相关当事人无利害关系。</w:t>
      </w:r>
    </w:p>
    <w:p w14:paraId="3445ABF5">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第六条</w:t>
      </w:r>
      <w:r>
        <w:rPr>
          <w:rFonts w:hint="eastAsia" w:ascii="宋体" w:hAnsi="宋体" w:eastAsia="宋体" w:cs="宋体"/>
          <w:color w:val="000000"/>
          <w:kern w:val="0"/>
          <w:sz w:val="24"/>
          <w:shd w:val="clear" w:color="auto" w:fill="FFFFFF"/>
        </w:rPr>
        <w:t>　资产评估专业人员应当根据资产评估业务具体情况合理使用评估假设，并在资产评估报告中予以披露。</w:t>
      </w:r>
    </w:p>
    <w:p w14:paraId="3BC83110">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第七条</w:t>
      </w:r>
      <w:r>
        <w:rPr>
          <w:rFonts w:hint="eastAsia" w:ascii="宋体" w:hAnsi="宋体" w:eastAsia="宋体" w:cs="宋体"/>
          <w:color w:val="000000"/>
          <w:kern w:val="0"/>
          <w:sz w:val="24"/>
          <w:shd w:val="clear" w:color="auto" w:fill="FFFFFF"/>
        </w:rPr>
        <w:t>　价值评估业务和价值分析业务是两种不同的专业服务。</w:t>
      </w:r>
    </w:p>
    <w:p w14:paraId="07AB953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执行金融不良资产评估业务，在未受到限制、能够履行必要资产评估程序的情况下，通常应当考虑执行价值评估业务。</w:t>
      </w:r>
    </w:p>
    <w:p w14:paraId="1411457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执行金融不良资产评估业务，在受到限制、无法履行必要资产评估程序的情况下，可以与委托人协商执行价值分析业务。</w:t>
      </w:r>
    </w:p>
    <w:p w14:paraId="22358E1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价值评估业务出具资产评估报告，价值分析业务出具价值分析报告等咨询报告。</w:t>
      </w:r>
    </w:p>
    <w:p w14:paraId="73DCDAC4">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第八条</w:t>
      </w:r>
      <w:r>
        <w:rPr>
          <w:rFonts w:hint="eastAsia" w:ascii="宋体" w:hAnsi="宋体" w:eastAsia="宋体" w:cs="宋体"/>
          <w:color w:val="000000"/>
          <w:kern w:val="0"/>
          <w:sz w:val="24"/>
          <w:shd w:val="clear" w:color="auto" w:fill="FFFFFF"/>
        </w:rPr>
        <w:t>　资产评估专业人员在受理金融不良资产评估业务时，应当在明确评估业务基本事项的基础上，根据评估对象的具体情况、评估目的、资产处置方式、评估资料可获得程度和资产评估程序受限制程度等因素，与委托人协商后明确执行价值评估业务或者价值分析业务。</w:t>
      </w:r>
    </w:p>
    <w:p w14:paraId="10AC4F49">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第九条</w:t>
      </w:r>
      <w:r>
        <w:rPr>
          <w:rFonts w:hint="eastAsia" w:ascii="宋体" w:hAnsi="宋体" w:eastAsia="宋体" w:cs="宋体"/>
          <w:color w:val="000000"/>
          <w:kern w:val="0"/>
          <w:sz w:val="24"/>
          <w:shd w:val="clear" w:color="auto" w:fill="FFFFFF"/>
        </w:rPr>
        <w:t>　资产评估专业人员应当提醒委托人和其他报告使用人关注价值评估业务和价值分析业务的区别。</w:t>
      </w:r>
    </w:p>
    <w:p w14:paraId="4FA5E2B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资产评估专业人员应当对价值评估结论或者价值分析结论进行明确说明，提醒委托人和其他报告使用人关注价值评估结论和价值分析结论的区别。</w:t>
      </w:r>
    </w:p>
    <w:p w14:paraId="6422181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价值分析结论是在受到一定限制条件下形成的专业意见，委托人和其他报告使用人应当知晓其作为参考依据的适用性不同于价值评估结论。</w:t>
      </w:r>
    </w:p>
    <w:p w14:paraId="20EF438C">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第十条</w:t>
      </w:r>
      <w:r>
        <w:rPr>
          <w:rFonts w:hint="eastAsia" w:ascii="宋体" w:hAnsi="宋体" w:eastAsia="宋体" w:cs="宋体"/>
          <w:color w:val="000000"/>
          <w:kern w:val="0"/>
          <w:sz w:val="24"/>
          <w:shd w:val="clear" w:color="auto" w:fill="FFFFFF"/>
        </w:rPr>
        <w:t>　价值评估结论和价值分析结论反映评估对象在基准日的价值或者价值可实现程度。</w:t>
      </w:r>
    </w:p>
    <w:p w14:paraId="1EE554E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资产评估专业人员应当提示报告使用人根据基准日后资产状况和市场状况的变化，合理确定价值评估结论和价值分析结论的有效使用期限。</w:t>
      </w:r>
    </w:p>
    <w:p w14:paraId="560C0B3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如果资产状况、市场状况与基准日相关状况相比发生重大变化，委托人应当委托资产评估机构执行评估更新业务或者重新评估。</w:t>
      </w:r>
    </w:p>
    <w:p w14:paraId="2960E0FC">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第十一条</w:t>
      </w:r>
      <w:r>
        <w:rPr>
          <w:rFonts w:hint="eastAsia" w:ascii="宋体" w:hAnsi="宋体" w:eastAsia="宋体" w:cs="宋体"/>
          <w:color w:val="000000"/>
          <w:kern w:val="0"/>
          <w:sz w:val="24"/>
          <w:shd w:val="clear" w:color="auto" w:fill="FFFFFF"/>
        </w:rPr>
        <w:t>　价值评估结论和价值分析结论反映资产评估专业人员遵守法律、行政法规和资产评估准则，在履行必要程序后形成的建立在相关假设和限制条件基础上的专业意见。</w:t>
      </w:r>
    </w:p>
    <w:p w14:paraId="72247A7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价值评估结论或者价值分析结论是资产处置的参考依据，不应当被认为是对金融不良资产处置时可实现价格的保证。</w:t>
      </w:r>
    </w:p>
    <w:p w14:paraId="639B958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委托人和其他报告使用人应当正确理解并恰当使用价值评估结论或者价值分析结论。资产评估专业人员应当建议委托人在参考价值评估结论或者价值分析结论的基础上，结合资产处置方案及资产处置时资产状况和市场状况等因素，进行合理决策。</w:t>
      </w:r>
    </w:p>
    <w:p w14:paraId="62441FD7">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第十二条</w:t>
      </w:r>
      <w:r>
        <w:rPr>
          <w:rFonts w:hint="eastAsia" w:ascii="宋体" w:hAnsi="宋体" w:eastAsia="宋体" w:cs="宋体"/>
          <w:color w:val="000000"/>
          <w:kern w:val="0"/>
          <w:sz w:val="24"/>
          <w:shd w:val="clear" w:color="auto" w:fill="FFFFFF"/>
        </w:rPr>
        <w:t>　遵守法律、行政法规和资产评估准则，对评估对象在基准日特定目的下的价值或者价值可实现程度进行分析和估算并发表专业意见，是资产评估机构及其资产评估专业人员的责任。</w:t>
      </w:r>
    </w:p>
    <w:p w14:paraId="2E924F9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委托人和其他相关当事人应当提供必要的资料，并对资料的真实性、完整性、合法性负责。</w:t>
      </w:r>
    </w:p>
    <w:p w14:paraId="4E993E7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委托人应当对资产评估专业人员执行业务予以配合，不得干预资产评估专业人员正常执业。当债务人等被评估单位对资产评估机构的合理要求不予以必要配合时，委托人应当予以必要协调。</w:t>
      </w:r>
    </w:p>
    <w:p w14:paraId="7CD9BAE3">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第三章　资产评估对象</w:t>
      </w:r>
    </w:p>
    <w:p w14:paraId="47E1DE88">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第十三条</w:t>
      </w:r>
      <w:r>
        <w:rPr>
          <w:rFonts w:hint="eastAsia" w:ascii="宋体" w:hAnsi="宋体" w:eastAsia="宋体" w:cs="宋体"/>
          <w:color w:val="000000"/>
          <w:kern w:val="0"/>
          <w:sz w:val="24"/>
          <w:shd w:val="clear" w:color="auto" w:fill="FFFFFF"/>
        </w:rPr>
        <w:t>　金融不良资产评估业务中，根据项目具体情况和委托人要求，评估对象可能是债权资产，也可能是用以实现债权清偿权利的实物类资产、股权类资产和其他资产。</w:t>
      </w:r>
    </w:p>
    <w:p w14:paraId="7864013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执行金融不良资产评估业务，应当与委托人进行充分协商，明确评估对象。</w:t>
      </w:r>
    </w:p>
    <w:p w14:paraId="1FCF5B28">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第十四条</w:t>
      </w:r>
      <w:r>
        <w:rPr>
          <w:rFonts w:hint="eastAsia" w:ascii="宋体" w:hAnsi="宋体" w:eastAsia="宋体" w:cs="宋体"/>
          <w:color w:val="000000"/>
          <w:kern w:val="0"/>
          <w:sz w:val="24"/>
          <w:shd w:val="clear" w:color="auto" w:fill="FFFFFF"/>
        </w:rPr>
        <w:t>　实物类资产主要包括收购的以物抵贷资产、资产处置中收回的以物抵债资产、受托管理的实物资产及其所产生的权益，以及其他能实现债权清偿权利的实物资产。</w:t>
      </w:r>
    </w:p>
    <w:p w14:paraId="3B33549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股权类资产主要包括商业性债转股、抵债股权、质押股权等。</w:t>
      </w:r>
    </w:p>
    <w:p w14:paraId="0D31003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其他资产主要包括土地使用权、商标权等无形资产以及收益凭证等其他相关资产。</w:t>
      </w:r>
    </w:p>
    <w:p w14:paraId="0A644BA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债权资产主要包括本指导意见第二条第一款所指不良贷款和不良债权。</w:t>
      </w:r>
    </w:p>
    <w:p w14:paraId="4F3CEC7F">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第十五条</w:t>
      </w:r>
      <w:r>
        <w:rPr>
          <w:rFonts w:hint="eastAsia" w:ascii="宋体" w:hAnsi="宋体" w:eastAsia="宋体" w:cs="宋体"/>
          <w:color w:val="000000"/>
          <w:kern w:val="0"/>
          <w:sz w:val="24"/>
          <w:shd w:val="clear" w:color="auto" w:fill="FFFFFF"/>
        </w:rPr>
        <w:t>　执行金融不良资产评估业务，应当关注评估对象的具体形态，充分考虑评估对象特点对评估业务的影响。</w:t>
      </w:r>
    </w:p>
    <w:p w14:paraId="07D05E77">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第四章　操作要求</w:t>
      </w:r>
    </w:p>
    <w:p w14:paraId="7F239143">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第十六条</w:t>
      </w:r>
      <w:r>
        <w:rPr>
          <w:rFonts w:hint="eastAsia" w:ascii="宋体" w:hAnsi="宋体" w:eastAsia="宋体" w:cs="宋体"/>
          <w:color w:val="000000"/>
          <w:kern w:val="0"/>
          <w:sz w:val="24"/>
          <w:shd w:val="clear" w:color="auto" w:fill="FFFFFF"/>
        </w:rPr>
        <w:t>　执行价值评估业务应当充分考虑金融不良资产处置的特点，遵守法律、行政法规和资产评估准则。</w:t>
      </w:r>
    </w:p>
    <w:p w14:paraId="7AC08C90">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第十七条</w:t>
      </w:r>
      <w:r>
        <w:rPr>
          <w:rFonts w:hint="eastAsia" w:ascii="宋体" w:hAnsi="宋体" w:eastAsia="宋体" w:cs="宋体"/>
          <w:color w:val="000000"/>
          <w:kern w:val="0"/>
          <w:sz w:val="24"/>
          <w:shd w:val="clear" w:color="auto" w:fill="FFFFFF"/>
        </w:rPr>
        <w:t>　资产评估专业人员应当明确资产评估业务的基本情况，根据评估目的、评估对象、资产处置方式、可获得的评估资料等因素，恰当选择价值类型和评估方法。</w:t>
      </w:r>
    </w:p>
    <w:p w14:paraId="01387070">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第十八条</w:t>
      </w:r>
      <w:r>
        <w:rPr>
          <w:rFonts w:hint="eastAsia" w:ascii="宋体" w:hAnsi="宋体" w:eastAsia="宋体" w:cs="宋体"/>
          <w:color w:val="000000"/>
          <w:kern w:val="0"/>
          <w:sz w:val="24"/>
          <w:shd w:val="clear" w:color="auto" w:fill="FFFFFF"/>
        </w:rPr>
        <w:t>　执行金融不良资产评估业务，应当在履行必要的资产评估程序或者分析程序后，编制并出具资产评估报告或者咨询报告。</w:t>
      </w:r>
    </w:p>
    <w:p w14:paraId="0FF4716A">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第十九条</w:t>
      </w:r>
      <w:r>
        <w:rPr>
          <w:rFonts w:hint="eastAsia" w:ascii="宋体" w:hAnsi="宋体" w:eastAsia="宋体" w:cs="宋体"/>
          <w:color w:val="000000"/>
          <w:kern w:val="0"/>
          <w:sz w:val="24"/>
          <w:shd w:val="clear" w:color="auto" w:fill="FFFFFF"/>
        </w:rPr>
        <w:t>　资产评估报告应当包含必要信息，使资产评估报告使用人能够正确理解评估结论。</w:t>
      </w:r>
    </w:p>
    <w:p w14:paraId="0AD22434">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第二十条</w:t>
      </w:r>
      <w:r>
        <w:rPr>
          <w:rFonts w:hint="eastAsia" w:ascii="宋体" w:hAnsi="宋体" w:eastAsia="宋体" w:cs="宋体"/>
          <w:color w:val="000000"/>
          <w:kern w:val="0"/>
          <w:sz w:val="24"/>
          <w:shd w:val="clear" w:color="auto" w:fill="FFFFFF"/>
        </w:rPr>
        <w:t>　资产评估专业人员应当在遵守法律、行政法规和资产评估准则的基础上，根据委托人的要求，合理确定资产评估报告的繁简程度。</w:t>
      </w:r>
    </w:p>
    <w:p w14:paraId="69FB106F">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第五章　附则</w:t>
      </w:r>
    </w:p>
    <w:p w14:paraId="2EE5328B">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第二十一条</w:t>
      </w:r>
      <w:r>
        <w:rPr>
          <w:rFonts w:hint="eastAsia" w:ascii="宋体" w:hAnsi="宋体" w:eastAsia="宋体" w:cs="宋体"/>
          <w:color w:val="000000"/>
          <w:kern w:val="0"/>
          <w:sz w:val="24"/>
          <w:shd w:val="clear" w:color="auto" w:fill="FFFFFF"/>
        </w:rPr>
        <w:t>　本指导意见自2017年10月1日起施行。中国资产评估协会于2005年3月21日发布的《关于印发〈金融不良资产评估指导意见（试行）〉的通知》（中评协〔2005〕37号）同时废止。</w:t>
      </w:r>
    </w:p>
    <w:p w14:paraId="22CEC1E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br w:type="page"/>
      </w:r>
    </w:p>
    <w:p w14:paraId="66EA9173">
      <w:pPr>
        <w:pStyle w:val="5"/>
        <w:spacing w:line="440" w:lineRule="atLeast"/>
        <w:jc w:val="center"/>
        <w:rPr>
          <w:rFonts w:ascii="宋体" w:hAnsi="宋体" w:eastAsia="宋体" w:cs="宋体"/>
        </w:rPr>
      </w:pPr>
      <w:bookmarkStart w:id="140" w:name="_Toc12087"/>
      <w:r>
        <w:rPr>
          <w:rFonts w:hint="eastAsia" w:ascii="宋体" w:hAnsi="宋体" w:eastAsia="宋体" w:cs="宋体"/>
        </w:rPr>
        <w:t>投资性房地产评估指导意见</w:t>
      </w:r>
      <w:bookmarkEnd w:id="140"/>
    </w:p>
    <w:p w14:paraId="31B24E35">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第一章　总则</w:t>
      </w:r>
    </w:p>
    <w:p w14:paraId="0F5C3478">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第一条</w:t>
      </w:r>
      <w:r>
        <w:rPr>
          <w:rFonts w:hint="eastAsia" w:ascii="宋体" w:hAnsi="宋体" w:eastAsia="宋体" w:cs="宋体"/>
          <w:color w:val="000000"/>
          <w:kern w:val="0"/>
          <w:sz w:val="24"/>
          <w:shd w:val="clear" w:color="auto" w:fill="FFFFFF"/>
        </w:rPr>
        <w:t>　为规范投资性房地产评估行为，保护资产评估当事人合法权益和公共利益，根据《以财务报告为目的的评估指南》制定本指导意见。</w:t>
      </w:r>
    </w:p>
    <w:p w14:paraId="300B5C3A">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第二条</w:t>
      </w:r>
      <w:r>
        <w:rPr>
          <w:rFonts w:hint="eastAsia" w:ascii="宋体" w:hAnsi="宋体" w:eastAsia="宋体" w:cs="宋体"/>
          <w:color w:val="000000"/>
          <w:kern w:val="0"/>
          <w:sz w:val="24"/>
          <w:shd w:val="clear" w:color="auto" w:fill="FFFFFF"/>
        </w:rPr>
        <w:t>　本指导意见所称投资性房地产，是指《企业会计准则第3号──投资性房地产》及其应用指南所称的投资性房地产，即企业为赚取租金或者资本增值，或者两者兼有而持有的房地产。</w:t>
      </w:r>
    </w:p>
    <w:p w14:paraId="2F486605">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第三条</w:t>
      </w:r>
      <w:r>
        <w:rPr>
          <w:rFonts w:hint="eastAsia" w:ascii="宋体" w:hAnsi="宋体" w:eastAsia="宋体" w:cs="宋体"/>
          <w:color w:val="000000"/>
          <w:kern w:val="0"/>
          <w:sz w:val="24"/>
          <w:shd w:val="clear" w:color="auto" w:fill="FFFFFF"/>
        </w:rPr>
        <w:t>　本指导意见所称投资性房地产评估，是指资产评估机构及其资产评估专业人员遵守法律、行政法规和资产评估准则，根据委托对以财务报告为目的所涉及的符合会计准则规定条件的投资性房地产在评估基准日的公允价值进行评定和估算，并出具资产评估报告的专业服务行为。</w:t>
      </w:r>
    </w:p>
    <w:p w14:paraId="71497F03">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第四条</w:t>
      </w:r>
      <w:r>
        <w:rPr>
          <w:rFonts w:hint="eastAsia" w:ascii="宋体" w:hAnsi="宋体" w:eastAsia="宋体" w:cs="宋体"/>
          <w:color w:val="000000"/>
          <w:kern w:val="0"/>
          <w:sz w:val="24"/>
          <w:shd w:val="clear" w:color="auto" w:fill="FFFFFF"/>
        </w:rPr>
        <w:t>　执行投资性房地产评估业务，应当遵守本指导意见。</w:t>
      </w:r>
    </w:p>
    <w:p w14:paraId="70FC095C">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第二章　基本遵循</w:t>
      </w:r>
    </w:p>
    <w:p w14:paraId="72FF5B6E">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第五条</w:t>
      </w:r>
      <w:r>
        <w:rPr>
          <w:rFonts w:hint="eastAsia" w:ascii="宋体" w:hAnsi="宋体" w:eastAsia="宋体" w:cs="宋体"/>
          <w:color w:val="000000"/>
          <w:kern w:val="0"/>
          <w:sz w:val="24"/>
          <w:shd w:val="clear" w:color="auto" w:fill="FFFFFF"/>
        </w:rPr>
        <w:t>　执行投资性房地产评估业务，应当具备投资性房地产评估的专业知识和实践经验，能够胜任所执行的投资性房地产评估业务。</w:t>
      </w:r>
    </w:p>
    <w:p w14:paraId="041E50F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执行某项特定业务缺乏特定的专业知识和经验时，应当采取弥补措施，包括利用专家及相关报告等。</w:t>
      </w:r>
    </w:p>
    <w:p w14:paraId="7907C941">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第六条</w:t>
      </w:r>
      <w:r>
        <w:rPr>
          <w:rFonts w:hint="eastAsia" w:ascii="宋体" w:hAnsi="宋体" w:eastAsia="宋体" w:cs="宋体"/>
          <w:color w:val="000000"/>
          <w:kern w:val="0"/>
          <w:sz w:val="24"/>
          <w:shd w:val="clear" w:color="auto" w:fill="FFFFFF"/>
        </w:rPr>
        <w:t>　执行投资性房地产评估业务，应当充分理解相关会计准则的要求、评估对象在企业财务报告中的核算和披露要求，并提请企业管理层按其经营意图以及会计准则的规定对投资性房地产进行恰当分类。</w:t>
      </w:r>
    </w:p>
    <w:p w14:paraId="1C742B3C">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第七条</w:t>
      </w:r>
      <w:r>
        <w:rPr>
          <w:rFonts w:hint="eastAsia" w:ascii="宋体" w:hAnsi="宋体" w:eastAsia="宋体" w:cs="宋体"/>
          <w:color w:val="000000"/>
          <w:kern w:val="0"/>
          <w:sz w:val="24"/>
          <w:shd w:val="clear" w:color="auto" w:fill="FFFFFF"/>
        </w:rPr>
        <w:t>　执行投资性房地产评估业务，应当与企业和执行审计业务的注册会计师进行必要的沟通，了解其因遵循相关会计准则的具体要求而提出的具体意见和建议，并分析这些意见和建议对评估业务的影响。</w:t>
      </w:r>
    </w:p>
    <w:p w14:paraId="77AA71BA">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第八条</w:t>
      </w:r>
      <w:r>
        <w:rPr>
          <w:rFonts w:hint="eastAsia" w:ascii="宋体" w:hAnsi="宋体" w:eastAsia="宋体" w:cs="宋体"/>
          <w:color w:val="000000"/>
          <w:kern w:val="0"/>
          <w:sz w:val="24"/>
          <w:shd w:val="clear" w:color="auto" w:fill="FFFFFF"/>
        </w:rPr>
        <w:t>　资产评估专业人员应当提醒委托人根据会计准则的相关要求确定评估基准日。评估基准日可以是资产负债表日、投资性房地产转换日等。</w:t>
      </w:r>
    </w:p>
    <w:p w14:paraId="2523B846">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第九条</w:t>
      </w:r>
      <w:r>
        <w:rPr>
          <w:rFonts w:hint="eastAsia" w:ascii="宋体" w:hAnsi="宋体" w:eastAsia="宋体" w:cs="宋体"/>
          <w:color w:val="000000"/>
          <w:kern w:val="0"/>
          <w:sz w:val="24"/>
          <w:shd w:val="clear" w:color="auto" w:fill="FFFFFF"/>
        </w:rPr>
        <w:t>　执行投资性房地产评估业务，应当对投资性房地产进行现场调查，明确投资性房地产的实物状况、权益状况和区位状况，收集相关权属证明、租赁合同等文件；没有权属证明文件的，应当要求委托人或者其他相关当事人对投资性房地产的权属做出承诺或者说明。</w:t>
      </w:r>
    </w:p>
    <w:p w14:paraId="54B587EE">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第三章　评估对象</w:t>
      </w:r>
    </w:p>
    <w:p w14:paraId="6AE57F2B">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第十条</w:t>
      </w:r>
      <w:r>
        <w:rPr>
          <w:rFonts w:hint="eastAsia" w:ascii="宋体" w:hAnsi="宋体" w:eastAsia="宋体" w:cs="宋体"/>
          <w:color w:val="000000"/>
          <w:kern w:val="0"/>
          <w:sz w:val="24"/>
          <w:shd w:val="clear" w:color="auto" w:fill="FFFFFF"/>
        </w:rPr>
        <w:t>　资产评估专业人员应当知晓会计准则中投资性房地产的分类，并提请委托人参照以下会计准则的要求，明确评估对象：</w:t>
      </w:r>
    </w:p>
    <w:p w14:paraId="0FD8FCC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（一）已出租的土地使用权，是指企业通过出让或者转让方式取得的、以经营租赁方式租出的土地使用权。</w:t>
      </w:r>
    </w:p>
    <w:p w14:paraId="467516C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（二）持有并准备增值后转让的土地使用权，是指企业取得的、准备增值后转让的土地使用权。按照国家有关规定认定的闲置土地，不属于持有并准备增值后转让的土地使用权。</w:t>
      </w:r>
    </w:p>
    <w:p w14:paraId="1A107A8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（三）已出租的建筑物，是指企业拥有产权、以经营租赁方式租出的建筑物，包括自行建造或者开发活动完成后用于出租的建筑物。</w:t>
      </w:r>
    </w:p>
    <w:p w14:paraId="0FF0A37B">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第十一条</w:t>
      </w:r>
      <w:r>
        <w:rPr>
          <w:rFonts w:hint="eastAsia" w:ascii="宋体" w:hAnsi="宋体" w:eastAsia="宋体" w:cs="宋体"/>
          <w:color w:val="000000"/>
          <w:kern w:val="0"/>
          <w:sz w:val="24"/>
          <w:shd w:val="clear" w:color="auto" w:fill="FFFFFF"/>
        </w:rPr>
        <w:t>　执行投资性房地产评估业务，应当明确评估对象对应的是个别建筑物单元，还是多个建筑物单元及其附属设施共同构成的整体。</w:t>
      </w:r>
    </w:p>
    <w:p w14:paraId="68BB752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当出租建筑物的附属设备和设施是租金收入所对应出租资产的组成部分时，应当考虑该设备和设施对投资性房地产价值的影响。</w:t>
      </w:r>
    </w:p>
    <w:p w14:paraId="1A3791E7">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第四章　评估方法</w:t>
      </w:r>
    </w:p>
    <w:p w14:paraId="7D3D4BEE">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第十二条</w:t>
      </w:r>
      <w:r>
        <w:rPr>
          <w:rFonts w:hint="eastAsia" w:ascii="宋体" w:hAnsi="宋体" w:eastAsia="宋体" w:cs="宋体"/>
          <w:color w:val="000000"/>
          <w:kern w:val="0"/>
          <w:sz w:val="24"/>
          <w:shd w:val="clear" w:color="auto" w:fill="FFFFFF"/>
        </w:rPr>
        <w:t>　执行投资性房地产评估业务，应当根据评估对象、价值类型、资料收集情况和数据来源等相关条件，参照会计准则关于评估对象和计量方法的有关规定，选择评估方法。</w:t>
      </w:r>
    </w:p>
    <w:p w14:paraId="003FA22E">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第十三条</w:t>
      </w:r>
      <w:r>
        <w:rPr>
          <w:rFonts w:hint="eastAsia" w:ascii="宋体" w:hAnsi="宋体" w:eastAsia="宋体" w:cs="宋体"/>
          <w:color w:val="000000"/>
          <w:kern w:val="0"/>
          <w:sz w:val="24"/>
          <w:shd w:val="clear" w:color="auto" w:fill="FFFFFF"/>
        </w:rPr>
        <w:t>　采用市场法评估投资性房地产时，应当收集足够的同类或者类似房地产的交易案例，并对所收集的信息及其来源进行分析。在选用交易案例时应当关注案例的可比性，重点分析投资性房地产的实物状况、权益状况、区位状况、交易情况及租约条件。</w:t>
      </w:r>
    </w:p>
    <w:p w14:paraId="7C24819A">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第十四条</w:t>
      </w:r>
      <w:r>
        <w:rPr>
          <w:rFonts w:hint="eastAsia" w:ascii="宋体" w:hAnsi="宋体" w:eastAsia="宋体" w:cs="宋体"/>
          <w:color w:val="000000"/>
          <w:kern w:val="0"/>
          <w:sz w:val="24"/>
          <w:shd w:val="clear" w:color="auto" w:fill="FFFFFF"/>
        </w:rPr>
        <w:t>　采用市场法评估投资性房地产时，应当建立价值可比基础，细化相关比较因素，包括交易情况、交易日期、容积率、使用年期、面积、具体位置、经营业态和所带租约等，明确相关指标参数内涵。</w:t>
      </w:r>
    </w:p>
    <w:p w14:paraId="4B5B8DE4">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第十五条</w:t>
      </w:r>
      <w:r>
        <w:rPr>
          <w:rFonts w:hint="eastAsia" w:ascii="宋体" w:hAnsi="宋体" w:eastAsia="宋体" w:cs="宋体"/>
          <w:color w:val="000000"/>
          <w:kern w:val="0"/>
          <w:sz w:val="24"/>
          <w:shd w:val="clear" w:color="auto" w:fill="FFFFFF"/>
        </w:rPr>
        <w:t>　采用收益法评估投资性房地产时，应当对企业来自于投资性房地产的租金收益，以及当期产生的相应费用进行分析，判断租金收益与相应费用的匹配性，确定净收益。</w:t>
      </w:r>
    </w:p>
    <w:p w14:paraId="44E999A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投资性房地产的净收益是指租金中直接归属于评估对象所对应的房地产权益部分，不包括物业管理费、代垫水电费等其他项目，并应当考虑免租期和租金收取方式的影响。</w:t>
      </w:r>
    </w:p>
    <w:p w14:paraId="56D0F1AF">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第十六条</w:t>
      </w:r>
      <w:r>
        <w:rPr>
          <w:rFonts w:hint="eastAsia" w:ascii="宋体" w:hAnsi="宋体" w:eastAsia="宋体" w:cs="宋体"/>
          <w:color w:val="000000"/>
          <w:kern w:val="0"/>
          <w:sz w:val="24"/>
          <w:shd w:val="clear" w:color="auto" w:fill="FFFFFF"/>
        </w:rPr>
        <w:t>　采用收益法评估投资性房地产时，应当关注投资性房地产现有租约条款对公允价值的影响，包括租金及其构成、租期、免租期、续租条件和提前终止租约的条件。</w:t>
      </w:r>
    </w:p>
    <w:p w14:paraId="0E0BD47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评估中应当关注租约的合法、有效性，了解实际履行状况。对合法、有效并实际履行的租约，预测未来净收益所使用的租约期内的租金应当采用租约所确定的租金，租约期外的租金应当采用正常客观的租金。当约定租金与市场租金水平存在较大差异时，应当分析其原因，并进行披露。</w:t>
      </w:r>
    </w:p>
    <w:p w14:paraId="1353FDC5">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第十七条</w:t>
      </w:r>
      <w:r>
        <w:rPr>
          <w:rFonts w:hint="eastAsia" w:ascii="宋体" w:hAnsi="宋体" w:eastAsia="宋体" w:cs="宋体"/>
          <w:color w:val="000000"/>
          <w:kern w:val="0"/>
          <w:sz w:val="24"/>
          <w:shd w:val="clear" w:color="auto" w:fill="FFFFFF"/>
        </w:rPr>
        <w:t>　采用收益法评估投资性房地产时，应当根据建筑物的剩余经济寿命年限与土地使用权剩余使用年限等参数，以及法律、行政法规的规定确定收益期限。</w:t>
      </w:r>
    </w:p>
    <w:p w14:paraId="3A5BE0A9">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第十八条</w:t>
      </w:r>
      <w:r>
        <w:rPr>
          <w:rFonts w:hint="eastAsia" w:ascii="宋体" w:hAnsi="宋体" w:eastAsia="宋体" w:cs="宋体"/>
          <w:color w:val="000000"/>
          <w:kern w:val="0"/>
          <w:sz w:val="24"/>
          <w:shd w:val="clear" w:color="auto" w:fill="FFFFFF"/>
        </w:rPr>
        <w:t>　采用收益法评估投资性房地产时，应当合理确定折现率。折现率应当反映评估基准日类似地区同类投资性房地产平均回报水平和评估对象的特定风险。折现率的口径应当与收益口径保持一致，并考虑租约、租期、租金等因素对折现率选取的影响。</w:t>
      </w:r>
    </w:p>
    <w:p w14:paraId="29FA6A3D">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第十九条</w:t>
      </w:r>
      <w:r>
        <w:rPr>
          <w:rFonts w:hint="eastAsia" w:ascii="宋体" w:hAnsi="宋体" w:eastAsia="宋体" w:cs="宋体"/>
          <w:color w:val="000000"/>
          <w:kern w:val="0"/>
          <w:sz w:val="24"/>
          <w:shd w:val="clear" w:color="auto" w:fill="FFFFFF"/>
        </w:rPr>
        <w:t>　采用市场法和收益法评估投资性房地产时，评估结论通常包括土地使用权价值。</w:t>
      </w:r>
    </w:p>
    <w:p w14:paraId="5DAD0E2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执行投资性房地产评估业务应当关注已出租的建筑物的会计核算中是否包含建筑物所对应的土地使用权。如果会计核算不包含土地使用权，应当提请企业管理层重新分类，或者在评估结论中扣除土地使用权的价值，并在资产评估报告中进行披露。</w:t>
      </w:r>
    </w:p>
    <w:p w14:paraId="5008A988">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第二十条</w:t>
      </w:r>
      <w:r>
        <w:rPr>
          <w:rFonts w:hint="eastAsia" w:ascii="宋体" w:hAnsi="宋体" w:eastAsia="宋体" w:cs="宋体"/>
          <w:color w:val="000000"/>
          <w:kern w:val="0"/>
          <w:sz w:val="24"/>
          <w:shd w:val="clear" w:color="auto" w:fill="FFFFFF"/>
        </w:rPr>
        <w:t>　采用市场法和收益法评估投资性房地产时，应当排除特殊交易情况的影响，包括非常规的融资、售后租回、特殊对价或者折让等。</w:t>
      </w:r>
    </w:p>
    <w:p w14:paraId="6E6A3092">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第二十一条</w:t>
      </w:r>
      <w:r>
        <w:rPr>
          <w:rFonts w:hint="eastAsia" w:ascii="宋体" w:hAnsi="宋体" w:eastAsia="宋体" w:cs="宋体"/>
          <w:color w:val="000000"/>
          <w:kern w:val="0"/>
          <w:sz w:val="24"/>
          <w:shd w:val="clear" w:color="auto" w:fill="FFFFFF"/>
        </w:rPr>
        <w:t>　采用市场法和收益法无法得出投资性房地产公允价值时，可以采用符合会计准则的其他方法。如果仍不能合理得出投资性房地产公允价值，经委托人同意，还可以采用恰当的方式分析投资性房地产公允价值的区间值，得出价值分析结论，并提醒资产评估报告使用人关注公允价值资产评估结论和价值分析结论的区别。</w:t>
      </w:r>
    </w:p>
    <w:p w14:paraId="186EA401">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第五章　披露要求</w:t>
      </w:r>
    </w:p>
    <w:p w14:paraId="1DFC4C04">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第二十二条</w:t>
      </w:r>
      <w:r>
        <w:rPr>
          <w:rFonts w:hint="eastAsia" w:ascii="宋体" w:hAnsi="宋体" w:eastAsia="宋体" w:cs="宋体"/>
          <w:color w:val="000000"/>
          <w:kern w:val="0"/>
          <w:sz w:val="24"/>
          <w:shd w:val="clear" w:color="auto" w:fill="FFFFFF"/>
        </w:rPr>
        <w:t>　执行投资性房地产评估业务，应当根据《资产评估执业准则──资产评估报告》和《以财务报告为目的的评估指南》编制并由资产评估机构出具资产评估报告，进行恰当披露。</w:t>
      </w:r>
    </w:p>
    <w:p w14:paraId="3151C4DB">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第二十三条</w:t>
      </w:r>
      <w:r>
        <w:rPr>
          <w:rFonts w:hint="eastAsia" w:ascii="宋体" w:hAnsi="宋体" w:eastAsia="宋体" w:cs="宋体"/>
          <w:color w:val="000000"/>
          <w:kern w:val="0"/>
          <w:sz w:val="24"/>
          <w:shd w:val="clear" w:color="auto" w:fill="FFFFFF"/>
        </w:rPr>
        <w:t>　编制投资性房地产评估报告应当披露必要的信息，使资产评估报告使用人，包括企业管理层和执行审计业务的注册会计师等，了解资产评估过程、正确理解和使用评估结论。</w:t>
      </w:r>
    </w:p>
    <w:p w14:paraId="296CB09A">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第二十四条</w:t>
      </w:r>
      <w:r>
        <w:rPr>
          <w:rFonts w:hint="eastAsia" w:ascii="宋体" w:hAnsi="宋体" w:eastAsia="宋体" w:cs="宋体"/>
          <w:color w:val="000000"/>
          <w:kern w:val="0"/>
          <w:sz w:val="24"/>
          <w:shd w:val="clear" w:color="auto" w:fill="FFFFFF"/>
        </w:rPr>
        <w:t>　投资性房地产评估报告中应当重点披露以下内容：</w:t>
      </w:r>
    </w:p>
    <w:p w14:paraId="4BCF4C0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（一）评估对象的具体描述，包括总体情况和主要特点等；</w:t>
      </w:r>
    </w:p>
    <w:p w14:paraId="572EB90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（二）评估对象的权属状况、使用状况及租约信息；</w:t>
      </w:r>
    </w:p>
    <w:p w14:paraId="50E33DD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（三）价值类型的定义及其与会计准则的对应关系；</w:t>
      </w:r>
    </w:p>
    <w:p w14:paraId="0D8DEB7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（四）评估方法的选择过程和依据，评估方法的具体运用；</w:t>
      </w:r>
    </w:p>
    <w:p w14:paraId="7CF803B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（五）评估假设，主要包括：已签租约是否合法、有效；已签租约是否实际履行，是否会改变和无故终止；已出租建筑物的经营业态是否会发生重大改变；</w:t>
      </w:r>
    </w:p>
    <w:p w14:paraId="082DB57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（六）关键性评估参数的来源、依据和测算过程等；</w:t>
      </w:r>
    </w:p>
    <w:p w14:paraId="2FE0B9D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（七）是否存在缺失产权文件等方面的瑕疵或者重大限制。</w:t>
      </w:r>
    </w:p>
    <w:p w14:paraId="6A1C561F">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第二十五条</w:t>
      </w:r>
      <w:r>
        <w:rPr>
          <w:rFonts w:hint="eastAsia" w:ascii="宋体" w:hAnsi="宋体" w:eastAsia="宋体" w:cs="宋体"/>
          <w:color w:val="000000"/>
          <w:kern w:val="0"/>
          <w:sz w:val="24"/>
          <w:shd w:val="clear" w:color="auto" w:fill="FFFFFF"/>
        </w:rPr>
        <w:t>　当评估对象存在产权瑕疵且该瑕疵事项可能对投资性房地产的公允价值产生重大影响时，应当对该瑕疵事项及其影响进行披露并提请资产评估报告使用人予以关注。</w:t>
      </w:r>
    </w:p>
    <w:p w14:paraId="3396BA7F">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第六章　附则</w:t>
      </w:r>
    </w:p>
    <w:p w14:paraId="7C840E7B">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第二十六条</w:t>
      </w:r>
      <w:r>
        <w:rPr>
          <w:rFonts w:hint="eastAsia" w:ascii="宋体" w:hAnsi="宋体" w:eastAsia="宋体" w:cs="宋体"/>
          <w:color w:val="000000"/>
          <w:kern w:val="0"/>
          <w:sz w:val="24"/>
          <w:shd w:val="clear" w:color="auto" w:fill="FFFFFF"/>
        </w:rPr>
        <w:t>　本指导意见自2017年10月1日起施行。中国资产评估协会于2009年12月18日发布的《关于印发〈投资性房地产评估指导意见（试行）〉和〈资产评估准则——珠宝首饰〉的通知》（中评协〔2009〕211号）中的《投资性房地产评估指导意见（试行）》同时废止。</w:t>
      </w:r>
    </w:p>
    <w:p w14:paraId="32323C9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br w:type="page"/>
      </w:r>
    </w:p>
    <w:p w14:paraId="294A138A">
      <w:pPr>
        <w:pStyle w:val="5"/>
        <w:spacing w:line="440" w:lineRule="atLeast"/>
        <w:jc w:val="center"/>
        <w:rPr>
          <w:rFonts w:ascii="宋体" w:hAnsi="宋体" w:eastAsia="宋体" w:cs="宋体"/>
        </w:rPr>
      </w:pPr>
      <w:bookmarkStart w:id="141" w:name="_Toc20433"/>
      <w:r>
        <w:rPr>
          <w:rFonts w:hint="eastAsia" w:ascii="宋体" w:hAnsi="宋体" w:eastAsia="宋体" w:cs="宋体"/>
        </w:rPr>
        <w:t>实物期权评估指导意见</w:t>
      </w:r>
      <w:bookmarkEnd w:id="141"/>
    </w:p>
    <w:p w14:paraId="5578E24F">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第一章　总则</w:t>
      </w:r>
    </w:p>
    <w:p w14:paraId="39BD9122">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第一条</w:t>
      </w:r>
      <w:r>
        <w:rPr>
          <w:rFonts w:hint="eastAsia" w:ascii="宋体" w:hAnsi="宋体" w:eastAsia="宋体" w:cs="宋体"/>
          <w:color w:val="000000"/>
          <w:kern w:val="0"/>
          <w:sz w:val="24"/>
          <w:shd w:val="clear" w:color="auto" w:fill="FFFFFF"/>
        </w:rPr>
        <w:t>　为规范实物期权评估行为，保护资产评估当事人合法权益和公共利益，根据《资产评估基本准则》制定本指导意见。</w:t>
      </w:r>
    </w:p>
    <w:p w14:paraId="327F9E65">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第二条</w:t>
      </w:r>
      <w:r>
        <w:rPr>
          <w:rFonts w:hint="eastAsia" w:ascii="宋体" w:hAnsi="宋体" w:eastAsia="宋体" w:cs="宋体"/>
          <w:color w:val="000000"/>
          <w:kern w:val="0"/>
          <w:sz w:val="24"/>
          <w:shd w:val="clear" w:color="auto" w:fill="FFFFFF"/>
        </w:rPr>
        <w:t>　本指导意见所称实物期权，是指附着于企业整体资产或者单项资产上的非人为设计的选择权，即指现实中存在的发展或者增长机会、收缩或者退出机会等。相应企业或者资产的实际控制人在未来可以执行这种选择权，并且预期通过执行这种选择权能带来经济利益。</w:t>
      </w:r>
    </w:p>
    <w:p w14:paraId="7AC9E933">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第三条</w:t>
      </w:r>
      <w:r>
        <w:rPr>
          <w:rFonts w:hint="eastAsia" w:ascii="宋体" w:hAnsi="宋体" w:eastAsia="宋体" w:cs="宋体"/>
          <w:color w:val="000000"/>
          <w:kern w:val="0"/>
          <w:sz w:val="24"/>
          <w:shd w:val="clear" w:color="auto" w:fill="FFFFFF"/>
        </w:rPr>
        <w:t>　本指导意见所称实物期权评估，是指资产评估机构及其资产评估专业人员遵守法律、行政法规和资产评估准则，根据委托对评估基准日特定目的下附着于企业整体资产或者单项资产上的实物期权进行识别、评定、估算，并出具资产评估报告的专业服务行为。</w:t>
      </w:r>
    </w:p>
    <w:p w14:paraId="47362E41">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第四条</w:t>
      </w:r>
      <w:r>
        <w:rPr>
          <w:rFonts w:hint="eastAsia" w:ascii="宋体" w:hAnsi="宋体" w:eastAsia="宋体" w:cs="宋体"/>
          <w:color w:val="000000"/>
          <w:kern w:val="0"/>
          <w:sz w:val="24"/>
          <w:shd w:val="clear" w:color="auto" w:fill="FFFFFF"/>
        </w:rPr>
        <w:t>　企业整体资产或者单项资产可能会附带一种或者多种实物期权。当资产中附带的实物期权经初步判断其价值可以忽视时，可以不评估该实物期权的价值。</w:t>
      </w:r>
    </w:p>
    <w:p w14:paraId="2FF5DF49">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第五条</w:t>
      </w:r>
      <w:r>
        <w:rPr>
          <w:rFonts w:hint="eastAsia" w:ascii="宋体" w:hAnsi="宋体" w:eastAsia="宋体" w:cs="宋体"/>
          <w:color w:val="000000"/>
          <w:kern w:val="0"/>
          <w:sz w:val="24"/>
          <w:shd w:val="clear" w:color="auto" w:fill="FFFFFF"/>
        </w:rPr>
        <w:t>　执行涉及实物期权评估的业务，应当遵守本指导意见。</w:t>
      </w:r>
    </w:p>
    <w:p w14:paraId="0A41A399">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第二章　基本遵循</w:t>
      </w:r>
    </w:p>
    <w:p w14:paraId="1D2A917F">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第六条</w:t>
      </w:r>
      <w:r>
        <w:rPr>
          <w:rFonts w:hint="eastAsia" w:ascii="宋体" w:hAnsi="宋体" w:eastAsia="宋体" w:cs="宋体"/>
          <w:color w:val="000000"/>
          <w:kern w:val="0"/>
          <w:sz w:val="24"/>
          <w:shd w:val="clear" w:color="auto" w:fill="FFFFFF"/>
        </w:rPr>
        <w:t>　执行涉及实物期权评估的业务，应当掌握期权定价理论知识，具备实物期权评估的专业知识，具有实物期权评估的专业能力。</w:t>
      </w:r>
    </w:p>
    <w:p w14:paraId="4A4CED7E">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第七条</w:t>
      </w:r>
      <w:r>
        <w:rPr>
          <w:rFonts w:hint="eastAsia" w:ascii="宋体" w:hAnsi="宋体" w:eastAsia="宋体" w:cs="宋体"/>
          <w:color w:val="000000"/>
          <w:kern w:val="0"/>
          <w:sz w:val="24"/>
          <w:shd w:val="clear" w:color="auto" w:fill="FFFFFF"/>
        </w:rPr>
        <w:t>　实物期权的价值依附于相应资产，资产评估专业人员进行实物期权价值评估，应当根据评估目的和评估对象的具体情况选择恰当的价值类型。</w:t>
      </w:r>
    </w:p>
    <w:p w14:paraId="7E2C117F">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第八条</w:t>
      </w:r>
      <w:r>
        <w:rPr>
          <w:rFonts w:hint="eastAsia" w:ascii="宋体" w:hAnsi="宋体" w:eastAsia="宋体" w:cs="宋体"/>
          <w:color w:val="000000"/>
          <w:kern w:val="0"/>
          <w:sz w:val="24"/>
          <w:shd w:val="clear" w:color="auto" w:fill="FFFFFF"/>
        </w:rPr>
        <w:t>　执行涉及实物期权评估的业务，应当坚持独立、客观、公正的原则，尽可能获取充分、可靠的信息，并基于信息进行审慎分析、估算和形成专业意见。</w:t>
      </w:r>
    </w:p>
    <w:p w14:paraId="1A14EF5B">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第九条</w:t>
      </w:r>
      <w:r>
        <w:rPr>
          <w:rFonts w:hint="eastAsia" w:ascii="宋体" w:hAnsi="宋体" w:eastAsia="宋体" w:cs="宋体"/>
          <w:color w:val="000000"/>
          <w:kern w:val="0"/>
          <w:sz w:val="24"/>
          <w:shd w:val="clear" w:color="auto" w:fill="FFFFFF"/>
        </w:rPr>
        <w:t>　执行涉及实物期权评估的业务，应当合理使用评估假设和限制条件，理解并恰当运用期权价值评估的程序和方法，形成评估结论。</w:t>
      </w:r>
    </w:p>
    <w:p w14:paraId="2C1349D7">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第十条</w:t>
      </w:r>
      <w:r>
        <w:rPr>
          <w:rFonts w:hint="eastAsia" w:ascii="宋体" w:hAnsi="宋体" w:eastAsia="宋体" w:cs="宋体"/>
          <w:color w:val="000000"/>
          <w:kern w:val="0"/>
          <w:sz w:val="24"/>
          <w:shd w:val="clear" w:color="auto" w:fill="FFFFFF"/>
        </w:rPr>
        <w:t>　需要评估实物期权时，应当在资产评估委托合同中予以明确。委托人或者被评估单位应当提供实物期权评估的相关资料，并对资料的真实性、完整性、合法性负责。</w:t>
      </w:r>
    </w:p>
    <w:p w14:paraId="72AD8497">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第三章　评估对象</w:t>
      </w:r>
    </w:p>
    <w:p w14:paraId="6B06EB9E">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第十一条</w:t>
      </w:r>
      <w:r>
        <w:rPr>
          <w:rFonts w:hint="eastAsia" w:ascii="宋体" w:hAnsi="宋体" w:eastAsia="宋体" w:cs="宋体"/>
          <w:color w:val="000000"/>
          <w:kern w:val="0"/>
          <w:sz w:val="24"/>
          <w:shd w:val="clear" w:color="auto" w:fill="FFFFFF"/>
        </w:rPr>
        <w:t>　执行涉及实物期权评估的业务涉及的实物期权主要包括增长期权和退出期权等。</w:t>
      </w:r>
    </w:p>
    <w:p w14:paraId="7247FE67">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第十二条</w:t>
      </w:r>
      <w:r>
        <w:rPr>
          <w:rFonts w:hint="eastAsia" w:ascii="宋体" w:hAnsi="宋体" w:eastAsia="宋体" w:cs="宋体"/>
          <w:color w:val="000000"/>
          <w:kern w:val="0"/>
          <w:sz w:val="24"/>
          <w:shd w:val="clear" w:color="auto" w:fill="FFFFFF"/>
        </w:rPr>
        <w:t>　增长期权是指在现有基础上增加投资或者资产，从而可以扩大业务规模或者扩展经营范围的期权。</w:t>
      </w:r>
    </w:p>
    <w:p w14:paraId="2A822B26">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第十三条</w:t>
      </w:r>
      <w:r>
        <w:rPr>
          <w:rFonts w:hint="eastAsia" w:ascii="宋体" w:hAnsi="宋体" w:eastAsia="宋体" w:cs="宋体"/>
          <w:color w:val="000000"/>
          <w:kern w:val="0"/>
          <w:sz w:val="24"/>
          <w:shd w:val="clear" w:color="auto" w:fill="FFFFFF"/>
        </w:rPr>
        <w:t>　退出期权是指在前景不好的情况下，可以按照合理价格部分或者全部变现资产，或者低成本地改变资产用途，从而收缩业务规模或者范围以至退出经营的期权。</w:t>
      </w:r>
    </w:p>
    <w:p w14:paraId="332950C6">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第四章　操作要求</w:t>
      </w:r>
    </w:p>
    <w:p w14:paraId="2DCA6EEF">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第十四条</w:t>
      </w:r>
      <w:r>
        <w:rPr>
          <w:rFonts w:hint="eastAsia" w:ascii="宋体" w:hAnsi="宋体" w:eastAsia="宋体" w:cs="宋体"/>
          <w:color w:val="000000"/>
          <w:kern w:val="0"/>
          <w:sz w:val="24"/>
          <w:shd w:val="clear" w:color="auto" w:fill="FFFFFF"/>
        </w:rPr>
        <w:t>　资产评估专业人员评估实物期权，应当按照识别期权、判断条件、估计参数、估算价值四个步骤进行。</w:t>
      </w:r>
    </w:p>
    <w:p w14:paraId="1F615A82">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第十五条</w:t>
      </w:r>
      <w:r>
        <w:rPr>
          <w:rFonts w:hint="eastAsia" w:ascii="宋体" w:hAnsi="宋体" w:eastAsia="宋体" w:cs="宋体"/>
          <w:color w:val="000000"/>
          <w:kern w:val="0"/>
          <w:sz w:val="24"/>
          <w:shd w:val="clear" w:color="auto" w:fill="FFFFFF"/>
        </w:rPr>
        <w:t>　资产评估专业人员评估企业整体或者单项资产附带的实物期权，应当全面了解有关资产的情况以及资产未来使用前景和机会，识别不可忽视的实物期权，明确实物期权的标的资产、期权种类、行权价格、行权期限等。</w:t>
      </w:r>
    </w:p>
    <w:p w14:paraId="1F9FBE6C">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第十六条</w:t>
      </w:r>
      <w:r>
        <w:rPr>
          <w:rFonts w:hint="eastAsia" w:ascii="宋体" w:hAnsi="宋体" w:eastAsia="宋体" w:cs="宋体"/>
          <w:color w:val="000000"/>
          <w:kern w:val="0"/>
          <w:sz w:val="24"/>
          <w:shd w:val="clear" w:color="auto" w:fill="FFFFFF"/>
        </w:rPr>
        <w:t>　执行涉及实物期权评估的业务，应当根据有关参数所需信息的可获取性和可靠性，判断是否具备评估条件。不具备实物期权评估条件时，应当终止实物期权评估。</w:t>
      </w:r>
    </w:p>
    <w:p w14:paraId="2950A015">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第十七条</w:t>
      </w:r>
      <w:r>
        <w:rPr>
          <w:rFonts w:hint="eastAsia" w:ascii="宋体" w:hAnsi="宋体" w:eastAsia="宋体" w:cs="宋体"/>
          <w:color w:val="000000"/>
          <w:kern w:val="0"/>
          <w:sz w:val="24"/>
          <w:shd w:val="clear" w:color="auto" w:fill="FFFFFF"/>
        </w:rPr>
        <w:t>　实物期权评估中的参数通常包括标的资产的评估基准日价值、波动率、行权价格、行权期限和无风险收益率等。</w:t>
      </w:r>
    </w:p>
    <w:p w14:paraId="5E5FFCD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标的资产即实物期权所对应的基础资产。增长期权是买方期权，其标的资产是当前资产带来的潜在业务或者项目；退出期权是卖方期权，其标的资产是实物期权所依附的当前资产。</w:t>
      </w:r>
    </w:p>
    <w:p w14:paraId="5C903F4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波动率是指预期标的资产收益率的标准差。波动率可以通过类比风险相近资产的波动率确定，也可以根据标的资产以往价格相对变动情况估计出历史波动率，再根据未来风险变化情况进行调整确定。</w:t>
      </w:r>
    </w:p>
    <w:p w14:paraId="7792F4B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行权价格是指实物期权行权时，买进或者卖出标的资产支付或者获得的金额。增长期权的行权价格是形成标的资产所需要的投资金额。退出期权的行权价格是标的资产在未来行权时间可以卖出的价格，或者在可以转换用途情况下，标的资产在行权时间的价值。</w:t>
      </w:r>
    </w:p>
    <w:p w14:paraId="0230D21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行权期限是指评估基准日至实物期权行权时间之间的时间长度。实物期权通常没有准确的行权期限，可以按照预计的最佳行权时间估计行权期限。</w:t>
      </w:r>
    </w:p>
    <w:p w14:paraId="7DB939B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无风险收益率是指不存在违约风险的收益率，可以参照剩余期限与实物期权行权期限相同或者相近的国债到期收益率确定。</w:t>
      </w:r>
    </w:p>
    <w:p w14:paraId="2BF63842">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第十八条</w:t>
      </w:r>
      <w:r>
        <w:rPr>
          <w:rFonts w:hint="eastAsia" w:ascii="宋体" w:hAnsi="宋体" w:eastAsia="宋体" w:cs="宋体"/>
          <w:color w:val="000000"/>
          <w:kern w:val="0"/>
          <w:sz w:val="24"/>
          <w:shd w:val="clear" w:color="auto" w:fill="FFFFFF"/>
        </w:rPr>
        <w:t>　执行涉及实物期权评估的业务，应当根据实物期权的类型，选择适当的期权定价模型，常用的期权定价模型包括布莱克-舒尔斯模型、二项树模型等。对测算出的实物期权价值，应当进行必要的合理性检验。</w:t>
      </w:r>
    </w:p>
    <w:p w14:paraId="463C8F47">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第五章　披露要求</w:t>
      </w:r>
    </w:p>
    <w:p w14:paraId="11005123">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第十九条</w:t>
      </w:r>
      <w:r>
        <w:rPr>
          <w:rFonts w:hint="eastAsia" w:ascii="宋体" w:hAnsi="宋体" w:eastAsia="宋体" w:cs="宋体"/>
          <w:color w:val="000000"/>
          <w:kern w:val="0"/>
          <w:sz w:val="24"/>
          <w:shd w:val="clear" w:color="auto" w:fill="FFFFFF"/>
        </w:rPr>
        <w:t>　执行有关资产评估业务涉及实物期权评估，应当在资产评估报告中予以披露。</w:t>
      </w:r>
    </w:p>
    <w:p w14:paraId="705C4442">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第二十条</w:t>
      </w:r>
      <w:r>
        <w:rPr>
          <w:rFonts w:hint="eastAsia" w:ascii="宋体" w:hAnsi="宋体" w:eastAsia="宋体" w:cs="宋体"/>
          <w:color w:val="000000"/>
          <w:kern w:val="0"/>
          <w:sz w:val="24"/>
          <w:shd w:val="clear" w:color="auto" w:fill="FFFFFF"/>
        </w:rPr>
        <w:t>　资产评估专业人员编制涉及实物期权评估的资产评估报告，除了符合《资产评估执业准则——资产评估报告》的披露要求外，还应当披露实物期权的种类、标的资产、行权期限、选择的评估方法和模型，以及实物期权评估结论等。</w:t>
      </w:r>
    </w:p>
    <w:p w14:paraId="226F81F4">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第二十一条</w:t>
      </w:r>
      <w:r>
        <w:rPr>
          <w:rFonts w:hint="eastAsia" w:ascii="宋体" w:hAnsi="宋体" w:eastAsia="宋体" w:cs="宋体"/>
          <w:color w:val="000000"/>
          <w:kern w:val="0"/>
          <w:sz w:val="24"/>
          <w:shd w:val="clear" w:color="auto" w:fill="FFFFFF"/>
        </w:rPr>
        <w:t>　执行涉及实物期权评估的业务，应当在资产评估报告中对实物期权的或有资产属性给予必要的提醒。</w:t>
      </w:r>
    </w:p>
    <w:p w14:paraId="4D76BC0C">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第六章　附则</w:t>
      </w:r>
    </w:p>
    <w:p w14:paraId="09FAC399">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第二十二条</w:t>
      </w:r>
      <w:r>
        <w:rPr>
          <w:rFonts w:hint="eastAsia" w:ascii="宋体" w:hAnsi="宋体" w:eastAsia="宋体" w:cs="宋体"/>
          <w:color w:val="000000"/>
          <w:kern w:val="0"/>
          <w:sz w:val="24"/>
          <w:shd w:val="clear" w:color="auto" w:fill="FFFFFF"/>
        </w:rPr>
        <w:t>　本指导意见自2017年10月1日起施行。中国资产评估协会于2011年12月30日发布的《关于印发〈实物期权评估指导意见（试行）〉的通知》（中评协〔2011〕229号）同时废止。</w:t>
      </w:r>
    </w:p>
    <w:p w14:paraId="631580E6">
      <w:pPr>
        <w:shd w:val="clear" w:color="auto" w:fill="FFFFFF"/>
        <w:spacing w:line="440" w:lineRule="atLeast"/>
        <w:ind w:firstLine="480" w:firstLineChars="200"/>
        <w:rPr>
          <w:rFonts w:ascii="宋体" w:hAnsi="宋体" w:eastAsia="宋体" w:cs="宋体"/>
          <w:color w:val="000000"/>
          <w:kern w:val="0"/>
          <w:sz w:val="24"/>
          <w:shd w:val="clear" w:color="auto" w:fill="FFFFFF"/>
        </w:rPr>
      </w:pPr>
    </w:p>
    <w:p w14:paraId="6DCE26A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附1：常见的实物期权（供参考）</w:t>
      </w:r>
    </w:p>
    <w:p w14:paraId="69030B5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附2：常用的期权定价模型（供参考）</w:t>
      </w:r>
    </w:p>
    <w:p w14:paraId="4743A5C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附3：评估结论的合理性检验（供参考）</w:t>
      </w:r>
      <w:r>
        <w:rPr>
          <w:rFonts w:hint="eastAsia" w:ascii="宋体" w:hAnsi="宋体" w:eastAsia="宋体" w:cs="宋体"/>
          <w:color w:val="000000"/>
          <w:kern w:val="0"/>
          <w:sz w:val="24"/>
          <w:shd w:val="clear" w:color="auto" w:fill="FFFFFF"/>
        </w:rPr>
        <w:br w:type="page"/>
      </w:r>
    </w:p>
    <w:p w14:paraId="21CC72C7">
      <w:pPr>
        <w:spacing w:line="440" w:lineRule="atLeast"/>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附1</w:t>
      </w:r>
    </w:p>
    <w:p w14:paraId="4205A504">
      <w:pPr>
        <w:shd w:val="clear" w:color="auto" w:fill="FFFFFF"/>
        <w:spacing w:line="440" w:lineRule="atLeast"/>
        <w:jc w:val="center"/>
        <w:rPr>
          <w:rFonts w:ascii="宋体" w:hAnsi="宋体" w:eastAsia="宋体" w:cs="宋体"/>
          <w:b/>
          <w:bCs/>
          <w:color w:val="000000"/>
          <w:kern w:val="0"/>
          <w:sz w:val="32"/>
          <w:szCs w:val="32"/>
          <w:shd w:val="clear" w:color="auto" w:fill="FFFFFF"/>
        </w:rPr>
      </w:pPr>
      <w:r>
        <w:rPr>
          <w:rFonts w:hint="eastAsia" w:ascii="宋体" w:hAnsi="宋体" w:eastAsia="宋体" w:cs="宋体"/>
          <w:b/>
          <w:bCs/>
          <w:color w:val="000000"/>
          <w:kern w:val="0"/>
          <w:sz w:val="32"/>
          <w:szCs w:val="32"/>
          <w:shd w:val="clear" w:color="auto" w:fill="FFFFFF"/>
        </w:rPr>
        <w:t>常见的实物期权</w:t>
      </w:r>
    </w:p>
    <w:p w14:paraId="1860B154">
      <w:pPr>
        <w:shd w:val="clear" w:color="auto" w:fill="FFFFFF"/>
        <w:spacing w:line="440" w:lineRule="atLeast"/>
        <w:jc w:val="center"/>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（供参考）</w:t>
      </w:r>
    </w:p>
    <w:p w14:paraId="356E1E2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对实物期权可以从不同角度进行分类。资产评估专业人员在执行资产评估业务时，可能涉及到的实物期权主要包括增长期权和退出期权等。</w:t>
      </w:r>
    </w:p>
    <w:p w14:paraId="39FF0C6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增长期权是在现有基础上增加投资和资产，从而扩大业务规模或者扩展经营范围的期权。常见的增长期权包括实业项目进行追加投资的期权，分阶段投资或者战略进入下一个阶段的期权，利用原有有形和无形资产扩大经营规模或者增加新产品、新业务的期权，文化艺术品以及影视作品开发实物衍生产品或者演绎作品的期权等。</w:t>
      </w:r>
    </w:p>
    <w:p w14:paraId="5681E62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退出期权指在前景不好的情况下，可以按照合理价格即没有明显损失地部分或者全部变卖资产，或者低成本地改变资产用途，从而收缩业务规模或者范围以至退出经营的期权。常见的退出期权包括房地产类资产按接近或者超过购置成本的价格转让，制造业中的通用设备根据业务前景而改变用途，股权投资约定退出条款等形成的期权。</w:t>
      </w:r>
    </w:p>
    <w:p w14:paraId="41DF730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现实中的企业整体与单项资产可能附带一些实物期权。实物期权的价值评估较为复杂，为平衡评估工作量与评估结论的准确性和稳健性，应当从可能发现的实物期权中选出不可忽视的实物期权加以评估。</w:t>
      </w:r>
    </w:p>
    <w:p w14:paraId="02F72E9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不可忽视的实物期权可以根据实物期权的重要性和相互关系进行分析判断。</w:t>
      </w:r>
    </w:p>
    <w:p w14:paraId="00E105F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实物期权的重要性可以根据以下标准进行评价：</w:t>
      </w:r>
    </w:p>
    <w:p w14:paraId="32ACF52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（1）标的资产范围或者价值越大越重要。如评估企业价值时，以企业价值为标的资产的实物期权比以某个业务部门为标的资产的实物期权更为重要。</w:t>
      </w:r>
    </w:p>
    <w:p w14:paraId="47ABEF7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实物期权执行的可能性越大越重要。在其他条件相同的情况下，实值实物期权比虚值实物期权重要；实物期权的实值越深越重要；实物期权的期限越近越重要；标的资产拥有方具备的执行实物期权的资源越充足越重要。</w:t>
      </w:r>
    </w:p>
    <w:p w14:paraId="32B7B7A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执行实物期权的资源多种多样，增长实物期权最重要的资源是对相应业务的垄断权，包括来自于政府或者市场的特许权、来自于技术专利的独占权，以及长期的买卖或者合作关系、产品或者业务预定合同等。</w:t>
      </w:r>
    </w:p>
    <w:p w14:paraId="20CC9AD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实物期权的相互关系可以根据以下标准进行评价：</w:t>
      </w:r>
    </w:p>
    <w:p w14:paraId="6619529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（1）多个实物期权之间有互斥关系或者替代关系，即选择执行了其中一个实物期权，其他实物期权就不能或者不必要执行，则应当选择其中最重要的实物期权。</w:t>
      </w:r>
    </w:p>
    <w:p w14:paraId="2F53824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（2）多个实物期权之间有互补关系，则根据执行的可能性都选或者都不选为评估对象。有互补关系的实物期权常见的是各种可能的机会之间有战略协同性的期权。</w:t>
      </w:r>
    </w:p>
    <w:p w14:paraId="3C486AE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（3）多个实物期权之间有因果关系或者前后关系，则根据执行的可能性只选在前或者为因的实物期权进行评估。</w:t>
      </w:r>
    </w:p>
    <w:p w14:paraId="466E7272">
      <w:pPr>
        <w:shd w:val="clear" w:color="auto" w:fill="FFFFFF"/>
        <w:spacing w:line="440" w:lineRule="atLeast"/>
        <w:ind w:firstLine="480" w:firstLineChars="200"/>
        <w:rPr>
          <w:rFonts w:ascii="宋体" w:hAnsi="宋体" w:eastAsia="宋体" w:cs="宋体"/>
          <w:color w:val="000000"/>
          <w:kern w:val="0"/>
          <w:sz w:val="24"/>
          <w:shd w:val="clear" w:color="auto" w:fill="FFFFFF"/>
        </w:rPr>
      </w:pPr>
    </w:p>
    <w:p w14:paraId="790BDD67">
      <w:pPr>
        <w:shd w:val="clear" w:color="auto" w:fill="FFFFFF"/>
        <w:spacing w:line="440" w:lineRule="atLeast"/>
        <w:ind w:firstLine="480" w:firstLineChars="200"/>
        <w:rPr>
          <w:rFonts w:ascii="宋体" w:hAnsi="宋体" w:eastAsia="宋体" w:cs="宋体"/>
          <w:color w:val="000000"/>
          <w:kern w:val="0"/>
          <w:sz w:val="24"/>
          <w:shd w:val="clear" w:color="auto" w:fill="FFFFFF"/>
        </w:rPr>
        <w:sectPr>
          <w:pgSz w:w="11906" w:h="16838"/>
          <w:pgMar w:top="1440" w:right="1800" w:bottom="1440" w:left="1800" w:header="851" w:footer="992" w:gutter="0"/>
          <w:cols w:space="425" w:num="1"/>
          <w:docGrid w:type="lines" w:linePitch="312" w:charSpace="0"/>
        </w:sectPr>
      </w:pPr>
    </w:p>
    <w:p w14:paraId="4A3AB0E5">
      <w:pPr>
        <w:spacing w:line="440" w:lineRule="atLeast"/>
        <w:rPr>
          <w:rFonts w:ascii="宋体" w:hAnsi="宋体" w:eastAsia="宋体" w:cs="宋体"/>
          <w:bCs/>
          <w:sz w:val="24"/>
        </w:rPr>
      </w:pPr>
      <w:r>
        <w:rPr>
          <w:rFonts w:hint="eastAsia" w:ascii="宋体" w:hAnsi="宋体" w:eastAsia="宋体" w:cs="宋体"/>
          <w:bCs/>
          <w:sz w:val="24"/>
        </w:rPr>
        <w:t>附2</w:t>
      </w:r>
    </w:p>
    <w:p w14:paraId="3CAEEA79">
      <w:pPr>
        <w:shd w:val="clear" w:color="auto" w:fill="FFFFFF"/>
        <w:spacing w:line="440" w:lineRule="atLeast"/>
        <w:jc w:val="center"/>
        <w:rPr>
          <w:rFonts w:ascii="宋体" w:hAnsi="宋体" w:eastAsia="宋体" w:cs="宋体"/>
          <w:b/>
          <w:bCs/>
          <w:color w:val="000000"/>
          <w:kern w:val="0"/>
          <w:sz w:val="32"/>
          <w:szCs w:val="32"/>
          <w:shd w:val="clear" w:color="auto" w:fill="FFFFFF"/>
        </w:rPr>
      </w:pPr>
      <w:r>
        <w:rPr>
          <w:rFonts w:hint="eastAsia" w:ascii="宋体" w:hAnsi="宋体" w:eastAsia="宋体" w:cs="宋体"/>
          <w:b/>
          <w:bCs/>
          <w:color w:val="000000"/>
          <w:kern w:val="0"/>
          <w:sz w:val="32"/>
          <w:szCs w:val="32"/>
          <w:shd w:val="clear" w:color="auto" w:fill="FFFFFF"/>
        </w:rPr>
        <w:t>常用的期权定价模型</w:t>
      </w:r>
    </w:p>
    <w:p w14:paraId="72A37B23">
      <w:pPr>
        <w:shd w:val="clear" w:color="auto" w:fill="FFFFFF"/>
        <w:spacing w:line="440" w:lineRule="atLeast"/>
        <w:jc w:val="center"/>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（供参考）</w:t>
      </w:r>
    </w:p>
    <w:p w14:paraId="0C3781D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评估实物期权的价值可以选择和应用多种期权定价方法或者模型。到目前为止，理论上合理、应用上方便的模型主要有布莱克-舒尔斯模型（Black-Scholes Model）和二项树模型（Binomial Model）等。</w:t>
      </w:r>
    </w:p>
    <w:p w14:paraId="7B81B88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1．布莱克-舒尔斯模型及其应用</w:t>
      </w:r>
    </w:p>
    <w:p w14:paraId="46BD6C6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布莱克-舒尔斯模型，也称为布莱克-舒尔斯-默顿模型（Black-Scholes-Merton Model），针对无红利流量情况下欧式期权的价值评估，考虑了标的资产评估基准日价值（S）及其波动率（</w:t>
      </w:r>
      <w:r>
        <w:rPr>
          <w:rFonts w:ascii="仿宋_GB2312" w:hAnsi="仿宋_GB2312" w:eastAsia="仿宋_GB2312" w:cs="仿宋_GB2312"/>
          <w:sz w:val="24"/>
        </w:rPr>
        <w:sym w:font="Symbol" w:char="F073"/>
      </w:r>
      <w:r>
        <w:rPr>
          <w:rFonts w:hint="eastAsia" w:ascii="宋体" w:hAnsi="宋体" w:eastAsia="宋体" w:cs="宋体"/>
          <w:color w:val="000000"/>
          <w:kern w:val="0"/>
          <w:sz w:val="24"/>
          <w:shd w:val="clear" w:color="auto" w:fill="FFFFFF"/>
        </w:rPr>
        <w:t>）、期权行权价格（X）、行权期限（T）、无风险收益率（r）五大因素以确定期权价值。模型形式为：</w:t>
      </w:r>
    </w:p>
    <w:p w14:paraId="5CBC1A8A">
      <w:pPr>
        <w:spacing w:line="440" w:lineRule="atLeast"/>
        <w:ind w:firstLine="480" w:firstLineChars="200"/>
        <w:jc w:val="left"/>
        <w:textAlignment w:val="center"/>
        <w:rPr>
          <w:rFonts w:ascii="宋体" w:hAnsi="宋体" w:eastAsia="宋体" w:cs="宋体"/>
          <w:sz w:val="24"/>
        </w:rPr>
      </w:pPr>
      <w:r>
        <w:rPr>
          <w:rFonts w:hint="eastAsia" w:ascii="宋体" w:hAnsi="宋体" w:eastAsia="宋体" w:cs="宋体"/>
          <w:sz w:val="24"/>
        </w:rPr>
        <w:t>买方期权价值C</w:t>
      </w:r>
      <w:r>
        <w:rPr>
          <w:rFonts w:hint="eastAsia" w:ascii="宋体" w:hAnsi="宋体" w:eastAsia="宋体" w:cs="宋体"/>
          <w:sz w:val="24"/>
          <w:vertAlign w:val="subscript"/>
        </w:rPr>
        <w:t>0</w:t>
      </w:r>
      <w:r>
        <w:rPr>
          <w:rFonts w:hint="eastAsia" w:ascii="宋体" w:hAnsi="宋体" w:eastAsia="宋体" w:cs="宋体"/>
          <w:sz w:val="24"/>
        </w:rPr>
        <w:t xml:space="preserve"> = SN(d</w:t>
      </w:r>
      <w:r>
        <w:rPr>
          <w:rFonts w:hint="eastAsia" w:ascii="宋体" w:hAnsi="宋体" w:eastAsia="宋体" w:cs="宋体"/>
          <w:sz w:val="24"/>
          <w:vertAlign w:val="subscript"/>
        </w:rPr>
        <w:t>1</w:t>
      </w:r>
      <w:r>
        <w:rPr>
          <w:rFonts w:hint="eastAsia" w:ascii="宋体" w:hAnsi="宋体" w:eastAsia="宋体" w:cs="宋体"/>
          <w:sz w:val="24"/>
        </w:rPr>
        <w:t>)-Xe</w:t>
      </w:r>
      <w:r>
        <w:rPr>
          <w:rFonts w:hint="eastAsia" w:ascii="宋体" w:hAnsi="宋体" w:eastAsia="宋体" w:cs="宋体"/>
          <w:sz w:val="24"/>
          <w:vertAlign w:val="superscript"/>
        </w:rPr>
        <w:t>-rT</w:t>
      </w:r>
      <w:r>
        <w:rPr>
          <w:rFonts w:hint="eastAsia" w:ascii="宋体" w:hAnsi="宋体" w:eastAsia="宋体" w:cs="宋体"/>
          <w:sz w:val="24"/>
        </w:rPr>
        <w:t>N(d</w:t>
      </w:r>
      <w:r>
        <w:rPr>
          <w:rFonts w:hint="eastAsia" w:ascii="宋体" w:hAnsi="宋体" w:eastAsia="宋体" w:cs="宋体"/>
          <w:sz w:val="24"/>
          <w:vertAlign w:val="subscript"/>
        </w:rPr>
        <w:t>2</w:t>
      </w:r>
      <w:r>
        <w:rPr>
          <w:rFonts w:hint="eastAsia" w:ascii="宋体" w:hAnsi="宋体" w:eastAsia="宋体" w:cs="宋体"/>
          <w:sz w:val="24"/>
        </w:rPr>
        <w:t>)</w:t>
      </w:r>
    </w:p>
    <w:p w14:paraId="5EAE741E">
      <w:pPr>
        <w:spacing w:line="440" w:lineRule="atLeast"/>
        <w:ind w:firstLine="480" w:firstLineChars="200"/>
        <w:jc w:val="left"/>
        <w:textAlignment w:val="center"/>
        <w:rPr>
          <w:rFonts w:ascii="宋体" w:hAnsi="宋体" w:eastAsia="宋体" w:cs="宋体"/>
          <w:sz w:val="24"/>
        </w:rPr>
      </w:pPr>
      <w:r>
        <w:rPr>
          <w:rFonts w:hint="eastAsia" w:ascii="宋体" w:hAnsi="宋体" w:eastAsia="宋体" w:cs="宋体"/>
          <w:sz w:val="24"/>
        </w:rPr>
        <w:t>卖方期权价值P</w:t>
      </w:r>
      <w:r>
        <w:rPr>
          <w:rFonts w:hint="eastAsia" w:ascii="宋体" w:hAnsi="宋体" w:eastAsia="宋体" w:cs="宋体"/>
          <w:sz w:val="24"/>
          <w:vertAlign w:val="subscript"/>
        </w:rPr>
        <w:t>0</w:t>
      </w:r>
      <w:r>
        <w:rPr>
          <w:rFonts w:hint="eastAsia" w:ascii="宋体" w:hAnsi="宋体" w:eastAsia="宋体" w:cs="宋体"/>
          <w:sz w:val="24"/>
        </w:rPr>
        <w:t xml:space="preserve"> = Xe</w:t>
      </w:r>
      <w:r>
        <w:rPr>
          <w:rFonts w:hint="eastAsia" w:ascii="宋体" w:hAnsi="宋体" w:eastAsia="宋体" w:cs="宋体"/>
          <w:sz w:val="24"/>
          <w:vertAlign w:val="superscript"/>
        </w:rPr>
        <w:t>-rT</w:t>
      </w:r>
      <w:r>
        <w:rPr>
          <w:rFonts w:hint="eastAsia" w:ascii="宋体" w:hAnsi="宋体" w:eastAsia="宋体" w:cs="宋体"/>
          <w:sz w:val="24"/>
        </w:rPr>
        <w:t>N(-d</w:t>
      </w:r>
      <w:r>
        <w:rPr>
          <w:rFonts w:hint="eastAsia" w:ascii="宋体" w:hAnsi="宋体" w:eastAsia="宋体" w:cs="宋体"/>
          <w:sz w:val="24"/>
          <w:vertAlign w:val="subscript"/>
        </w:rPr>
        <w:t>2</w:t>
      </w:r>
      <w:r>
        <w:rPr>
          <w:rFonts w:hint="eastAsia" w:ascii="宋体" w:hAnsi="宋体" w:eastAsia="宋体" w:cs="宋体"/>
          <w:sz w:val="24"/>
        </w:rPr>
        <w:t>)-SN(-d</w:t>
      </w:r>
      <w:r>
        <w:rPr>
          <w:rFonts w:hint="eastAsia" w:ascii="宋体" w:hAnsi="宋体" w:eastAsia="宋体" w:cs="宋体"/>
          <w:sz w:val="24"/>
          <w:vertAlign w:val="subscript"/>
        </w:rPr>
        <w:t>1</w:t>
      </w:r>
      <w:r>
        <w:rPr>
          <w:rFonts w:hint="eastAsia" w:ascii="宋体" w:hAnsi="宋体" w:eastAsia="宋体" w:cs="宋体"/>
          <w:sz w:val="24"/>
        </w:rPr>
        <w:t>)</w:t>
      </w:r>
    </w:p>
    <w:p w14:paraId="6940A5CD">
      <w:pPr>
        <w:spacing w:line="440" w:lineRule="atLeast"/>
        <w:ind w:firstLine="480" w:firstLineChars="200"/>
        <w:jc w:val="left"/>
        <w:rPr>
          <w:rFonts w:ascii="宋体" w:hAnsi="宋体" w:eastAsia="宋体" w:cs="宋体"/>
          <w:sz w:val="24"/>
        </w:rPr>
      </w:pPr>
      <w:r>
        <w:rPr>
          <w:rFonts w:hint="eastAsia" w:ascii="宋体" w:hAnsi="宋体" w:eastAsia="宋体" w:cs="宋体"/>
          <w:sz w:val="24"/>
        </w:rPr>
        <w:t>其中，C</w:t>
      </w:r>
      <w:r>
        <w:rPr>
          <w:rFonts w:hint="eastAsia" w:ascii="宋体" w:hAnsi="宋体" w:eastAsia="宋体" w:cs="宋体"/>
          <w:sz w:val="24"/>
          <w:vertAlign w:val="subscript"/>
        </w:rPr>
        <w:t>0</w:t>
      </w:r>
      <w:r>
        <w:rPr>
          <w:rFonts w:hint="eastAsia" w:ascii="宋体" w:hAnsi="宋体" w:eastAsia="宋体" w:cs="宋体"/>
          <w:sz w:val="24"/>
        </w:rPr>
        <w:t>和P</w:t>
      </w:r>
      <w:r>
        <w:rPr>
          <w:rFonts w:hint="eastAsia" w:ascii="宋体" w:hAnsi="宋体" w:eastAsia="宋体" w:cs="宋体"/>
          <w:sz w:val="24"/>
          <w:vertAlign w:val="subscript"/>
        </w:rPr>
        <w:t>0</w:t>
      </w:r>
      <w:r>
        <w:rPr>
          <w:rFonts w:hint="eastAsia" w:ascii="宋体" w:hAnsi="宋体" w:eastAsia="宋体" w:cs="宋体"/>
          <w:sz w:val="24"/>
        </w:rPr>
        <w:t>分别代表欧式买方期权和卖方期权的价值；e</w:t>
      </w:r>
      <w:r>
        <w:rPr>
          <w:rFonts w:hint="eastAsia" w:ascii="宋体" w:hAnsi="宋体" w:eastAsia="宋体" w:cs="宋体"/>
          <w:sz w:val="24"/>
          <w:vertAlign w:val="superscript"/>
        </w:rPr>
        <w:t>-rT</w:t>
      </w:r>
      <w:r>
        <w:rPr>
          <w:rFonts w:hint="eastAsia" w:ascii="宋体" w:hAnsi="宋体" w:eastAsia="宋体" w:cs="宋体"/>
          <w:sz w:val="24"/>
        </w:rPr>
        <w:t>代表连续复利下的现值系数；N(d</w:t>
      </w:r>
      <w:r>
        <w:rPr>
          <w:rFonts w:hint="eastAsia" w:ascii="宋体" w:hAnsi="宋体" w:eastAsia="宋体" w:cs="宋体"/>
          <w:sz w:val="24"/>
          <w:vertAlign w:val="subscript"/>
        </w:rPr>
        <w:t>1</w:t>
      </w:r>
      <w:r>
        <w:rPr>
          <w:rFonts w:hint="eastAsia" w:ascii="宋体" w:hAnsi="宋体" w:eastAsia="宋体" w:cs="宋体"/>
          <w:sz w:val="24"/>
        </w:rPr>
        <w:t>) 和 N(d</w:t>
      </w:r>
      <w:r>
        <w:rPr>
          <w:rFonts w:hint="eastAsia" w:ascii="宋体" w:hAnsi="宋体" w:eastAsia="宋体" w:cs="宋体"/>
          <w:sz w:val="24"/>
          <w:vertAlign w:val="subscript"/>
        </w:rPr>
        <w:t>2</w:t>
      </w:r>
      <w:r>
        <w:rPr>
          <w:rFonts w:hint="eastAsia" w:ascii="宋体" w:hAnsi="宋体" w:eastAsia="宋体" w:cs="宋体"/>
          <w:sz w:val="24"/>
        </w:rPr>
        <w:t>)分别表示在标准正态分布下，变量小于d</w:t>
      </w:r>
      <w:r>
        <w:rPr>
          <w:rFonts w:hint="eastAsia" w:ascii="宋体" w:hAnsi="宋体" w:eastAsia="宋体" w:cs="宋体"/>
          <w:sz w:val="24"/>
          <w:vertAlign w:val="subscript"/>
        </w:rPr>
        <w:t>1</w:t>
      </w:r>
      <w:r>
        <w:rPr>
          <w:rFonts w:hint="eastAsia" w:ascii="宋体" w:hAnsi="宋体" w:eastAsia="宋体" w:cs="宋体"/>
          <w:sz w:val="24"/>
        </w:rPr>
        <w:t>和d</w:t>
      </w:r>
      <w:r>
        <w:rPr>
          <w:rFonts w:hint="eastAsia" w:ascii="宋体" w:hAnsi="宋体" w:eastAsia="宋体" w:cs="宋体"/>
          <w:sz w:val="24"/>
          <w:vertAlign w:val="subscript"/>
        </w:rPr>
        <w:t>2</w:t>
      </w:r>
      <w:r>
        <w:rPr>
          <w:rFonts w:hint="eastAsia" w:ascii="宋体" w:hAnsi="宋体" w:eastAsia="宋体" w:cs="宋体"/>
          <w:sz w:val="24"/>
        </w:rPr>
        <w:t>时的累计概率。d</w:t>
      </w:r>
      <w:r>
        <w:rPr>
          <w:rFonts w:hint="eastAsia" w:ascii="宋体" w:hAnsi="宋体" w:eastAsia="宋体" w:cs="宋体"/>
          <w:sz w:val="24"/>
          <w:vertAlign w:val="subscript"/>
        </w:rPr>
        <w:t>1</w:t>
      </w:r>
      <w:r>
        <w:rPr>
          <w:rFonts w:hint="eastAsia" w:ascii="宋体" w:hAnsi="宋体" w:eastAsia="宋体" w:cs="宋体"/>
          <w:sz w:val="24"/>
        </w:rPr>
        <w:t>和d</w:t>
      </w:r>
      <w:r>
        <w:rPr>
          <w:rFonts w:hint="eastAsia" w:ascii="宋体" w:hAnsi="宋体" w:eastAsia="宋体" w:cs="宋体"/>
          <w:sz w:val="24"/>
          <w:vertAlign w:val="subscript"/>
        </w:rPr>
        <w:t>2</w:t>
      </w:r>
      <w:r>
        <w:rPr>
          <w:rFonts w:hint="eastAsia" w:ascii="宋体" w:hAnsi="宋体" w:eastAsia="宋体" w:cs="宋体"/>
          <w:sz w:val="24"/>
        </w:rPr>
        <w:t>的取值如下：</w:t>
      </w:r>
    </w:p>
    <w:p w14:paraId="443CB616">
      <w:pPr>
        <w:spacing w:line="440" w:lineRule="atLeast"/>
        <w:ind w:firstLine="480" w:firstLineChars="200"/>
        <w:jc w:val="left"/>
        <w:textAlignment w:val="center"/>
        <w:rPr>
          <w:rFonts w:ascii="宋体" w:hAnsi="宋体" w:eastAsia="宋体" w:cs="宋体"/>
          <w:sz w:val="24"/>
        </w:rPr>
      </w:pPr>
      <w:r>
        <w:rPr>
          <w:rFonts w:hint="eastAsia" w:ascii="宋体" w:hAnsi="宋体" w:eastAsia="宋体" w:cs="宋体"/>
          <w:sz w:val="24"/>
        </w:rPr>
        <w:t>d</w:t>
      </w:r>
      <w:r>
        <w:rPr>
          <w:rFonts w:hint="eastAsia" w:ascii="宋体" w:hAnsi="宋体" w:eastAsia="宋体" w:cs="宋体"/>
          <w:sz w:val="24"/>
          <w:vertAlign w:val="subscript"/>
        </w:rPr>
        <w:t>1</w:t>
      </w:r>
      <w:r>
        <w:rPr>
          <w:rFonts w:hint="eastAsia" w:ascii="宋体" w:hAnsi="宋体" w:eastAsia="宋体" w:cs="宋体"/>
          <w:sz w:val="24"/>
        </w:rPr>
        <w:t xml:space="preserve"> =</w:t>
      </w:r>
      <w:r>
        <w:rPr>
          <w:rFonts w:hint="eastAsia" w:ascii="宋体" w:hAnsi="宋体" w:eastAsia="宋体" w:cs="宋体"/>
          <w:sz w:val="24"/>
        </w:rPr>
        <w:object>
          <v:shape id="_x0000_i1025" o:spt="75" type="#_x0000_t75" style="height:35.1pt;width:120.45pt;" o:ole="t" fillcolor="#000005" filled="f" o:preferrelative="t" stroked="f" coordsize="21600,21600">
            <v:path/>
            <v:fill on="f" focussize="0,0"/>
            <v:stroke on="f" joinstyle="miter"/>
            <v:imagedata r:id="rId43" o:title=""/>
            <o:lock v:ext="edit" aspectratio="t"/>
            <w10:wrap type="none"/>
            <w10:anchorlock/>
          </v:shape>
          <o:OLEObject Type="Embed" ProgID="Equation.3" ShapeID="_x0000_i1025" DrawAspect="Content" ObjectID="_1468075725" r:id="rId42">
            <o:LockedField>false</o:LockedField>
          </o:OLEObject>
        </w:object>
      </w:r>
    </w:p>
    <w:p w14:paraId="6C20580A">
      <w:pPr>
        <w:spacing w:line="440" w:lineRule="atLeast"/>
        <w:ind w:firstLine="480" w:firstLineChars="200"/>
        <w:jc w:val="left"/>
        <w:textAlignment w:val="center"/>
        <w:rPr>
          <w:rFonts w:ascii="宋体" w:hAnsi="宋体" w:eastAsia="宋体" w:cs="宋体"/>
          <w:sz w:val="24"/>
        </w:rPr>
      </w:pPr>
      <w:r>
        <w:rPr>
          <w:rFonts w:hint="eastAsia" w:ascii="宋体" w:hAnsi="宋体" w:eastAsia="宋体" w:cs="宋体"/>
          <w:sz w:val="24"/>
        </w:rPr>
        <w:t>d</w:t>
      </w:r>
      <w:r>
        <w:rPr>
          <w:rFonts w:hint="eastAsia" w:ascii="宋体" w:hAnsi="宋体" w:eastAsia="宋体" w:cs="宋体"/>
          <w:sz w:val="24"/>
          <w:vertAlign w:val="subscript"/>
        </w:rPr>
        <w:t>2</w:t>
      </w:r>
      <w:r>
        <w:rPr>
          <w:rFonts w:hint="eastAsia" w:ascii="宋体" w:hAnsi="宋体" w:eastAsia="宋体" w:cs="宋体"/>
          <w:sz w:val="24"/>
        </w:rPr>
        <w:t xml:space="preserve"> =</w:t>
      </w:r>
      <w:r>
        <w:rPr>
          <w:rFonts w:hint="eastAsia" w:ascii="宋体" w:hAnsi="宋体" w:eastAsia="宋体" w:cs="宋体"/>
          <w:sz w:val="24"/>
        </w:rPr>
        <w:object>
          <v:shape id="_x0000_i1026" o:spt="75" type="#_x0000_t75" style="height:35.1pt;width:118.6pt;" o:ole="t" fillcolor="#000005" filled="f" o:preferrelative="t" stroked="f" coordsize="21600,21600">
            <v:path/>
            <v:fill on="f" focussize="0,0"/>
            <v:stroke on="f" joinstyle="miter"/>
            <v:imagedata r:id="rId45" o:title=""/>
            <o:lock v:ext="edit" aspectratio="t"/>
            <w10:wrap type="none"/>
            <w10:anchorlock/>
          </v:shape>
          <o:OLEObject Type="Embed" ProgID="Equation.3" ShapeID="_x0000_i1026" DrawAspect="Content" ObjectID="_1468075726" r:id="rId44">
            <o:LockedField>false</o:LockedField>
          </o:OLEObject>
        </w:object>
      </w:r>
      <w:r>
        <w:rPr>
          <w:rFonts w:hint="eastAsia" w:ascii="宋体" w:hAnsi="宋体" w:eastAsia="宋体" w:cs="宋体"/>
          <w:sz w:val="24"/>
        </w:rPr>
        <w:t xml:space="preserve"> = d</w:t>
      </w:r>
      <w:r>
        <w:rPr>
          <w:rFonts w:hint="eastAsia" w:ascii="宋体" w:hAnsi="宋体" w:eastAsia="宋体" w:cs="宋体"/>
          <w:sz w:val="24"/>
          <w:vertAlign w:val="subscript"/>
        </w:rPr>
        <w:t>1</w:t>
      </w:r>
      <w:r>
        <w:rPr>
          <w:rFonts w:hint="eastAsia" w:ascii="宋体" w:hAnsi="宋体" w:eastAsia="宋体" w:cs="宋体"/>
          <w:sz w:val="24"/>
        </w:rPr>
        <w:t>-</w:t>
      </w:r>
      <w:r>
        <w:rPr>
          <w:rFonts w:hint="eastAsia" w:ascii="宋体" w:hAnsi="宋体" w:eastAsia="宋体" w:cs="宋体"/>
          <w:sz w:val="24"/>
        </w:rPr>
        <w:object>
          <v:shape id="_x0000_i1027" o:spt="75" type="#_x0000_t75" style="height:17.1pt;width:29.55pt;" o:ole="t" fillcolor="#000005" filled="f" o:preferrelative="t" stroked="f" coordsize="21600,21600">
            <v:path/>
            <v:fill on="f" focussize="0,0"/>
            <v:stroke on="f" joinstyle="miter"/>
            <v:imagedata r:id="rId47" o:title=""/>
            <o:lock v:ext="edit" aspectratio="t"/>
            <w10:wrap type="none"/>
            <w10:anchorlock/>
          </v:shape>
          <o:OLEObject Type="Embed" ProgID="Equation.3" ShapeID="_x0000_i1027" DrawAspect="Content" ObjectID="_1468075727" r:id="rId46">
            <o:LockedField>false</o:LockedField>
          </o:OLEObject>
        </w:object>
      </w:r>
    </w:p>
    <w:p w14:paraId="1010773C">
      <w:pPr>
        <w:spacing w:line="440" w:lineRule="atLeast"/>
        <w:ind w:firstLine="480" w:firstLineChars="200"/>
        <w:jc w:val="left"/>
        <w:textAlignment w:val="center"/>
        <w:rPr>
          <w:rFonts w:ascii="宋体" w:hAnsi="宋体" w:eastAsia="宋体" w:cs="宋体"/>
          <w:sz w:val="24"/>
        </w:rPr>
      </w:pPr>
      <w:r>
        <w:rPr>
          <w:rFonts w:hint="eastAsia" w:ascii="宋体" w:hAnsi="宋体" w:eastAsia="宋体" w:cs="宋体"/>
          <w:sz w:val="24"/>
        </w:rPr>
        <w:t>选择布莱克-舒尔斯模型估算实物期权价值的步骤如下：</w:t>
      </w:r>
    </w:p>
    <w:p w14:paraId="0B0A69B4">
      <w:pPr>
        <w:spacing w:line="440" w:lineRule="atLeast"/>
        <w:ind w:firstLine="480" w:firstLineChars="200"/>
        <w:jc w:val="left"/>
        <w:rPr>
          <w:rFonts w:ascii="宋体" w:hAnsi="宋体" w:eastAsia="宋体" w:cs="宋体"/>
          <w:sz w:val="24"/>
        </w:rPr>
      </w:pPr>
      <w:r>
        <w:rPr>
          <w:rFonts w:hint="eastAsia" w:ascii="宋体" w:hAnsi="宋体" w:eastAsia="宋体" w:cs="宋体"/>
          <w:sz w:val="24"/>
        </w:rPr>
        <w:t>第一步，估计有关参数数据。</w:t>
      </w:r>
    </w:p>
    <w:p w14:paraId="2565086C">
      <w:pPr>
        <w:spacing w:line="440" w:lineRule="atLeast"/>
        <w:ind w:firstLine="480" w:firstLineChars="200"/>
        <w:jc w:val="left"/>
        <w:rPr>
          <w:rFonts w:ascii="宋体" w:hAnsi="宋体" w:eastAsia="宋体" w:cs="宋体"/>
          <w:sz w:val="24"/>
        </w:rPr>
      </w:pPr>
      <w:r>
        <w:rPr>
          <w:rFonts w:hint="eastAsia" w:ascii="宋体" w:hAnsi="宋体" w:eastAsia="宋体" w:cs="宋体"/>
          <w:sz w:val="24"/>
        </w:rPr>
        <w:t>第二步，计算d</w:t>
      </w:r>
      <w:r>
        <w:rPr>
          <w:rFonts w:hint="eastAsia" w:ascii="宋体" w:hAnsi="宋体" w:eastAsia="宋体" w:cs="宋体"/>
          <w:sz w:val="24"/>
          <w:vertAlign w:val="subscript"/>
        </w:rPr>
        <w:t>1</w:t>
      </w:r>
      <w:r>
        <w:rPr>
          <w:rFonts w:hint="eastAsia" w:ascii="宋体" w:hAnsi="宋体" w:eastAsia="宋体" w:cs="宋体"/>
          <w:sz w:val="24"/>
        </w:rPr>
        <w:t>和d</w:t>
      </w:r>
      <w:r>
        <w:rPr>
          <w:rFonts w:hint="eastAsia" w:ascii="宋体" w:hAnsi="宋体" w:eastAsia="宋体" w:cs="宋体"/>
          <w:sz w:val="24"/>
          <w:vertAlign w:val="subscript"/>
        </w:rPr>
        <w:t>2</w:t>
      </w:r>
      <w:r>
        <w:rPr>
          <w:rFonts w:hint="eastAsia" w:ascii="宋体" w:hAnsi="宋体" w:eastAsia="宋体" w:cs="宋体"/>
          <w:sz w:val="24"/>
        </w:rPr>
        <w:t>。</w:t>
      </w:r>
    </w:p>
    <w:p w14:paraId="292DDA4E">
      <w:pPr>
        <w:spacing w:line="440" w:lineRule="atLeast"/>
        <w:ind w:firstLine="480" w:firstLineChars="200"/>
        <w:jc w:val="left"/>
        <w:rPr>
          <w:rFonts w:ascii="宋体" w:hAnsi="宋体" w:eastAsia="宋体" w:cs="宋体"/>
          <w:sz w:val="24"/>
        </w:rPr>
      </w:pPr>
      <w:r>
        <w:rPr>
          <w:rFonts w:hint="eastAsia" w:ascii="宋体" w:hAnsi="宋体" w:eastAsia="宋体" w:cs="宋体"/>
          <w:sz w:val="24"/>
        </w:rPr>
        <w:t>第三步，求解N(d</w:t>
      </w:r>
      <w:r>
        <w:rPr>
          <w:rFonts w:hint="eastAsia" w:ascii="宋体" w:hAnsi="宋体" w:eastAsia="宋体" w:cs="宋体"/>
          <w:sz w:val="24"/>
          <w:vertAlign w:val="subscript"/>
        </w:rPr>
        <w:t>1</w:t>
      </w:r>
      <w:r>
        <w:rPr>
          <w:rFonts w:hint="eastAsia" w:ascii="宋体" w:hAnsi="宋体" w:eastAsia="宋体" w:cs="宋体"/>
          <w:sz w:val="24"/>
        </w:rPr>
        <w:t>)和N(d</w:t>
      </w:r>
      <w:r>
        <w:rPr>
          <w:rFonts w:hint="eastAsia" w:ascii="宋体" w:hAnsi="宋体" w:eastAsia="宋体" w:cs="宋体"/>
          <w:sz w:val="24"/>
          <w:vertAlign w:val="subscript"/>
        </w:rPr>
        <w:t>2</w:t>
      </w:r>
      <w:r>
        <w:rPr>
          <w:rFonts w:hint="eastAsia" w:ascii="宋体" w:hAnsi="宋体" w:eastAsia="宋体" w:cs="宋体"/>
          <w:sz w:val="24"/>
        </w:rPr>
        <w:t>)。</w:t>
      </w:r>
    </w:p>
    <w:p w14:paraId="5D622662">
      <w:pPr>
        <w:spacing w:line="440" w:lineRule="atLeast"/>
        <w:ind w:firstLine="480" w:firstLineChars="200"/>
        <w:jc w:val="left"/>
        <w:rPr>
          <w:rFonts w:ascii="宋体" w:hAnsi="宋体" w:eastAsia="宋体" w:cs="宋体"/>
          <w:sz w:val="24"/>
        </w:rPr>
      </w:pPr>
      <w:r>
        <w:rPr>
          <w:rFonts w:hint="eastAsia" w:ascii="宋体" w:hAnsi="宋体" w:eastAsia="宋体" w:cs="宋体"/>
          <w:sz w:val="24"/>
        </w:rPr>
        <w:t>第四步，计算买方期权或者卖方期权的价值。</w:t>
      </w:r>
    </w:p>
    <w:p w14:paraId="1DE46E86">
      <w:pPr>
        <w:spacing w:line="440" w:lineRule="atLeast"/>
        <w:ind w:firstLine="480" w:firstLineChars="200"/>
        <w:jc w:val="left"/>
        <w:rPr>
          <w:rFonts w:ascii="宋体" w:hAnsi="宋体" w:eastAsia="宋体" w:cs="宋体"/>
          <w:sz w:val="24"/>
        </w:rPr>
      </w:pPr>
      <w:r>
        <w:rPr>
          <w:rFonts w:hint="eastAsia" w:ascii="宋体" w:hAnsi="宋体" w:eastAsia="宋体" w:cs="宋体"/>
          <w:sz w:val="24"/>
        </w:rPr>
        <w:t>2．二项树模型及其应用</w:t>
      </w:r>
    </w:p>
    <w:p w14:paraId="01EAAC6C">
      <w:pPr>
        <w:spacing w:line="440" w:lineRule="atLeast"/>
        <w:ind w:firstLine="480" w:firstLineChars="200"/>
        <w:jc w:val="left"/>
        <w:rPr>
          <w:rFonts w:ascii="宋体" w:hAnsi="宋体" w:eastAsia="宋体" w:cs="宋体"/>
          <w:sz w:val="24"/>
        </w:rPr>
      </w:pPr>
      <w:r>
        <w:rPr>
          <w:rFonts w:hint="eastAsia" w:ascii="宋体" w:hAnsi="宋体" w:eastAsia="宋体" w:cs="宋体"/>
          <w:sz w:val="24"/>
        </w:rPr>
        <w:t>二项树模型可以用于计算欧式期权价值，也可以在一定程度上计算美式期权的价值。一期二项树和两期二项树的期权价值模型分别为：</w:t>
      </w:r>
    </w:p>
    <w:p w14:paraId="7C355EB5">
      <w:pPr>
        <w:spacing w:line="440" w:lineRule="atLeast"/>
        <w:ind w:firstLine="480" w:firstLineChars="200"/>
        <w:jc w:val="left"/>
        <w:rPr>
          <w:rFonts w:ascii="宋体" w:hAnsi="宋体" w:eastAsia="宋体" w:cs="宋体"/>
          <w:sz w:val="24"/>
          <w:lang w:val="pt-BR"/>
        </w:rPr>
      </w:pPr>
      <w:r>
        <w:rPr>
          <w:rFonts w:hint="eastAsia" w:ascii="宋体" w:hAnsi="宋体" w:eastAsia="宋体" w:cs="宋体"/>
          <w:sz w:val="24"/>
          <w:lang w:val="pt-BR"/>
        </w:rPr>
        <w:t>f = e</w:t>
      </w:r>
      <w:r>
        <w:rPr>
          <w:rFonts w:hint="eastAsia" w:ascii="宋体" w:hAnsi="宋体" w:eastAsia="宋体" w:cs="宋体"/>
          <w:sz w:val="24"/>
          <w:vertAlign w:val="superscript"/>
          <w:lang w:val="pt-BR"/>
        </w:rPr>
        <w:t>-rT</w:t>
      </w:r>
      <w:r>
        <w:rPr>
          <w:rFonts w:hint="eastAsia" w:ascii="宋体" w:hAnsi="宋体" w:eastAsia="宋体" w:cs="宋体"/>
          <w:sz w:val="24"/>
          <w:lang w:val="pt-BR"/>
        </w:rPr>
        <w:t>[pfu+(1-p)fd]</w:t>
      </w:r>
    </w:p>
    <w:p w14:paraId="7124523C">
      <w:pPr>
        <w:spacing w:line="440" w:lineRule="atLeast"/>
        <w:ind w:firstLine="480" w:firstLineChars="200"/>
        <w:jc w:val="left"/>
        <w:rPr>
          <w:rFonts w:ascii="宋体" w:hAnsi="宋体" w:eastAsia="宋体" w:cs="宋体"/>
          <w:color w:val="000000"/>
          <w:kern w:val="0"/>
          <w:sz w:val="24"/>
          <w:shd w:val="clear" w:color="auto" w:fill="FFFFFF"/>
        </w:rPr>
      </w:pPr>
      <w:r>
        <w:rPr>
          <w:rFonts w:hint="eastAsia" w:ascii="宋体" w:hAnsi="宋体" w:eastAsia="宋体" w:cs="宋体"/>
          <w:sz w:val="24"/>
          <w:lang w:val="pt-BR"/>
        </w:rPr>
        <w:t>f = e</w:t>
      </w:r>
      <w:r>
        <w:rPr>
          <w:rFonts w:hint="eastAsia" w:ascii="宋体" w:hAnsi="宋体" w:eastAsia="宋体" w:cs="宋体"/>
          <w:sz w:val="24"/>
          <w:vertAlign w:val="superscript"/>
          <w:lang w:val="pt-BR"/>
        </w:rPr>
        <w:t>-2rt</w:t>
      </w:r>
      <w:r>
        <w:rPr>
          <w:rFonts w:hint="eastAsia" w:ascii="宋体" w:hAnsi="宋体" w:eastAsia="宋体" w:cs="宋体"/>
          <w:sz w:val="24"/>
          <w:lang w:val="pt-BR"/>
        </w:rPr>
        <w:t>[p</w:t>
      </w:r>
      <w:r>
        <w:rPr>
          <w:rFonts w:hint="eastAsia" w:ascii="宋体" w:hAnsi="宋体" w:eastAsia="宋体" w:cs="宋体"/>
          <w:sz w:val="24"/>
          <w:vertAlign w:val="superscript"/>
          <w:lang w:val="pt-BR"/>
        </w:rPr>
        <w:t>2</w:t>
      </w:r>
      <w:r>
        <w:rPr>
          <w:rFonts w:hint="eastAsia" w:ascii="宋体" w:hAnsi="宋体" w:eastAsia="宋体" w:cs="宋体"/>
          <w:sz w:val="24"/>
          <w:lang w:val="pt-BR"/>
        </w:rPr>
        <w:t>fuu+2p(1-p)fud+(1-p)</w:t>
      </w:r>
      <w:r>
        <w:rPr>
          <w:rFonts w:hint="eastAsia" w:ascii="宋体" w:hAnsi="宋体" w:eastAsia="宋体" w:cs="宋体"/>
          <w:sz w:val="24"/>
          <w:vertAlign w:val="superscript"/>
          <w:lang w:val="pt-BR"/>
        </w:rPr>
        <w:t>2</w:t>
      </w:r>
      <w:r>
        <w:rPr>
          <w:rFonts w:hint="eastAsia" w:ascii="宋体" w:hAnsi="宋体" w:eastAsia="宋体" w:cs="宋体"/>
          <w:sz w:val="24"/>
          <w:lang w:val="pt-BR"/>
        </w:rPr>
        <w:t>fdd]</w:t>
      </w:r>
    </w:p>
    <w:p w14:paraId="0A32C31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其中，f代表买方期权或者卖方期权的价值，T代表期权行权期限，t代表每期的时间长度。p被称为假概率，在模型中的数学地位相当于标的资产价格在一期中上升的概率；相应地，（1-p）相当于标的资产价格在一期中下降的概率。p一般不需要经过专门估计，而是可以依据其他参数计算出来，这也是它被称为假概率的原因。u、d分别代表标的资产价值一次上升后为原来的倍数和一次下降后为原来的倍数。fu、fuu分别代表标的资产价值一次和两次上升后期权的价值；fd、fdd分别代表标的资产价值一次和两次下降后期权的价值。fud代表标的资产价值一次上升和一次下降后期权的价值。</w:t>
      </w:r>
    </w:p>
    <w:p w14:paraId="1880033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在多期二项树下可以通过判断在各期末实物期权提前执行的必要性倒推计算各期末实物期权的价值，从而可以计算美式实物期权的评估基准日价值。</w:t>
      </w:r>
    </w:p>
    <w:p w14:paraId="451B653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u、d、p的取值可以根据实际情况进行专门估计，也可以根据公式计算确定。计算u、d、p的最简单公式如下：</w:t>
      </w:r>
    </w:p>
    <w:p w14:paraId="0EAD1317">
      <w:pPr>
        <w:shd w:val="clear" w:color="auto" w:fill="FFFFFF"/>
        <w:spacing w:line="440" w:lineRule="atLeast"/>
        <w:ind w:firstLine="480" w:firstLineChars="200"/>
        <w:rPr>
          <w:rFonts w:ascii="宋体" w:hAnsi="宋体" w:eastAsia="宋体" w:cs="宋体"/>
          <w:color w:val="000000"/>
          <w:kern w:val="0"/>
          <w:sz w:val="24"/>
          <w:shd w:val="clear" w:color="auto" w:fill="FFFFFF"/>
          <w:lang w:val="de-DE"/>
        </w:rPr>
      </w:pPr>
      <w:r>
        <w:rPr>
          <w:rFonts w:hint="eastAsia" w:ascii="宋体" w:hAnsi="宋体" w:eastAsia="宋体" w:cs="宋体"/>
          <w:color w:val="000000"/>
          <w:kern w:val="0"/>
          <w:sz w:val="24"/>
          <w:shd w:val="clear" w:color="auto" w:fill="FFFFFF"/>
          <w:lang w:val="de-DE"/>
        </w:rPr>
        <w:t xml:space="preserve">u = </w:t>
      </w:r>
      <w:r>
        <w:rPr>
          <w:rFonts w:hint="eastAsia" w:ascii="宋体" w:hAnsi="宋体" w:eastAsia="宋体" w:cs="宋体"/>
          <w:color w:val="000000"/>
          <w:kern w:val="0"/>
          <w:sz w:val="24"/>
          <w:shd w:val="clear" w:color="auto" w:fill="FFFFFF"/>
          <w:lang w:val="de-DE"/>
        </w:rPr>
        <w:object>
          <v:shape id="_x0000_i1028" o:spt="75" type="#_x0000_t75" style="height:18pt;width:23.1pt;" o:ole="t" filled="f" o:preferrelative="t" stroked="f" coordsize="21600,21600">
            <v:path/>
            <v:fill on="f" focussize="0,0"/>
            <v:stroke on="f" joinstyle="miter"/>
            <v:imagedata r:id="rId49" o:title=""/>
            <o:lock v:ext="edit" aspectratio="t"/>
            <w10:wrap type="none"/>
            <w10:anchorlock/>
          </v:shape>
          <o:OLEObject Type="Embed" ProgID="Equation.3" ShapeID="_x0000_i1028" DrawAspect="Content" ObjectID="_1468075728" r:id="rId48">
            <o:LockedField>false</o:LockedField>
          </o:OLEObject>
        </w:object>
      </w:r>
    </w:p>
    <w:p w14:paraId="659D9B88">
      <w:pPr>
        <w:shd w:val="clear" w:color="auto" w:fill="FFFFFF"/>
        <w:spacing w:line="440" w:lineRule="atLeast"/>
        <w:ind w:firstLine="480" w:firstLineChars="200"/>
        <w:rPr>
          <w:rFonts w:ascii="宋体" w:hAnsi="宋体" w:eastAsia="宋体" w:cs="宋体"/>
          <w:color w:val="000000"/>
          <w:kern w:val="0"/>
          <w:sz w:val="24"/>
          <w:shd w:val="clear" w:color="auto" w:fill="FFFFFF"/>
          <w:lang w:val="de-DE"/>
        </w:rPr>
      </w:pPr>
      <w:r>
        <w:rPr>
          <w:rFonts w:hint="eastAsia" w:ascii="宋体" w:hAnsi="宋体" w:eastAsia="宋体" w:cs="宋体"/>
          <w:color w:val="000000"/>
          <w:kern w:val="0"/>
          <w:sz w:val="24"/>
          <w:shd w:val="clear" w:color="auto" w:fill="FFFFFF"/>
          <w:lang w:val="de-DE"/>
        </w:rPr>
        <w:t xml:space="preserve">d = </w:t>
      </w:r>
      <w:r>
        <w:rPr>
          <w:rFonts w:hint="eastAsia" w:ascii="宋体" w:hAnsi="宋体" w:eastAsia="宋体" w:cs="宋体"/>
          <w:color w:val="000000"/>
          <w:kern w:val="0"/>
          <w:sz w:val="24"/>
          <w:shd w:val="clear" w:color="auto" w:fill="FFFFFF"/>
          <w:lang w:val="de-DE"/>
        </w:rPr>
        <w:object>
          <v:shape id="_x0000_i1029" o:spt="75" type="#_x0000_t75" style="height:18pt;width:25.85pt;" o:ole="t" filled="f" o:preferrelative="t" stroked="f" coordsize="21600,21600">
            <v:path/>
            <v:fill on="f" focussize="0,0"/>
            <v:stroke on="f" joinstyle="miter"/>
            <v:imagedata r:id="rId51" o:title=""/>
            <o:lock v:ext="edit" aspectratio="t"/>
            <w10:wrap type="none"/>
            <w10:anchorlock/>
          </v:shape>
          <o:OLEObject Type="Embed" ProgID="Equation.3" ShapeID="_x0000_i1029" DrawAspect="Content" ObjectID="_1468075729" r:id="rId50">
            <o:LockedField>false</o:LockedField>
          </o:OLEObject>
        </w:object>
      </w:r>
    </w:p>
    <w:p w14:paraId="298D425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 xml:space="preserve">p = </w:t>
      </w:r>
      <w:r>
        <w:rPr>
          <w:rFonts w:hint="eastAsia" w:ascii="宋体" w:hAnsi="宋体" w:eastAsia="宋体" w:cs="宋体"/>
          <w:color w:val="000000"/>
          <w:kern w:val="0"/>
          <w:sz w:val="24"/>
          <w:shd w:val="clear" w:color="auto" w:fill="FFFFFF"/>
        </w:rPr>
        <w:object>
          <v:shape id="_x0000_i1030" o:spt="75" type="#_x0000_t75" style="height:33.25pt;width:38.75pt;" o:ole="t" fillcolor="#000005" filled="f" o:preferrelative="t" stroked="f" coordsize="21600,21600">
            <v:path/>
            <v:fill on="f" focussize="0,0"/>
            <v:stroke on="f" joinstyle="miter"/>
            <v:imagedata r:id="rId53" o:title=""/>
            <o:lock v:ext="edit" aspectratio="t"/>
            <w10:wrap type="none"/>
            <w10:anchorlock/>
          </v:shape>
          <o:OLEObject Type="Embed" ProgID="Equation.3" ShapeID="_x0000_i1030" DrawAspect="Content" ObjectID="_1468075730" r:id="rId52">
            <o:LockedField>false</o:LockedField>
          </o:OLEObject>
        </w:object>
      </w:r>
    </w:p>
    <w:p w14:paraId="4CDDF4E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在应用二项树模型时，可以根据需要将期权的行权期限划分为任意多个变化期，从而可以增加在期权到期时标的资产价值及对应的期权价值的可能值。一般而言，划分的期数越多，评估结论越精确。在实物期权的评估中，由于基础数据的估计不可能很准确，通过增加期数提高评估结论的准确性意义不大。从实际评估效果考虑，建议一般采用一期或者两期二项树模型即可。</w:t>
      </w:r>
    </w:p>
    <w:p w14:paraId="2C5BBA2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选择二项树模型估算实物期权价值的步骤如下：</w:t>
      </w:r>
    </w:p>
    <w:p w14:paraId="0A72965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第一步，计算u、d和p。</w:t>
      </w:r>
    </w:p>
    <w:p w14:paraId="3F2855B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第二步，计算到期实物期权的各种可能值，如一期二项树下为fu　和fd；两期二项树下为fuu、fud和fdd。</w:t>
      </w:r>
    </w:p>
    <w:p w14:paraId="3C07635A">
      <w:pPr>
        <w:spacing w:line="440" w:lineRule="atLeast"/>
        <w:ind w:firstLine="480" w:firstLineChars="200"/>
        <w:jc w:val="left"/>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第三步，计算实物期权到期的期望价值，如一期二项树下为</w:t>
      </w:r>
      <w:r>
        <w:rPr>
          <w:rFonts w:ascii="仿宋_GB2312" w:hAnsi="仿宋_GB2312" w:eastAsia="仿宋_GB2312" w:cs="仿宋_GB2312"/>
          <w:sz w:val="24"/>
        </w:rPr>
        <w:t>pfu + (1-p)fd</w:t>
      </w:r>
      <w:r>
        <w:rPr>
          <w:rFonts w:hint="eastAsia" w:ascii="仿宋_GB2312" w:hAnsi="仿宋_GB2312" w:eastAsia="仿宋_GB2312" w:cs="仿宋_GB2312"/>
          <w:sz w:val="24"/>
        </w:rPr>
        <w:t>；两期二项树下为</w:t>
      </w:r>
      <w:r>
        <w:rPr>
          <w:rFonts w:ascii="仿宋_GB2312" w:hAnsi="仿宋_GB2312" w:eastAsia="仿宋_GB2312" w:cs="仿宋_GB2312"/>
          <w:sz w:val="24"/>
        </w:rPr>
        <w:t>p</w:t>
      </w:r>
      <w:r>
        <w:rPr>
          <w:rFonts w:ascii="仿宋_GB2312" w:hAnsi="仿宋_GB2312" w:eastAsia="仿宋_GB2312" w:cs="仿宋_GB2312"/>
          <w:sz w:val="24"/>
          <w:vertAlign w:val="superscript"/>
        </w:rPr>
        <w:t>2</w:t>
      </w:r>
      <w:r>
        <w:rPr>
          <w:rFonts w:ascii="仿宋_GB2312" w:hAnsi="仿宋_GB2312" w:eastAsia="仿宋_GB2312" w:cs="仿宋_GB2312"/>
          <w:sz w:val="24"/>
        </w:rPr>
        <w:t>fuu + 2p(1-p)fud + (1-p)</w:t>
      </w:r>
      <w:r>
        <w:rPr>
          <w:rFonts w:ascii="仿宋_GB2312" w:hAnsi="仿宋_GB2312" w:eastAsia="仿宋_GB2312" w:cs="仿宋_GB2312"/>
          <w:sz w:val="24"/>
          <w:vertAlign w:val="superscript"/>
        </w:rPr>
        <w:t>2</w:t>
      </w:r>
      <w:r>
        <w:rPr>
          <w:rFonts w:ascii="仿宋_GB2312" w:hAnsi="仿宋_GB2312" w:eastAsia="仿宋_GB2312" w:cs="仿宋_GB2312"/>
          <w:sz w:val="24"/>
        </w:rPr>
        <w:t>fdd。</w:t>
      </w:r>
    </w:p>
    <w:p w14:paraId="77FAB77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第四步，按无风险收益率折现上述期望价值，得出实物期权的评估基准日价值。</w:t>
      </w:r>
    </w:p>
    <w:p w14:paraId="581FC58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3．评估模型的选择</w:t>
      </w:r>
    </w:p>
    <w:p w14:paraId="634DABC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布莱克-舒尔斯模型和二项树模型都可以用于计算买方期权和卖方期权的价值。布莱克-舒尔斯模型针对欧式期权的定价，是连续时间下的期权定价模型；二项树模型是离散时间下的期权定价模型，理论上对于欧式期权和美式期权都适用，但多数情况下应用不很方便。美式期权和欧式期权都只有一次执行机会。在其他条件相同的情况下，美式期权价值不会超过对应的欧式期权很多。当标的资产在期权行权期限内没有红利流量的情况下，美式买方期权和欧式买方期权价值完全相同。在期权行权期限内有红利流量的情况下，应用布莱克-舒尔斯模型评估可能会在一定程度上低估期权的价值，可以考虑采用针对红利的布莱克-舒尔斯模型的变形来评估。</w:t>
      </w:r>
    </w:p>
    <w:p w14:paraId="49A486C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在极限意义上（即每期时间为无限短的情况下），布莱克-舒尔斯模型和二项树模型的评估结论相同。在估算实物期权价值时，可以根据参数估计和计算方便的原则，选择采用布莱克-舒尔斯模型或者二项树模型。</w:t>
      </w:r>
    </w:p>
    <w:p w14:paraId="6782AB1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4．有关评估参数的估计</w:t>
      </w:r>
    </w:p>
    <w:p w14:paraId="26FB857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评估实物期权所需的参数通常包括标的资产评估基准日价值（S）及其波动率（</w:t>
      </w:r>
      <w:r>
        <w:rPr>
          <w:rFonts w:ascii="仿宋_GB2312" w:hAnsi="仿宋_GB2312" w:eastAsia="仿宋_GB2312" w:cs="仿宋_GB2312"/>
          <w:sz w:val="24"/>
        </w:rPr>
        <w:sym w:font="Symbol" w:char="F073"/>
      </w:r>
      <w:r>
        <w:rPr>
          <w:rFonts w:hint="eastAsia" w:ascii="宋体" w:hAnsi="宋体" w:eastAsia="宋体" w:cs="宋体"/>
          <w:color w:val="000000"/>
          <w:kern w:val="0"/>
          <w:sz w:val="24"/>
          <w:shd w:val="clear" w:color="auto" w:fill="FFFFFF"/>
        </w:rPr>
        <w:t>）、行权价格（X）、行权期限（T）以及无风险收益率（r）等。</w:t>
      </w:r>
    </w:p>
    <w:p w14:paraId="10FBCEC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标的资产即实物期权所对应的基础资产。增长期权的标的资产是当前资产带来的潜在业务或者项目；退出期权的标的资产是实物期权所依附的当前资产。在估算实物期权价值时，标的资产的评估基准日价值可以根据成本法、收益法等适当的方法进行评估，但应当明确标的资产的评估价值中没有包含资产中的实物期权价值。</w:t>
      </w:r>
    </w:p>
    <w:p w14:paraId="5C0C817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波动率是指预期标的资产收益率的标准差，即标的资产在期权行权期限内无红利流量的情况下，其价值相对变动的标准差。可以通过类比风险相近资产的波动率确定，也可以根据资产以往价格相对变动情况确定历史波动率，再根据未来风险变化情况进行调整确定。</w:t>
      </w:r>
    </w:p>
    <w:p w14:paraId="4FCC386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行权价格是指执行实物期权时，买进或者卖出相应资产所支付或者获得的金额。增长期权的行权价格是形成标的资产投资所需要的金额；退出期权的行权价格是标的资产在未来行权时间可以卖出的价格，或者在可以转换用途情况下，标的资产在行权时间的价值。</w:t>
      </w:r>
    </w:p>
    <w:p w14:paraId="574AFCF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行权期限是指评估基准日至实物期权行权时间之间的时间长度。实物期权通常没有准确的行权期限，可以按照预计的最佳行权时间估计行权期限。通常可以根据稳健原则通过适当低估行权期限而减少其估计难度。</w:t>
      </w:r>
    </w:p>
    <w:p w14:paraId="4CE2EAF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无风险收益率是指不存在违约风险的收益率，可以参照剩余期限与实物期权行权期限相同或者相近的国债到期收益率确定。</w:t>
      </w:r>
    </w:p>
    <w:p w14:paraId="7CB22951">
      <w:pPr>
        <w:shd w:val="clear" w:color="auto" w:fill="FFFFFF"/>
        <w:spacing w:line="440" w:lineRule="atLeast"/>
        <w:ind w:firstLine="480" w:firstLineChars="200"/>
        <w:rPr>
          <w:rFonts w:ascii="宋体" w:hAnsi="宋体" w:eastAsia="宋体" w:cs="宋体"/>
          <w:color w:val="000000"/>
          <w:kern w:val="0"/>
          <w:sz w:val="24"/>
          <w:shd w:val="clear" w:color="auto" w:fill="FFFFFF"/>
        </w:rPr>
      </w:pPr>
    </w:p>
    <w:p w14:paraId="422E7C0B">
      <w:pPr>
        <w:shd w:val="clear" w:color="auto" w:fill="FFFFFF"/>
        <w:spacing w:line="440" w:lineRule="atLeast"/>
        <w:ind w:firstLine="480" w:firstLineChars="200"/>
        <w:rPr>
          <w:rFonts w:ascii="宋体" w:hAnsi="宋体" w:eastAsia="宋体" w:cs="宋体"/>
          <w:color w:val="000000"/>
          <w:kern w:val="0"/>
          <w:sz w:val="24"/>
          <w:shd w:val="clear" w:color="auto" w:fill="FFFFFF"/>
        </w:rPr>
        <w:sectPr>
          <w:pgSz w:w="11906" w:h="16838"/>
          <w:pgMar w:top="1440" w:right="1800" w:bottom="1440" w:left="1800" w:header="851" w:footer="992" w:gutter="0"/>
          <w:cols w:space="425" w:num="1"/>
          <w:docGrid w:type="lines" w:linePitch="312" w:charSpace="0"/>
        </w:sectPr>
      </w:pPr>
    </w:p>
    <w:p w14:paraId="10BAC78D">
      <w:pPr>
        <w:spacing w:line="440" w:lineRule="atLeast"/>
        <w:rPr>
          <w:rFonts w:ascii="宋体" w:hAnsi="宋体" w:eastAsia="宋体" w:cs="宋体"/>
          <w:bCs/>
          <w:sz w:val="24"/>
        </w:rPr>
      </w:pPr>
      <w:r>
        <w:rPr>
          <w:rFonts w:hint="eastAsia" w:ascii="宋体" w:hAnsi="宋体" w:eastAsia="宋体" w:cs="宋体"/>
          <w:bCs/>
          <w:sz w:val="24"/>
        </w:rPr>
        <w:t>附3</w:t>
      </w:r>
    </w:p>
    <w:p w14:paraId="14FA3A68">
      <w:pPr>
        <w:shd w:val="clear" w:color="auto" w:fill="FFFFFF"/>
        <w:spacing w:line="440" w:lineRule="atLeast"/>
        <w:jc w:val="center"/>
        <w:rPr>
          <w:rFonts w:ascii="宋体" w:hAnsi="宋体" w:eastAsia="宋体" w:cs="宋体"/>
          <w:b/>
          <w:bCs/>
          <w:color w:val="000000"/>
          <w:kern w:val="0"/>
          <w:sz w:val="32"/>
          <w:szCs w:val="32"/>
          <w:shd w:val="clear" w:color="auto" w:fill="FFFFFF"/>
        </w:rPr>
      </w:pPr>
      <w:r>
        <w:rPr>
          <w:rFonts w:hint="eastAsia" w:ascii="宋体" w:hAnsi="宋体" w:eastAsia="宋体" w:cs="宋体"/>
          <w:b/>
          <w:bCs/>
          <w:color w:val="000000"/>
          <w:kern w:val="0"/>
          <w:sz w:val="32"/>
          <w:szCs w:val="32"/>
          <w:shd w:val="clear" w:color="auto" w:fill="FFFFFF"/>
        </w:rPr>
        <w:t>评估结论的合理性检验</w:t>
      </w:r>
    </w:p>
    <w:p w14:paraId="030F4326">
      <w:pPr>
        <w:shd w:val="clear" w:color="auto" w:fill="FFFFFF"/>
        <w:spacing w:line="440" w:lineRule="atLeast"/>
        <w:jc w:val="center"/>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（供参考）</w:t>
      </w:r>
    </w:p>
    <w:p w14:paraId="448CA6B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实物期权价值评估较为复杂，为确保评估结论的合理性，建议根据下表中的基本变量关系对评估结论进行合理性检验，防止出现方向性错误。</w:t>
      </w:r>
    </w:p>
    <w:p w14:paraId="33D8F71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评估结论合理性检验表</w:t>
      </w:r>
    </w:p>
    <w:tbl>
      <w:tblPr>
        <w:tblStyle w:val="24"/>
        <w:tblW w:w="8292"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96"/>
        <w:gridCol w:w="1843"/>
        <w:gridCol w:w="2126"/>
        <w:gridCol w:w="2127"/>
      </w:tblGrid>
      <w:tr w14:paraId="270A5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6" w:type="dxa"/>
            <w:vAlign w:val="center"/>
          </w:tcPr>
          <w:p w14:paraId="01FAC9D3">
            <w:pPr>
              <w:spacing w:line="440" w:lineRule="atLeast"/>
              <w:jc w:val="left"/>
              <w:rPr>
                <w:rFonts w:ascii="仿宋_GB2312" w:hAnsi="仿宋_GB2312" w:eastAsia="仿宋_GB2312" w:cs="仿宋_GB2312"/>
                <w:sz w:val="24"/>
              </w:rPr>
            </w:pPr>
            <w:r>
              <w:rPr>
                <w:rFonts w:hint="eastAsia" w:ascii="仿宋_GB2312" w:hAnsi="仿宋_GB2312" w:eastAsia="仿宋_GB2312" w:cs="仿宋_GB2312"/>
                <w:sz w:val="24"/>
              </w:rPr>
              <w:t>变量名称</w:t>
            </w:r>
          </w:p>
        </w:tc>
        <w:tc>
          <w:tcPr>
            <w:tcW w:w="1843" w:type="dxa"/>
            <w:vAlign w:val="center"/>
          </w:tcPr>
          <w:p w14:paraId="63F56B49">
            <w:pPr>
              <w:spacing w:line="440" w:lineRule="atLeast"/>
              <w:jc w:val="left"/>
              <w:rPr>
                <w:rFonts w:ascii="仿宋_GB2312" w:hAnsi="仿宋_GB2312" w:eastAsia="仿宋_GB2312" w:cs="仿宋_GB2312"/>
                <w:sz w:val="24"/>
              </w:rPr>
            </w:pPr>
            <w:r>
              <w:rPr>
                <w:rFonts w:hint="eastAsia" w:ascii="仿宋_GB2312" w:hAnsi="仿宋_GB2312" w:eastAsia="仿宋_GB2312" w:cs="仿宋_GB2312"/>
                <w:sz w:val="24"/>
              </w:rPr>
              <w:t>变量符号</w:t>
            </w:r>
          </w:p>
        </w:tc>
        <w:tc>
          <w:tcPr>
            <w:tcW w:w="2126" w:type="dxa"/>
            <w:vAlign w:val="center"/>
          </w:tcPr>
          <w:p w14:paraId="6C2BCB35">
            <w:pPr>
              <w:spacing w:line="440" w:lineRule="atLeast"/>
              <w:jc w:val="left"/>
              <w:rPr>
                <w:rFonts w:ascii="仿宋_GB2312" w:hAnsi="仿宋_GB2312" w:eastAsia="仿宋_GB2312" w:cs="仿宋_GB2312"/>
                <w:sz w:val="24"/>
              </w:rPr>
            </w:pPr>
            <w:r>
              <w:rPr>
                <w:rFonts w:hint="eastAsia" w:ascii="仿宋_GB2312" w:hAnsi="仿宋_GB2312" w:eastAsia="仿宋_GB2312" w:cs="仿宋_GB2312"/>
                <w:sz w:val="24"/>
              </w:rPr>
              <w:t>与买方期权价值的关系</w:t>
            </w:r>
          </w:p>
        </w:tc>
        <w:tc>
          <w:tcPr>
            <w:tcW w:w="2127" w:type="dxa"/>
            <w:vAlign w:val="center"/>
          </w:tcPr>
          <w:p w14:paraId="20080291">
            <w:pPr>
              <w:spacing w:line="440" w:lineRule="atLeast"/>
              <w:jc w:val="left"/>
              <w:rPr>
                <w:rFonts w:ascii="仿宋_GB2312" w:hAnsi="仿宋_GB2312" w:eastAsia="仿宋_GB2312" w:cs="仿宋_GB2312"/>
                <w:sz w:val="24"/>
              </w:rPr>
            </w:pPr>
            <w:r>
              <w:rPr>
                <w:rFonts w:hint="eastAsia" w:ascii="仿宋_GB2312" w:hAnsi="仿宋_GB2312" w:eastAsia="仿宋_GB2312" w:cs="仿宋_GB2312"/>
                <w:sz w:val="24"/>
              </w:rPr>
              <w:t>与卖方期权价值的关系</w:t>
            </w:r>
          </w:p>
        </w:tc>
      </w:tr>
      <w:tr w14:paraId="07588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6" w:type="dxa"/>
            <w:vAlign w:val="center"/>
          </w:tcPr>
          <w:p w14:paraId="5C3D806A">
            <w:pPr>
              <w:spacing w:line="440" w:lineRule="atLeast"/>
              <w:jc w:val="left"/>
              <w:rPr>
                <w:rFonts w:ascii="仿宋_GB2312" w:hAnsi="仿宋_GB2312" w:eastAsia="仿宋_GB2312" w:cs="仿宋_GB2312"/>
                <w:sz w:val="24"/>
              </w:rPr>
            </w:pPr>
            <w:r>
              <w:rPr>
                <w:rFonts w:hint="eastAsia" w:ascii="仿宋_GB2312" w:hAnsi="仿宋_GB2312" w:eastAsia="仿宋_GB2312" w:cs="仿宋_GB2312"/>
                <w:sz w:val="24"/>
              </w:rPr>
              <w:t>标的资产价值</w:t>
            </w:r>
          </w:p>
        </w:tc>
        <w:tc>
          <w:tcPr>
            <w:tcW w:w="1843" w:type="dxa"/>
            <w:vAlign w:val="center"/>
          </w:tcPr>
          <w:p w14:paraId="7646EFF9">
            <w:pPr>
              <w:spacing w:line="440" w:lineRule="atLeast"/>
              <w:ind w:firstLine="480" w:firstLineChars="200"/>
              <w:jc w:val="left"/>
              <w:rPr>
                <w:rFonts w:ascii="仿宋_GB2312" w:hAnsi="仿宋_GB2312" w:eastAsia="仿宋_GB2312" w:cs="仿宋_GB2312"/>
                <w:b/>
                <w:bCs/>
                <w:kern w:val="44"/>
                <w:sz w:val="24"/>
              </w:rPr>
            </w:pPr>
            <w:r>
              <w:rPr>
                <w:rFonts w:ascii="仿宋_GB2312" w:hAnsi="仿宋_GB2312" w:eastAsia="仿宋_GB2312" w:cs="仿宋_GB2312"/>
                <w:sz w:val="24"/>
              </w:rPr>
              <w:t>S</w:t>
            </w:r>
          </w:p>
        </w:tc>
        <w:tc>
          <w:tcPr>
            <w:tcW w:w="2126" w:type="dxa"/>
            <w:vAlign w:val="center"/>
          </w:tcPr>
          <w:p w14:paraId="3EB08126">
            <w:pPr>
              <w:spacing w:line="440" w:lineRule="atLeast"/>
              <w:ind w:firstLine="480" w:firstLineChars="200"/>
              <w:jc w:val="left"/>
              <w:rPr>
                <w:rFonts w:ascii="仿宋_GB2312" w:hAnsi="仿宋_GB2312" w:eastAsia="仿宋_GB2312" w:cs="仿宋_GB2312"/>
                <w:b/>
                <w:bCs/>
                <w:kern w:val="44"/>
                <w:sz w:val="24"/>
              </w:rPr>
            </w:pPr>
            <w:r>
              <w:rPr>
                <w:rFonts w:hint="eastAsia" w:ascii="仿宋_GB2312" w:hAnsi="仿宋_GB2312" w:eastAsia="仿宋_GB2312" w:cs="仿宋_GB2312"/>
                <w:sz w:val="24"/>
              </w:rPr>
              <w:t>同向</w:t>
            </w:r>
          </w:p>
        </w:tc>
        <w:tc>
          <w:tcPr>
            <w:tcW w:w="2127" w:type="dxa"/>
            <w:vAlign w:val="center"/>
          </w:tcPr>
          <w:p w14:paraId="6B380659">
            <w:pPr>
              <w:spacing w:line="440" w:lineRule="atLeast"/>
              <w:ind w:firstLine="480" w:firstLineChars="200"/>
              <w:jc w:val="left"/>
              <w:rPr>
                <w:rFonts w:ascii="仿宋_GB2312" w:hAnsi="仿宋_GB2312" w:eastAsia="仿宋_GB2312" w:cs="仿宋_GB2312"/>
                <w:b/>
                <w:bCs/>
                <w:kern w:val="44"/>
                <w:sz w:val="24"/>
              </w:rPr>
            </w:pPr>
            <w:r>
              <w:rPr>
                <w:rFonts w:hint="eastAsia" w:ascii="仿宋_GB2312" w:hAnsi="仿宋_GB2312" w:eastAsia="仿宋_GB2312" w:cs="仿宋_GB2312"/>
                <w:sz w:val="24"/>
              </w:rPr>
              <w:t>反向</w:t>
            </w:r>
          </w:p>
        </w:tc>
      </w:tr>
      <w:tr w14:paraId="6FFF4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6" w:type="dxa"/>
            <w:vAlign w:val="center"/>
          </w:tcPr>
          <w:p w14:paraId="6D879F41">
            <w:pPr>
              <w:spacing w:line="440" w:lineRule="atLeast"/>
              <w:jc w:val="left"/>
              <w:rPr>
                <w:rFonts w:ascii="仿宋_GB2312" w:hAnsi="仿宋_GB2312" w:eastAsia="仿宋_GB2312" w:cs="仿宋_GB2312"/>
                <w:sz w:val="24"/>
              </w:rPr>
            </w:pPr>
            <w:r>
              <w:rPr>
                <w:rFonts w:hint="eastAsia" w:ascii="仿宋_GB2312" w:hAnsi="仿宋_GB2312" w:eastAsia="仿宋_GB2312" w:cs="仿宋_GB2312"/>
                <w:sz w:val="24"/>
              </w:rPr>
              <w:t>行权价格</w:t>
            </w:r>
          </w:p>
        </w:tc>
        <w:tc>
          <w:tcPr>
            <w:tcW w:w="1843" w:type="dxa"/>
            <w:vAlign w:val="center"/>
          </w:tcPr>
          <w:p w14:paraId="2BFCF98A">
            <w:pPr>
              <w:spacing w:line="440" w:lineRule="atLeast"/>
              <w:ind w:firstLine="480" w:firstLineChars="200"/>
              <w:jc w:val="left"/>
              <w:rPr>
                <w:rFonts w:ascii="仿宋_GB2312" w:hAnsi="仿宋_GB2312" w:eastAsia="仿宋_GB2312" w:cs="仿宋_GB2312"/>
                <w:b/>
                <w:bCs/>
                <w:kern w:val="44"/>
                <w:sz w:val="24"/>
              </w:rPr>
            </w:pPr>
            <w:r>
              <w:rPr>
                <w:rFonts w:ascii="仿宋_GB2312" w:hAnsi="仿宋_GB2312" w:eastAsia="仿宋_GB2312" w:cs="仿宋_GB2312"/>
                <w:sz w:val="24"/>
              </w:rPr>
              <w:t>X</w:t>
            </w:r>
          </w:p>
        </w:tc>
        <w:tc>
          <w:tcPr>
            <w:tcW w:w="2126" w:type="dxa"/>
            <w:vAlign w:val="center"/>
          </w:tcPr>
          <w:p w14:paraId="725E2702">
            <w:pPr>
              <w:spacing w:line="440" w:lineRule="atLeast"/>
              <w:ind w:firstLine="480" w:firstLineChars="200"/>
              <w:jc w:val="left"/>
              <w:rPr>
                <w:rFonts w:ascii="仿宋_GB2312" w:hAnsi="仿宋_GB2312" w:eastAsia="仿宋_GB2312" w:cs="仿宋_GB2312"/>
                <w:b/>
                <w:bCs/>
                <w:kern w:val="44"/>
                <w:sz w:val="24"/>
              </w:rPr>
            </w:pPr>
            <w:r>
              <w:rPr>
                <w:rFonts w:hint="eastAsia" w:ascii="仿宋_GB2312" w:hAnsi="仿宋_GB2312" w:eastAsia="仿宋_GB2312" w:cs="仿宋_GB2312"/>
                <w:sz w:val="24"/>
              </w:rPr>
              <w:t>反向</w:t>
            </w:r>
          </w:p>
        </w:tc>
        <w:tc>
          <w:tcPr>
            <w:tcW w:w="2127" w:type="dxa"/>
            <w:vAlign w:val="center"/>
          </w:tcPr>
          <w:p w14:paraId="0A79B9FC">
            <w:pPr>
              <w:spacing w:line="440" w:lineRule="atLeast"/>
              <w:ind w:firstLine="480" w:firstLineChars="200"/>
              <w:jc w:val="left"/>
              <w:rPr>
                <w:rFonts w:ascii="仿宋_GB2312" w:hAnsi="仿宋_GB2312" w:eastAsia="仿宋_GB2312" w:cs="仿宋_GB2312"/>
                <w:b/>
                <w:bCs/>
                <w:kern w:val="44"/>
                <w:sz w:val="24"/>
              </w:rPr>
            </w:pPr>
            <w:r>
              <w:rPr>
                <w:rFonts w:hint="eastAsia" w:ascii="仿宋_GB2312" w:hAnsi="仿宋_GB2312" w:eastAsia="仿宋_GB2312" w:cs="仿宋_GB2312"/>
                <w:sz w:val="24"/>
              </w:rPr>
              <w:t>同向</w:t>
            </w:r>
          </w:p>
        </w:tc>
      </w:tr>
      <w:tr w14:paraId="1E597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6" w:type="dxa"/>
            <w:vAlign w:val="center"/>
          </w:tcPr>
          <w:p w14:paraId="6B7294CD">
            <w:pPr>
              <w:spacing w:line="440" w:lineRule="atLeast"/>
              <w:jc w:val="left"/>
              <w:rPr>
                <w:rFonts w:ascii="仿宋_GB2312" w:hAnsi="仿宋_GB2312" w:eastAsia="仿宋_GB2312" w:cs="仿宋_GB2312"/>
                <w:sz w:val="24"/>
              </w:rPr>
            </w:pPr>
            <w:r>
              <w:rPr>
                <w:rFonts w:hint="eastAsia" w:ascii="仿宋_GB2312" w:hAnsi="仿宋_GB2312" w:eastAsia="仿宋_GB2312" w:cs="仿宋_GB2312"/>
                <w:sz w:val="24"/>
              </w:rPr>
              <w:t>行权期限</w:t>
            </w:r>
          </w:p>
        </w:tc>
        <w:tc>
          <w:tcPr>
            <w:tcW w:w="1843" w:type="dxa"/>
            <w:vAlign w:val="center"/>
          </w:tcPr>
          <w:p w14:paraId="6F8DDE87">
            <w:pPr>
              <w:spacing w:line="440" w:lineRule="atLeast"/>
              <w:ind w:firstLine="480" w:firstLineChars="200"/>
              <w:jc w:val="left"/>
              <w:rPr>
                <w:rFonts w:ascii="仿宋_GB2312" w:hAnsi="仿宋_GB2312" w:eastAsia="仿宋_GB2312" w:cs="仿宋_GB2312"/>
                <w:b/>
                <w:bCs/>
                <w:kern w:val="44"/>
                <w:sz w:val="24"/>
              </w:rPr>
            </w:pPr>
            <w:r>
              <w:rPr>
                <w:rFonts w:ascii="仿宋_GB2312" w:hAnsi="仿宋_GB2312" w:eastAsia="仿宋_GB2312" w:cs="仿宋_GB2312"/>
                <w:sz w:val="24"/>
              </w:rPr>
              <w:t>T</w:t>
            </w:r>
          </w:p>
        </w:tc>
        <w:tc>
          <w:tcPr>
            <w:tcW w:w="2126" w:type="dxa"/>
            <w:vAlign w:val="center"/>
          </w:tcPr>
          <w:p w14:paraId="13624CDB">
            <w:pPr>
              <w:spacing w:line="440" w:lineRule="atLeast"/>
              <w:ind w:firstLine="480" w:firstLineChars="200"/>
              <w:jc w:val="left"/>
              <w:rPr>
                <w:rFonts w:ascii="仿宋_GB2312" w:hAnsi="仿宋_GB2312" w:eastAsia="仿宋_GB2312" w:cs="仿宋_GB2312"/>
                <w:b/>
                <w:bCs/>
                <w:kern w:val="44"/>
                <w:sz w:val="24"/>
              </w:rPr>
            </w:pPr>
            <w:r>
              <w:rPr>
                <w:rFonts w:hint="eastAsia" w:ascii="仿宋_GB2312" w:hAnsi="仿宋_GB2312" w:eastAsia="仿宋_GB2312" w:cs="仿宋_GB2312"/>
                <w:sz w:val="24"/>
              </w:rPr>
              <w:t>同向</w:t>
            </w:r>
          </w:p>
        </w:tc>
        <w:tc>
          <w:tcPr>
            <w:tcW w:w="2127" w:type="dxa"/>
            <w:vAlign w:val="center"/>
          </w:tcPr>
          <w:p w14:paraId="5ECBE920">
            <w:pPr>
              <w:spacing w:line="440" w:lineRule="atLeast"/>
              <w:ind w:firstLine="480" w:firstLineChars="200"/>
              <w:jc w:val="left"/>
              <w:rPr>
                <w:rFonts w:ascii="仿宋_GB2312" w:hAnsi="仿宋_GB2312" w:eastAsia="仿宋_GB2312" w:cs="仿宋_GB2312"/>
                <w:b/>
                <w:bCs/>
                <w:kern w:val="44"/>
                <w:sz w:val="24"/>
              </w:rPr>
            </w:pPr>
            <w:r>
              <w:rPr>
                <w:rFonts w:hint="eastAsia" w:ascii="仿宋_GB2312" w:hAnsi="仿宋_GB2312" w:eastAsia="仿宋_GB2312" w:cs="仿宋_GB2312"/>
                <w:sz w:val="24"/>
              </w:rPr>
              <w:t>同向</w:t>
            </w:r>
          </w:p>
        </w:tc>
      </w:tr>
      <w:tr w14:paraId="63BFF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6" w:type="dxa"/>
            <w:vAlign w:val="center"/>
          </w:tcPr>
          <w:p w14:paraId="1D5A854A">
            <w:pPr>
              <w:spacing w:line="440" w:lineRule="atLeast"/>
              <w:jc w:val="left"/>
              <w:rPr>
                <w:rFonts w:ascii="仿宋_GB2312" w:hAnsi="仿宋_GB2312" w:eastAsia="仿宋_GB2312" w:cs="仿宋_GB2312"/>
                <w:sz w:val="24"/>
              </w:rPr>
            </w:pPr>
            <w:r>
              <w:rPr>
                <w:rFonts w:hint="eastAsia" w:ascii="仿宋_GB2312" w:hAnsi="仿宋_GB2312" w:eastAsia="仿宋_GB2312" w:cs="仿宋_GB2312"/>
                <w:sz w:val="24"/>
              </w:rPr>
              <w:t>波动率</w:t>
            </w:r>
          </w:p>
        </w:tc>
        <w:tc>
          <w:tcPr>
            <w:tcW w:w="1843" w:type="dxa"/>
            <w:vAlign w:val="center"/>
          </w:tcPr>
          <w:p w14:paraId="38F2E3C8">
            <w:pPr>
              <w:spacing w:line="440" w:lineRule="atLeast"/>
              <w:ind w:firstLine="480" w:firstLineChars="200"/>
              <w:jc w:val="left"/>
              <w:rPr>
                <w:rFonts w:ascii="仿宋_GB2312" w:hAnsi="仿宋_GB2312" w:eastAsia="仿宋_GB2312" w:cs="仿宋_GB2312"/>
                <w:b/>
                <w:bCs/>
                <w:kern w:val="44"/>
                <w:sz w:val="24"/>
              </w:rPr>
            </w:pPr>
            <w:r>
              <w:rPr>
                <w:rFonts w:ascii="仿宋_GB2312" w:hAnsi="仿宋_GB2312" w:eastAsia="仿宋_GB2312" w:cs="仿宋_GB2312"/>
                <w:sz w:val="24"/>
              </w:rPr>
              <w:sym w:font="Symbol" w:char="F073"/>
            </w:r>
          </w:p>
        </w:tc>
        <w:tc>
          <w:tcPr>
            <w:tcW w:w="2126" w:type="dxa"/>
            <w:vAlign w:val="center"/>
          </w:tcPr>
          <w:p w14:paraId="587D28E2">
            <w:pPr>
              <w:spacing w:line="440" w:lineRule="atLeast"/>
              <w:ind w:firstLine="480" w:firstLineChars="200"/>
              <w:jc w:val="left"/>
              <w:rPr>
                <w:rFonts w:ascii="仿宋_GB2312" w:hAnsi="仿宋_GB2312" w:eastAsia="仿宋_GB2312" w:cs="仿宋_GB2312"/>
                <w:b/>
                <w:bCs/>
                <w:kern w:val="44"/>
                <w:sz w:val="24"/>
              </w:rPr>
            </w:pPr>
            <w:r>
              <w:rPr>
                <w:rFonts w:hint="eastAsia" w:ascii="仿宋_GB2312" w:hAnsi="仿宋_GB2312" w:eastAsia="仿宋_GB2312" w:cs="仿宋_GB2312"/>
                <w:sz w:val="24"/>
              </w:rPr>
              <w:t>同向</w:t>
            </w:r>
          </w:p>
        </w:tc>
        <w:tc>
          <w:tcPr>
            <w:tcW w:w="2127" w:type="dxa"/>
            <w:vAlign w:val="center"/>
          </w:tcPr>
          <w:p w14:paraId="27FA69CD">
            <w:pPr>
              <w:spacing w:line="440" w:lineRule="atLeast"/>
              <w:ind w:firstLine="480" w:firstLineChars="200"/>
              <w:jc w:val="left"/>
              <w:rPr>
                <w:rFonts w:ascii="仿宋_GB2312" w:hAnsi="仿宋_GB2312" w:eastAsia="仿宋_GB2312" w:cs="仿宋_GB2312"/>
                <w:b/>
                <w:bCs/>
                <w:kern w:val="44"/>
                <w:sz w:val="24"/>
              </w:rPr>
            </w:pPr>
            <w:r>
              <w:rPr>
                <w:rFonts w:hint="eastAsia" w:ascii="仿宋_GB2312" w:hAnsi="仿宋_GB2312" w:eastAsia="仿宋_GB2312" w:cs="仿宋_GB2312"/>
                <w:sz w:val="24"/>
              </w:rPr>
              <w:t>同向</w:t>
            </w:r>
          </w:p>
        </w:tc>
      </w:tr>
      <w:tr w14:paraId="70AE3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6" w:type="dxa"/>
            <w:vAlign w:val="center"/>
          </w:tcPr>
          <w:p w14:paraId="249DC060">
            <w:pPr>
              <w:spacing w:line="440" w:lineRule="atLeast"/>
              <w:jc w:val="left"/>
              <w:rPr>
                <w:rFonts w:ascii="仿宋_GB2312" w:hAnsi="仿宋_GB2312" w:eastAsia="仿宋_GB2312" w:cs="仿宋_GB2312"/>
                <w:sz w:val="24"/>
              </w:rPr>
            </w:pPr>
            <w:r>
              <w:rPr>
                <w:rFonts w:hint="eastAsia" w:ascii="仿宋_GB2312" w:hAnsi="仿宋_GB2312" w:eastAsia="仿宋_GB2312" w:cs="仿宋_GB2312"/>
                <w:sz w:val="24"/>
              </w:rPr>
              <w:t>无风险收益率</w:t>
            </w:r>
          </w:p>
        </w:tc>
        <w:tc>
          <w:tcPr>
            <w:tcW w:w="1843" w:type="dxa"/>
            <w:vAlign w:val="center"/>
          </w:tcPr>
          <w:p w14:paraId="3C602570">
            <w:pPr>
              <w:spacing w:line="440" w:lineRule="atLeast"/>
              <w:ind w:firstLine="480" w:firstLineChars="200"/>
              <w:jc w:val="left"/>
              <w:rPr>
                <w:rFonts w:ascii="仿宋_GB2312" w:hAnsi="仿宋_GB2312" w:eastAsia="仿宋_GB2312" w:cs="仿宋_GB2312"/>
                <w:b/>
                <w:bCs/>
                <w:kern w:val="44"/>
                <w:sz w:val="24"/>
              </w:rPr>
            </w:pPr>
            <w:r>
              <w:rPr>
                <w:rFonts w:ascii="仿宋_GB2312" w:hAnsi="仿宋_GB2312" w:eastAsia="仿宋_GB2312" w:cs="仿宋_GB2312"/>
                <w:sz w:val="24"/>
              </w:rPr>
              <w:t>r</w:t>
            </w:r>
          </w:p>
        </w:tc>
        <w:tc>
          <w:tcPr>
            <w:tcW w:w="2126" w:type="dxa"/>
            <w:vAlign w:val="center"/>
          </w:tcPr>
          <w:p w14:paraId="129AACA1">
            <w:pPr>
              <w:spacing w:line="440" w:lineRule="atLeast"/>
              <w:ind w:firstLine="480" w:firstLineChars="200"/>
              <w:jc w:val="left"/>
              <w:rPr>
                <w:rFonts w:ascii="仿宋_GB2312" w:hAnsi="仿宋_GB2312" w:eastAsia="仿宋_GB2312" w:cs="仿宋_GB2312"/>
                <w:b/>
                <w:bCs/>
                <w:kern w:val="44"/>
                <w:sz w:val="24"/>
              </w:rPr>
            </w:pPr>
            <w:r>
              <w:rPr>
                <w:rFonts w:hint="eastAsia" w:ascii="仿宋_GB2312" w:hAnsi="仿宋_GB2312" w:eastAsia="仿宋_GB2312" w:cs="仿宋_GB2312"/>
                <w:sz w:val="24"/>
              </w:rPr>
              <w:t>同向</w:t>
            </w:r>
          </w:p>
        </w:tc>
        <w:tc>
          <w:tcPr>
            <w:tcW w:w="2127" w:type="dxa"/>
            <w:vAlign w:val="center"/>
          </w:tcPr>
          <w:p w14:paraId="78318822">
            <w:pPr>
              <w:spacing w:line="440" w:lineRule="atLeast"/>
              <w:ind w:firstLine="480" w:firstLineChars="200"/>
              <w:jc w:val="left"/>
              <w:rPr>
                <w:rFonts w:ascii="仿宋_GB2312" w:hAnsi="仿宋_GB2312" w:eastAsia="仿宋_GB2312" w:cs="仿宋_GB2312"/>
                <w:b/>
                <w:bCs/>
                <w:kern w:val="44"/>
                <w:sz w:val="24"/>
              </w:rPr>
            </w:pPr>
            <w:r>
              <w:rPr>
                <w:rFonts w:hint="eastAsia" w:ascii="仿宋_GB2312" w:hAnsi="仿宋_GB2312" w:eastAsia="仿宋_GB2312" w:cs="仿宋_GB2312"/>
                <w:sz w:val="24"/>
              </w:rPr>
              <w:t>反向</w:t>
            </w:r>
          </w:p>
        </w:tc>
      </w:tr>
    </w:tbl>
    <w:p w14:paraId="3B29ACCE">
      <w:pPr>
        <w:spacing w:line="440" w:lineRule="atLeast"/>
        <w:rPr>
          <w:rFonts w:ascii="黑体" w:hAnsi="黑体" w:eastAsia="黑体" w:cs="Times New Roman"/>
          <w:sz w:val="32"/>
          <w:szCs w:val="32"/>
        </w:rPr>
      </w:pPr>
      <w:r>
        <w:br w:type="page"/>
      </w:r>
    </w:p>
    <w:p w14:paraId="1D869C93">
      <w:pPr>
        <w:pStyle w:val="5"/>
        <w:spacing w:line="440" w:lineRule="atLeast"/>
        <w:jc w:val="center"/>
        <w:rPr>
          <w:rFonts w:ascii="宋体" w:hAnsi="宋体" w:eastAsia="宋体" w:cs="宋体"/>
        </w:rPr>
      </w:pPr>
      <w:bookmarkStart w:id="142" w:name="_Toc30372"/>
      <w:r>
        <w:rPr>
          <w:rFonts w:hint="eastAsia" w:ascii="宋体" w:hAnsi="宋体" w:eastAsia="宋体" w:cs="宋体"/>
        </w:rPr>
        <w:t>珠宝首饰评估程序指导意见</w:t>
      </w:r>
      <w:bookmarkEnd w:id="142"/>
    </w:p>
    <w:p w14:paraId="65ECD917">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第一章　总则</w:t>
      </w:r>
    </w:p>
    <w:p w14:paraId="4B56EF51">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第一条</w:t>
      </w:r>
      <w:r>
        <w:rPr>
          <w:rFonts w:hint="eastAsia" w:ascii="宋体" w:hAnsi="宋体" w:eastAsia="宋体" w:cs="宋体"/>
          <w:color w:val="000000"/>
          <w:kern w:val="0"/>
          <w:sz w:val="24"/>
          <w:shd w:val="clear" w:color="auto" w:fill="FFFFFF"/>
        </w:rPr>
        <w:t>　为规范珠宝首饰评估行为，明确和完善珠宝首饰评估程序，保护资产评估当事人合法权益和公共利益，根据《资产评估执业准则——资产评估程序》和《资产评估执业准则——珠宝首饰》，制定本指导意见。</w:t>
      </w:r>
    </w:p>
    <w:p w14:paraId="0A1636F2">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第二条</w:t>
      </w:r>
      <w:r>
        <w:rPr>
          <w:rFonts w:hint="eastAsia" w:ascii="宋体" w:hAnsi="宋体" w:eastAsia="宋体" w:cs="宋体"/>
          <w:color w:val="000000"/>
          <w:kern w:val="0"/>
          <w:sz w:val="24"/>
          <w:shd w:val="clear" w:color="auto" w:fill="FFFFFF"/>
        </w:rPr>
        <w:t>　本指导意见所称珠宝首饰评估程序，是指资产评估机构及其珠宝评估专业人员遵守法律、行政法规和资产评估准则，执行珠宝首饰评估业务时所履行的专业技术性工作步骤，是对《资产评估执业准则——珠宝首饰》相关操作程序的细化。</w:t>
      </w:r>
    </w:p>
    <w:p w14:paraId="7E8D3B3B">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第三条</w:t>
      </w:r>
      <w:r>
        <w:rPr>
          <w:rFonts w:hint="eastAsia" w:ascii="宋体" w:hAnsi="宋体" w:eastAsia="宋体" w:cs="宋体"/>
          <w:color w:val="000000"/>
          <w:kern w:val="0"/>
          <w:sz w:val="24"/>
          <w:shd w:val="clear" w:color="auto" w:fill="FFFFFF"/>
        </w:rPr>
        <w:t>　执行珠宝首饰评估业务，应当遵守本指导意见。</w:t>
      </w:r>
    </w:p>
    <w:p w14:paraId="154EA75C">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第二章　基本遵循</w:t>
      </w:r>
    </w:p>
    <w:p w14:paraId="02A21595">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第四条</w:t>
      </w:r>
      <w:r>
        <w:rPr>
          <w:rFonts w:hint="eastAsia" w:ascii="宋体" w:hAnsi="宋体" w:eastAsia="宋体" w:cs="宋体"/>
          <w:color w:val="000000"/>
          <w:kern w:val="0"/>
          <w:sz w:val="24"/>
          <w:shd w:val="clear" w:color="auto" w:fill="FFFFFF"/>
        </w:rPr>
        <w:t>　执行珠宝首饰评估业务的资产评估机构及其珠宝评估专业人员，应当坚持独立、客观、公正的原则，诚实守信，勤勉尽责，谨慎从业，遵守职业道德规范，独立进行分析和估算并形成专业意见。</w:t>
      </w:r>
    </w:p>
    <w:p w14:paraId="4341264D">
      <w:pPr>
        <w:shd w:val="clear" w:color="auto" w:fill="FFFFFF"/>
        <w:spacing w:line="440" w:lineRule="atLeast"/>
        <w:ind w:firstLine="482" w:firstLineChars="200"/>
        <w:rPr>
          <w:rFonts w:ascii="宋体" w:hAnsi="宋体" w:eastAsia="宋体" w:cs="宋体"/>
          <w:color w:val="000000"/>
          <w:kern w:val="0"/>
          <w:sz w:val="24"/>
          <w:shd w:val="clear" w:color="auto" w:fill="FFFFFF"/>
        </w:rPr>
      </w:pPr>
      <w:bookmarkStart w:id="143" w:name="_Toc496620478"/>
      <w:bookmarkStart w:id="144" w:name="_Toc496268798"/>
      <w:bookmarkStart w:id="145" w:name="_Toc498070883"/>
      <w:r>
        <w:rPr>
          <w:rFonts w:hint="eastAsia" w:ascii="宋体" w:hAnsi="宋体" w:eastAsia="宋体" w:cs="宋体"/>
          <w:b/>
          <w:color w:val="000000"/>
          <w:kern w:val="0"/>
          <w:sz w:val="24"/>
          <w:shd w:val="clear" w:color="auto" w:fill="FFFFFF"/>
        </w:rPr>
        <w:t>第五条</w:t>
      </w:r>
      <w:r>
        <w:rPr>
          <w:rFonts w:hint="eastAsia" w:ascii="宋体" w:hAnsi="宋体" w:eastAsia="宋体" w:cs="宋体"/>
          <w:color w:val="000000"/>
          <w:kern w:val="0"/>
          <w:sz w:val="24"/>
          <w:shd w:val="clear" w:color="auto" w:fill="FFFFFF"/>
        </w:rPr>
        <w:t>　珠宝评估专业人员，除具备资产评估相关知识外，应当具备珠宝首饰专业知识和珠宝首饰评估实践经验，能够胜任所执行的珠宝首饰评估业务。</w:t>
      </w:r>
      <w:bookmarkEnd w:id="143"/>
      <w:bookmarkEnd w:id="144"/>
      <w:bookmarkEnd w:id="145"/>
    </w:p>
    <w:p w14:paraId="1C652A28">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第六条</w:t>
      </w:r>
      <w:r>
        <w:rPr>
          <w:rFonts w:hint="eastAsia" w:ascii="宋体" w:hAnsi="宋体" w:eastAsia="宋体" w:cs="宋体"/>
          <w:color w:val="000000"/>
          <w:kern w:val="0"/>
          <w:sz w:val="24"/>
          <w:shd w:val="clear" w:color="auto" w:fill="FFFFFF"/>
        </w:rPr>
        <w:t>　珠宝评估专业人员应当掌握珠宝玉石和贵金属的主要鉴定特征和鉴定方法，掌握珠宝玉石的品质评价要素和评价方法，掌握珠宝首饰鉴定、分类和分级的国家标准等相关法规和标准。</w:t>
      </w:r>
    </w:p>
    <w:p w14:paraId="5D17CE55">
      <w:pPr>
        <w:shd w:val="clear" w:color="auto" w:fill="FFFFFF"/>
        <w:spacing w:line="440" w:lineRule="atLeast"/>
        <w:ind w:firstLine="482" w:firstLineChars="200"/>
        <w:rPr>
          <w:rFonts w:ascii="宋体" w:hAnsi="宋体" w:eastAsia="宋体" w:cs="宋体"/>
          <w:color w:val="000000"/>
          <w:kern w:val="0"/>
          <w:sz w:val="24"/>
          <w:shd w:val="clear" w:color="auto" w:fill="FFFFFF"/>
        </w:rPr>
      </w:pPr>
      <w:bookmarkStart w:id="146" w:name="_Toc498070889"/>
      <w:bookmarkStart w:id="147" w:name="_Toc496620484"/>
      <w:r>
        <w:rPr>
          <w:rFonts w:hint="eastAsia" w:ascii="宋体" w:hAnsi="宋体" w:eastAsia="宋体" w:cs="宋体"/>
          <w:b/>
          <w:color w:val="000000"/>
          <w:kern w:val="0"/>
          <w:sz w:val="24"/>
          <w:shd w:val="clear" w:color="auto" w:fill="FFFFFF"/>
        </w:rPr>
        <w:t>第七条</w:t>
      </w:r>
      <w:r>
        <w:rPr>
          <w:rFonts w:hint="eastAsia" w:ascii="宋体" w:hAnsi="宋体" w:eastAsia="宋体" w:cs="宋体"/>
          <w:color w:val="000000"/>
          <w:kern w:val="0"/>
          <w:sz w:val="24"/>
          <w:shd w:val="clear" w:color="auto" w:fill="FFFFFF"/>
        </w:rPr>
        <w:t>　执行珠宝首饰评估业务，应当考虑评估目的、市场条件、评估对象特点等因素，恰当选择价值类型和评估方法，合理使用评估假设。</w:t>
      </w:r>
    </w:p>
    <w:bookmarkEnd w:id="146"/>
    <w:bookmarkEnd w:id="147"/>
    <w:p w14:paraId="43E345B8">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第三章　评估对象</w:t>
      </w:r>
    </w:p>
    <w:p w14:paraId="0969C59C">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第八条</w:t>
      </w:r>
      <w:r>
        <w:rPr>
          <w:rFonts w:hint="eastAsia" w:ascii="宋体" w:hAnsi="宋体" w:eastAsia="宋体" w:cs="宋体"/>
          <w:color w:val="000000"/>
          <w:kern w:val="0"/>
          <w:sz w:val="24"/>
          <w:shd w:val="clear" w:color="auto" w:fill="FFFFFF"/>
        </w:rPr>
        <w:t>　评估对象应当为合法拥有，或者合法处置，或者依法裁定的珠宝首饰实物资产。</w:t>
      </w:r>
    </w:p>
    <w:p w14:paraId="399809A4">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第九条</w:t>
      </w:r>
      <w:r>
        <w:rPr>
          <w:rFonts w:hint="eastAsia" w:ascii="宋体" w:hAnsi="宋体" w:eastAsia="宋体" w:cs="宋体"/>
          <w:color w:val="000000"/>
          <w:kern w:val="0"/>
          <w:sz w:val="24"/>
          <w:shd w:val="clear" w:color="auto" w:fill="FFFFFF"/>
        </w:rPr>
        <w:t>　根据项目具体情况和委托人的要求，评估对象可以是单体珠宝首饰或者批量珠宝首饰。</w:t>
      </w:r>
    </w:p>
    <w:p w14:paraId="4E4369D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批量珠宝首饰是泛指各种类别、各种数量的珠宝首饰组合。</w:t>
      </w:r>
    </w:p>
    <w:p w14:paraId="1CCBB673">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第四章　操作要求</w:t>
      </w:r>
    </w:p>
    <w:p w14:paraId="623F2CE9">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第十条</w:t>
      </w:r>
      <w:r>
        <w:rPr>
          <w:rFonts w:hint="eastAsia" w:ascii="宋体" w:hAnsi="宋体" w:eastAsia="宋体" w:cs="宋体"/>
          <w:color w:val="000000"/>
          <w:kern w:val="0"/>
          <w:sz w:val="24"/>
          <w:shd w:val="clear" w:color="auto" w:fill="FFFFFF"/>
        </w:rPr>
        <w:t>　执行珠宝首饰评估业务，应当遵守《资产评估执业准则——资产评估程序》，并结合珠宝首饰评估业务的具体情况，履行下列珠宝首饰评估程序：明确评估基本事项、订立业务委托合同、编制资产评估计划、现场核查鉴定分析、收集整理评估资料、评定估算形成结论、编制出具评估报告、整理归集评估档案。</w:t>
      </w:r>
    </w:p>
    <w:p w14:paraId="4A5516DC">
      <w:pPr>
        <w:shd w:val="clear" w:color="auto" w:fill="FFFFFF"/>
        <w:spacing w:line="440" w:lineRule="atLeast"/>
        <w:ind w:firstLine="482" w:firstLineChars="200"/>
        <w:rPr>
          <w:rFonts w:ascii="宋体" w:hAnsi="宋体" w:eastAsia="宋体" w:cs="宋体"/>
          <w:color w:val="000000"/>
          <w:kern w:val="0"/>
          <w:sz w:val="24"/>
          <w:shd w:val="clear" w:color="auto" w:fill="FFFFFF"/>
        </w:rPr>
      </w:pPr>
      <w:bookmarkStart w:id="148" w:name="_Toc474767590"/>
      <w:bookmarkStart w:id="149" w:name="_Toc475691891"/>
      <w:bookmarkStart w:id="150" w:name="_Toc476213811"/>
      <w:bookmarkStart w:id="151" w:name="_Toc481052092"/>
      <w:bookmarkStart w:id="152" w:name="_Toc482011757"/>
      <w:bookmarkStart w:id="153" w:name="_Toc480991162"/>
      <w:bookmarkStart w:id="154" w:name="_Toc479863040"/>
      <w:bookmarkStart w:id="155" w:name="_Toc498070909"/>
      <w:bookmarkStart w:id="156" w:name="_Toc479868116"/>
      <w:bookmarkStart w:id="157" w:name="_Toc496268824"/>
      <w:bookmarkStart w:id="158" w:name="_Toc474769067"/>
      <w:bookmarkStart w:id="159" w:name="_Toc488843959"/>
      <w:bookmarkStart w:id="160" w:name="_Toc474767449"/>
      <w:bookmarkStart w:id="161" w:name="_Toc496620504"/>
      <w:bookmarkStart w:id="162" w:name="_Toc489017184"/>
      <w:r>
        <w:rPr>
          <w:rFonts w:hint="eastAsia" w:ascii="宋体" w:hAnsi="宋体" w:eastAsia="宋体" w:cs="宋体"/>
          <w:b/>
          <w:color w:val="000000"/>
          <w:kern w:val="0"/>
          <w:sz w:val="24"/>
          <w:shd w:val="clear" w:color="auto" w:fill="FFFFFF"/>
        </w:rPr>
        <w:t>第十一条</w:t>
      </w:r>
      <w:r>
        <w:rPr>
          <w:rFonts w:hint="eastAsia" w:ascii="宋体" w:hAnsi="宋体" w:eastAsia="宋体" w:cs="宋体"/>
          <w:color w:val="000000"/>
          <w:kern w:val="0"/>
          <w:sz w:val="24"/>
          <w:shd w:val="clear" w:color="auto" w:fill="FFFFFF"/>
        </w:rPr>
        <w:t>　资产评估机构受理珠宝首饰评估业务前，应当明确珠宝首饰评估</w:t>
      </w:r>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r>
        <w:rPr>
          <w:rFonts w:hint="eastAsia" w:ascii="宋体" w:hAnsi="宋体" w:eastAsia="宋体" w:cs="宋体"/>
          <w:color w:val="000000"/>
          <w:kern w:val="0"/>
          <w:sz w:val="24"/>
          <w:shd w:val="clear" w:color="auto" w:fill="FFFFFF"/>
        </w:rPr>
        <w:t>基本事项。重点关注以下方面：</w:t>
      </w:r>
    </w:p>
    <w:p w14:paraId="235A89F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（一）明确评估目的，了解珠宝首饰资产评估报告所服务的经济行为、委托人和其他相关当事人。　</w:t>
      </w:r>
    </w:p>
    <w:p w14:paraId="3390272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明确评估对象和评估范围，关注评估对象的权属。珠宝评估专业人员应当对珠宝首饰的相关权属资料进行必要的查验。如果法律权属不清、存在瑕疵，权属关系复杂，权属资料不完备，应当要求委托人或者相关当事人对珠宝首饰的权属提供承诺函或者说明函。</w:t>
      </w:r>
    </w:p>
    <w:p w14:paraId="5100D14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（三）明确评估基准日以及资产评估报告提交期限。</w:t>
      </w:r>
    </w:p>
    <w:p w14:paraId="38E4C32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（四）明确评估工作的责任，对业务风险进行综合分析和评价。如果存在超出专业胜任能力、超出可控的执业和道德风险、工作条件受到限制致使评估程序关键环节缺失等情况，资产评估机构不得受理评估业务。</w:t>
      </w:r>
    </w:p>
    <w:p w14:paraId="20189D58">
      <w:pPr>
        <w:shd w:val="clear" w:color="auto" w:fill="FFFFFF"/>
        <w:spacing w:line="440" w:lineRule="atLeast"/>
        <w:ind w:firstLine="482" w:firstLineChars="200"/>
        <w:rPr>
          <w:rFonts w:ascii="宋体" w:hAnsi="宋体" w:eastAsia="宋体" w:cs="宋体"/>
          <w:color w:val="000000"/>
          <w:kern w:val="0"/>
          <w:sz w:val="24"/>
          <w:shd w:val="clear" w:color="auto" w:fill="FFFFFF"/>
        </w:rPr>
      </w:pPr>
      <w:bookmarkStart w:id="163" w:name="_Toc489017185"/>
      <w:bookmarkStart w:id="164" w:name="_Toc488843960"/>
      <w:bookmarkStart w:id="165" w:name="_Toc476213813"/>
      <w:bookmarkStart w:id="166" w:name="_Toc474767454"/>
      <w:bookmarkStart w:id="167" w:name="_Toc475691893"/>
      <w:bookmarkStart w:id="168" w:name="_Toc480991163"/>
      <w:bookmarkStart w:id="169" w:name="_Toc474767592"/>
      <w:bookmarkStart w:id="170" w:name="_Toc481052093"/>
      <w:bookmarkStart w:id="171" w:name="_Toc479868117"/>
      <w:bookmarkStart w:id="172" w:name="_Toc496268825"/>
      <w:bookmarkStart w:id="173" w:name="_Toc498070910"/>
      <w:bookmarkStart w:id="174" w:name="_Toc496620505"/>
      <w:bookmarkStart w:id="175" w:name="_Toc474769069"/>
      <w:bookmarkStart w:id="176" w:name="_Toc479863041"/>
      <w:bookmarkStart w:id="177" w:name="_Toc482011758"/>
      <w:r>
        <w:rPr>
          <w:rFonts w:hint="eastAsia" w:ascii="宋体" w:hAnsi="宋体" w:eastAsia="宋体" w:cs="宋体"/>
          <w:b/>
          <w:color w:val="000000"/>
          <w:kern w:val="0"/>
          <w:sz w:val="24"/>
          <w:shd w:val="clear" w:color="auto" w:fill="FFFFFF"/>
        </w:rPr>
        <w:t>第十二条</w:t>
      </w:r>
      <w:r>
        <w:rPr>
          <w:rFonts w:hint="eastAsia" w:ascii="宋体" w:hAnsi="宋体" w:eastAsia="宋体" w:cs="宋体"/>
          <w:color w:val="000000"/>
          <w:kern w:val="0"/>
          <w:sz w:val="24"/>
          <w:shd w:val="clear" w:color="auto" w:fill="FFFFFF"/>
        </w:rPr>
        <w:t>　资产评估机构受理珠宝首饰评估业务应当与委托人依法订立资产评估委托合同，约定资产评估机构和委托人权利、义务、违约责任和争议解决等内容。</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p>
    <w:p w14:paraId="3A7CB88F">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第十三条</w:t>
      </w:r>
      <w:r>
        <w:rPr>
          <w:rFonts w:hint="eastAsia" w:ascii="宋体" w:hAnsi="宋体" w:eastAsia="宋体" w:cs="宋体"/>
          <w:color w:val="000000"/>
          <w:kern w:val="0"/>
          <w:sz w:val="24"/>
          <w:shd w:val="clear" w:color="auto" w:fill="FFFFFF"/>
        </w:rPr>
        <w:t>　执行珠宝首饰评估业务，应当编制评估计划。</w:t>
      </w:r>
    </w:p>
    <w:p w14:paraId="1DB5AFD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评估计划可以包括珠宝首饰评估业务实施的主要过程以及拟采用的评估方法、时间进度、珠宝评估专业人员安排等。</w:t>
      </w:r>
    </w:p>
    <w:p w14:paraId="35F7D6E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评估计划应当根据具体工作的推进效果进行适当调整。</w:t>
      </w:r>
    </w:p>
    <w:p w14:paraId="5E7C02EC">
      <w:pPr>
        <w:shd w:val="clear" w:color="auto" w:fill="FFFFFF"/>
        <w:spacing w:line="440" w:lineRule="atLeast"/>
        <w:ind w:firstLine="482" w:firstLineChars="200"/>
        <w:rPr>
          <w:rFonts w:ascii="宋体" w:hAnsi="宋体" w:eastAsia="宋体" w:cs="宋体"/>
          <w:color w:val="000000"/>
          <w:kern w:val="0"/>
          <w:sz w:val="24"/>
          <w:shd w:val="clear" w:color="auto" w:fill="FFFFFF"/>
        </w:rPr>
      </w:pPr>
      <w:bookmarkStart w:id="178" w:name="_Toc496620506"/>
      <w:bookmarkStart w:id="179" w:name="_Toc496268826"/>
      <w:bookmarkStart w:id="180" w:name="_Toc476213814"/>
      <w:bookmarkStart w:id="181" w:name="_Toc474767593"/>
      <w:bookmarkStart w:id="182" w:name="_Toc498070911"/>
      <w:bookmarkStart w:id="183" w:name="_Toc474769070"/>
      <w:bookmarkStart w:id="184" w:name="_Toc479868118"/>
      <w:bookmarkStart w:id="185" w:name="_Toc474767456"/>
      <w:bookmarkStart w:id="186" w:name="_Toc488843961"/>
      <w:bookmarkStart w:id="187" w:name="_Toc482011759"/>
      <w:bookmarkStart w:id="188" w:name="_Toc489017186"/>
      <w:bookmarkStart w:id="189" w:name="_Toc475691894"/>
      <w:bookmarkStart w:id="190" w:name="_Toc480991164"/>
      <w:bookmarkStart w:id="191" w:name="_Toc479863042"/>
      <w:bookmarkStart w:id="192" w:name="_Toc481052094"/>
      <w:r>
        <w:rPr>
          <w:rFonts w:hint="eastAsia" w:ascii="宋体" w:hAnsi="宋体" w:eastAsia="宋体" w:cs="宋体"/>
          <w:b/>
          <w:color w:val="000000"/>
          <w:kern w:val="0"/>
          <w:sz w:val="24"/>
          <w:shd w:val="clear" w:color="auto" w:fill="FFFFFF"/>
        </w:rPr>
        <w:t>第十四条</w:t>
      </w:r>
      <w:r>
        <w:rPr>
          <w:rFonts w:hint="eastAsia" w:ascii="宋体" w:hAnsi="宋体" w:eastAsia="宋体" w:cs="宋体"/>
          <w:color w:val="000000"/>
          <w:kern w:val="0"/>
          <w:sz w:val="24"/>
          <w:shd w:val="clear" w:color="auto" w:fill="FFFFFF"/>
        </w:rPr>
        <w:t>　执行单体珠宝首饰评估业务，应当履行</w:t>
      </w:r>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r>
        <w:rPr>
          <w:rFonts w:hint="eastAsia" w:ascii="宋体" w:hAnsi="宋体" w:eastAsia="宋体" w:cs="宋体"/>
          <w:color w:val="000000"/>
          <w:kern w:val="0"/>
          <w:sz w:val="24"/>
          <w:shd w:val="clear" w:color="auto" w:fill="FFFFFF"/>
        </w:rPr>
        <w:t>实物核查、鉴定和鉴定复核、品质和价值特征分析、描述记录等程序。</w:t>
      </w:r>
    </w:p>
    <w:p w14:paraId="061CE87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（一）实物核查。核查评估对象实物状态，完成委托样品确认或者交接。</w:t>
      </w:r>
    </w:p>
    <w:p w14:paraId="5F8049B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（二）鉴定和鉴定复核。</w:t>
      </w:r>
    </w:p>
    <w:p w14:paraId="724E852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1.采用现行国家标准对评估对象进行无损鉴定，例如，采用GB/T　16552、GB/T　16553等相关标准确定珠宝玉石种属类别，采用GB　11887等相关标准确定贵金属种类和含量。</w:t>
      </w:r>
    </w:p>
    <w:p w14:paraId="0E21604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2.珠宝评估专业人员对已有鉴定机构出具鉴定、分级结论的评估对象，应当进行必要的实物鉴定、分级并对已有鉴定、分级结论进行复核。</w:t>
      </w:r>
    </w:p>
    <w:p w14:paraId="0D7017E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3.特殊情况下的样品鉴定或者有损鉴定，需征得所有权人或者委托人的书面许可。</w:t>
      </w:r>
    </w:p>
    <w:p w14:paraId="3187323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4.对疑难样品或者存疑样品，与委托人沟通后，由双方共同认可的第三方机构进行样品鉴定。</w:t>
      </w:r>
    </w:p>
    <w:p w14:paraId="1EF50E7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（三）品质和价值特征分析。采用相应的国家标准以及行业标准等，对评估对象进行品质和价值特征分析。如果没有相应的国家标准以及行业分级标准，可以参照国内外市场通用的分级体系。　</w:t>
      </w:r>
    </w:p>
    <w:p w14:paraId="1C0CC4E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（四）描述记录。根据评估对象种类，对评估对象的品质和价值特征分析等进行描述记录（参照附表）。描述方式包括文字、表格、图示、照片等。</w:t>
      </w:r>
    </w:p>
    <w:p w14:paraId="690760C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如果存在评估对象实物缺失、残损等情形，应当根据法律法规要求，依据有效历史信息资料，由珠宝评估专业人员确定是否执行假设条件下的评估工作。如果执行，应当在珠宝首饰资产评估报告中对实物缺失、残损等情形予以披露。</w:t>
      </w:r>
    </w:p>
    <w:p w14:paraId="13A5C249">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第十五条</w:t>
      </w:r>
      <w:r>
        <w:rPr>
          <w:rFonts w:hint="eastAsia" w:ascii="宋体" w:hAnsi="宋体" w:eastAsia="宋体" w:cs="宋体"/>
          <w:color w:val="000000"/>
          <w:kern w:val="0"/>
          <w:sz w:val="24"/>
          <w:shd w:val="clear" w:color="auto" w:fill="FFFFFF"/>
        </w:rPr>
        <w:t>　批量珠宝首饰评估是在单体珠宝首饰鉴定分级等工作基础上，对价值特征同质化的珠宝首饰组合或者批次，进行合理的系统性评估。执行批量珠宝首饰评估业务，应当结合单体珠宝首饰评估程序，重点履行下列程序：</w:t>
      </w:r>
    </w:p>
    <w:p w14:paraId="0E88FD1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（一）批量珠宝首饰核查。根据委托人确认的珠宝首饰资产清单对实物进行核查，确认珠宝首饰的实物存在状态，尽可能收集和核实评估对象的相关信息。通常包括：</w:t>
      </w:r>
    </w:p>
    <w:p w14:paraId="0FA9E6F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1.观察珠宝首饰的存放状况，了解管理情况，并记录。</w:t>
      </w:r>
    </w:p>
    <w:p w14:paraId="1D6602A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核查珠宝首饰实物数量和品种。根据资产清单进行现场核查盘点。如果评估基准日与现场核查工作日不一致，且实物处于流通状态，可以根据委托人提供的流转数据，进行评估基准日与现场核查工作日之间的数据核对，分析并推算评估基准日资产数量，如果有偏差，判断其合理性，并记录。</w:t>
      </w:r>
    </w:p>
    <w:p w14:paraId="00CD273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3.收集凭证资料。对委托人提供的流转数据凭证等资料，进行核查确认，记录存档。</w:t>
      </w:r>
    </w:p>
    <w:p w14:paraId="33B1D77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4.确定评估对象和评估范围。根据资产清查情况，由相关盘点和监盘人员，在资产盘点记录上签字确认。</w:t>
      </w:r>
    </w:p>
    <w:p w14:paraId="582178C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（二）批量珠宝首饰的鉴定分类以及描述记录，通常包括：</w:t>
      </w:r>
    </w:p>
    <w:p w14:paraId="4A700FD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1.鉴定和鉴定复核。在对珠宝首饰实物进行清点核查的过程中，珠宝评估专业人员应当通过初步鉴定和专业判断，确定鉴定和鉴定复核的工作重点。</w:t>
      </w:r>
    </w:p>
    <w:p w14:paraId="2836813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2.分类。批量珠宝首饰可以依据种属、状态（如成品、裸石、原料等）、品质特征、工艺特征等因素进行分类。</w:t>
      </w:r>
    </w:p>
    <w:p w14:paraId="6E6E6B7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3.分类描述记录。根据珠宝首饰实物确定描述重点（参照附表）。描述方式可以采用文字、表格、图示、照片等。</w:t>
      </w:r>
    </w:p>
    <w:p w14:paraId="590ADDE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对特殊的珠宝首饰,以及单体价值较高的珠宝首饰，可以根据品种、特殊品质特征、特定作者、特别产地等,进行独立分类和重点描述。</w:t>
      </w:r>
    </w:p>
    <w:p w14:paraId="38B5C9C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对鉴定中的疑难样品，以及已有鉴定分级证书却仍存疑的样品，与委托人沟通后，由双方共同认可的第三方机构进行样品鉴定。</w:t>
      </w:r>
    </w:p>
    <w:p w14:paraId="6763091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（三）批量珠宝首饰的品质和价值特征分析。根据市场情况和分类特点，对珠宝首饰实物分类进行品质和价值特征分析。对价值较高或者材质特殊的，应当重点关注和详细记录。</w:t>
      </w:r>
    </w:p>
    <w:p w14:paraId="7B614B96">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第十六条</w:t>
      </w:r>
      <w:r>
        <w:rPr>
          <w:rFonts w:hint="eastAsia" w:ascii="宋体" w:hAnsi="宋体" w:eastAsia="宋体" w:cs="宋体"/>
          <w:color w:val="000000"/>
          <w:kern w:val="0"/>
          <w:sz w:val="24"/>
          <w:shd w:val="clear" w:color="auto" w:fill="FFFFFF"/>
        </w:rPr>
        <w:t>　珠宝评估专业人员应当根据资产评估业务具体情况收集所需要的资料并对收集的资料进行专业分析，包括：</w:t>
      </w:r>
    </w:p>
    <w:p w14:paraId="447978D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（一）通过各种专业渠道收集市场信息资料，例如，市场调研记录、相关查询记录、行业资讯、专业报告、专家访谈等。</w:t>
      </w:r>
    </w:p>
    <w:p w14:paraId="5458A1C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（二）对收集的评估资料进行分析、归纳和整理，形成评定估算和编制资产评估报告的依据。</w:t>
      </w:r>
    </w:p>
    <w:p w14:paraId="212B817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（三）对于市场发育不充分、可比交易案例有限的新品种、特殊品种珠宝首饰，由珠宝评估专业人员确定其专业判断依据，并应当在报告中充分披露。</w:t>
      </w:r>
    </w:p>
    <w:p w14:paraId="119133DE">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第十七条</w:t>
      </w:r>
      <w:r>
        <w:rPr>
          <w:rFonts w:hint="eastAsia" w:ascii="宋体" w:hAnsi="宋体" w:eastAsia="宋体" w:cs="宋体"/>
          <w:color w:val="000000"/>
          <w:kern w:val="0"/>
          <w:sz w:val="24"/>
          <w:shd w:val="clear" w:color="auto" w:fill="FFFFFF"/>
        </w:rPr>
        <w:t>　评定估算时，应当考虑：</w:t>
      </w:r>
    </w:p>
    <w:p w14:paraId="56BD9F7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（一）根据评估目的，以及不同类型和不同状态的珠宝首饰特征、价值类型、资料收集等情况，选择恰当的评估方法。</w:t>
      </w:r>
    </w:p>
    <w:p w14:paraId="0CADBBF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（二）根据珠宝首饰的类型以及特点，结合评估目的、评估基准日市场行情、权属状况，分析确定评估参数或者评估参数范围。</w:t>
      </w:r>
    </w:p>
    <w:p w14:paraId="3B81961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批量珠宝首饰的评估参数，应当根据现场工作所进行的分类，分别确定评估参数或者评估参数范围。</w:t>
      </w:r>
    </w:p>
    <w:p w14:paraId="1E06AE5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（三）批量珠宝首饰估算时，应当依据品种和分类，分别对评估参数以及评估结论等进行分析、判断以及审核。</w:t>
      </w:r>
    </w:p>
    <w:p w14:paraId="51D6C7EA">
      <w:pPr>
        <w:shd w:val="clear" w:color="auto" w:fill="FFFFFF"/>
        <w:spacing w:line="440" w:lineRule="atLeast"/>
        <w:ind w:firstLine="482" w:firstLineChars="200"/>
        <w:rPr>
          <w:rFonts w:ascii="宋体" w:hAnsi="宋体" w:eastAsia="宋体" w:cs="宋体"/>
          <w:color w:val="000000"/>
          <w:kern w:val="0"/>
          <w:sz w:val="24"/>
          <w:shd w:val="clear" w:color="auto" w:fill="FFFFFF"/>
        </w:rPr>
      </w:pPr>
      <w:bookmarkStart w:id="193" w:name="_Toc480991167"/>
      <w:bookmarkStart w:id="194" w:name="_Toc479868121"/>
      <w:bookmarkStart w:id="195" w:name="_Toc496620509"/>
      <w:bookmarkStart w:id="196" w:name="_Toc489017189"/>
      <w:bookmarkStart w:id="197" w:name="_Toc479863045"/>
      <w:bookmarkStart w:id="198" w:name="_Toc496268829"/>
      <w:bookmarkStart w:id="199" w:name="_Toc498070914"/>
      <w:bookmarkStart w:id="200" w:name="_Toc488843964"/>
      <w:bookmarkStart w:id="201" w:name="_Toc474769073"/>
      <w:bookmarkStart w:id="202" w:name="_Toc474767596"/>
      <w:bookmarkStart w:id="203" w:name="_Toc474767459"/>
      <w:bookmarkStart w:id="204" w:name="_Toc475691897"/>
      <w:bookmarkStart w:id="205" w:name="_Toc482011762"/>
      <w:bookmarkStart w:id="206" w:name="_Toc476213817"/>
      <w:bookmarkStart w:id="207" w:name="_Toc481052097"/>
      <w:r>
        <w:rPr>
          <w:rFonts w:hint="eastAsia" w:ascii="宋体" w:hAnsi="宋体" w:eastAsia="宋体" w:cs="宋体"/>
          <w:b/>
          <w:color w:val="000000"/>
          <w:kern w:val="0"/>
          <w:sz w:val="24"/>
          <w:shd w:val="clear" w:color="auto" w:fill="FFFFFF"/>
        </w:rPr>
        <w:t>第十八条</w:t>
      </w:r>
      <w:r>
        <w:rPr>
          <w:rFonts w:hint="eastAsia" w:ascii="宋体" w:hAnsi="宋体" w:eastAsia="宋体" w:cs="宋体"/>
          <w:color w:val="000000"/>
          <w:kern w:val="0"/>
          <w:sz w:val="24"/>
          <w:shd w:val="clear" w:color="auto" w:fill="FFFFFF"/>
        </w:rPr>
        <w:t>　编制出具资产评估报告，应当根据法律法规、委托人要求、评估对象特点、评估工作复杂程度等，根据《资产评估执业准则——资产评估报告》和《资产评估执业准则——珠宝首饰》确定资产评估报告的形式、内容和详略程度</w:t>
      </w:r>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r>
        <w:rPr>
          <w:rFonts w:hint="eastAsia" w:ascii="宋体" w:hAnsi="宋体" w:eastAsia="宋体" w:cs="宋体"/>
          <w:color w:val="000000"/>
          <w:kern w:val="0"/>
          <w:sz w:val="24"/>
          <w:shd w:val="clear" w:color="auto" w:fill="FFFFFF"/>
        </w:rPr>
        <w:t>。</w:t>
      </w:r>
    </w:p>
    <w:p w14:paraId="6A15436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（一）珠宝评估专业人员应当在评定、估算形成评估结论后，编制初步资产评估报告。</w:t>
      </w:r>
    </w:p>
    <w:p w14:paraId="3B89E4C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资产评估报告应当以珠宝鉴定和品质分析为基础，体现珠宝评估工作的专业性，如实表述珠宝首饰实物鉴定、品质特点、价值特征等。</w:t>
      </w:r>
    </w:p>
    <w:p w14:paraId="51CDD5C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资产评估报告除对评估背景、评估项目情况进行描述外，还应当对评估过程中发现的，可能影响评估结论的重大事项进行披露。</w:t>
      </w:r>
    </w:p>
    <w:p w14:paraId="02B5B46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（二）对初步资产评估报告进行内部审核。</w:t>
      </w:r>
    </w:p>
    <w:p w14:paraId="5E37EA1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资产评估机构出具资产评估报告前，在不影响对评估结论进行独立判断的前提下，可以与委托人或者委托人同意的其他相关当事人就资产评估报告有关内容进行沟通，对沟通情况进行独立分析，并决定是否对资产评估报告进行调整。</w:t>
      </w:r>
    </w:p>
    <w:p w14:paraId="09208C1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（四）出具资产评估报告应当由至少两名承办该项业务的珠宝评估专业人员签名并加盖资产评估机构印章。</w:t>
      </w:r>
    </w:p>
    <w:p w14:paraId="4AEEAD2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法定评估业务的资产评估报告应当由至少两名承办该项业务的资产评估师（珠宝）签名并加盖资产评估机构印章。</w:t>
      </w:r>
    </w:p>
    <w:p w14:paraId="3DF0F023">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第十九条</w:t>
      </w:r>
      <w:r>
        <w:rPr>
          <w:rFonts w:hint="eastAsia" w:ascii="宋体" w:hAnsi="宋体" w:eastAsia="宋体" w:cs="宋体"/>
          <w:color w:val="000000"/>
          <w:kern w:val="0"/>
          <w:sz w:val="24"/>
          <w:shd w:val="clear" w:color="auto" w:fill="FFFFFF"/>
        </w:rPr>
        <w:t>　根据《资产评估执业准则——资产评估档案》的要求，形成珠宝首饰评估档案。珠宝首饰评估档案通常包括：</w:t>
      </w:r>
    </w:p>
    <w:p w14:paraId="707A9CE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（一）工作底稿。包括评估过程使用的资料，例如，往来函件、备忘录；评估过程产生的数据和图片，例如，现场工作、鉴定资料、市场调研、分析估算的依据和形成的意见或者结论等。</w:t>
      </w:r>
    </w:p>
    <w:p w14:paraId="41DDC80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资产评估报告以及其他相关资料。纳入珠宝首饰评估档案的资产评估报告应当包括初步珠宝首饰资产评估报告和正式珠宝首饰资产评估报告。资产评估委托合同、资产评估报告应当形成纸质文档，其他相关资料可以是纸质文档、电子文档或者其他介质形式，例如，实物样品等。</w:t>
      </w:r>
    </w:p>
    <w:p w14:paraId="73C032FD">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第五章　附则</w:t>
      </w:r>
    </w:p>
    <w:p w14:paraId="7B671D34">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第二十条</w:t>
      </w:r>
      <w:r>
        <w:rPr>
          <w:rFonts w:hint="eastAsia" w:ascii="宋体" w:hAnsi="宋体" w:eastAsia="宋体" w:cs="宋体"/>
          <w:color w:val="000000"/>
          <w:kern w:val="0"/>
          <w:sz w:val="24"/>
          <w:shd w:val="clear" w:color="auto" w:fill="FFFFFF"/>
        </w:rPr>
        <w:t>　本指导意见自2020年3月1日起施行。</w:t>
      </w:r>
    </w:p>
    <w:p w14:paraId="7AF7514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附表：珠宝首饰重点描述内容表</w:t>
      </w:r>
      <w:r>
        <w:rPr>
          <w:rFonts w:hint="eastAsia" w:ascii="宋体" w:hAnsi="宋体" w:eastAsia="宋体" w:cs="宋体"/>
          <w:color w:val="000000"/>
          <w:kern w:val="0"/>
          <w:sz w:val="24"/>
          <w:shd w:val="clear" w:color="auto" w:fill="FFFFFF"/>
        </w:rPr>
        <w:br w:type="page"/>
      </w:r>
    </w:p>
    <w:p w14:paraId="30488A48">
      <w:pPr>
        <w:spacing w:line="440" w:lineRule="atLeast"/>
        <w:rPr>
          <w:rFonts w:ascii="宋体" w:hAnsi="宋体" w:eastAsia="宋体" w:cs="宋体"/>
          <w:bCs/>
          <w:sz w:val="24"/>
        </w:rPr>
      </w:pPr>
      <w:r>
        <w:rPr>
          <w:rFonts w:hint="eastAsia" w:ascii="宋体" w:hAnsi="宋体" w:eastAsia="宋体" w:cs="宋体"/>
          <w:bCs/>
          <w:sz w:val="24"/>
        </w:rPr>
        <w:t>附表</w:t>
      </w:r>
    </w:p>
    <w:p w14:paraId="1918C7B2">
      <w:pPr>
        <w:pStyle w:val="52"/>
        <w:widowControl w:val="0"/>
        <w:tabs>
          <w:tab w:val="center" w:pos="4153"/>
          <w:tab w:val="left" w:pos="6530"/>
        </w:tabs>
        <w:spacing w:before="240" w:after="240" w:line="440" w:lineRule="atLeast"/>
        <w:ind w:firstLine="0" w:firstLineChars="0"/>
        <w:jc w:val="left"/>
        <w:rPr>
          <w:rFonts w:ascii="仿宋_GB2312" w:eastAsia="仿宋_GB2312"/>
          <w:sz w:val="24"/>
          <w:szCs w:val="24"/>
        </w:rPr>
      </w:pPr>
      <w:r>
        <w:rPr>
          <w:rFonts w:ascii="仿宋_GB2312" w:eastAsia="仿宋_GB2312"/>
          <w:sz w:val="24"/>
          <w:szCs w:val="24"/>
        </w:rPr>
        <w:tab/>
      </w:r>
      <w:r>
        <w:rPr>
          <w:rFonts w:hint="eastAsia" w:ascii="仿宋_GB2312" w:eastAsia="仿宋_GB2312"/>
          <w:sz w:val="24"/>
          <w:szCs w:val="24"/>
        </w:rPr>
        <w:t>珠宝首饰重点描述内容表</w:t>
      </w:r>
      <w:r>
        <w:rPr>
          <w:rFonts w:ascii="仿宋_GB2312" w:eastAsia="仿宋_GB2312"/>
          <w:sz w:val="24"/>
          <w:szCs w:val="24"/>
        </w:rPr>
        <w:tab/>
      </w:r>
    </w:p>
    <w:tbl>
      <w:tblPr>
        <w:tblStyle w:val="24"/>
        <w:tblW w:w="827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46"/>
        <w:gridCol w:w="3544"/>
        <w:gridCol w:w="3282"/>
      </w:tblGrid>
      <w:tr w14:paraId="73A7CD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46" w:type="dxa"/>
            <w:vAlign w:val="center"/>
          </w:tcPr>
          <w:p w14:paraId="798F1E90">
            <w:pPr>
              <w:pStyle w:val="52"/>
              <w:widowControl w:val="0"/>
              <w:spacing w:before="156" w:after="156" w:line="440" w:lineRule="atLeast"/>
              <w:ind w:firstLine="0" w:firstLineChars="0"/>
              <w:jc w:val="center"/>
              <w:rPr>
                <w:rFonts w:ascii="仿宋_GB2312" w:eastAsia="仿宋_GB2312" w:hAnsiTheme="minorEastAsia"/>
                <w:sz w:val="24"/>
                <w:szCs w:val="24"/>
              </w:rPr>
            </w:pPr>
            <w:r>
              <w:rPr>
                <w:rFonts w:hint="eastAsia" w:ascii="仿宋_GB2312" w:eastAsia="仿宋_GB2312" w:hAnsiTheme="minorEastAsia"/>
                <w:sz w:val="24"/>
                <w:szCs w:val="24"/>
              </w:rPr>
              <w:t>评估对象</w:t>
            </w:r>
          </w:p>
        </w:tc>
        <w:tc>
          <w:tcPr>
            <w:tcW w:w="3544" w:type="dxa"/>
            <w:vAlign w:val="center"/>
          </w:tcPr>
          <w:p w14:paraId="312F1685">
            <w:pPr>
              <w:pStyle w:val="52"/>
              <w:widowControl w:val="0"/>
              <w:spacing w:before="156" w:after="156" w:line="440" w:lineRule="atLeast"/>
              <w:ind w:firstLine="0" w:firstLineChars="0"/>
              <w:jc w:val="center"/>
              <w:rPr>
                <w:rFonts w:ascii="仿宋_GB2312" w:eastAsia="仿宋_GB2312" w:hAnsiTheme="minorEastAsia"/>
                <w:sz w:val="24"/>
                <w:szCs w:val="24"/>
              </w:rPr>
            </w:pPr>
            <w:r>
              <w:rPr>
                <w:rFonts w:hint="eastAsia" w:ascii="仿宋_GB2312" w:eastAsia="仿宋_GB2312" w:hAnsiTheme="minorEastAsia"/>
                <w:sz w:val="24"/>
                <w:szCs w:val="24"/>
              </w:rPr>
              <w:t>观察描述的重点</w:t>
            </w:r>
          </w:p>
        </w:tc>
        <w:tc>
          <w:tcPr>
            <w:tcW w:w="3282" w:type="dxa"/>
            <w:vAlign w:val="center"/>
          </w:tcPr>
          <w:p w14:paraId="2F259A77">
            <w:pPr>
              <w:pStyle w:val="52"/>
              <w:widowControl w:val="0"/>
              <w:spacing w:before="156" w:after="156" w:line="440" w:lineRule="atLeast"/>
              <w:ind w:firstLine="0" w:firstLineChars="0"/>
              <w:jc w:val="center"/>
              <w:rPr>
                <w:rFonts w:ascii="仿宋_GB2312" w:eastAsia="仿宋_GB2312" w:hAnsiTheme="minorEastAsia"/>
                <w:sz w:val="24"/>
                <w:szCs w:val="24"/>
              </w:rPr>
            </w:pPr>
            <w:r>
              <w:rPr>
                <w:rFonts w:hint="eastAsia" w:ascii="仿宋_GB2312" w:eastAsia="仿宋_GB2312" w:hAnsiTheme="minorEastAsia"/>
                <w:sz w:val="24"/>
                <w:szCs w:val="24"/>
              </w:rPr>
              <w:t>主要参考依据</w:t>
            </w:r>
          </w:p>
        </w:tc>
      </w:tr>
      <w:tr w14:paraId="3EE034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46" w:type="dxa"/>
            <w:vAlign w:val="center"/>
          </w:tcPr>
          <w:p w14:paraId="10A24427">
            <w:pPr>
              <w:pStyle w:val="52"/>
              <w:widowControl w:val="0"/>
              <w:spacing w:line="440" w:lineRule="atLeast"/>
              <w:ind w:firstLine="0" w:firstLineChars="0"/>
              <w:jc w:val="center"/>
              <w:rPr>
                <w:rFonts w:ascii="仿宋_GB2312" w:eastAsia="仿宋_GB2312" w:hAnsiTheme="minorEastAsia"/>
                <w:sz w:val="24"/>
                <w:szCs w:val="24"/>
              </w:rPr>
            </w:pPr>
            <w:r>
              <w:rPr>
                <w:rFonts w:hint="eastAsia" w:ascii="仿宋_GB2312" w:eastAsia="仿宋_GB2312" w:hAnsiTheme="minorEastAsia"/>
                <w:sz w:val="24"/>
                <w:szCs w:val="24"/>
              </w:rPr>
              <w:t>贵金属</w:t>
            </w:r>
          </w:p>
        </w:tc>
        <w:tc>
          <w:tcPr>
            <w:tcW w:w="3544" w:type="dxa"/>
          </w:tcPr>
          <w:p w14:paraId="6D897838">
            <w:pPr>
              <w:pStyle w:val="52"/>
              <w:widowControl w:val="0"/>
              <w:spacing w:line="440" w:lineRule="atLeast"/>
              <w:ind w:firstLine="480"/>
              <w:rPr>
                <w:rFonts w:ascii="仿宋_GB2312" w:eastAsia="仿宋_GB2312" w:hAnsiTheme="minorEastAsia"/>
                <w:sz w:val="24"/>
                <w:szCs w:val="24"/>
              </w:rPr>
            </w:pPr>
            <w:r>
              <w:rPr>
                <w:rFonts w:hint="eastAsia" w:ascii="仿宋_GB2312" w:eastAsia="仿宋_GB2312" w:hAnsiTheme="minorEastAsia"/>
                <w:sz w:val="24"/>
                <w:szCs w:val="24"/>
              </w:rPr>
              <w:t>质量、标识印记、贵金属含量、工艺质量等</w:t>
            </w:r>
          </w:p>
        </w:tc>
        <w:tc>
          <w:tcPr>
            <w:tcW w:w="3282" w:type="dxa"/>
          </w:tcPr>
          <w:p w14:paraId="3165206B">
            <w:pPr>
              <w:pStyle w:val="52"/>
              <w:widowControl w:val="0"/>
              <w:spacing w:line="440" w:lineRule="atLeast"/>
              <w:ind w:firstLine="0" w:firstLineChars="0"/>
              <w:jc w:val="left"/>
              <w:rPr>
                <w:rFonts w:ascii="仿宋_GB2312" w:eastAsia="仿宋_GB2312" w:hAnsiTheme="minorEastAsia"/>
                <w:sz w:val="24"/>
                <w:szCs w:val="24"/>
              </w:rPr>
            </w:pPr>
            <w:r>
              <w:rPr>
                <w:rFonts w:hint="eastAsia" w:ascii="仿宋_GB2312" w:eastAsia="仿宋_GB2312" w:hAnsiTheme="minorEastAsia"/>
                <w:sz w:val="24"/>
                <w:szCs w:val="24"/>
              </w:rPr>
              <w:t>GB　11887、</w:t>
            </w:r>
            <w:r>
              <w:rPr>
                <w:rFonts w:hint="eastAsia" w:ascii="仿宋_GB2312" w:hAnsi="宋体" w:eastAsia="仿宋_GB2312"/>
                <w:sz w:val="24"/>
                <w:szCs w:val="24"/>
              </w:rPr>
              <w:t>QB/T　2062</w:t>
            </w:r>
            <w:r>
              <w:rPr>
                <w:rFonts w:hint="eastAsia" w:ascii="仿宋_GB2312" w:eastAsia="仿宋_GB2312" w:hAnsiTheme="minorEastAsia"/>
                <w:sz w:val="24"/>
                <w:szCs w:val="24"/>
              </w:rPr>
              <w:t>、QB/T　4189等</w:t>
            </w:r>
          </w:p>
        </w:tc>
      </w:tr>
      <w:tr w14:paraId="7BBCB5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46" w:type="dxa"/>
            <w:vAlign w:val="center"/>
          </w:tcPr>
          <w:p w14:paraId="2DEA7A88">
            <w:pPr>
              <w:pStyle w:val="52"/>
              <w:widowControl w:val="0"/>
              <w:spacing w:line="440" w:lineRule="atLeast"/>
              <w:ind w:firstLine="0" w:firstLineChars="0"/>
              <w:jc w:val="center"/>
              <w:rPr>
                <w:rFonts w:ascii="仿宋_GB2312" w:eastAsia="仿宋_GB2312" w:hAnsiTheme="minorEastAsia"/>
                <w:sz w:val="24"/>
                <w:szCs w:val="24"/>
              </w:rPr>
            </w:pPr>
            <w:r>
              <w:rPr>
                <w:rFonts w:hint="eastAsia" w:ascii="仿宋_GB2312" w:eastAsia="仿宋_GB2312" w:hAnsiTheme="minorEastAsia"/>
                <w:sz w:val="24"/>
                <w:szCs w:val="24"/>
              </w:rPr>
              <w:t>钻石</w:t>
            </w:r>
          </w:p>
        </w:tc>
        <w:tc>
          <w:tcPr>
            <w:tcW w:w="3544" w:type="dxa"/>
          </w:tcPr>
          <w:p w14:paraId="39953BC6">
            <w:pPr>
              <w:pStyle w:val="52"/>
              <w:widowControl w:val="0"/>
              <w:spacing w:before="156" w:after="156" w:line="440" w:lineRule="atLeast"/>
              <w:ind w:firstLine="480"/>
              <w:rPr>
                <w:rFonts w:ascii="仿宋_GB2312" w:eastAsia="仿宋_GB2312" w:hAnsiTheme="minorEastAsia"/>
                <w:sz w:val="24"/>
                <w:szCs w:val="24"/>
              </w:rPr>
            </w:pPr>
            <w:r>
              <w:rPr>
                <w:rFonts w:hint="eastAsia" w:ascii="仿宋_GB2312" w:eastAsia="仿宋_GB2312" w:hAnsiTheme="minorEastAsia"/>
                <w:sz w:val="24"/>
                <w:szCs w:val="24"/>
              </w:rPr>
              <w:t>质量、颜色、净度、切工等</w:t>
            </w:r>
          </w:p>
        </w:tc>
        <w:tc>
          <w:tcPr>
            <w:tcW w:w="3282" w:type="dxa"/>
          </w:tcPr>
          <w:p w14:paraId="104DB4F1">
            <w:pPr>
              <w:pStyle w:val="52"/>
              <w:widowControl w:val="0"/>
              <w:spacing w:before="156" w:after="156" w:line="440" w:lineRule="atLeast"/>
              <w:ind w:firstLine="0" w:firstLineChars="0"/>
              <w:jc w:val="left"/>
              <w:rPr>
                <w:rFonts w:ascii="仿宋_GB2312" w:eastAsia="仿宋_GB2312" w:hAnsiTheme="minorEastAsia"/>
                <w:sz w:val="24"/>
                <w:szCs w:val="24"/>
              </w:rPr>
            </w:pPr>
            <w:r>
              <w:rPr>
                <w:rFonts w:hint="eastAsia" w:ascii="仿宋_GB2312" w:eastAsia="仿宋_GB2312" w:hAnsiTheme="minorEastAsia"/>
                <w:sz w:val="24"/>
                <w:szCs w:val="24"/>
              </w:rPr>
              <w:t>GB/T　16554、GB/T　34543等</w:t>
            </w:r>
          </w:p>
        </w:tc>
      </w:tr>
      <w:tr w14:paraId="29F581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46" w:type="dxa"/>
            <w:vAlign w:val="center"/>
          </w:tcPr>
          <w:p w14:paraId="59FFE7CC">
            <w:pPr>
              <w:pStyle w:val="52"/>
              <w:widowControl w:val="0"/>
              <w:spacing w:line="440" w:lineRule="atLeast"/>
              <w:ind w:firstLine="0" w:firstLineChars="0"/>
              <w:jc w:val="center"/>
              <w:rPr>
                <w:rFonts w:ascii="仿宋_GB2312" w:eastAsia="仿宋_GB2312" w:hAnsiTheme="minorEastAsia"/>
                <w:sz w:val="24"/>
                <w:szCs w:val="24"/>
              </w:rPr>
            </w:pPr>
            <w:r>
              <w:rPr>
                <w:rFonts w:hint="eastAsia" w:ascii="仿宋_GB2312" w:eastAsia="仿宋_GB2312" w:hAnsiTheme="minorEastAsia"/>
                <w:sz w:val="24"/>
                <w:szCs w:val="24"/>
              </w:rPr>
              <w:t>彩色宝石</w:t>
            </w:r>
          </w:p>
        </w:tc>
        <w:tc>
          <w:tcPr>
            <w:tcW w:w="3544" w:type="dxa"/>
          </w:tcPr>
          <w:p w14:paraId="335BCB58">
            <w:pPr>
              <w:pStyle w:val="52"/>
              <w:widowControl w:val="0"/>
              <w:spacing w:line="440" w:lineRule="atLeast"/>
              <w:ind w:firstLine="480"/>
              <w:rPr>
                <w:rFonts w:ascii="仿宋_GB2312" w:eastAsia="仿宋_GB2312" w:hAnsiTheme="minorEastAsia"/>
                <w:sz w:val="24"/>
                <w:szCs w:val="24"/>
              </w:rPr>
            </w:pPr>
            <w:r>
              <w:rPr>
                <w:rFonts w:hint="eastAsia" w:ascii="仿宋_GB2312" w:eastAsia="仿宋_GB2312" w:hAnsiTheme="minorEastAsia"/>
                <w:sz w:val="24"/>
                <w:szCs w:val="24"/>
              </w:rPr>
              <w:t>品种、质量、颜色、光泽、净度、火彩、切工特征等</w:t>
            </w:r>
          </w:p>
        </w:tc>
        <w:tc>
          <w:tcPr>
            <w:tcW w:w="3282" w:type="dxa"/>
          </w:tcPr>
          <w:p w14:paraId="138872A6">
            <w:pPr>
              <w:pStyle w:val="52"/>
              <w:widowControl w:val="0"/>
              <w:spacing w:line="440" w:lineRule="atLeast"/>
              <w:ind w:firstLine="0" w:firstLineChars="0"/>
              <w:jc w:val="left"/>
              <w:rPr>
                <w:rFonts w:ascii="仿宋_GB2312" w:eastAsia="仿宋_GB2312" w:hAnsiTheme="minorEastAsia"/>
                <w:sz w:val="24"/>
                <w:szCs w:val="24"/>
              </w:rPr>
            </w:pPr>
            <w:r>
              <w:rPr>
                <w:rFonts w:hint="eastAsia" w:ascii="仿宋_GB2312" w:eastAsia="仿宋_GB2312" w:hAnsiTheme="minorEastAsia"/>
                <w:sz w:val="24"/>
                <w:szCs w:val="24"/>
              </w:rPr>
              <w:t>GB/T　32862、GB/T　32863、GB/T　34545等</w:t>
            </w:r>
          </w:p>
        </w:tc>
      </w:tr>
      <w:tr w14:paraId="7425A0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46" w:type="dxa"/>
            <w:vAlign w:val="center"/>
          </w:tcPr>
          <w:p w14:paraId="2BEFDE52">
            <w:pPr>
              <w:pStyle w:val="52"/>
              <w:widowControl w:val="0"/>
              <w:spacing w:line="440" w:lineRule="atLeast"/>
              <w:ind w:firstLine="0" w:firstLineChars="0"/>
              <w:jc w:val="center"/>
              <w:rPr>
                <w:rFonts w:ascii="仿宋_GB2312" w:eastAsia="仿宋_GB2312" w:hAnsiTheme="minorEastAsia"/>
                <w:sz w:val="24"/>
                <w:szCs w:val="24"/>
              </w:rPr>
            </w:pPr>
            <w:r>
              <w:rPr>
                <w:rFonts w:hint="eastAsia" w:ascii="仿宋_GB2312" w:eastAsia="仿宋_GB2312" w:hAnsiTheme="minorEastAsia"/>
                <w:sz w:val="24"/>
                <w:szCs w:val="24"/>
              </w:rPr>
              <w:t>玉石</w:t>
            </w:r>
          </w:p>
        </w:tc>
        <w:tc>
          <w:tcPr>
            <w:tcW w:w="3544" w:type="dxa"/>
          </w:tcPr>
          <w:p w14:paraId="797AD23F">
            <w:pPr>
              <w:pStyle w:val="52"/>
              <w:widowControl w:val="0"/>
              <w:spacing w:line="440" w:lineRule="atLeast"/>
              <w:ind w:firstLine="480"/>
              <w:rPr>
                <w:rFonts w:ascii="仿宋_GB2312" w:eastAsia="仿宋_GB2312" w:hAnsiTheme="minorEastAsia"/>
                <w:sz w:val="24"/>
                <w:szCs w:val="24"/>
              </w:rPr>
            </w:pPr>
            <w:r>
              <w:rPr>
                <w:rFonts w:hint="eastAsia" w:ascii="仿宋_GB2312" w:eastAsia="仿宋_GB2312" w:hAnsiTheme="minorEastAsia"/>
                <w:sz w:val="24"/>
                <w:szCs w:val="24"/>
              </w:rPr>
              <w:t>品种、质量、颜色、透明度、结构、质地、净度、工艺等</w:t>
            </w:r>
          </w:p>
        </w:tc>
        <w:tc>
          <w:tcPr>
            <w:tcW w:w="3282" w:type="dxa"/>
          </w:tcPr>
          <w:p w14:paraId="6B6547EC">
            <w:pPr>
              <w:pStyle w:val="52"/>
              <w:widowControl w:val="0"/>
              <w:spacing w:line="440" w:lineRule="atLeast"/>
              <w:ind w:firstLine="0" w:firstLineChars="0"/>
              <w:jc w:val="left"/>
              <w:rPr>
                <w:rFonts w:ascii="仿宋_GB2312" w:eastAsia="仿宋_GB2312" w:hAnsiTheme="minorEastAsia"/>
                <w:sz w:val="24"/>
                <w:szCs w:val="24"/>
              </w:rPr>
            </w:pPr>
            <w:r>
              <w:rPr>
                <w:rFonts w:hint="eastAsia" w:ascii="仿宋_GB2312" w:eastAsia="仿宋_GB2312" w:hAnsiTheme="minorEastAsia"/>
                <w:sz w:val="24"/>
                <w:szCs w:val="24"/>
              </w:rPr>
              <w:t>GB/T　23885、GSB16-3061等</w:t>
            </w:r>
          </w:p>
        </w:tc>
      </w:tr>
      <w:tr w14:paraId="3A998F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46" w:type="dxa"/>
            <w:vAlign w:val="center"/>
          </w:tcPr>
          <w:p w14:paraId="33A5AA45">
            <w:pPr>
              <w:pStyle w:val="52"/>
              <w:widowControl w:val="0"/>
              <w:spacing w:line="440" w:lineRule="atLeast"/>
              <w:ind w:firstLine="0" w:firstLineChars="0"/>
              <w:jc w:val="center"/>
              <w:rPr>
                <w:rFonts w:ascii="仿宋_GB2312" w:eastAsia="仿宋_GB2312" w:hAnsiTheme="minorEastAsia"/>
                <w:sz w:val="24"/>
                <w:szCs w:val="24"/>
              </w:rPr>
            </w:pPr>
            <w:r>
              <w:rPr>
                <w:rFonts w:hint="eastAsia" w:ascii="仿宋_GB2312" w:eastAsia="仿宋_GB2312" w:hAnsiTheme="minorEastAsia"/>
                <w:sz w:val="24"/>
                <w:szCs w:val="24"/>
              </w:rPr>
              <w:t>珍珠</w:t>
            </w:r>
          </w:p>
        </w:tc>
        <w:tc>
          <w:tcPr>
            <w:tcW w:w="3544" w:type="dxa"/>
          </w:tcPr>
          <w:p w14:paraId="12AD833A">
            <w:pPr>
              <w:pStyle w:val="52"/>
              <w:widowControl w:val="0"/>
              <w:spacing w:line="440" w:lineRule="atLeast"/>
              <w:ind w:firstLine="480"/>
              <w:rPr>
                <w:rFonts w:ascii="仿宋_GB2312" w:eastAsia="仿宋_GB2312" w:hAnsiTheme="minorEastAsia"/>
                <w:sz w:val="24"/>
                <w:szCs w:val="24"/>
              </w:rPr>
            </w:pPr>
            <w:r>
              <w:rPr>
                <w:rFonts w:hint="eastAsia" w:ascii="仿宋_GB2312" w:eastAsia="仿宋_GB2312" w:hAnsiTheme="minorEastAsia"/>
                <w:sz w:val="24"/>
                <w:szCs w:val="24"/>
              </w:rPr>
              <w:t>颜色、大小、形状、光泽、光洁度、珠层厚度、匹配度等</w:t>
            </w:r>
          </w:p>
        </w:tc>
        <w:tc>
          <w:tcPr>
            <w:tcW w:w="3282" w:type="dxa"/>
          </w:tcPr>
          <w:p w14:paraId="70E10661">
            <w:pPr>
              <w:pStyle w:val="52"/>
              <w:widowControl w:val="0"/>
              <w:spacing w:line="440" w:lineRule="atLeast"/>
              <w:ind w:firstLine="0" w:firstLineChars="0"/>
              <w:jc w:val="left"/>
              <w:rPr>
                <w:rFonts w:ascii="仿宋_GB2312" w:eastAsia="仿宋_GB2312" w:hAnsiTheme="minorEastAsia"/>
                <w:sz w:val="24"/>
                <w:szCs w:val="24"/>
              </w:rPr>
            </w:pPr>
            <w:r>
              <w:rPr>
                <w:rFonts w:hint="eastAsia" w:ascii="仿宋_GB2312" w:eastAsia="仿宋_GB2312" w:hAnsiTheme="minorEastAsia"/>
                <w:sz w:val="24"/>
                <w:szCs w:val="24"/>
              </w:rPr>
              <w:t>GB/T　18781等</w:t>
            </w:r>
          </w:p>
        </w:tc>
      </w:tr>
      <w:tr w14:paraId="1D8A72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46" w:type="dxa"/>
            <w:vAlign w:val="center"/>
          </w:tcPr>
          <w:p w14:paraId="61E8EB1F">
            <w:pPr>
              <w:pStyle w:val="52"/>
              <w:widowControl w:val="0"/>
              <w:spacing w:line="440" w:lineRule="atLeast"/>
              <w:ind w:firstLine="0" w:firstLineChars="0"/>
              <w:jc w:val="center"/>
              <w:rPr>
                <w:rFonts w:ascii="仿宋_GB2312" w:eastAsia="仿宋_GB2312" w:hAnsiTheme="minorEastAsia"/>
                <w:sz w:val="24"/>
                <w:szCs w:val="24"/>
              </w:rPr>
            </w:pPr>
            <w:r>
              <w:rPr>
                <w:rFonts w:hint="eastAsia" w:ascii="仿宋_GB2312" w:eastAsia="仿宋_GB2312" w:hAnsiTheme="minorEastAsia"/>
                <w:sz w:val="24"/>
                <w:szCs w:val="24"/>
              </w:rPr>
              <w:t>镶嵌饰品</w:t>
            </w:r>
          </w:p>
        </w:tc>
        <w:tc>
          <w:tcPr>
            <w:tcW w:w="3544" w:type="dxa"/>
          </w:tcPr>
          <w:p w14:paraId="2DED4F04">
            <w:pPr>
              <w:pStyle w:val="52"/>
              <w:widowControl w:val="0"/>
              <w:spacing w:line="440" w:lineRule="atLeast"/>
              <w:ind w:firstLine="480"/>
              <w:rPr>
                <w:rFonts w:ascii="仿宋_GB2312" w:eastAsia="仿宋_GB2312" w:hAnsiTheme="minorEastAsia"/>
                <w:sz w:val="24"/>
                <w:szCs w:val="24"/>
              </w:rPr>
            </w:pPr>
            <w:r>
              <w:rPr>
                <w:rFonts w:hint="eastAsia" w:ascii="仿宋_GB2312" w:eastAsia="仿宋_GB2312" w:hAnsiTheme="minorEastAsia"/>
                <w:sz w:val="24"/>
                <w:szCs w:val="24"/>
              </w:rPr>
              <w:t>底托、珠宝玉石、镶嵌方式、工艺、来源出处、状况等</w:t>
            </w:r>
          </w:p>
        </w:tc>
        <w:tc>
          <w:tcPr>
            <w:tcW w:w="3282" w:type="dxa"/>
          </w:tcPr>
          <w:p w14:paraId="0B225C23">
            <w:pPr>
              <w:pStyle w:val="52"/>
              <w:widowControl w:val="0"/>
              <w:spacing w:line="440" w:lineRule="atLeast"/>
              <w:ind w:firstLine="0" w:firstLineChars="0"/>
              <w:jc w:val="left"/>
              <w:rPr>
                <w:rFonts w:ascii="仿宋_GB2312" w:eastAsia="仿宋_GB2312" w:hAnsiTheme="minorEastAsia"/>
                <w:sz w:val="24"/>
                <w:szCs w:val="24"/>
              </w:rPr>
            </w:pPr>
            <w:r>
              <w:rPr>
                <w:rFonts w:hint="eastAsia" w:ascii="仿宋_GB2312" w:eastAsia="仿宋_GB2312" w:hAnsiTheme="minorEastAsia"/>
                <w:sz w:val="24"/>
                <w:szCs w:val="24"/>
              </w:rPr>
              <w:t>GB　11887、GB/T　16552、GB/T　16553等</w:t>
            </w:r>
          </w:p>
        </w:tc>
      </w:tr>
      <w:tr w14:paraId="4FC0C1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46" w:type="dxa"/>
            <w:vAlign w:val="center"/>
          </w:tcPr>
          <w:p w14:paraId="3B2D5878">
            <w:pPr>
              <w:pStyle w:val="52"/>
              <w:widowControl w:val="0"/>
              <w:spacing w:line="440" w:lineRule="atLeast"/>
              <w:ind w:firstLine="0" w:firstLineChars="0"/>
              <w:jc w:val="center"/>
              <w:rPr>
                <w:rFonts w:ascii="仿宋_GB2312" w:eastAsia="仿宋_GB2312" w:hAnsiTheme="minorEastAsia"/>
                <w:sz w:val="24"/>
                <w:szCs w:val="24"/>
              </w:rPr>
            </w:pPr>
            <w:r>
              <w:rPr>
                <w:rFonts w:hint="eastAsia" w:ascii="仿宋_GB2312" w:eastAsia="仿宋_GB2312" w:hAnsiTheme="minorEastAsia"/>
                <w:sz w:val="24"/>
                <w:szCs w:val="24"/>
              </w:rPr>
              <w:t>其他</w:t>
            </w:r>
          </w:p>
        </w:tc>
        <w:tc>
          <w:tcPr>
            <w:tcW w:w="3544" w:type="dxa"/>
          </w:tcPr>
          <w:p w14:paraId="5115FEA2">
            <w:pPr>
              <w:pStyle w:val="52"/>
              <w:widowControl w:val="0"/>
              <w:spacing w:line="440" w:lineRule="atLeast"/>
              <w:ind w:firstLine="480"/>
              <w:rPr>
                <w:rFonts w:ascii="仿宋_GB2312" w:eastAsia="仿宋_GB2312" w:hAnsiTheme="minorEastAsia"/>
                <w:sz w:val="24"/>
                <w:szCs w:val="24"/>
              </w:rPr>
            </w:pPr>
            <w:r>
              <w:rPr>
                <w:rFonts w:hint="eastAsia" w:ascii="仿宋_GB2312" w:eastAsia="仿宋_GB2312" w:hAnsiTheme="minorEastAsia"/>
                <w:sz w:val="24"/>
                <w:szCs w:val="24"/>
              </w:rPr>
              <w:t>根据评估对象品质要素的特点进行描述</w:t>
            </w:r>
          </w:p>
        </w:tc>
        <w:tc>
          <w:tcPr>
            <w:tcW w:w="3282" w:type="dxa"/>
          </w:tcPr>
          <w:p w14:paraId="51D57BC6">
            <w:pPr>
              <w:pStyle w:val="52"/>
              <w:widowControl w:val="0"/>
              <w:tabs>
                <w:tab w:val="left" w:pos="2227"/>
                <w:tab w:val="clear" w:pos="4201"/>
                <w:tab w:val="clear" w:pos="9298"/>
              </w:tabs>
              <w:spacing w:line="440" w:lineRule="atLeast"/>
              <w:ind w:firstLine="0" w:firstLineChars="0"/>
              <w:jc w:val="left"/>
              <w:rPr>
                <w:rFonts w:ascii="仿宋_GB2312" w:eastAsia="仿宋_GB2312" w:hAnsiTheme="minorEastAsia"/>
                <w:sz w:val="24"/>
                <w:szCs w:val="24"/>
              </w:rPr>
            </w:pPr>
            <w:r>
              <w:rPr>
                <w:rFonts w:hint="eastAsia" w:ascii="仿宋_GB2312" w:eastAsia="仿宋_GB2312" w:hAnsiTheme="minorEastAsia"/>
                <w:sz w:val="24"/>
                <w:szCs w:val="24"/>
              </w:rPr>
              <w:t>GB/T　36168、GB/T　36169、GB/T　36127等</w:t>
            </w:r>
          </w:p>
        </w:tc>
      </w:tr>
    </w:tbl>
    <w:p w14:paraId="7782D63C">
      <w:pPr>
        <w:spacing w:line="440" w:lineRule="atLeast"/>
        <w:rPr>
          <w:sz w:val="28"/>
          <w:szCs w:val="28"/>
        </w:rPr>
      </w:pPr>
      <w:r>
        <w:rPr>
          <w:sz w:val="28"/>
          <w:szCs w:val="28"/>
        </w:rPr>
        <w:br w:type="page"/>
      </w:r>
    </w:p>
    <w:p w14:paraId="73374B72">
      <w:pPr>
        <w:pStyle w:val="5"/>
        <w:spacing w:line="440" w:lineRule="atLeast"/>
        <w:jc w:val="center"/>
        <w:rPr>
          <w:rFonts w:ascii="宋体" w:hAnsi="宋体" w:eastAsia="宋体" w:cs="宋体"/>
        </w:rPr>
      </w:pPr>
      <w:bookmarkStart w:id="208" w:name="_Toc5304"/>
      <w:r>
        <w:rPr>
          <w:rFonts w:hint="eastAsia" w:ascii="宋体" w:hAnsi="宋体" w:eastAsia="宋体" w:cs="宋体"/>
        </w:rPr>
        <w:t>人民法院委托司法执行财产处置资产评估指导意见</w:t>
      </w:r>
      <w:bookmarkEnd w:id="208"/>
    </w:p>
    <w:p w14:paraId="3E7D958B">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第一章</w:t>
      </w:r>
      <w:r>
        <w:rPr>
          <w:rFonts w:hint="eastAsia" w:ascii="宋体" w:hAnsi="宋体" w:eastAsia="宋体" w:cs="宋体"/>
          <w:color w:val="000000"/>
          <w:kern w:val="0"/>
          <w:sz w:val="24"/>
          <w:shd w:val="clear" w:color="auto" w:fill="FFFFFF"/>
        </w:rPr>
        <w:t>　</w:t>
      </w:r>
      <w:r>
        <w:rPr>
          <w:rFonts w:hint="eastAsia" w:ascii="黑体" w:hAnsi="黑体" w:eastAsia="黑体" w:cs="黑体"/>
          <w:bCs/>
          <w:color w:val="000000"/>
          <w:kern w:val="0"/>
          <w:sz w:val="28"/>
          <w:szCs w:val="28"/>
          <w:shd w:val="clear" w:color="auto" w:fill="FFFFFF"/>
        </w:rPr>
        <w:t>总则</w:t>
      </w:r>
    </w:p>
    <w:p w14:paraId="209FAD77">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第一条</w:t>
      </w:r>
      <w:r>
        <w:rPr>
          <w:rFonts w:hint="eastAsia" w:ascii="宋体" w:hAnsi="宋体" w:eastAsia="宋体" w:cs="宋体"/>
          <w:color w:val="000000"/>
          <w:kern w:val="0"/>
          <w:sz w:val="24"/>
          <w:shd w:val="clear" w:color="auto" w:fill="FFFFFF"/>
        </w:rPr>
        <w:t>　为规范资产评估机构及其资产评估师执行人民法院委托司法执行财产处置资产评估业务，根据《中华人民共和国资产评估法》《最高人民法院关于人民法院确定财产处置参考价若干问题的规定》《资产评估基本准则》《人民法院委托评估工作规范》等有关规定制定本指导意见。</w:t>
      </w:r>
    </w:p>
    <w:p w14:paraId="2225E809">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第二条</w:t>
      </w:r>
      <w:r>
        <w:rPr>
          <w:rFonts w:hint="eastAsia" w:ascii="宋体" w:hAnsi="宋体" w:eastAsia="宋体" w:cs="宋体"/>
          <w:color w:val="000000"/>
          <w:kern w:val="0"/>
          <w:sz w:val="24"/>
          <w:shd w:val="clear" w:color="auto" w:fill="FFFFFF"/>
        </w:rPr>
        <w:t>　本指导意见所称人民法院委托司法执行财产处置资产评估是指资产评估机构及其资产评估师，根据人民法院委托，为确定财产处置参考价，对相关资产价值进行评定和估算，并出具资产评估报告的专业服务行为。</w:t>
      </w:r>
    </w:p>
    <w:p w14:paraId="2D9D235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本指导意见所称资产评估报告是为人民法院确定财产处置参考价提供服务的报告，资产评估报告封面应注明“人民法院委托司法执行财产处置参考价目的资产评估报告”。</w:t>
      </w:r>
    </w:p>
    <w:p w14:paraId="4EBDECDE">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第三条</w:t>
      </w:r>
      <w:r>
        <w:rPr>
          <w:rFonts w:hint="eastAsia" w:ascii="宋体" w:hAnsi="宋体" w:eastAsia="宋体" w:cs="宋体"/>
          <w:color w:val="000000"/>
          <w:kern w:val="0"/>
          <w:sz w:val="24"/>
          <w:shd w:val="clear" w:color="auto" w:fill="FFFFFF"/>
        </w:rPr>
        <w:t>　资产评估机构及其资产评估师执行人民法院委托司法执行财产处置资产评估业务，应当遵守本指导意见。</w:t>
      </w:r>
    </w:p>
    <w:p w14:paraId="758F0235">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第二章　基本遵循</w:t>
      </w:r>
    </w:p>
    <w:p w14:paraId="69CB57A9">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第四条</w:t>
      </w:r>
      <w:r>
        <w:rPr>
          <w:rFonts w:hint="eastAsia" w:ascii="宋体" w:hAnsi="宋体" w:eastAsia="宋体" w:cs="宋体"/>
          <w:color w:val="000000"/>
          <w:kern w:val="0"/>
          <w:sz w:val="24"/>
          <w:shd w:val="clear" w:color="auto" w:fill="FFFFFF"/>
        </w:rPr>
        <w:t>　资产评估机构及其资产评估师执行人民法院委托司法执行财产处置资产评估业务，应当遵守法律、行政法规、司法解释、资产评估准则的规定，坚持独立、客观、公正的原则，诚实守信，勤勉尽责，谨慎从业，遵守职业道德，自觉维护职业形象，不得从事损害职业形象的活动。</w:t>
      </w:r>
    </w:p>
    <w:p w14:paraId="1B69EE09">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第五条</w:t>
      </w:r>
      <w:r>
        <w:rPr>
          <w:rFonts w:hint="eastAsia" w:ascii="宋体" w:hAnsi="宋体" w:eastAsia="宋体" w:cs="宋体"/>
          <w:color w:val="000000"/>
          <w:kern w:val="0"/>
          <w:sz w:val="24"/>
          <w:shd w:val="clear" w:color="auto" w:fill="FFFFFF"/>
        </w:rPr>
        <w:t>　资产评估机构及其资产评估师执行人民法院委托司法执行财产处置资产评估业务，应当根据评估目的，结合评估资产的特点，合理使用评估假设和限制条件。</w:t>
      </w:r>
    </w:p>
    <w:p w14:paraId="0ECEEB49">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第六条</w:t>
      </w:r>
      <w:r>
        <w:rPr>
          <w:rFonts w:hint="eastAsia" w:ascii="宋体" w:hAnsi="宋体" w:eastAsia="宋体" w:cs="宋体"/>
          <w:color w:val="000000"/>
          <w:kern w:val="0"/>
          <w:sz w:val="24"/>
          <w:shd w:val="clear" w:color="auto" w:fill="FFFFFF"/>
        </w:rPr>
        <w:t>　资产评估机构及其资产评估师执行人民法院委托司法执行财产处置资产评估业务，由于客观条件限制导致评估程序履行或者评估资料收集受限的，应当在资产评估报告中进行披露。</w:t>
      </w:r>
    </w:p>
    <w:p w14:paraId="09728C14">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第七条</w:t>
      </w:r>
      <w:r>
        <w:rPr>
          <w:rFonts w:hint="eastAsia" w:ascii="宋体" w:hAnsi="宋体" w:eastAsia="宋体" w:cs="宋体"/>
          <w:color w:val="000000"/>
          <w:kern w:val="0"/>
          <w:sz w:val="24"/>
          <w:shd w:val="clear" w:color="auto" w:fill="FFFFFF"/>
        </w:rPr>
        <w:t>　入选人民法院司法执行财产处置司法评估机构名单库的资产评估机构，应当在开展人民法院委托司法执行财产处置资产评估业务前，向中国资产评估协会报备相关业务收费标准。</w:t>
      </w:r>
    </w:p>
    <w:p w14:paraId="6CDBBE10">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第八条</w:t>
      </w:r>
      <w:r>
        <w:rPr>
          <w:rFonts w:hint="eastAsia" w:ascii="宋体" w:hAnsi="宋体" w:eastAsia="宋体" w:cs="宋体"/>
          <w:color w:val="000000"/>
          <w:kern w:val="0"/>
          <w:sz w:val="24"/>
          <w:shd w:val="clear" w:color="auto" w:fill="FFFFFF"/>
        </w:rPr>
        <w:t>　本指导意见未作规定的事项，资产评估机构及其资产评估师应当按照《最高人民法院关于人民法院确定财产处置参考价若干问题的规定》《人民法院委托评估工作规范》以及其他资产评估准则的有关规定执行。</w:t>
      </w:r>
    </w:p>
    <w:p w14:paraId="7B589C97">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第三章　评估委托</w:t>
      </w:r>
    </w:p>
    <w:p w14:paraId="499A2422">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第九条</w:t>
      </w:r>
      <w:r>
        <w:rPr>
          <w:rFonts w:hint="eastAsia" w:ascii="宋体" w:hAnsi="宋体" w:eastAsia="宋体" w:cs="宋体"/>
          <w:color w:val="000000"/>
          <w:kern w:val="0"/>
          <w:sz w:val="24"/>
          <w:shd w:val="clear" w:color="auto" w:fill="FFFFFF"/>
        </w:rPr>
        <w:t>　资产评估机构应当及时通过专用系统接收人民法院的评估委托书，并根据评估委托书、财产清单，以及人民法院查明的财产的权属、权利负担、占有使用、欠缴税费、质量瑕疵等相关资料，与人民法院明确评估对象和评估范围、评估基准日、价值类型等评估基本事项。</w:t>
      </w:r>
    </w:p>
    <w:p w14:paraId="52EC5A3B">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第十条</w:t>
      </w:r>
      <w:r>
        <w:rPr>
          <w:rFonts w:hint="eastAsia" w:ascii="宋体" w:hAnsi="宋体" w:eastAsia="宋体" w:cs="宋体"/>
          <w:color w:val="000000"/>
          <w:kern w:val="0"/>
          <w:sz w:val="24"/>
          <w:shd w:val="clear" w:color="auto" w:fill="FFFFFF"/>
        </w:rPr>
        <w:t>　人民法院委托司法执行财产处置资产评估的价值类型一般为市场价值。</w:t>
      </w:r>
    </w:p>
    <w:p w14:paraId="14697717">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第十一条</w:t>
      </w:r>
      <w:r>
        <w:rPr>
          <w:rFonts w:hint="eastAsia" w:ascii="宋体" w:hAnsi="宋体" w:eastAsia="宋体" w:cs="宋体"/>
          <w:color w:val="000000"/>
          <w:kern w:val="0"/>
          <w:sz w:val="24"/>
          <w:shd w:val="clear" w:color="auto" w:fill="FFFFFF"/>
        </w:rPr>
        <w:t>　资产评估机构接收人民法院评估委托书后，认为有下列情形之一的，应当在三个工作日内向人民法院说明情况，提出不承接委托评估申请：</w:t>
      </w:r>
    </w:p>
    <w:p w14:paraId="33E3745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（一）资产评估机构及其资产评估师与当事人或者评估财产有利害关系；</w:t>
      </w:r>
    </w:p>
    <w:p w14:paraId="7693846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（二）资产评估机构已办理注销登记或者被市场监管部门吊销营业执照；</w:t>
      </w:r>
    </w:p>
    <w:p w14:paraId="2894F09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（三）依法不能进行评估的其他情形。</w:t>
      </w:r>
    </w:p>
    <w:p w14:paraId="2B468E9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根据《人民法院委托评估工作规范》第十四条的规定，人民法院认为资产评估机构申请不承接委托评估的理由不成立的，应当在三日内通知评估机构；资产评估机构未在规定期限内向人民法院提出不承接委托评估申请的，视为接受委托。</w:t>
      </w:r>
    </w:p>
    <w:p w14:paraId="05A71C66">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第十二条</w:t>
      </w:r>
      <w:r>
        <w:rPr>
          <w:rFonts w:hint="eastAsia" w:ascii="宋体" w:hAnsi="宋体" w:eastAsia="宋体" w:cs="宋体"/>
          <w:color w:val="000000"/>
          <w:kern w:val="0"/>
          <w:sz w:val="24"/>
          <w:shd w:val="clear" w:color="auto" w:fill="FFFFFF"/>
        </w:rPr>
        <w:t>　资产评估机构及其资产评估师发现评估基本事项与评估委托书载明的事项存在差异，或者评估委托书遗漏需要明确的评估基本事项的，应当与人民法院进行沟通，并在三日内以书面形式对差异事项或者遗漏事项予以反馈,由人民法院予以处理。</w:t>
      </w:r>
    </w:p>
    <w:p w14:paraId="190C8576">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第四章　评估操作要求</w:t>
      </w:r>
    </w:p>
    <w:p w14:paraId="04BF7124">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第十三条</w:t>
      </w:r>
      <w:r>
        <w:rPr>
          <w:rFonts w:hint="eastAsia" w:ascii="宋体" w:hAnsi="宋体" w:eastAsia="宋体" w:cs="宋体"/>
          <w:color w:val="000000"/>
          <w:kern w:val="0"/>
          <w:sz w:val="24"/>
          <w:shd w:val="clear" w:color="auto" w:fill="FFFFFF"/>
        </w:rPr>
        <w:t>　资产评估机构承接人民法院委托司法执行财产处置资产评估业务后，应当及时确定资产评估师，并通过专用系统将资产评估师的信息发送给人民法院。</w:t>
      </w:r>
    </w:p>
    <w:p w14:paraId="5502563B">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第十四条</w:t>
      </w:r>
      <w:r>
        <w:rPr>
          <w:rFonts w:hint="eastAsia" w:ascii="宋体" w:hAnsi="宋体" w:eastAsia="宋体" w:cs="宋体"/>
          <w:color w:val="000000"/>
          <w:kern w:val="0"/>
          <w:sz w:val="24"/>
          <w:shd w:val="clear" w:color="auto" w:fill="FFFFFF"/>
        </w:rPr>
        <w:t>　资产评估机构执行人民法院委托司法执行财产处置资产评估业务，应当及时接收人民法院提供的资产评估相关材料，包括扫描上传至专用系统的电子材料以及图纸、账册等无法扫描的其他材料。</w:t>
      </w:r>
    </w:p>
    <w:p w14:paraId="1EF35A81">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第十五条</w:t>
      </w:r>
      <w:r>
        <w:rPr>
          <w:rFonts w:hint="eastAsia" w:ascii="宋体" w:hAnsi="宋体" w:eastAsia="宋体" w:cs="宋体"/>
          <w:color w:val="000000"/>
          <w:kern w:val="0"/>
          <w:sz w:val="24"/>
          <w:shd w:val="clear" w:color="auto" w:fill="FFFFFF"/>
        </w:rPr>
        <w:t>　资产评估机构执行人民法院委托司法执行财产处置资产评估业务，应当及时与人民法院协商现场调查事宜。</w:t>
      </w:r>
    </w:p>
    <w:p w14:paraId="2644062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根据《最高人民法院关于人民法院确定财产处置参考价若干问题的规定》</w:t>
      </w:r>
      <w:r>
        <w:rPr>
          <w:rFonts w:hint="eastAsia" w:ascii="宋体" w:hAnsi="宋体" w:eastAsia="宋体" w:cs="宋体"/>
          <w:bCs/>
          <w:color w:val="000000"/>
          <w:kern w:val="0"/>
          <w:sz w:val="24"/>
          <w:shd w:val="clear" w:color="auto" w:fill="FFFFFF"/>
        </w:rPr>
        <w:t>第十八条</w:t>
      </w:r>
      <w:r>
        <w:rPr>
          <w:rFonts w:hint="eastAsia" w:ascii="宋体" w:hAnsi="宋体" w:eastAsia="宋体" w:cs="宋体"/>
          <w:color w:val="000000"/>
          <w:kern w:val="0"/>
          <w:sz w:val="24"/>
          <w:shd w:val="clear" w:color="auto" w:fill="FFFFFF"/>
        </w:rPr>
        <w:t>的规定，现场调查由人民法院通知当事人到场；当事人不到场的，不影响现场调查的进行，但资产评估机构应当与人民法院沟通见证人见证事宜。现场调查需要当事人、协助义务人配合的，由人民法院责令其配合；不予配合的，由人民法院依法强制执行。</w:t>
      </w:r>
    </w:p>
    <w:p w14:paraId="2377151A">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第十六条</w:t>
      </w:r>
      <w:r>
        <w:rPr>
          <w:rFonts w:hint="eastAsia" w:ascii="宋体" w:hAnsi="宋体" w:eastAsia="宋体" w:cs="宋体"/>
          <w:color w:val="000000"/>
          <w:kern w:val="0"/>
          <w:sz w:val="24"/>
          <w:shd w:val="clear" w:color="auto" w:fill="FFFFFF"/>
        </w:rPr>
        <w:t>　资产评估机构及其资产评估师执行人民法院委托司法执行财产处置资产评估业务，应当保留现场调查的文字、照片等资料,以书面形式记录现场调查的时间、地点、过程、结果等，并要求当事人或者见证人予以确认，当事人或者见证人拒绝确认的，资产评估机构应当告知人民法院，并在评估报告中对此事项予以披露。</w:t>
      </w:r>
    </w:p>
    <w:p w14:paraId="45C9B785">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第十七条</w:t>
      </w:r>
      <w:r>
        <w:rPr>
          <w:rFonts w:hint="eastAsia" w:ascii="宋体" w:hAnsi="宋体" w:eastAsia="宋体" w:cs="宋体"/>
          <w:color w:val="000000"/>
          <w:kern w:val="0"/>
          <w:sz w:val="24"/>
          <w:shd w:val="clear" w:color="auto" w:fill="FFFFFF"/>
        </w:rPr>
        <w:t>　资产评估机构及其资产评估师执行人民法院委托司法执行财产处置资产评估业务，不应当考虑评估对象被查封以及原有的担保物权和其他优先受偿权情况对评估结论的影响，应当视为没有查封、未设立担保物权和其他优先受偿权的财产进行评估，并在资产评估报告的评估假设中予以说明。</w:t>
      </w:r>
    </w:p>
    <w:p w14:paraId="7E7CC8EE">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第十八条</w:t>
      </w:r>
      <w:r>
        <w:rPr>
          <w:rFonts w:hint="eastAsia" w:ascii="宋体" w:hAnsi="宋体" w:eastAsia="宋体" w:cs="宋体"/>
          <w:color w:val="000000"/>
          <w:kern w:val="0"/>
          <w:sz w:val="24"/>
          <w:shd w:val="clear" w:color="auto" w:fill="FFFFFF"/>
        </w:rPr>
        <w:t>　执行人民法院委托司法执行财产处置资产评估业务，资产评估师在评定估算形成评估结论的过程中一般不考虑评估费、拍卖费、诉讼费、律师费以及交易税费等财产处置费用对评估结论的影响。</w:t>
      </w:r>
    </w:p>
    <w:p w14:paraId="4D9BECF8">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第十九条</w:t>
      </w:r>
      <w:r>
        <w:rPr>
          <w:rFonts w:hint="eastAsia" w:ascii="宋体" w:hAnsi="宋体" w:eastAsia="宋体" w:cs="宋体"/>
          <w:color w:val="000000"/>
          <w:kern w:val="0"/>
          <w:sz w:val="24"/>
          <w:shd w:val="clear" w:color="auto" w:fill="FFFFFF"/>
        </w:rPr>
        <w:t>　执行人民法院委托司法执行财产处置资产评估业务，资产评估机构认为评估程序受限、评估资料不完整等客观条件限制导致无法进行评估或者影响评估结论的，应当及时告知人民法院，由人民法院按照《人民法院委托评估工作规范》</w:t>
      </w:r>
      <w:r>
        <w:rPr>
          <w:rFonts w:hint="eastAsia" w:ascii="宋体" w:hAnsi="宋体" w:eastAsia="宋体" w:cs="宋体"/>
          <w:bCs/>
          <w:color w:val="000000"/>
          <w:kern w:val="0"/>
          <w:sz w:val="24"/>
          <w:shd w:val="clear" w:color="auto" w:fill="FFFFFF"/>
        </w:rPr>
        <w:t>第十九条</w:t>
      </w:r>
      <w:r>
        <w:rPr>
          <w:rFonts w:hint="eastAsia" w:ascii="宋体" w:hAnsi="宋体" w:eastAsia="宋体" w:cs="宋体"/>
          <w:color w:val="000000"/>
          <w:kern w:val="0"/>
          <w:sz w:val="24"/>
          <w:shd w:val="clear" w:color="auto" w:fill="FFFFFF"/>
        </w:rPr>
        <w:t>的规定处理。如果人民法院通知资产评估机构根据现有材料进行评估，评估报告中应当对相关事项予以披露。</w:t>
      </w:r>
    </w:p>
    <w:p w14:paraId="4C5E9E9C">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第二十条</w:t>
      </w:r>
      <w:r>
        <w:rPr>
          <w:rFonts w:hint="eastAsia" w:ascii="宋体" w:hAnsi="宋体" w:eastAsia="宋体" w:cs="宋体"/>
          <w:color w:val="000000"/>
          <w:kern w:val="0"/>
          <w:sz w:val="24"/>
          <w:shd w:val="clear" w:color="auto" w:fill="FFFFFF"/>
        </w:rPr>
        <w:t>　资产评估机构及其资产评估师执行人民法院委托司法执行财产处置资产评估业务，应当根据评估财产的特点、可获得的评估资料等因素，选择一种适当的评估方法，或者条件允许时选择多种评估方法，并在资产评估报告中披露评估方法选择的理由。</w:t>
      </w:r>
    </w:p>
    <w:p w14:paraId="2438B6ED">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第二十一条</w:t>
      </w:r>
      <w:r>
        <w:rPr>
          <w:rFonts w:hint="eastAsia" w:ascii="宋体" w:hAnsi="宋体" w:eastAsia="宋体" w:cs="宋体"/>
          <w:color w:val="000000"/>
          <w:kern w:val="0"/>
          <w:sz w:val="24"/>
          <w:shd w:val="clear" w:color="auto" w:fill="FFFFFF"/>
        </w:rPr>
        <w:t>　资产评估机构执行人民法院委托司法执行财产处置资产评估业务，应当在规定的期限内出具资产评估报告，并与预估评估费交纳通知书一并通过专用系统发送给人民法院。</w:t>
      </w:r>
    </w:p>
    <w:p w14:paraId="1DCB764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资产评估机构出具资产评估报告的期限为收到评估委托书和相关材料后的三十日内。从专用系统收取材料的，以专用系统提示成功发送的时间为起始日；线下收取材料的，以资产评估机构签收的时间为起始日。分批收取材料的，以专用系统最后一次提示成功发送或者资产评估机构最后一次签收的时间为起始日。</w:t>
      </w:r>
    </w:p>
    <w:p w14:paraId="3E239B7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人民法院决定暂缓或者裁定中止执行的期间，应当从前述期限中扣除。</w:t>
      </w:r>
    </w:p>
    <w:p w14:paraId="5155A94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预估评估费应当根据资产评估报告的评估结论以及评估机构向中国资产评估协会报备的收费标准计算。</w:t>
      </w:r>
    </w:p>
    <w:p w14:paraId="70D156AE">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第二十二条</w:t>
      </w:r>
      <w:r>
        <w:rPr>
          <w:rFonts w:hint="eastAsia" w:ascii="宋体" w:hAnsi="宋体" w:eastAsia="宋体" w:cs="宋体"/>
          <w:color w:val="000000"/>
          <w:kern w:val="0"/>
          <w:sz w:val="24"/>
          <w:shd w:val="clear" w:color="auto" w:fill="FFFFFF"/>
        </w:rPr>
        <w:t>　资产评估机构认为不能在规定期限内出具资产评估报告的，应当在期限届满五日前通过专用系统发送书面的延期申请。申请中应该说明不能按期完成评估的原因，以及申请延长的期限，最长不得超过十五日。</w:t>
      </w:r>
    </w:p>
    <w:p w14:paraId="180C0F9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在人民法院确定的延长期限内，资产评估机构仍不能出具资产评估报告的，应当再次提出延期申请，最长不得超过十五日。</w:t>
      </w:r>
    </w:p>
    <w:p w14:paraId="6DF44E6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对于司法执行财产情况复杂、区域分布广泛、评估工作量较大的项目，资产评估机构可以与人民法院另行协商确定资产评估报告出具期限。</w:t>
      </w:r>
    </w:p>
    <w:p w14:paraId="72293F9A">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第二十三条</w:t>
      </w:r>
      <w:r>
        <w:rPr>
          <w:rFonts w:hint="eastAsia" w:ascii="宋体" w:hAnsi="宋体" w:eastAsia="宋体" w:cs="宋体"/>
          <w:color w:val="000000"/>
          <w:kern w:val="0"/>
          <w:sz w:val="24"/>
          <w:shd w:val="clear" w:color="auto" w:fill="FFFFFF"/>
        </w:rPr>
        <w:t>　资产评估机构未能根据</w:t>
      </w:r>
      <w:r>
        <w:rPr>
          <w:rFonts w:hint="eastAsia" w:ascii="宋体" w:hAnsi="宋体" w:eastAsia="宋体" w:cs="宋体"/>
          <w:bCs/>
          <w:color w:val="000000"/>
          <w:kern w:val="0"/>
          <w:sz w:val="24"/>
          <w:shd w:val="clear" w:color="auto" w:fill="FFFFFF"/>
        </w:rPr>
        <w:t>第二十二条</w:t>
      </w:r>
      <w:r>
        <w:rPr>
          <w:rFonts w:hint="eastAsia" w:ascii="宋体" w:hAnsi="宋体" w:eastAsia="宋体" w:cs="宋体"/>
          <w:color w:val="000000"/>
          <w:kern w:val="0"/>
          <w:sz w:val="24"/>
          <w:shd w:val="clear" w:color="auto" w:fill="FFFFFF"/>
        </w:rPr>
        <w:t>的规定如期出具资产评估报告的，应当根据人民法院的要求退回委托评估的材料。人民法院另行委托下一顺序的评估机构进行评估。</w:t>
      </w:r>
    </w:p>
    <w:p w14:paraId="6BC89EA3">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第二十四条</w:t>
      </w:r>
      <w:r>
        <w:rPr>
          <w:rFonts w:hint="eastAsia" w:ascii="宋体" w:hAnsi="宋体" w:eastAsia="宋体" w:cs="宋体"/>
          <w:color w:val="000000"/>
          <w:kern w:val="0"/>
          <w:sz w:val="24"/>
          <w:shd w:val="clear" w:color="auto" w:fill="FFFFFF"/>
        </w:rPr>
        <w:t>　执行人民法院委托司法执行财产处置资产评估业务，资产评估机构及其资产评估师应当根据评估财产的类型、评估程序履行的情况，以及所选用的评估方法等因素，将从人民法院接收的材料、现场调查的资料以及资产评估报告等整理形成评估工作底稿。</w:t>
      </w:r>
    </w:p>
    <w:p w14:paraId="0C581695">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第五章　披露要求</w:t>
      </w:r>
    </w:p>
    <w:p w14:paraId="3E7419F4">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第二十五条</w:t>
      </w:r>
      <w:r>
        <w:rPr>
          <w:rFonts w:hint="eastAsia" w:ascii="宋体" w:hAnsi="宋体" w:eastAsia="宋体" w:cs="宋体"/>
          <w:color w:val="000000"/>
          <w:kern w:val="0"/>
          <w:sz w:val="24"/>
          <w:shd w:val="clear" w:color="auto" w:fill="FFFFFF"/>
        </w:rPr>
        <w:t>　资产评估报告应当载明评估目的是为人民法院确定财产处置参考价提供服务。</w:t>
      </w:r>
    </w:p>
    <w:p w14:paraId="7E412BD6">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第二十六条</w:t>
      </w:r>
      <w:r>
        <w:rPr>
          <w:rFonts w:hint="eastAsia" w:ascii="宋体" w:hAnsi="宋体" w:eastAsia="宋体" w:cs="宋体"/>
          <w:color w:val="000000"/>
          <w:kern w:val="0"/>
          <w:sz w:val="24"/>
          <w:shd w:val="clear" w:color="auto" w:fill="FFFFFF"/>
        </w:rPr>
        <w:t>　资产评估报告声明中应当说明“本资产评估报告是根据人民法院及相关当事人提供的资料和信息出具，资料和信息的真实性、完整性、合法性对评估结论构成影响，依据同一标的资产的其他资料或者信息可能得出与本报告不一致的评估结论”。</w:t>
      </w:r>
    </w:p>
    <w:p w14:paraId="469C1551">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第二十七条</w:t>
      </w:r>
      <w:r>
        <w:rPr>
          <w:rFonts w:hint="eastAsia" w:ascii="宋体" w:hAnsi="宋体" w:eastAsia="宋体" w:cs="宋体"/>
          <w:color w:val="000000"/>
          <w:kern w:val="0"/>
          <w:sz w:val="24"/>
          <w:shd w:val="clear" w:color="auto" w:fill="FFFFFF"/>
        </w:rPr>
        <w:t>　资产评估报告应当披露以下重要事项并提醒委托人及其他资产评估报告使用人予以关注，包括：</w:t>
      </w:r>
    </w:p>
    <w:p w14:paraId="5D377FA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（一）评估基本事项与评估委托书载明事项存在差异的情形以及相关处理方法；</w:t>
      </w:r>
    </w:p>
    <w:p w14:paraId="14308D2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（二）是否进行现场调查，以及现场调查过程中相关当事人的配合情况；</w:t>
      </w:r>
    </w:p>
    <w:p w14:paraId="24CC21C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（三）人民法院提供材料的欠缺情况，以及评估资料缺失对资产评估机构及其资产评估师形成评估结论的影响；</w:t>
      </w:r>
    </w:p>
    <w:p w14:paraId="0C3A131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（四）评估财产涉及的当事人欠缴与评估财产相关的税费等事项，以及评估结论是否予以考虑；未掌握相关情况的，应当予以说明；</w:t>
      </w:r>
    </w:p>
    <w:p w14:paraId="2DFBC22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（五）可能影响评估结论形成、资产评估报告使用，以及其他需要披露的重要事项。</w:t>
      </w:r>
    </w:p>
    <w:p w14:paraId="782F03F6">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第二十八条</w:t>
      </w:r>
      <w:r>
        <w:rPr>
          <w:rFonts w:hint="eastAsia" w:ascii="宋体" w:hAnsi="宋体" w:eastAsia="宋体" w:cs="宋体"/>
          <w:color w:val="000000"/>
          <w:kern w:val="0"/>
          <w:sz w:val="24"/>
          <w:shd w:val="clear" w:color="auto" w:fill="FFFFFF"/>
        </w:rPr>
        <w:t>　资产评估报告应当提醒资产评估报告使用人正确理解和使用评估结论，评估结论不等同于评估对象可实现价格，评估结论不应当被认为是对评估对象可实现价格的保证。</w:t>
      </w:r>
    </w:p>
    <w:p w14:paraId="218BE495">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第二十九条</w:t>
      </w:r>
      <w:r>
        <w:rPr>
          <w:rFonts w:hint="eastAsia" w:ascii="宋体" w:hAnsi="宋体" w:eastAsia="宋体" w:cs="宋体"/>
          <w:color w:val="000000"/>
          <w:kern w:val="0"/>
          <w:sz w:val="24"/>
          <w:shd w:val="clear" w:color="auto" w:fill="FFFFFF"/>
        </w:rPr>
        <w:t>　资产评估机构及其资产评估师执行人民法院委托司法执行财产处置资产评估业务，应当将以下材料作为资产评估报告的附件：</w:t>
      </w:r>
    </w:p>
    <w:p w14:paraId="2A0E4D4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（一）评估委托书和评估财产清单；</w:t>
      </w:r>
    </w:p>
    <w:p w14:paraId="7ACA930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（二）评估对象所涉及的主要权属证明资料；</w:t>
      </w:r>
    </w:p>
    <w:p w14:paraId="4248AE0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（三）资产评估机构和签名资产评估师的备案文件或者资格证明文件。</w:t>
      </w:r>
    </w:p>
    <w:p w14:paraId="40E9C00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根据《资产评估执业准则——资产评估报告》对资产评估报告附件的要求，资产评估师已经收集到的其他材料也应当作为资产评估报告的附件。</w:t>
      </w:r>
    </w:p>
    <w:p w14:paraId="40223BF8">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第三十条</w:t>
      </w:r>
      <w:r>
        <w:rPr>
          <w:rFonts w:hint="eastAsia" w:ascii="宋体" w:hAnsi="宋体" w:eastAsia="宋体" w:cs="宋体"/>
          <w:color w:val="000000"/>
          <w:kern w:val="0"/>
          <w:sz w:val="24"/>
          <w:shd w:val="clear" w:color="auto" w:fill="FFFFFF"/>
        </w:rPr>
        <w:t>　资产评估机构及其资产评估师可以根据具体评估项目的复杂程度和实施情况，合理确定资产评估报告的格式和详略程度。</w:t>
      </w:r>
    </w:p>
    <w:p w14:paraId="51948E91">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第六章　附则</w:t>
      </w:r>
    </w:p>
    <w:p w14:paraId="0B5A5113">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第三十一条</w:t>
      </w:r>
      <w:r>
        <w:rPr>
          <w:rFonts w:hint="eastAsia" w:ascii="宋体" w:hAnsi="宋体" w:eastAsia="宋体" w:cs="宋体"/>
          <w:color w:val="000000"/>
          <w:kern w:val="0"/>
          <w:sz w:val="24"/>
          <w:shd w:val="clear" w:color="auto" w:fill="FFFFFF"/>
        </w:rPr>
        <w:t>　本指导意见自2019年7月1日起施行。</w:t>
      </w:r>
    </w:p>
    <w:p w14:paraId="177A9143">
      <w:pPr>
        <w:shd w:val="clear" w:color="auto" w:fill="FFFFFF"/>
        <w:spacing w:line="440" w:lineRule="atLeast"/>
        <w:ind w:firstLine="480" w:firstLineChars="200"/>
        <w:rPr>
          <w:rFonts w:ascii="宋体" w:hAnsi="宋体" w:eastAsia="宋体" w:cs="宋体"/>
          <w:color w:val="000000"/>
          <w:kern w:val="0"/>
          <w:sz w:val="24"/>
          <w:shd w:val="clear" w:color="auto" w:fill="FFFFFF"/>
        </w:rPr>
        <w:sectPr>
          <w:footerReference r:id="rId29" w:type="default"/>
          <w:footerReference r:id="rId30" w:type="even"/>
          <w:pgSz w:w="11906" w:h="16838"/>
          <w:pgMar w:top="1440" w:right="1800" w:bottom="1440" w:left="1800" w:header="851" w:footer="992" w:gutter="0"/>
          <w:cols w:space="720" w:num="1"/>
          <w:docGrid w:type="lines" w:linePitch="312" w:charSpace="0"/>
        </w:sectPr>
      </w:pPr>
      <w:r>
        <w:rPr>
          <w:rFonts w:hint="eastAsia" w:ascii="宋体" w:hAnsi="宋体" w:eastAsia="宋体" w:cs="宋体"/>
          <w:color w:val="000000"/>
          <w:kern w:val="0"/>
          <w:sz w:val="24"/>
          <w:shd w:val="clear" w:color="auto" w:fill="FFFFFF"/>
        </w:rPr>
        <w:t>附：资产评估报告封面参考样式</w:t>
      </w:r>
    </w:p>
    <w:p w14:paraId="53DEA5A9">
      <w:pPr>
        <w:spacing w:line="440" w:lineRule="atLeast"/>
        <w:rPr>
          <w:rFonts w:ascii="宋体" w:hAnsi="宋体" w:eastAsia="宋体" w:cs="宋体"/>
          <w:bCs/>
          <w:sz w:val="24"/>
        </w:rPr>
      </w:pPr>
      <w:r>
        <w:rPr>
          <w:rFonts w:hint="eastAsia" w:ascii="宋体" w:hAnsi="宋体" w:eastAsia="宋体" w:cs="宋体"/>
          <w:bCs/>
          <w:sz w:val="24"/>
        </w:rPr>
        <w:t>附</w:t>
      </w:r>
    </w:p>
    <w:p w14:paraId="2EF8AC60">
      <w:pPr>
        <w:shd w:val="clear" w:color="auto" w:fill="FFFFFF"/>
        <w:spacing w:line="440" w:lineRule="atLeast"/>
        <w:jc w:val="center"/>
        <w:rPr>
          <w:rFonts w:ascii="宋体" w:hAnsi="宋体" w:eastAsia="宋体" w:cs="宋体"/>
          <w:b/>
          <w:bCs/>
          <w:color w:val="000000"/>
          <w:kern w:val="0"/>
          <w:sz w:val="32"/>
          <w:szCs w:val="32"/>
          <w:shd w:val="clear" w:color="auto" w:fill="FFFFFF"/>
        </w:rPr>
      </w:pPr>
      <w:r>
        <w:rPr>
          <w:rFonts w:hint="eastAsia" w:ascii="宋体" w:hAnsi="宋体" w:eastAsia="宋体" w:cs="宋体"/>
          <w:b/>
          <w:bCs/>
          <w:color w:val="000000"/>
          <w:kern w:val="0"/>
          <w:sz w:val="32"/>
          <w:szCs w:val="32"/>
          <w:shd w:val="clear" w:color="auto" w:fill="FFFFFF"/>
        </w:rPr>
        <w:t>资产评估报告封面参考样式</w:t>
      </w:r>
    </w:p>
    <w:p w14:paraId="7494C0B7">
      <w:pPr>
        <w:shd w:val="clear" w:color="auto" w:fill="FFFFFF"/>
        <w:spacing w:line="440" w:lineRule="atLeast"/>
        <w:ind w:firstLine="480" w:firstLineChars="200"/>
        <w:rPr>
          <w:rFonts w:ascii="宋体" w:hAnsi="宋体" w:eastAsia="宋体" w:cs="宋体"/>
          <w:color w:val="000000"/>
          <w:kern w:val="0"/>
          <w:sz w:val="24"/>
          <w:shd w:val="clear" w:color="auto" w:fill="FFFFFF"/>
        </w:rPr>
      </w:pPr>
    </w:p>
    <w:p w14:paraId="1C6C9D8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本报告依据中国资产评估准则编制</w:t>
      </w:r>
    </w:p>
    <w:p w14:paraId="50ED598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人民法院委托司法执行财产处置参考价目的资产评估报告</w:t>
      </w:r>
    </w:p>
    <w:p w14:paraId="2CA0B747">
      <w:pPr>
        <w:shd w:val="clear" w:color="auto" w:fill="FFFFFF"/>
        <w:spacing w:line="440" w:lineRule="atLeast"/>
        <w:ind w:firstLine="480" w:firstLineChars="200"/>
        <w:jc w:val="center"/>
        <w:rPr>
          <w:rFonts w:ascii="宋体" w:hAnsi="宋体" w:eastAsia="宋体" w:cs="宋体"/>
          <w:color w:val="000000"/>
          <w:kern w:val="0"/>
          <w:sz w:val="24"/>
          <w:shd w:val="clear" w:color="auto" w:fill="FFFFFF"/>
        </w:rPr>
      </w:pPr>
    </w:p>
    <w:p w14:paraId="138E52E0">
      <w:pPr>
        <w:shd w:val="clear" w:color="auto" w:fill="FFFFFF"/>
        <w:spacing w:line="440" w:lineRule="atLeast"/>
        <w:jc w:val="center"/>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A人民法院拟xx涉及的xx</w:t>
      </w:r>
    </w:p>
    <w:p w14:paraId="1B9DAF86">
      <w:pPr>
        <w:shd w:val="clear" w:color="auto" w:fill="FFFFFF"/>
        <w:spacing w:line="440" w:lineRule="atLeast"/>
        <w:jc w:val="center"/>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资产评估报告</w:t>
      </w:r>
    </w:p>
    <w:p w14:paraId="5135E2AF">
      <w:pPr>
        <w:shd w:val="clear" w:color="auto" w:fill="FFFFFF"/>
        <w:spacing w:line="440" w:lineRule="atLeast"/>
        <w:jc w:val="center"/>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xx评报字（20xx）第xxxx号</w:t>
      </w:r>
    </w:p>
    <w:p w14:paraId="4B9D54FB">
      <w:pPr>
        <w:shd w:val="clear" w:color="auto" w:fill="FFFFFF"/>
        <w:spacing w:line="440" w:lineRule="atLeast"/>
        <w:jc w:val="center"/>
        <w:rPr>
          <w:rFonts w:ascii="宋体" w:hAnsi="宋体" w:eastAsia="宋体" w:cs="宋体"/>
          <w:color w:val="000000"/>
          <w:kern w:val="0"/>
          <w:sz w:val="24"/>
          <w:shd w:val="clear" w:color="auto" w:fill="FFFFFF"/>
        </w:rPr>
      </w:pPr>
    </w:p>
    <w:p w14:paraId="1448447E">
      <w:pPr>
        <w:shd w:val="clear" w:color="auto" w:fill="FFFFFF"/>
        <w:spacing w:line="440" w:lineRule="atLeast"/>
        <w:jc w:val="center"/>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（共x册，第1册）</w:t>
      </w:r>
    </w:p>
    <w:p w14:paraId="1E27703D">
      <w:pPr>
        <w:shd w:val="clear" w:color="auto" w:fill="FFFFFF"/>
        <w:spacing w:line="440" w:lineRule="atLeast"/>
        <w:jc w:val="center"/>
        <w:rPr>
          <w:rFonts w:ascii="宋体" w:hAnsi="宋体" w:eastAsia="宋体" w:cs="宋体"/>
          <w:color w:val="000000"/>
          <w:kern w:val="0"/>
          <w:sz w:val="24"/>
          <w:shd w:val="clear" w:color="auto" w:fill="FFFFFF"/>
        </w:rPr>
      </w:pPr>
    </w:p>
    <w:p w14:paraId="545C9BED">
      <w:pPr>
        <w:shd w:val="clear" w:color="auto" w:fill="FFFFFF"/>
        <w:spacing w:line="440" w:lineRule="atLeast"/>
        <w:jc w:val="center"/>
        <w:rPr>
          <w:rFonts w:ascii="宋体" w:hAnsi="宋体" w:eastAsia="宋体" w:cs="宋体"/>
          <w:color w:val="000000"/>
          <w:kern w:val="0"/>
          <w:sz w:val="24"/>
          <w:shd w:val="clear" w:color="auto" w:fill="FFFFFF"/>
        </w:rPr>
      </w:pPr>
    </w:p>
    <w:p w14:paraId="2574205B">
      <w:pPr>
        <w:shd w:val="clear" w:color="auto" w:fill="FFFFFF"/>
        <w:spacing w:line="440" w:lineRule="atLeast"/>
        <w:jc w:val="center"/>
        <w:rPr>
          <w:rFonts w:ascii="宋体" w:hAnsi="宋体" w:eastAsia="宋体" w:cs="宋体"/>
          <w:color w:val="000000"/>
          <w:kern w:val="0"/>
          <w:sz w:val="24"/>
          <w:shd w:val="clear" w:color="auto" w:fill="FFFFFF"/>
        </w:rPr>
      </w:pPr>
    </w:p>
    <w:p w14:paraId="146C866B">
      <w:pPr>
        <w:shd w:val="clear" w:color="auto" w:fill="FFFFFF"/>
        <w:spacing w:line="440" w:lineRule="atLeast"/>
        <w:jc w:val="center"/>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xxxx资产评估有限公司</w:t>
      </w:r>
    </w:p>
    <w:p w14:paraId="21681BEC">
      <w:pPr>
        <w:shd w:val="clear" w:color="auto" w:fill="FFFFFF"/>
        <w:spacing w:line="440" w:lineRule="atLeast"/>
        <w:jc w:val="center"/>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20xx年x月x日</w:t>
      </w:r>
    </w:p>
    <w:p w14:paraId="25D6C4B3">
      <w:pPr>
        <w:shd w:val="clear" w:color="auto" w:fill="FFFFFF"/>
        <w:spacing w:line="440" w:lineRule="atLeast"/>
        <w:ind w:firstLine="482" w:firstLineChars="200"/>
        <w:rPr>
          <w:rFonts w:ascii="宋体" w:hAnsi="宋体" w:eastAsia="宋体" w:cs="宋体"/>
          <w:b/>
          <w:color w:val="000000"/>
          <w:kern w:val="0"/>
          <w:sz w:val="24"/>
          <w:shd w:val="clear" w:color="auto" w:fill="FFFFFF"/>
        </w:rPr>
      </w:pPr>
      <w:r>
        <w:rPr>
          <w:rFonts w:hint="eastAsia" w:ascii="宋体" w:hAnsi="宋体" w:eastAsia="宋体" w:cs="宋体"/>
          <w:b/>
          <w:color w:val="000000"/>
          <w:kern w:val="0"/>
          <w:sz w:val="24"/>
          <w:shd w:val="clear" w:color="auto" w:fill="FFFFFF"/>
        </w:rPr>
        <w:br w:type="page"/>
      </w:r>
    </w:p>
    <w:p w14:paraId="246C292B">
      <w:pPr>
        <w:pStyle w:val="5"/>
        <w:spacing w:line="440" w:lineRule="atLeast"/>
        <w:jc w:val="center"/>
        <w:rPr>
          <w:rFonts w:ascii="宋体" w:hAnsi="宋体" w:eastAsia="宋体" w:cs="宋体"/>
        </w:rPr>
      </w:pPr>
      <w:bookmarkStart w:id="209" w:name="_Toc15743"/>
      <w:r>
        <w:rPr>
          <w:rFonts w:hint="eastAsia" w:ascii="宋体" w:hAnsi="宋体" w:eastAsia="宋体" w:cs="宋体"/>
        </w:rPr>
        <w:t>企业并购投资价值评估指导意见</w:t>
      </w:r>
      <w:bookmarkEnd w:id="209"/>
    </w:p>
    <w:p w14:paraId="3CC4CD18">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第一章　总则</w:t>
      </w:r>
    </w:p>
    <w:p w14:paraId="6498FAA8">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第一条</w:t>
      </w:r>
      <w:r>
        <w:rPr>
          <w:rFonts w:hint="eastAsia" w:ascii="宋体" w:hAnsi="宋体" w:eastAsia="宋体" w:cs="宋体"/>
          <w:color w:val="000000"/>
          <w:kern w:val="0"/>
          <w:sz w:val="24"/>
          <w:shd w:val="clear" w:color="auto" w:fill="FFFFFF"/>
        </w:rPr>
        <w:t>　为规范和指导资产评估机构及其资产评估专业人员执行企业并购投资价值评估业务行为,制定本指导意见。</w:t>
      </w:r>
    </w:p>
    <w:p w14:paraId="216C200C">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第二条</w:t>
      </w:r>
      <w:r>
        <w:rPr>
          <w:rFonts w:hint="eastAsia" w:ascii="宋体" w:hAnsi="宋体" w:eastAsia="宋体" w:cs="宋体"/>
          <w:color w:val="000000"/>
          <w:kern w:val="0"/>
          <w:sz w:val="24"/>
          <w:shd w:val="clear" w:color="auto" w:fill="FFFFFF"/>
        </w:rPr>
        <w:t>　本指导意见所称企业并购，是企业合并和收购的简称。合并是指两家或者两家以上的独立企业合并组成一家企业，包括吸收合并和新设合并两种形式。收购是指一家企业通过现金、股份支付或者其他方式，取得另一家企业的控制权。</w:t>
      </w:r>
    </w:p>
    <w:p w14:paraId="4754AEEC">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第三条</w:t>
      </w:r>
      <w:r>
        <w:rPr>
          <w:rFonts w:hint="eastAsia" w:ascii="宋体" w:hAnsi="宋体" w:eastAsia="宋体" w:cs="宋体"/>
          <w:color w:val="000000"/>
          <w:kern w:val="0"/>
          <w:sz w:val="24"/>
          <w:shd w:val="clear" w:color="auto" w:fill="FFFFFF"/>
        </w:rPr>
        <w:t>　本指导意见所称企业并购投资价值，是指并购标的资产在明确的并购双方基于特定目的、考虑协同效应和投资回报水平的情况下，在评估基准日的价值估算数额。</w:t>
      </w:r>
    </w:p>
    <w:p w14:paraId="332AA6A5">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第四条</w:t>
      </w:r>
      <w:r>
        <w:rPr>
          <w:rFonts w:hint="eastAsia" w:ascii="宋体" w:hAnsi="宋体" w:eastAsia="宋体" w:cs="宋体"/>
          <w:color w:val="000000"/>
          <w:kern w:val="0"/>
          <w:sz w:val="24"/>
          <w:shd w:val="clear" w:color="auto" w:fill="FFFFFF"/>
        </w:rPr>
        <w:t>　本指导意见所称协同效应，是指外部协同效应，具体是指在企业并购中，由并购双方基于特定并购目的、就并购标的资产实施并购并进行整合产生的、超过或者低于并购整合前并购标的资产独立运营的经济效益。</w:t>
      </w:r>
    </w:p>
    <w:p w14:paraId="3E975E0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本指导意见将协同效应分为管理协同效应、经营协同效应、财务协同效应和其他协同效应四类。</w:t>
      </w:r>
    </w:p>
    <w:p w14:paraId="2BE888A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（一）管理协同效应，主要指并购给企业管理活动带来的效率提高所产生的效益。具体表现为节省管理费用等方面。</w:t>
      </w:r>
    </w:p>
    <w:p w14:paraId="28B3D5C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（二）经营协同效应，主要指并购给企业生产经营活动带来的效率提高所产生的效益。具体表现为并购产生的规模经济、市场份额扩大、更全面的服务等。</w:t>
      </w:r>
    </w:p>
    <w:p w14:paraId="306A593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（三）财务协同效应，主要指企业因获得并购资金所带来的融资成本降低、通过并购提升信用等级所带来的融资能力提高、通过并购实现业务整合所带来的税务优化等。</w:t>
      </w:r>
    </w:p>
    <w:p w14:paraId="428E2B6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（四）其他协同效应，指未包含在上述三种类型之内的协同效应的统称。</w:t>
      </w:r>
    </w:p>
    <w:p w14:paraId="6565CFAA">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第五条</w:t>
      </w:r>
      <w:r>
        <w:rPr>
          <w:rFonts w:hint="eastAsia" w:ascii="宋体" w:hAnsi="宋体" w:eastAsia="宋体" w:cs="宋体"/>
          <w:color w:val="000000"/>
          <w:kern w:val="0"/>
          <w:sz w:val="24"/>
          <w:shd w:val="clear" w:color="auto" w:fill="FFFFFF"/>
        </w:rPr>
        <w:t>　本指导意见所称投资价值评估，是指资产评估机构及其资产评估专业人员依据法律、行政法规和资产评估准则，对企业并购标的资产的投资价值进行评定、估算，并出具投资价值评估报告的专业服务行为。</w:t>
      </w:r>
    </w:p>
    <w:p w14:paraId="420F16CA">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第六条</w:t>
      </w:r>
      <w:r>
        <w:rPr>
          <w:rFonts w:hint="eastAsia" w:ascii="宋体" w:hAnsi="宋体" w:eastAsia="宋体" w:cs="宋体"/>
          <w:color w:val="000000"/>
          <w:kern w:val="0"/>
          <w:sz w:val="24"/>
          <w:shd w:val="clear" w:color="auto" w:fill="FFFFFF"/>
        </w:rPr>
        <w:t>　本指导意见仅适用于</w:t>
      </w:r>
      <w:r>
        <w:rPr>
          <w:rFonts w:hint="eastAsia" w:ascii="宋体" w:hAnsi="宋体" w:eastAsia="宋体" w:cs="宋体"/>
          <w:bCs/>
          <w:color w:val="000000"/>
          <w:kern w:val="0"/>
          <w:sz w:val="24"/>
          <w:shd w:val="clear" w:color="auto" w:fill="FFFFFF"/>
        </w:rPr>
        <w:t>第二条、第三条、第五条</w:t>
      </w:r>
      <w:r>
        <w:rPr>
          <w:rFonts w:hint="eastAsia" w:ascii="宋体" w:hAnsi="宋体" w:eastAsia="宋体" w:cs="宋体"/>
          <w:color w:val="000000"/>
          <w:kern w:val="0"/>
          <w:sz w:val="24"/>
          <w:shd w:val="clear" w:color="auto" w:fill="FFFFFF"/>
        </w:rPr>
        <w:t>定义的投资价值评估业务，并按照《资产评估执业准则——资产评估报告》编制出具资产评估报告的资产评估业务类型。</w:t>
      </w:r>
    </w:p>
    <w:p w14:paraId="05125E1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本指导意见定义的企业并购以外的其他企业并购和投资行为，本指导意见定义的投资价值评估以外的企业并购前期和中期的评估业务以及相关价值测算分析等其他业务，本指导意见定义的投资价值评估以外出具其他专业意见的业务，不受本指导意见的规范或者约束。</w:t>
      </w:r>
    </w:p>
    <w:p w14:paraId="13E47721">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第二章　基本遵循</w:t>
      </w:r>
    </w:p>
    <w:p w14:paraId="505C6D07">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第七条</w:t>
      </w:r>
      <w:r>
        <w:rPr>
          <w:rFonts w:hint="eastAsia" w:ascii="宋体" w:hAnsi="宋体" w:eastAsia="宋体" w:cs="宋体"/>
          <w:color w:val="000000"/>
          <w:kern w:val="0"/>
          <w:sz w:val="24"/>
          <w:shd w:val="clear" w:color="auto" w:fill="FFFFFF"/>
        </w:rPr>
        <w:t>　资产评估机构及其资产评估专业人员执行企业并购投资价值评估业务，应当遵守中国相关法律、行政法规和资产评估准则。</w:t>
      </w:r>
    </w:p>
    <w:p w14:paraId="3A98EE3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并购标的资产所在地在境外时，应当考虑标的资产、并购各方所在地的相关法律对评估的影响。</w:t>
      </w:r>
    </w:p>
    <w:p w14:paraId="0DA8C642">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第八条</w:t>
      </w:r>
      <w:r>
        <w:rPr>
          <w:rFonts w:hint="eastAsia" w:ascii="宋体" w:hAnsi="宋体" w:eastAsia="宋体" w:cs="宋体"/>
          <w:color w:val="000000"/>
          <w:kern w:val="0"/>
          <w:sz w:val="24"/>
          <w:shd w:val="clear" w:color="auto" w:fill="FFFFFF"/>
        </w:rPr>
        <w:t>　资产评估机构及其资产评估专业人员执行企业并购投资价值评估业务，不得同时接受利益冲突双方的委托，除应当对相关法律、行政法规规定的、资产评估过程中知悉的国家秘密、商业秘密和个人隐私予以保密外，还应当对投资价值测算结果、评估结论以及与此相关联的交易价格决策信息予以保密，未得到委托人的同意，不得与任何组织或者个人沟通。相关法律、行政法规另有规定的除外。</w:t>
      </w:r>
    </w:p>
    <w:p w14:paraId="5EE42973">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第九条</w:t>
      </w:r>
      <w:r>
        <w:rPr>
          <w:rFonts w:hint="eastAsia" w:ascii="宋体" w:hAnsi="宋体" w:eastAsia="宋体" w:cs="宋体"/>
          <w:color w:val="000000"/>
          <w:kern w:val="0"/>
          <w:sz w:val="24"/>
          <w:shd w:val="clear" w:color="auto" w:fill="FFFFFF"/>
        </w:rPr>
        <w:t>　资产评估机构及其资产评估专业人员执行企业并购投资价值评估业务，应当完整、准确把握委托人的并购意图，全面理解委托人的并购方案，关注委托人对标的资产的整合考虑，为委托人提供符合并购方案的评估结论。</w:t>
      </w:r>
    </w:p>
    <w:p w14:paraId="72552E82">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第十条</w:t>
      </w:r>
      <w:r>
        <w:rPr>
          <w:rFonts w:hint="eastAsia" w:ascii="宋体" w:hAnsi="宋体" w:eastAsia="宋体" w:cs="宋体"/>
          <w:color w:val="000000"/>
          <w:kern w:val="0"/>
          <w:sz w:val="24"/>
          <w:shd w:val="clear" w:color="auto" w:fill="FFFFFF"/>
        </w:rPr>
        <w:t>　资产评估机构及其资产评估专业人员执行企业并购投资价值评估业务，可以利用委托人聘请的其他专业顾问和委托人的尽职调查报告及其有关结论。</w:t>
      </w:r>
    </w:p>
    <w:p w14:paraId="6841015C">
      <w:pPr>
        <w:shd w:val="clear" w:color="auto" w:fill="FFFFFF"/>
        <w:spacing w:line="440" w:lineRule="atLeast"/>
        <w:ind w:firstLine="480" w:firstLineChars="200"/>
        <w:rPr>
          <w:rFonts w:ascii="宋体" w:hAnsi="宋体" w:eastAsia="宋体" w:cs="宋体"/>
          <w:bCs/>
          <w:color w:val="000000"/>
          <w:kern w:val="0"/>
          <w:sz w:val="24"/>
          <w:shd w:val="clear" w:color="auto" w:fill="FFFFFF"/>
        </w:rPr>
      </w:pPr>
      <w:r>
        <w:rPr>
          <w:rFonts w:hint="eastAsia" w:ascii="宋体" w:hAnsi="宋体" w:eastAsia="宋体" w:cs="宋体"/>
          <w:color w:val="000000"/>
          <w:kern w:val="0"/>
          <w:sz w:val="24"/>
          <w:shd w:val="clear" w:color="auto" w:fill="FFFFFF"/>
        </w:rPr>
        <w:t>受聘于并购方的评估业务，可以利用并购对方聘请的资产评估机构或者其他估值顾问获取的</w:t>
      </w:r>
      <w:r>
        <w:rPr>
          <w:rFonts w:hint="eastAsia" w:ascii="宋体" w:hAnsi="宋体" w:eastAsia="宋体" w:cs="宋体"/>
          <w:bCs/>
          <w:color w:val="000000"/>
          <w:kern w:val="0"/>
          <w:sz w:val="24"/>
          <w:shd w:val="clear" w:color="auto" w:fill="FFFFFF"/>
        </w:rPr>
        <w:t>第三方资料或者专业报告，但是应当分析判断该资料或者专业报告的专业判断结论和有关测算的合理性。</w:t>
      </w:r>
    </w:p>
    <w:p w14:paraId="0B104CA2">
      <w:pPr>
        <w:shd w:val="clear" w:color="auto" w:fill="FFFFFF"/>
        <w:spacing w:line="440" w:lineRule="atLeast"/>
        <w:ind w:firstLine="480" w:firstLineChars="200"/>
        <w:rPr>
          <w:rFonts w:ascii="宋体" w:hAnsi="宋体" w:eastAsia="宋体" w:cs="宋体"/>
          <w:bCs/>
          <w:color w:val="000000"/>
          <w:kern w:val="0"/>
          <w:sz w:val="24"/>
          <w:shd w:val="clear" w:color="auto" w:fill="FFFFFF"/>
        </w:rPr>
      </w:pPr>
      <w:r>
        <w:rPr>
          <w:rFonts w:hint="eastAsia" w:ascii="宋体" w:hAnsi="宋体" w:eastAsia="宋体" w:cs="宋体"/>
          <w:bCs/>
          <w:color w:val="000000"/>
          <w:kern w:val="0"/>
          <w:sz w:val="24"/>
          <w:shd w:val="clear" w:color="auto" w:fill="FFFFFF"/>
        </w:rPr>
        <w:t>委托人有合理合法要求，可以恰当考虑其要求。有并购项目适用的法律法规，从其规定。</w:t>
      </w:r>
    </w:p>
    <w:p w14:paraId="27C01D1D">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第十一条</w:t>
      </w:r>
      <w:r>
        <w:rPr>
          <w:rFonts w:hint="eastAsia" w:ascii="宋体" w:hAnsi="宋体" w:eastAsia="宋体" w:cs="宋体"/>
          <w:color w:val="000000"/>
          <w:kern w:val="0"/>
          <w:sz w:val="24"/>
          <w:shd w:val="clear" w:color="auto" w:fill="FFFFFF"/>
        </w:rPr>
        <w:t>　对具有多种经营业务类型或者多种商业模式、涉及多种行业的标的资产，可以根据企业并购方案、支付方式，确定业务单元，结合收集资料情况，采用适宜的口径进行评估。</w:t>
      </w:r>
    </w:p>
    <w:p w14:paraId="57CC25F7">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第十二条</w:t>
      </w:r>
      <w:r>
        <w:rPr>
          <w:rFonts w:hint="eastAsia" w:ascii="宋体" w:hAnsi="宋体" w:eastAsia="宋体" w:cs="宋体"/>
          <w:color w:val="000000"/>
          <w:kern w:val="0"/>
          <w:sz w:val="24"/>
          <w:shd w:val="clear" w:color="auto" w:fill="FFFFFF"/>
        </w:rPr>
        <w:t>　委托人能够提供相应审计报告的，资产评估专业人员应当：</w:t>
      </w:r>
    </w:p>
    <w:p w14:paraId="08C9849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（一）依据正式出具的审计报告；</w:t>
      </w:r>
    </w:p>
    <w:p w14:paraId="1E72825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（二）境外标的资产，依据符合境外会计准则的审计报告以及中外会计准则的转换会计报表和差异说明或者其他类似报告；</w:t>
      </w:r>
    </w:p>
    <w:p w14:paraId="6EDEDC8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（三）了解审计过程的相关情况，合理利用审计报告，在委托人的协调下，做好与其他相关专业机构的沟通。</w:t>
      </w:r>
    </w:p>
    <w:p w14:paraId="67C69E6F">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第十三条</w:t>
      </w:r>
      <w:r>
        <w:rPr>
          <w:rFonts w:hint="eastAsia" w:ascii="宋体" w:hAnsi="宋体" w:eastAsia="宋体" w:cs="宋体"/>
          <w:color w:val="000000"/>
          <w:kern w:val="0"/>
          <w:sz w:val="24"/>
          <w:shd w:val="clear" w:color="auto" w:fill="FFFFFF"/>
        </w:rPr>
        <w:t>　资产评估机构及其资产评估专业人员执行企业并购投资价值评估业务，应当获取并购方案或者企业并购可行性研究报告，或者主要内容是企业并购的类似报告作为评估的主要依据，并合理利用其确定相关评估事项和评估参数。</w:t>
      </w:r>
    </w:p>
    <w:p w14:paraId="50420172">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第十四条</w:t>
      </w:r>
      <w:r>
        <w:rPr>
          <w:rFonts w:hint="eastAsia" w:ascii="宋体" w:hAnsi="宋体" w:eastAsia="宋体" w:cs="宋体"/>
          <w:color w:val="000000"/>
          <w:kern w:val="0"/>
          <w:sz w:val="24"/>
          <w:shd w:val="clear" w:color="auto" w:fill="FFFFFF"/>
        </w:rPr>
        <w:t>　协同效应分析中使用的收益和成本等指标资料，由委托人提供的，资产评估专业人员应当完整了解并购整合具体措施，以及协同效应实现的条件与基础，对相关数据的合理性进行分析判断。</w:t>
      </w:r>
    </w:p>
    <w:p w14:paraId="5E6901D5">
      <w:pPr>
        <w:shd w:val="clear" w:color="auto" w:fill="FFFFFF"/>
        <w:spacing w:line="440" w:lineRule="atLeast"/>
        <w:jc w:val="center"/>
        <w:rPr>
          <w:rFonts w:ascii="黑体" w:hAnsi="黑体" w:eastAsia="黑体" w:cs="黑体"/>
          <w:bCs/>
          <w:color w:val="000000"/>
          <w:kern w:val="0"/>
          <w:sz w:val="28"/>
          <w:szCs w:val="28"/>
          <w:shd w:val="clear" w:color="auto" w:fill="FFFFFF"/>
        </w:rPr>
      </w:pPr>
      <w:bookmarkStart w:id="210" w:name="_Toc28973"/>
      <w:bookmarkStart w:id="211" w:name="_Toc21600"/>
      <w:bookmarkStart w:id="212" w:name="_Toc2559"/>
      <w:bookmarkStart w:id="213" w:name="_Toc22777"/>
      <w:r>
        <w:rPr>
          <w:rFonts w:hint="eastAsia" w:ascii="黑体" w:hAnsi="黑体" w:eastAsia="黑体" w:cs="黑体"/>
          <w:bCs/>
          <w:color w:val="000000"/>
          <w:kern w:val="0"/>
          <w:sz w:val="28"/>
          <w:szCs w:val="28"/>
          <w:shd w:val="clear" w:color="auto" w:fill="FFFFFF"/>
        </w:rPr>
        <w:t>第三章　操作要求</w:t>
      </w:r>
    </w:p>
    <w:p w14:paraId="6211F01B">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第十五条</w:t>
      </w:r>
      <w:r>
        <w:rPr>
          <w:rFonts w:hint="eastAsia" w:ascii="宋体" w:hAnsi="宋体" w:eastAsia="宋体" w:cs="宋体"/>
          <w:color w:val="000000"/>
          <w:kern w:val="0"/>
          <w:sz w:val="24"/>
          <w:shd w:val="clear" w:color="auto" w:fill="FFFFFF"/>
        </w:rPr>
        <w:t>　资产评估专业人员执行企业并购投资价值评估业务，应当根据企业并购方案、并购类型或者方式，明确具体的评估目的，并完整披露。</w:t>
      </w:r>
    </w:p>
    <w:p w14:paraId="755A2CDB">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第十六条</w:t>
      </w:r>
      <w:r>
        <w:rPr>
          <w:rFonts w:hint="eastAsia" w:ascii="宋体" w:hAnsi="宋体" w:eastAsia="宋体" w:cs="宋体"/>
          <w:color w:val="000000"/>
          <w:kern w:val="0"/>
          <w:sz w:val="24"/>
          <w:shd w:val="clear" w:color="auto" w:fill="FFFFFF"/>
        </w:rPr>
        <w:t>　资产评估机构及其资产评估专业人员执行企业并购投资价值评估业务，应当明确评估对象和评估范围。</w:t>
      </w:r>
    </w:p>
    <w:p w14:paraId="2BCDF99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（一）评估对象通常包括单（多）项业务单元、已（待）开发项目（有时含负债）、企业整体、股东权益、各种权利义务等。有时，并购标的资产不对应于会计核算科目或者资产负债表。</w:t>
      </w:r>
    </w:p>
    <w:p w14:paraId="615BA84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（二）评估对象应当由委托人根据并购方案确定，并在资产评估委托合同中予以约定。</w:t>
      </w:r>
    </w:p>
    <w:p w14:paraId="36F7D24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评估对象为企业整体、股东权益时，应当根据会计政策、企业并购后未来经营模式等，对因并购方案带来的标的公司资产负债表的表内以及表外资产进行识别，根据企业并购价格支付口径，要求委托人明确是否将其纳入评估范围。</w:t>
      </w:r>
    </w:p>
    <w:p w14:paraId="14FB67E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（四）评估对象为企业整体、股东权益时，应当特别关注相关审计报告的审计目标、审计范围和审计意见；关注并披露评估对象涉及的资产、负债与已经审计或者审阅财务报表之间的对应关系。</w:t>
      </w:r>
    </w:p>
    <w:p w14:paraId="227CCAF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评估基准日至交割日期间，交易日后标的公司/业务为建立独立业务所产生的费用、存货变化、尚未支付的与员工相关的补偿款、退休金以及其他法定费用、交易日前实际承担尚未支付的各类负债、应交税费等，应当明确得到委托人对该类事项在交易价格中作出的调整或者安排。</w:t>
      </w:r>
    </w:p>
    <w:p w14:paraId="663EB6A2">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第十七条</w:t>
      </w:r>
      <w:r>
        <w:rPr>
          <w:rFonts w:hint="eastAsia" w:ascii="宋体" w:hAnsi="宋体" w:eastAsia="宋体" w:cs="宋体"/>
          <w:color w:val="000000"/>
          <w:kern w:val="0"/>
          <w:sz w:val="24"/>
          <w:shd w:val="clear" w:color="auto" w:fill="FFFFFF"/>
        </w:rPr>
        <w:t>　资产评估专业人员执行企业并购投资价值评估业务，应当明确评估基准日。评估基准日应当由委托人确定，并在资产评估委托合同中予以约定。</w:t>
      </w:r>
    </w:p>
    <w:p w14:paraId="78C0278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应当特别关注评估基准日至评估报告日之间的影响评估结论的重大期后事项。</w:t>
      </w:r>
    </w:p>
    <w:p w14:paraId="7F8F72FF">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第十八条</w:t>
      </w:r>
      <w:r>
        <w:rPr>
          <w:rFonts w:hint="eastAsia" w:ascii="宋体" w:hAnsi="宋体" w:eastAsia="宋体" w:cs="宋体"/>
          <w:color w:val="000000"/>
          <w:kern w:val="0"/>
          <w:sz w:val="24"/>
          <w:shd w:val="clear" w:color="auto" w:fill="FFFFFF"/>
        </w:rPr>
        <w:t>　委托人为并购方的投资价值评估业务，资产评估程序可能受到诸多限制，资产评估专业人员应当采取弥补措施，例如利用尽职调查报告，满足评估工作需要，满足资产评估报告使用的需要。因法律法规规定、客观条件限制无法实施核查验证的事项，资产评估专业人员应当在工作底稿中予以说明，分析其对评估结论的影响程度，并在资产评估报告中予以披露。如果上述事项对评估结论产生重大影响或者无法判断其影响程度，资产评估机构不得出具资产评估报告。</w:t>
      </w:r>
    </w:p>
    <w:p w14:paraId="4EDEA8ED">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第十九条</w:t>
      </w:r>
      <w:r>
        <w:rPr>
          <w:rFonts w:hint="eastAsia" w:ascii="宋体" w:hAnsi="宋体" w:eastAsia="宋体" w:cs="宋体"/>
          <w:color w:val="000000"/>
          <w:kern w:val="0"/>
          <w:sz w:val="24"/>
          <w:shd w:val="clear" w:color="auto" w:fill="FFFFFF"/>
        </w:rPr>
        <w:t>　资产评估专业人员应当根据企业并购方案确定评估假设。按照企业并购方案完成并购且在并购整合后持续经营，各种协同效应在并购方案拟定的整合措施以及预定的整合时间发挥作用，是投资价值评估中的重要假设内容。</w:t>
      </w:r>
    </w:p>
    <w:p w14:paraId="5879FB7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资产评估专业人员执行企业并购投资价值评估业务，应当与委托人就评估假设的合理性进行充分沟通。</w:t>
      </w:r>
    </w:p>
    <w:bookmarkEnd w:id="210"/>
    <w:bookmarkEnd w:id="211"/>
    <w:bookmarkEnd w:id="212"/>
    <w:bookmarkEnd w:id="213"/>
    <w:p w14:paraId="1D67C12F">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第二十条</w:t>
      </w:r>
      <w:r>
        <w:rPr>
          <w:rFonts w:hint="eastAsia" w:ascii="宋体" w:hAnsi="宋体" w:eastAsia="宋体" w:cs="宋体"/>
          <w:color w:val="000000"/>
          <w:kern w:val="0"/>
          <w:sz w:val="24"/>
          <w:shd w:val="clear" w:color="auto" w:fill="FFFFFF"/>
        </w:rPr>
        <w:t>　资产评估专业人员执行企业并购投资价值评估业务，应当在综合分析市场法、收益法和资产基础法等基本方法的使用前提和适用范围、企业并购类型或者并购方式、并购对象和并购方相关资源的特点、并购项目阶段等因素的基础上，恰当选择资产评估方法。</w:t>
      </w:r>
    </w:p>
    <w:p w14:paraId="766DF4C1">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第二十一条</w:t>
      </w:r>
      <w:r>
        <w:rPr>
          <w:rFonts w:hint="eastAsia" w:ascii="宋体" w:hAnsi="宋体" w:eastAsia="宋体" w:cs="宋体"/>
          <w:color w:val="000000"/>
          <w:kern w:val="0"/>
          <w:sz w:val="24"/>
          <w:shd w:val="clear" w:color="auto" w:fill="FFFFFF"/>
        </w:rPr>
        <w:t>　采用收益法评估投资价值，应当依据并购方案拟定的并购整合后公司未来的经营模式、资本结构、经济环境，进行收益指标预测、测算。</w:t>
      </w:r>
    </w:p>
    <w:p w14:paraId="270CDC85">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第二十二条</w:t>
      </w:r>
      <w:r>
        <w:rPr>
          <w:rFonts w:hint="eastAsia" w:ascii="宋体" w:hAnsi="宋体" w:eastAsia="宋体" w:cs="宋体"/>
          <w:color w:val="000000"/>
          <w:kern w:val="0"/>
          <w:sz w:val="24"/>
          <w:shd w:val="clear" w:color="auto" w:fill="FFFFFF"/>
        </w:rPr>
        <w:t>　采用收益法评估投资价值，应当考虑并购方给标的公司带来的价值贡献，或者并购双方各种资源重新整合形成的运营价值贡献；对预期收益的预测，应当以增量资产为出发点，反映的是并购、并购整合后持续生产经营前提下的未来收益。</w:t>
      </w:r>
    </w:p>
    <w:p w14:paraId="0C9BFD20">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第二十三条</w:t>
      </w:r>
      <w:r>
        <w:rPr>
          <w:rFonts w:hint="eastAsia" w:ascii="宋体" w:hAnsi="宋体" w:eastAsia="宋体" w:cs="宋体"/>
          <w:color w:val="000000"/>
          <w:kern w:val="0"/>
          <w:sz w:val="24"/>
          <w:shd w:val="clear" w:color="auto" w:fill="FFFFFF"/>
        </w:rPr>
        <w:t>　投资价值评估收益法常用的收益指标为自由现金流量和扣除利息、所得税、折旧、摊销之前的利润。资产评估专业人员应当根据标的资产目前或者并购整合后所处行业、经营模式、资本结构、发展趋势等，恰当使用收益指标。</w:t>
      </w:r>
    </w:p>
    <w:p w14:paraId="2FADC461">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第二十四条</w:t>
      </w:r>
      <w:r>
        <w:rPr>
          <w:rFonts w:hint="eastAsia" w:ascii="宋体" w:hAnsi="宋体" w:eastAsia="宋体" w:cs="宋体"/>
          <w:color w:val="000000"/>
          <w:kern w:val="0"/>
          <w:sz w:val="24"/>
          <w:shd w:val="clear" w:color="auto" w:fill="FFFFFF"/>
        </w:rPr>
        <w:t>　资产评估专业人员应当关注未来收益预测中经营管理、业务架构、主营业务收入、毛利率、营运资金、资本性支出等主要评估参数与并购方案以及整合措施的一致性。</w:t>
      </w:r>
    </w:p>
    <w:p w14:paraId="30D982B0">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第二十五条</w:t>
      </w:r>
      <w:r>
        <w:rPr>
          <w:rFonts w:hint="eastAsia" w:ascii="宋体" w:hAnsi="宋体" w:eastAsia="宋体" w:cs="宋体"/>
          <w:color w:val="000000"/>
          <w:kern w:val="0"/>
          <w:sz w:val="24"/>
          <w:shd w:val="clear" w:color="auto" w:fill="FFFFFF"/>
        </w:rPr>
        <w:t>　投资价值收益法评估参数确定，应当考虑下列因素：</w:t>
      </w:r>
    </w:p>
    <w:p w14:paraId="3BCE42C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（一）以明确的并购方案为基础；</w:t>
      </w:r>
    </w:p>
    <w:p w14:paraId="4500021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（二）以明确的协同效应类型、协同效应发挥作用的时间为依据；</w:t>
      </w:r>
    </w:p>
    <w:p w14:paraId="5C7E9EE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（三）确保评估参数与具体协同效应类型相对应。</w:t>
      </w:r>
    </w:p>
    <w:p w14:paraId="6E0D28F2">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第二十六条</w:t>
      </w:r>
      <w:r>
        <w:rPr>
          <w:rFonts w:hint="eastAsia" w:ascii="宋体" w:hAnsi="宋体" w:eastAsia="宋体" w:cs="宋体"/>
          <w:color w:val="000000"/>
          <w:kern w:val="0"/>
          <w:sz w:val="24"/>
          <w:shd w:val="clear" w:color="auto" w:fill="FFFFFF"/>
        </w:rPr>
        <w:t>　确定详细预测期，除考虑营运资金变动、资本追加、以及各种法定因素和资源因素外，还需要考虑下列因素：</w:t>
      </w:r>
    </w:p>
    <w:p w14:paraId="58D4EA7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（一）预测期应当涵盖并购整合期限；</w:t>
      </w:r>
    </w:p>
    <w:p w14:paraId="315E4DB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（二）预测期应当涵盖所有协同效应的实现时间；</w:t>
      </w:r>
    </w:p>
    <w:p w14:paraId="16951ED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（三）预测期应当考虑并购标的资产允许和计划持有的时间；</w:t>
      </w:r>
    </w:p>
    <w:p w14:paraId="5C0918A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（四）预测期应当考虑标的公司在研或者在建项目所对应的研发、产品商业化、投产、达产、销售的时间。</w:t>
      </w:r>
    </w:p>
    <w:p w14:paraId="4A898E29">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第二十七条</w:t>
      </w:r>
      <w:r>
        <w:rPr>
          <w:rFonts w:hint="eastAsia" w:ascii="宋体" w:hAnsi="宋体" w:eastAsia="宋体" w:cs="宋体"/>
          <w:color w:val="000000"/>
          <w:kern w:val="0"/>
          <w:sz w:val="24"/>
          <w:shd w:val="clear" w:color="auto" w:fill="FFFFFF"/>
        </w:rPr>
        <w:t>　确定折现率，应当综合考虑评估基准日的利率水平、投资回报水平、并购整合后标的公司的资本结构等信息，以及并购整合后公司的特定风险等客观性因素。</w:t>
      </w:r>
    </w:p>
    <w:p w14:paraId="0850BCA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折现率中的债务和权益资本成本、资本结构，可以结合并购方案中的融资计划，参照委托人提出的合理资本结构和资本成本计划确定。</w:t>
      </w:r>
    </w:p>
    <w:p w14:paraId="593F8F67">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第二十八条</w:t>
      </w:r>
      <w:r>
        <w:rPr>
          <w:rFonts w:hint="eastAsia" w:ascii="宋体" w:hAnsi="宋体" w:eastAsia="宋体" w:cs="宋体"/>
          <w:color w:val="000000"/>
          <w:kern w:val="0"/>
          <w:sz w:val="24"/>
          <w:shd w:val="clear" w:color="auto" w:fill="FFFFFF"/>
        </w:rPr>
        <w:t>　资产评估专业人员应当根据并购整合后公司进入稳定期的因素分析详细预测期后的收益趋势、终止经营后的处置方式等，选择恰当的方法估算详细预测期后的价值。</w:t>
      </w:r>
    </w:p>
    <w:p w14:paraId="4F191514">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第二十九条</w:t>
      </w:r>
      <w:r>
        <w:rPr>
          <w:rFonts w:hint="eastAsia" w:ascii="宋体" w:hAnsi="宋体" w:eastAsia="宋体" w:cs="宋体"/>
          <w:color w:val="000000"/>
          <w:kern w:val="0"/>
          <w:sz w:val="24"/>
          <w:shd w:val="clear" w:color="auto" w:fill="FFFFFF"/>
        </w:rPr>
        <w:t>　采用收益法进行投资价值评估，应当明确并购交易资产边界或者并购价格支付对应的资产边界，考虑并购方案中并购双方不准备纳入交易价格中的非经营性资产、溢余资产等，谨慎确定经营性资产收益折现值之外的加回项目，以确保投资价值评估结论合理反映投资并购交易对象。</w:t>
      </w:r>
    </w:p>
    <w:p w14:paraId="74BB2061">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第三十条</w:t>
      </w:r>
      <w:r>
        <w:rPr>
          <w:rFonts w:hint="eastAsia" w:ascii="宋体" w:hAnsi="宋体" w:eastAsia="宋体" w:cs="宋体"/>
          <w:color w:val="000000"/>
          <w:kern w:val="0"/>
          <w:sz w:val="24"/>
          <w:shd w:val="clear" w:color="auto" w:fill="FFFFFF"/>
        </w:rPr>
        <w:t>　采用市场法进行投资价值评估，应当根据并购整合后公司的情况，选择与并购整合后公司进行比较分析的可比公司或者交易案例。</w:t>
      </w:r>
    </w:p>
    <w:p w14:paraId="1AC16B55">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第三十一条</w:t>
      </w:r>
      <w:r>
        <w:rPr>
          <w:rFonts w:hint="eastAsia" w:ascii="宋体" w:hAnsi="宋体" w:eastAsia="宋体" w:cs="宋体"/>
          <w:color w:val="000000"/>
          <w:kern w:val="0"/>
          <w:sz w:val="24"/>
          <w:shd w:val="clear" w:color="auto" w:fill="FFFFFF"/>
        </w:rPr>
        <w:t>　选择可比公司或者交易案例，应当考虑下列因素：</w:t>
      </w:r>
    </w:p>
    <w:p w14:paraId="63BB444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（一）业务结构、经营模式、企业规模、资产配置和使用情况；</w:t>
      </w:r>
    </w:p>
    <w:p w14:paraId="1A68A08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（二）企业所处经营阶段、成长性、经营风险、财务风险。</w:t>
      </w:r>
    </w:p>
    <w:p w14:paraId="3B06CEBA">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第三十二条</w:t>
      </w:r>
      <w:r>
        <w:rPr>
          <w:rFonts w:hint="eastAsia" w:ascii="宋体" w:hAnsi="宋体" w:eastAsia="宋体" w:cs="宋体"/>
          <w:color w:val="000000"/>
          <w:kern w:val="0"/>
          <w:sz w:val="24"/>
          <w:shd w:val="clear" w:color="auto" w:fill="FFFFFF"/>
        </w:rPr>
        <w:t>　采用市场法进行投资价值评估，可以选择与评估对象价值口径一致的指标作为分子，以与评估对象相关的财务或者行业特征指标作为分母，构建符合标的资产行业特点的价值比率。</w:t>
      </w:r>
    </w:p>
    <w:p w14:paraId="77A8C125">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第三十三条</w:t>
      </w:r>
      <w:r>
        <w:rPr>
          <w:rFonts w:hint="eastAsia" w:ascii="宋体" w:hAnsi="宋体" w:eastAsia="宋体" w:cs="宋体"/>
          <w:color w:val="000000"/>
          <w:kern w:val="0"/>
          <w:sz w:val="24"/>
          <w:shd w:val="clear" w:color="auto" w:fill="FFFFFF"/>
        </w:rPr>
        <w:t>　价值比率的分母应当是并购整合后公司的指标，应当考虑企业并购协同效应。</w:t>
      </w:r>
    </w:p>
    <w:p w14:paraId="6F8B0F52">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第三十四条</w:t>
      </w:r>
      <w:r>
        <w:rPr>
          <w:rFonts w:hint="eastAsia" w:ascii="宋体" w:hAnsi="宋体" w:eastAsia="宋体" w:cs="宋体"/>
          <w:color w:val="000000"/>
          <w:kern w:val="0"/>
          <w:sz w:val="24"/>
          <w:shd w:val="clear" w:color="auto" w:fill="FFFFFF"/>
        </w:rPr>
        <w:t>　股权价值评估，价值比率的分子采用股权价值，分母应当采用考虑协同效应、反应股权价值的财务指标和非财务特征指标。</w:t>
      </w:r>
    </w:p>
    <w:p w14:paraId="1E269600">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第三十五条</w:t>
      </w:r>
      <w:r>
        <w:rPr>
          <w:rFonts w:hint="eastAsia" w:ascii="宋体" w:hAnsi="宋体" w:eastAsia="宋体" w:cs="宋体"/>
          <w:color w:val="000000"/>
          <w:kern w:val="0"/>
          <w:sz w:val="24"/>
          <w:shd w:val="clear" w:color="auto" w:fill="FFFFFF"/>
        </w:rPr>
        <w:t>　采用资产基础法进行投资价值评估，应当明确并购交易资产边界或者并购价格支付对应的资产边界，即评估范围。</w:t>
      </w:r>
    </w:p>
    <w:p w14:paraId="7EB8589A">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第三十六条</w:t>
      </w:r>
      <w:r>
        <w:rPr>
          <w:rFonts w:hint="eastAsia" w:ascii="宋体" w:hAnsi="宋体" w:eastAsia="宋体" w:cs="宋体"/>
          <w:color w:val="000000"/>
          <w:kern w:val="0"/>
          <w:sz w:val="24"/>
          <w:shd w:val="clear" w:color="auto" w:fill="FFFFFF"/>
        </w:rPr>
        <w:t>　采用资产基础法进行投资价值评估，应当明确并购方案不准备纳入交易范围的非经营性资产、溢余资产等，并在资产评估委托合同中予以约定。</w:t>
      </w:r>
    </w:p>
    <w:p w14:paraId="44542F6C">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第三十七条</w:t>
      </w:r>
      <w:r>
        <w:rPr>
          <w:rFonts w:hint="eastAsia" w:ascii="宋体" w:hAnsi="宋体" w:eastAsia="宋体" w:cs="宋体"/>
          <w:color w:val="000000"/>
          <w:kern w:val="0"/>
          <w:sz w:val="24"/>
          <w:shd w:val="clear" w:color="auto" w:fill="FFFFFF"/>
        </w:rPr>
        <w:t>　采用资产基础法进行投资价值评估，对各单项资产采用相应资产评估方法评估时，应当考虑企业并购整合后，可能涉及新的运营模式、新的产品或者服务类型，甚至新的核算方式对资产价值的影响，恰当选取评估参数。</w:t>
      </w:r>
    </w:p>
    <w:p w14:paraId="2C1ECDB5">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第三十八条</w:t>
      </w:r>
      <w:r>
        <w:rPr>
          <w:rFonts w:hint="eastAsia" w:ascii="宋体" w:hAnsi="宋体" w:eastAsia="宋体" w:cs="宋体"/>
          <w:color w:val="000000"/>
          <w:kern w:val="0"/>
          <w:sz w:val="24"/>
          <w:shd w:val="clear" w:color="auto" w:fill="FFFFFF"/>
        </w:rPr>
        <w:t>　资产评估专业人员执行企业并购投资价值评估业务，应当考虑并购后可能带来的因税收、员工安置、环保义务或者其他监管问题等经济法律事项产生的或有负债对评估结论产生的影响，在切实可行的情况下，评估专业人员可以与管理层以及相关中介机构讨论，对这些可以量化的或有负债进行估计和量化。</w:t>
      </w:r>
    </w:p>
    <w:p w14:paraId="68746AF2">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第三十九条</w:t>
      </w:r>
      <w:r>
        <w:rPr>
          <w:rFonts w:hint="eastAsia" w:ascii="宋体" w:hAnsi="宋体" w:eastAsia="宋体" w:cs="宋体"/>
          <w:color w:val="000000"/>
          <w:kern w:val="0"/>
          <w:sz w:val="24"/>
          <w:shd w:val="clear" w:color="auto" w:fill="FFFFFF"/>
        </w:rPr>
        <w:t>　资产评估专业人员执行企业并购投资价值评估业务，可以采用一些分析方法或者工具，作为确定评估结论过程中的分析手段。例如退出倍数法、财务净现值法、情景分析法、敏感性分析法等。</w:t>
      </w:r>
    </w:p>
    <w:p w14:paraId="6D5592C1">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第四十条</w:t>
      </w:r>
      <w:r>
        <w:rPr>
          <w:rFonts w:hint="eastAsia" w:ascii="宋体" w:hAnsi="宋体" w:eastAsia="宋体" w:cs="宋体"/>
          <w:color w:val="000000"/>
          <w:kern w:val="0"/>
          <w:sz w:val="24"/>
          <w:shd w:val="clear" w:color="auto" w:fill="FFFFFF"/>
        </w:rPr>
        <w:t>　经与委托人沟通，投资价值评估结论可以是区间值或者其他形式的专业意见。</w:t>
      </w:r>
    </w:p>
    <w:p w14:paraId="4A7706C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根据委托人的要求，可以同时在资产评估报告中载明标的资产并购前独立的市场价值测算结果，应当同时在资产评估报告中载明投资价值最大可能值并载明具体的协同效应类型。</w:t>
      </w:r>
    </w:p>
    <w:p w14:paraId="78209E82">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第四章　资产评估报告及其披露要求</w:t>
      </w:r>
    </w:p>
    <w:p w14:paraId="2715734A">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第四十一条</w:t>
      </w:r>
      <w:r>
        <w:rPr>
          <w:rFonts w:hint="eastAsia" w:ascii="宋体" w:hAnsi="宋体" w:eastAsia="宋体" w:cs="宋体"/>
          <w:color w:val="000000"/>
          <w:kern w:val="0"/>
          <w:sz w:val="24"/>
          <w:shd w:val="clear" w:color="auto" w:fill="FFFFFF"/>
        </w:rPr>
        <w:t>　资产评估专业人员执行投资价值评估业务，应当在履行必要的资产评估程序后，编制出具资产评估报告，并进行恰当披露，使委托人能够理解资产评估报告内容，使用资产评估报告的评估结论。</w:t>
      </w:r>
    </w:p>
    <w:p w14:paraId="0C145FFB">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第四十二条</w:t>
      </w:r>
      <w:r>
        <w:rPr>
          <w:rFonts w:hint="eastAsia" w:ascii="宋体" w:hAnsi="宋体" w:eastAsia="宋体" w:cs="宋体"/>
          <w:color w:val="000000"/>
          <w:kern w:val="0"/>
          <w:sz w:val="24"/>
          <w:shd w:val="clear" w:color="auto" w:fill="FFFFFF"/>
        </w:rPr>
        <w:t>　资产评估专业人员执行企业并购投资价值评估业务，应当在资产评估报告中重点披露下列内容：</w:t>
      </w:r>
    </w:p>
    <w:p w14:paraId="28767AD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（一）并购方案的主要内容；</w:t>
      </w:r>
    </w:p>
    <w:p w14:paraId="332A78C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（二）评估分析得出的协同效应类型；</w:t>
      </w:r>
    </w:p>
    <w:p w14:paraId="2E28F54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（三）投资价值类型及其定义；</w:t>
      </w:r>
    </w:p>
    <w:p w14:paraId="7BC0D04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（四）设定的相关评估假设；</w:t>
      </w:r>
    </w:p>
    <w:p w14:paraId="5330898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（五）资产评估程序履行受到的限制；</w:t>
      </w:r>
    </w:p>
    <w:p w14:paraId="0B425E6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（六）资产评估报告使用限制说明；</w:t>
      </w:r>
    </w:p>
    <w:p w14:paraId="3F890E3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（七）评估结论区间值，最大可能值。</w:t>
      </w:r>
    </w:p>
    <w:p w14:paraId="06DD20F2">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第四十三条</w:t>
      </w:r>
      <w:r>
        <w:rPr>
          <w:rFonts w:hint="eastAsia" w:ascii="宋体" w:hAnsi="宋体" w:eastAsia="宋体" w:cs="宋体"/>
          <w:color w:val="000000"/>
          <w:kern w:val="0"/>
          <w:sz w:val="24"/>
          <w:shd w:val="clear" w:color="auto" w:fill="FFFFFF"/>
        </w:rPr>
        <w:t>　评估的基本假设通常包括：</w:t>
      </w:r>
    </w:p>
    <w:p w14:paraId="0F5E755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（一）本次评估以按计划实施并购方案为基础；</w:t>
      </w:r>
    </w:p>
    <w:p w14:paraId="5A22FAE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（二）假设评估基准日经济环境不变，并购标的资产和并购方所在国家或者地区现行的宏观经济不发生不可预见的重大变化；</w:t>
      </w:r>
    </w:p>
    <w:p w14:paraId="224B329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（三）标的公司所执行的税种、税率等均依照并购方案无重大变化；</w:t>
      </w:r>
    </w:p>
    <w:p w14:paraId="13278CB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（四）并购整合后公司未来的经营管理机构尽职，并按并购方案载明的经营管理模式运行；</w:t>
      </w:r>
    </w:p>
    <w:p w14:paraId="37CA2B8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（五）投资并购整合进度按照并购方案整合措施完整、按时执行；</w:t>
      </w:r>
    </w:p>
    <w:p w14:paraId="2AB77C3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（六）评估范围以委托人提供的、并购支付价格对应的资产范围为准，未考虑其他可能存在的或有资产和或有负债。</w:t>
      </w:r>
    </w:p>
    <w:p w14:paraId="25DDCD7D">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第四十四条</w:t>
      </w:r>
      <w:r>
        <w:rPr>
          <w:rFonts w:hint="eastAsia" w:ascii="宋体" w:hAnsi="宋体" w:eastAsia="宋体" w:cs="宋体"/>
          <w:color w:val="000000"/>
          <w:kern w:val="0"/>
          <w:sz w:val="24"/>
          <w:shd w:val="clear" w:color="auto" w:fill="FFFFFF"/>
        </w:rPr>
        <w:t>　资产评估报告使用限制说明通常包括：</w:t>
      </w:r>
    </w:p>
    <w:p w14:paraId="0D71BDA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（一）资产评估报告仅供报告中载明的评估报告使用人在本次并购过程中使用；</w:t>
      </w:r>
    </w:p>
    <w:p w14:paraId="6EDA46E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（二）资产评估报告只能在报告中披露的并购阶段使用。</w:t>
      </w:r>
    </w:p>
    <w:p w14:paraId="37919174">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第五章　附则</w:t>
      </w:r>
    </w:p>
    <w:p w14:paraId="5C12A924">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第四十五条</w:t>
      </w:r>
      <w:r>
        <w:rPr>
          <w:rFonts w:hint="eastAsia" w:ascii="宋体" w:hAnsi="宋体" w:eastAsia="宋体" w:cs="宋体"/>
          <w:color w:val="000000"/>
          <w:kern w:val="0"/>
          <w:sz w:val="24"/>
          <w:shd w:val="clear" w:color="auto" w:fill="FFFFFF"/>
        </w:rPr>
        <w:t>　本指导意见自2021年3月1日起施行。</w:t>
      </w:r>
    </w:p>
    <w:p w14:paraId="620AC58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br w:type="page"/>
      </w:r>
    </w:p>
    <w:p w14:paraId="2A3C659B">
      <w:pPr>
        <w:pStyle w:val="5"/>
        <w:spacing w:line="440" w:lineRule="atLeast"/>
        <w:jc w:val="center"/>
        <w:rPr>
          <w:rFonts w:ascii="宋体" w:hAnsi="宋体" w:eastAsia="宋体" w:cs="宋体"/>
        </w:rPr>
      </w:pPr>
      <w:bookmarkStart w:id="214" w:name="_Toc18960"/>
      <w:r>
        <w:rPr>
          <w:rFonts w:hint="eastAsia" w:ascii="宋体" w:hAnsi="宋体" w:eastAsia="宋体" w:cs="宋体"/>
        </w:rPr>
        <w:t>资产评估专家指引第1号——金融企业评估中应关注的金融监管指标</w:t>
      </w:r>
      <w:bookmarkEnd w:id="214"/>
    </w:p>
    <w:p w14:paraId="59091F4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本专家指引是一种专家建议。评估机构执行资产评估业务，可以参照本专家指引，也可以根据具体情况采用其他适当的方法。中国资产评估协会将根据业务发展，对本专家指引进行更新。</w:t>
      </w:r>
    </w:p>
    <w:p w14:paraId="76AEBFA4">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第一章　总则</w:t>
      </w:r>
    </w:p>
    <w:p w14:paraId="713F38C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金融行业的安全和稳定直接影响到国家经济的健康发展，为了确保金融行业稳定运行，预防大规模金融风险的发生，我国金融监管机构制定了一系列法规，并根据不同类型金融企业的业务特点和风险特点，制定了不同金融企业所适用的金融监管指标。</w:t>
      </w:r>
    </w:p>
    <w:p w14:paraId="61CB5A9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对金融企业进行评估，应充分考虑现行金融监管法规对金融企业价值的影响。为指导评估机构在金融企业评估中关注金融监管指标，中国资产评估协会组织制定了本专家指引。</w:t>
      </w:r>
    </w:p>
    <w:p w14:paraId="5F97DB1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金融监管机构根据金融行业的实际情况不断修订和完善已有法规，执行评估业务需要关注金融监管指标的变化，并充分考虑对评估结论的影响。</w:t>
      </w:r>
    </w:p>
    <w:p w14:paraId="15DD5B9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我国金融管理体制正在由政府管制的金融监管体制向市场化的金融监管体系转变，市场化的监管体制，从审核审批向监管执法转型，从事前把关向事中、事后监管转移。某种程度上的“去监管化”顺应了金融行业的发展形势，但是“去监管化”不等于淡化监管甚至取消监管，而是意味着在风险防范问题上，监管机构将更加着力于探索新的适应市场需要的管理模式和监管指标。随着金融企业客户风险意识的提高，金融监管不仅是监管机构的事，广大客户也会根据金融企业的各项风险指标，选择适合自己的金融机构。资产评估师在评估金融企业价值时，不仅要关注金融监管指标，更要关注金融行业的风险指标变化趋势及金融企业客户的风险偏好程度对金融企业权益价值的影响。</w:t>
      </w:r>
    </w:p>
    <w:p w14:paraId="5E8E8DD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本专家指引依据的法规为截至2014年12月31日监管机构发布的有关法规，在评估执业中，应参照最新的监管法规，充分考虑监管指标对企业价值的影响。</w:t>
      </w:r>
    </w:p>
    <w:p w14:paraId="066F79C1">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第二章　商业银行</w:t>
      </w:r>
    </w:p>
    <w:p w14:paraId="7BDE4CB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一、监管机构</w:t>
      </w:r>
    </w:p>
    <w:p w14:paraId="11BFD16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商业银行开展各项经营业务，主要受中国银监会和中国人民银行监管，上市商业银行同时受到中国证监会监管。</w:t>
      </w:r>
    </w:p>
    <w:p w14:paraId="72F4ACE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二、监管指标</w:t>
      </w:r>
    </w:p>
    <w:p w14:paraId="3F00228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对商业银行进行评估，需要关注的金融监管指标主要有三类：流动性指标、风险监管指标及盈利性指标。流动性指标主要包括流动性覆盖率、流动性比例和核心负债比例；风险监管指标主要包括不良资产率、不良贷款率、贷款拨备率、拨备覆盖率、贷款迁徙率、资本充足率和存款准备金率；盈利性指标主要包括成本收入比、资产利润率和资本利润率。</w:t>
      </w:r>
    </w:p>
    <w:p w14:paraId="366C5BF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（一）流动性覆盖率</w:t>
      </w:r>
    </w:p>
    <w:p w14:paraId="21C9C77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流动性覆盖率=合格优质流动性资产/未来30天现金净流出量×100%</w:t>
      </w:r>
    </w:p>
    <w:p w14:paraId="13D0ADB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其中，合格优质流动性资产是指在一定的压力情景下，能够在无损失或极小损失的情况下在金融市场快速变现的各类资产。</w:t>
      </w:r>
    </w:p>
    <w:p w14:paraId="3D1980B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流动性覆盖率指标衡量商业银行应对短期资金压力的能力。商业银行应保持一定的快速变现资产，在出现系统流动性危机的情况下，这些快速变现资产可以满足危机发生后30天内商业银行的持续运转。</w:t>
      </w:r>
    </w:p>
    <w:p w14:paraId="2921C2A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根据监管要求，商业银行的流动性覆盖率应当在2018年底前达到100%。在过渡期内，应当在2014年底、2015年底、2016年底及2017年底前分别达到60%、70%、80%、90%。若商业银行的流动性覆盖率不能达到监管要求，中国银监会有权采取责令限期整改、增强监管要求、限制扩张活动等一系列措施。</w:t>
      </w:r>
    </w:p>
    <w:p w14:paraId="4EEC64D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商业银行在进行资产配置时应考虑保留足够的合格优质流动性资产，这就对其可以投向商业贷款、投资资产的资金形成了一定限制。尤其是对于流动性覆盖率尚未达到100%的商业银行，应合理考虑未来经营期间需要增持的合格优质流动性资产，从而调整资产配置结构。</w:t>
      </w:r>
    </w:p>
    <w:p w14:paraId="3D9396D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（二）流动性比例</w:t>
      </w:r>
    </w:p>
    <w:p w14:paraId="6A49736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流动性比例﹦流动性资产余额/流动性负债余额×100%</w:t>
      </w:r>
    </w:p>
    <w:p w14:paraId="6A9819C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流动性资产包括：现金、黄金、超额准备金存款、一个月内到期的同业往来款项轧差后资产方净额、一个月内到期的应收利息及其他应收款、一个月内到期的合格贷款、一个月内到期的债券投资、在国内外二级市场上可随时变现的债券投资、其他一个月内到期可变现的资产（剔除其中的不良资产）。</w:t>
      </w:r>
    </w:p>
    <w:p w14:paraId="76FE9FD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流动性负债包括：活期存款（不含财政性存款）、一个月内到期的定期存款（不含财政性存款）、一个月内到期的同业往来款项轧差后负债方净额、一个月内到期的已发行的债券、一个月内到期的应付利息及各项应付款、一个月内到期的中央银行借款、其他一个月内到期的负债。</w:t>
      </w:r>
    </w:p>
    <w:p w14:paraId="32F005D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流动性比例衡量商业银行应对短期流动性危机的能力。根据监管要求，商业银行流动性比例不应低于25%。对商业银行进行评估，应关注其流动性比例是否符合监管要求。流动性比例过低，则商业银行的短期偿付能力可能不足，存在流动性风险。</w:t>
      </w:r>
    </w:p>
    <w:p w14:paraId="1CA1770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（三）核心负债比例</w:t>
      </w:r>
    </w:p>
    <w:p w14:paraId="05BE625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核心负债比例﹦核心负债/负债总额×100%</w:t>
      </w:r>
    </w:p>
    <w:p w14:paraId="7E97519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其中，核心负债包括距到期日三个月以上（含）定期存款、发行债券以及活期存款的50%。</w:t>
      </w:r>
    </w:p>
    <w:p w14:paraId="06909FE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核心负债比例衡量商业银行负债的稳定程度。核心负债比率过低，可能导致商业银行短期内的支付压力较大，从而面临一定的资金链风险。根据监管要求，商业银行核心负债比例不应低于60%。</w:t>
      </w:r>
    </w:p>
    <w:p w14:paraId="3AAA4E6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我国商业银行的负债主要由客户存款构成，客户存款中定期存款和活期存款的占比是影响核心负债比例的关键因素。对商业银行进行评估，应合理预测客户存款中定期存款和活期存款的占比。</w:t>
      </w:r>
    </w:p>
    <w:p w14:paraId="2B86AE7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（四）不良资产率、不良贷款率</w:t>
      </w:r>
    </w:p>
    <w:p w14:paraId="7A2A805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不良资产率﹦不良信用风险资产/信用风险资产×100%，不良贷款率﹦不良贷款/贷款总额×100%</w:t>
      </w:r>
    </w:p>
    <w:p w14:paraId="2C5DF83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其中，信用风险资产是指银行资产负债表表内及表外承担信用风险的资产，主要包括各项贷款、存放同业、拆放同业、买入返售资产、银行账户的债券投资、应收利息、其他应收款、承诺及或有负债等；不良信用风险资产是信用风险资产中划分为不良资产类别（商业银行贷款划分为正常、关注、次级、可疑、损失五类，后三类合称为不良贷款）的部分。</w:t>
      </w:r>
    </w:p>
    <w:p w14:paraId="2DBFCAB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不良资产率、不良贷款率是衡量商业银行贷款风险的重要指标，不良资产率及不良贷款率越高，商业银行面临的经营风险越大。根据监管要求，商业银行不良资产率不应高于4%，不良贷款率不应高于5%。</w:t>
      </w:r>
    </w:p>
    <w:p w14:paraId="11EBC72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商业银行的不良资产率及不良贷款率受到包括宏观环境、监管政策、银行经营策略等多种因素影响。对商业银行进行评估，应结合商业银行历史趋势、未来市场趋势、银行经营策略等，合理预测不良资产率和不良贷款率。通常来说，资产风险越高，对应的生息率越高，合理的风险资产配置可以提升商业银行评估价值。需要注意的是，高风险资产配置可能导致商业银行出现经营风险，脱离风险控制的高收益不足以支持商业银行价值提升。</w:t>
      </w:r>
    </w:p>
    <w:p w14:paraId="08AFD57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（五）贷款拨备率、拨备覆盖率</w:t>
      </w:r>
    </w:p>
    <w:p w14:paraId="6D2ECFA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贷款拨备率﹦贷款损失准备/贷款×100%，拨备覆盖率﹦贷款损失准备/不良贷款×100%</w:t>
      </w:r>
    </w:p>
    <w:p w14:paraId="68109EC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其中，贷款损失准备是商业银行对可能发生减值的客户贷款提取的减值准备。</w:t>
      </w:r>
    </w:p>
    <w:p w14:paraId="5E233A5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贷款拨备率及拨备覆盖率衡量商业银行对于贷款风险的审慎程度。贷款拨备率和拨备覆盖率越高，通常说明商业银行对贷款风险较为审慎，能更为有效应对可能出现的坏账风险。根据监管要求，商业银行贷款拨备率应不低于2.5%，拨备覆盖率应不低于150%，原则上按两者孰高的方法确定银行业贷款损失准备。</w:t>
      </w:r>
    </w:p>
    <w:p w14:paraId="21E141B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以收益法对商业银行进行评估，商业银行贷款拨备率和拨备覆盖率尚未达标的，评估机构应合理预测贷款损失准备的计提，使其逐步达到监管要求。</w:t>
      </w:r>
    </w:p>
    <w:p w14:paraId="79D28B1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以市场法（尤其是P/E倍数法）对商业银行进行评估，若资产质量相似的银行拨备计提力度不同，对于评估结果会产生较大影响。拨备前利润（PPOP）是商业银行扣除资产减值损失之前的利润，剔除了不同银行由于拨备计提幅度不同对利润造成的影响。以市场法对商业银行进行评估，可采用P/PPOP倍数法。</w:t>
      </w:r>
    </w:p>
    <w:p w14:paraId="32E0E77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（六）贷款迁徙率</w:t>
      </w:r>
    </w:p>
    <w:p w14:paraId="5D25937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贷款迁徙率是商业银行贷款类别向下迁移的比例，包括正常贷款迁徙率、关注类贷款迁徙率、次级类贷款迁徙率和可疑类贷款迁徙率。</w:t>
      </w:r>
    </w:p>
    <w:p w14:paraId="2626793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正常贷款迁徙率，衡量正常贷款（包括正常类贷款和关注类贷款）转变为不良贷款（包括次级类贷款、可疑类贷款和损失类贷款）的比例。正常类贷款迁徙率，衡量正常类贷款转变为五级分类中后四类贷款的比例。关注类贷款迁徙率，衡量关注类贷款转变为后三类贷款的比例。次级类贷款迁徙率，衡量次级类贷款转变为后两类贷款的比例。可疑类贷款迁徙率，衡量可疑类贷款转变为损失类贷款的比例。</w:t>
      </w:r>
    </w:p>
    <w:p w14:paraId="7C13FD7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贷款迁徙率衡量商业银行的贷款质量的变化，合理预测贷款迁徙率，有助于对商业银行贷款合理进行分类，对预测商业银行的不良贷款余额和不良贷款率形成指导，并进一步影响贷款损失准备和贷款减值损失。对于预测期间的贷款迁徙率，应基于历史数据，并参考未来业务的发展方向。若贷款迁徙率预测过高，可能导致贷款损失准备和贷款减值损失偏高，评估值偏低。反之，若贷款迁徙率预测过低，可能导致贷款损失准备和贷款减值损失偏低，评估值偏高。</w:t>
      </w:r>
    </w:p>
    <w:p w14:paraId="1F5F276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（七）资本充足率</w:t>
      </w:r>
    </w:p>
    <w:p w14:paraId="435A7C2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资本充足率﹦（总资本-对应资本扣减项）/风险加权资产×100%</w:t>
      </w:r>
    </w:p>
    <w:p w14:paraId="6A8ACE6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一级资本充足率﹦（一级资本﹣对应资本扣减项）/风险加权资产×100%</w:t>
      </w:r>
    </w:p>
    <w:p w14:paraId="7AC619B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核心一级资本充足率﹦（核心一级资本﹣对应资本扣减项）/风险加权资产×100%</w:t>
      </w:r>
    </w:p>
    <w:p w14:paraId="652C347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其中，核心一级资本包括实收资本或普通股、资本公积、盈余公积、一般风险准备、未分配利润、少数股东资本可计入部分；其他一级资本包括其他一级资本工具及其溢价、少数股东资本可计入部分；二级资本包括二级资本工具及其溢价、超额贷款损失准备；一级资本﹦核心一级资本﹢其他一级资本；总资本﹦核心一级资本﹢其他一级资本﹢二级资本。</w:t>
      </w:r>
    </w:p>
    <w:p w14:paraId="2561131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商业银行的资本充足率是其资本与风险资产的比率，衡量商业银行抵御经营风险的能力。</w:t>
      </w:r>
    </w:p>
    <w:p w14:paraId="7CB10C7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商业银行资本充足率相关要求如下：</w:t>
      </w:r>
    </w:p>
    <w:tbl>
      <w:tblPr>
        <w:tblStyle w:val="24"/>
        <w:tblW w:w="685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016"/>
        <w:gridCol w:w="2835"/>
      </w:tblGrid>
      <w:tr w14:paraId="6DC71C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4016" w:type="dxa"/>
          </w:tcPr>
          <w:p w14:paraId="19C58545">
            <w:pPr>
              <w:pStyle w:val="53"/>
              <w:spacing w:line="440" w:lineRule="atLeast"/>
              <w:ind w:firstLine="0" w:firstLineChars="0"/>
              <w:jc w:val="center"/>
              <w:rPr>
                <w:rFonts w:ascii="仿宋" w:hAnsi="仿宋" w:eastAsia="仿宋" w:cs="仿宋"/>
                <w:b/>
                <w:sz w:val="24"/>
              </w:rPr>
            </w:pPr>
            <w:r>
              <w:rPr>
                <w:rFonts w:hint="eastAsia" w:ascii="仿宋" w:hAnsi="仿宋" w:eastAsia="仿宋" w:cs="仿宋"/>
                <w:b/>
                <w:sz w:val="24"/>
              </w:rPr>
              <w:t>资本充足率指标</w:t>
            </w:r>
          </w:p>
        </w:tc>
        <w:tc>
          <w:tcPr>
            <w:tcW w:w="2835" w:type="dxa"/>
          </w:tcPr>
          <w:p w14:paraId="10A2FB6A">
            <w:pPr>
              <w:pStyle w:val="53"/>
              <w:spacing w:line="440" w:lineRule="atLeast"/>
              <w:ind w:firstLine="0" w:firstLineChars="0"/>
              <w:jc w:val="center"/>
              <w:rPr>
                <w:rFonts w:ascii="仿宋" w:hAnsi="仿宋" w:eastAsia="仿宋" w:cs="仿宋"/>
                <w:b/>
                <w:sz w:val="24"/>
              </w:rPr>
            </w:pPr>
            <w:r>
              <w:rPr>
                <w:rFonts w:hint="eastAsia" w:ascii="仿宋" w:hAnsi="仿宋" w:eastAsia="仿宋" w:cs="仿宋"/>
                <w:b/>
                <w:sz w:val="24"/>
              </w:rPr>
              <w:t>监管要求</w:t>
            </w:r>
          </w:p>
        </w:tc>
      </w:tr>
      <w:tr w14:paraId="653903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016" w:type="dxa"/>
          </w:tcPr>
          <w:p w14:paraId="50F36F3F">
            <w:pPr>
              <w:pStyle w:val="53"/>
              <w:spacing w:line="440" w:lineRule="atLeast"/>
              <w:ind w:firstLine="0" w:firstLineChars="0"/>
              <w:rPr>
                <w:rFonts w:ascii="仿宋" w:hAnsi="仿宋" w:eastAsia="仿宋" w:cs="仿宋"/>
                <w:sz w:val="24"/>
              </w:rPr>
            </w:pPr>
            <w:r>
              <w:rPr>
                <w:rFonts w:hint="eastAsia" w:ascii="仿宋" w:hAnsi="仿宋" w:eastAsia="仿宋" w:cs="仿宋"/>
                <w:sz w:val="24"/>
              </w:rPr>
              <w:t>核心一级资本充足率</w:t>
            </w:r>
          </w:p>
        </w:tc>
        <w:tc>
          <w:tcPr>
            <w:tcW w:w="2835" w:type="dxa"/>
          </w:tcPr>
          <w:p w14:paraId="313FF2CF">
            <w:pPr>
              <w:pStyle w:val="53"/>
              <w:spacing w:line="440" w:lineRule="atLeast"/>
              <w:ind w:firstLine="0" w:firstLineChars="0"/>
              <w:jc w:val="center"/>
              <w:rPr>
                <w:rFonts w:ascii="仿宋" w:hAnsi="仿宋" w:eastAsia="仿宋" w:cs="仿宋"/>
                <w:sz w:val="24"/>
              </w:rPr>
            </w:pPr>
            <w:r>
              <w:rPr>
                <w:rFonts w:hint="eastAsia" w:ascii="仿宋" w:hAnsi="仿宋" w:eastAsia="仿宋" w:cs="仿宋"/>
                <w:sz w:val="24"/>
              </w:rPr>
              <w:t>≧5%</w:t>
            </w:r>
          </w:p>
        </w:tc>
      </w:tr>
      <w:tr w14:paraId="4514A4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016" w:type="dxa"/>
          </w:tcPr>
          <w:p w14:paraId="6BF48E55">
            <w:pPr>
              <w:pStyle w:val="53"/>
              <w:spacing w:line="440" w:lineRule="atLeast"/>
              <w:ind w:firstLine="0" w:firstLineChars="0"/>
              <w:rPr>
                <w:rFonts w:ascii="仿宋" w:hAnsi="仿宋" w:eastAsia="仿宋" w:cs="仿宋"/>
                <w:sz w:val="24"/>
              </w:rPr>
            </w:pPr>
            <w:r>
              <w:rPr>
                <w:rFonts w:hint="eastAsia" w:ascii="仿宋" w:hAnsi="仿宋" w:eastAsia="仿宋" w:cs="仿宋"/>
                <w:sz w:val="24"/>
              </w:rPr>
              <w:t>一级资本充足率</w:t>
            </w:r>
          </w:p>
        </w:tc>
        <w:tc>
          <w:tcPr>
            <w:tcW w:w="2835" w:type="dxa"/>
          </w:tcPr>
          <w:p w14:paraId="62CB56DC">
            <w:pPr>
              <w:pStyle w:val="53"/>
              <w:spacing w:line="440" w:lineRule="atLeast"/>
              <w:ind w:firstLine="0" w:firstLineChars="0"/>
              <w:jc w:val="center"/>
              <w:rPr>
                <w:rFonts w:ascii="仿宋" w:hAnsi="仿宋" w:eastAsia="仿宋" w:cs="仿宋"/>
                <w:sz w:val="24"/>
              </w:rPr>
            </w:pPr>
            <w:r>
              <w:rPr>
                <w:rFonts w:hint="eastAsia" w:ascii="仿宋" w:hAnsi="仿宋" w:eastAsia="仿宋" w:cs="仿宋"/>
                <w:sz w:val="24"/>
              </w:rPr>
              <w:t>≧6%</w:t>
            </w:r>
          </w:p>
        </w:tc>
      </w:tr>
      <w:tr w14:paraId="5DA8D6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016" w:type="dxa"/>
          </w:tcPr>
          <w:p w14:paraId="01DF0D3A">
            <w:pPr>
              <w:pStyle w:val="53"/>
              <w:spacing w:line="440" w:lineRule="atLeast"/>
              <w:ind w:firstLine="0" w:firstLineChars="0"/>
              <w:rPr>
                <w:rFonts w:ascii="仿宋" w:hAnsi="仿宋" w:eastAsia="仿宋" w:cs="仿宋"/>
                <w:sz w:val="24"/>
              </w:rPr>
            </w:pPr>
            <w:r>
              <w:rPr>
                <w:rFonts w:hint="eastAsia" w:ascii="仿宋" w:hAnsi="仿宋" w:eastAsia="仿宋" w:cs="仿宋"/>
                <w:sz w:val="24"/>
              </w:rPr>
              <w:t>资本充足率</w:t>
            </w:r>
          </w:p>
        </w:tc>
        <w:tc>
          <w:tcPr>
            <w:tcW w:w="2835" w:type="dxa"/>
          </w:tcPr>
          <w:p w14:paraId="0B4AA3CF">
            <w:pPr>
              <w:pStyle w:val="53"/>
              <w:spacing w:line="440" w:lineRule="atLeast"/>
              <w:ind w:firstLine="0" w:firstLineChars="0"/>
              <w:jc w:val="center"/>
              <w:rPr>
                <w:rFonts w:ascii="仿宋" w:hAnsi="仿宋" w:eastAsia="仿宋" w:cs="仿宋"/>
                <w:sz w:val="24"/>
              </w:rPr>
            </w:pPr>
            <w:r>
              <w:rPr>
                <w:rFonts w:hint="eastAsia" w:ascii="仿宋" w:hAnsi="仿宋" w:eastAsia="仿宋" w:cs="仿宋"/>
                <w:sz w:val="24"/>
              </w:rPr>
              <w:t>≧8%</w:t>
            </w:r>
          </w:p>
        </w:tc>
      </w:tr>
      <w:tr w14:paraId="06B284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016" w:type="dxa"/>
          </w:tcPr>
          <w:p w14:paraId="0F215EAC">
            <w:pPr>
              <w:pStyle w:val="53"/>
              <w:spacing w:line="440" w:lineRule="atLeast"/>
              <w:ind w:firstLine="0" w:firstLineChars="0"/>
              <w:rPr>
                <w:rFonts w:ascii="仿宋" w:hAnsi="仿宋" w:eastAsia="仿宋" w:cs="仿宋"/>
                <w:sz w:val="24"/>
              </w:rPr>
            </w:pPr>
            <w:r>
              <w:rPr>
                <w:rFonts w:hint="eastAsia" w:ascii="仿宋" w:hAnsi="仿宋" w:eastAsia="仿宋" w:cs="仿宋"/>
                <w:sz w:val="24"/>
              </w:rPr>
              <w:t>留存超额资本</w:t>
            </w:r>
          </w:p>
        </w:tc>
        <w:tc>
          <w:tcPr>
            <w:tcW w:w="2835" w:type="dxa"/>
          </w:tcPr>
          <w:p w14:paraId="165ADBAB">
            <w:pPr>
              <w:pStyle w:val="53"/>
              <w:spacing w:line="440" w:lineRule="atLeast"/>
              <w:ind w:firstLine="0" w:firstLineChars="0"/>
              <w:jc w:val="center"/>
              <w:rPr>
                <w:rFonts w:ascii="仿宋" w:hAnsi="仿宋" w:eastAsia="仿宋" w:cs="仿宋"/>
                <w:sz w:val="24"/>
              </w:rPr>
            </w:pPr>
            <w:r>
              <w:rPr>
                <w:rFonts w:hint="eastAsia" w:ascii="仿宋" w:hAnsi="仿宋" w:eastAsia="仿宋" w:cs="仿宋"/>
                <w:sz w:val="24"/>
              </w:rPr>
              <w:t>2.5%</w:t>
            </w:r>
          </w:p>
        </w:tc>
      </w:tr>
      <w:tr w14:paraId="24A5E3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016" w:type="dxa"/>
          </w:tcPr>
          <w:p w14:paraId="28A9E13B">
            <w:pPr>
              <w:pStyle w:val="53"/>
              <w:spacing w:line="440" w:lineRule="atLeast"/>
              <w:ind w:firstLine="0" w:firstLineChars="0"/>
              <w:rPr>
                <w:rFonts w:ascii="仿宋" w:hAnsi="仿宋" w:eastAsia="仿宋" w:cs="仿宋"/>
                <w:sz w:val="24"/>
              </w:rPr>
            </w:pPr>
            <w:r>
              <w:rPr>
                <w:rFonts w:hint="eastAsia" w:ascii="仿宋" w:hAnsi="仿宋" w:eastAsia="仿宋" w:cs="仿宋"/>
                <w:sz w:val="24"/>
              </w:rPr>
              <w:t>逆周期超额资本</w:t>
            </w:r>
          </w:p>
        </w:tc>
        <w:tc>
          <w:tcPr>
            <w:tcW w:w="2835" w:type="dxa"/>
          </w:tcPr>
          <w:p w14:paraId="04F0D5B4">
            <w:pPr>
              <w:pStyle w:val="53"/>
              <w:spacing w:line="440" w:lineRule="atLeast"/>
              <w:ind w:firstLine="0" w:firstLineChars="0"/>
              <w:jc w:val="center"/>
              <w:rPr>
                <w:rFonts w:ascii="仿宋" w:hAnsi="仿宋" w:eastAsia="仿宋" w:cs="仿宋"/>
                <w:sz w:val="24"/>
              </w:rPr>
            </w:pPr>
            <w:r>
              <w:rPr>
                <w:rFonts w:hint="eastAsia" w:ascii="仿宋" w:hAnsi="仿宋" w:eastAsia="仿宋" w:cs="仿宋"/>
                <w:sz w:val="24"/>
              </w:rPr>
              <w:t>0-2.5%</w:t>
            </w:r>
          </w:p>
        </w:tc>
      </w:tr>
      <w:tr w14:paraId="5DC211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016" w:type="dxa"/>
          </w:tcPr>
          <w:p w14:paraId="570F9696">
            <w:pPr>
              <w:pStyle w:val="53"/>
              <w:spacing w:line="440" w:lineRule="atLeast"/>
              <w:ind w:firstLine="0" w:firstLineChars="0"/>
              <w:rPr>
                <w:rFonts w:ascii="仿宋" w:hAnsi="仿宋" w:eastAsia="仿宋" w:cs="仿宋"/>
                <w:sz w:val="24"/>
              </w:rPr>
            </w:pPr>
            <w:r>
              <w:rPr>
                <w:rFonts w:hint="eastAsia" w:ascii="仿宋" w:hAnsi="仿宋" w:eastAsia="仿宋" w:cs="仿宋"/>
                <w:sz w:val="24"/>
              </w:rPr>
              <w:t>系统重要性银行附加资本要求</w:t>
            </w:r>
          </w:p>
        </w:tc>
        <w:tc>
          <w:tcPr>
            <w:tcW w:w="2835" w:type="dxa"/>
          </w:tcPr>
          <w:p w14:paraId="0709B746">
            <w:pPr>
              <w:pStyle w:val="53"/>
              <w:spacing w:line="440" w:lineRule="atLeast"/>
              <w:ind w:firstLine="0" w:firstLineChars="0"/>
              <w:jc w:val="center"/>
              <w:rPr>
                <w:rFonts w:ascii="仿宋" w:hAnsi="仿宋" w:eastAsia="仿宋" w:cs="仿宋"/>
                <w:sz w:val="24"/>
              </w:rPr>
            </w:pPr>
            <w:r>
              <w:rPr>
                <w:rFonts w:hint="eastAsia" w:ascii="仿宋" w:hAnsi="仿宋" w:eastAsia="仿宋" w:cs="仿宋"/>
                <w:sz w:val="24"/>
              </w:rPr>
              <w:t>1%，由核心一级资本满足</w:t>
            </w:r>
          </w:p>
        </w:tc>
      </w:tr>
    </w:tbl>
    <w:p w14:paraId="09BBB8F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系统重要性银行和非系统重要性银行应分别于2013年底和2016年底前达到新的资本监管标准。资本充足率指标旨在限制商业银行风险资产的过度膨胀，降低存款人和债权人遭受损失的风险。在资本充足率指标的约束之下，商业银行在规模扩张的过程中会受到一定限制。</w:t>
      </w:r>
    </w:p>
    <w:p w14:paraId="2F9C137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对商业银行进行评估，应测算评估对象历史期间和预测期间的资本充足率水平，资本充足率不足或可能出现不足的，评估机构应相应调整预测期内的业务发展规模，使其逐步达到资本监管要求。此外，商业银行也可以通过发行资本工具、降低分红水平等方式对资本金进行补充。对于我国上市商业银行来说，新股增发是其补充核心一级资本的重要手段。以红利折现模型评估商业银行价值，应在满足资本充足率要求的情况下安排红利发放，否则会造成股权价值高估。</w:t>
      </w:r>
    </w:p>
    <w:p w14:paraId="14A6A3C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（八）存款准备金率</w:t>
      </w:r>
    </w:p>
    <w:p w14:paraId="2DB442C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存款准备金率﹦存款准备金/客户存款×100%</w:t>
      </w:r>
    </w:p>
    <w:p w14:paraId="17A820B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其中，存款准备金是指金融企业为保证客户提取存款和资金清算需要而存放在中央银行的存款。</w:t>
      </w:r>
    </w:p>
    <w:p w14:paraId="0A969DA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存款准备金的初始作用是保证商业银行存款的支付和清算，现已逐渐成为央行调控货币供应量的重要工具之一。央行通过调整存款准备金率，影响金融企业的信贷能力，从而间接调控市场货币供应量。</w:t>
      </w:r>
    </w:p>
    <w:p w14:paraId="59A4D07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不同类型商业银行适用不同的存款准备金率，大型商业银行普遍适用的存款准备金率为20.0%，中小商业银行普遍适用的存款准备金率为16.5%。2014年，为了加强金融对“三农”发展的支持，拓展资金来源，中国人民银行先后两次定向下调存款准备金率。从2014年4月25日起下调县域农村商业银行人民币存款准备金率2个百分点，下调县域农村合作银行人民币存款准备金率0.5个百分点；从2014年6月16日起，对符合审慎经营要求且“三农”和小微企业贷款达到一定比例的商业银行（不含2014年4月25日已下调过准备金率的机构）下调人民币存款准备金率0.5个百分点。</w:t>
      </w:r>
    </w:p>
    <w:p w14:paraId="3A48055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对商业银行进行评估，应按照客户存款金额计算存款准备金，该部分资金不能随意挪用，不得视为溢余资金，而应作为经营性资产，否则会造成价值高估。</w:t>
      </w:r>
    </w:p>
    <w:p w14:paraId="043FF22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（九）成本收入比</w:t>
      </w:r>
    </w:p>
    <w:p w14:paraId="1E580AF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成本收入比﹦业务及管理费/营业收入×100%</w:t>
      </w:r>
    </w:p>
    <w:p w14:paraId="6CE1B4A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其中，业务及管理费主要包括员工薪酬支出、折旧、租金及其他行政管理费用，反映商业银行的薪资待遇水平及精细化管理水平。根据监管要求，商业银行的成本收入比不应高于45%。</w:t>
      </w:r>
    </w:p>
    <w:p w14:paraId="31D62E1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商业银行的营业支出主要由营业税金及附加、业务及管理费和资产减值损失构成，业务及管理费通常是占比最大的部分。对商业银行进行评估，应根据商业银行的业务规模和经营管理水平，合理预测其业务及管理费。对于经营管理水平没有明显变化及变化预期的商业银行，其成本收入比不应出现太大波动。</w:t>
      </w:r>
    </w:p>
    <w:p w14:paraId="1298160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（十）资产利润率</w:t>
      </w:r>
    </w:p>
    <w:p w14:paraId="57041CD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资产利润率﹦净利润/资产平均余额×100%</w:t>
      </w:r>
    </w:p>
    <w:p w14:paraId="59016AA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资产利润率衡量商业银行的盈利能力。根据监管要求，商业银行资产利润率不应低于0.6%。</w:t>
      </w:r>
    </w:p>
    <w:p w14:paraId="770F8A0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对商业银行进行评估，应测算预测期间的资产利润率，预测期间的资产利润率应符合历史走势及商业银行的发展趋势。需要注意的是，该指标中的分子净利润考虑了中间业务收入，而分母资产平均余额并未考虑中间业务所对应的表外资产，所以对于中间业务快速扩张的商业银行，该指标可能会有一定提升。</w:t>
      </w:r>
    </w:p>
    <w:p w14:paraId="05DF592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（十一）资本利润率</w:t>
      </w:r>
    </w:p>
    <w:p w14:paraId="7CA40AC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资本利润率﹦净利润/所有者权益平均余额×100%</w:t>
      </w:r>
    </w:p>
    <w:p w14:paraId="5646DD0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资本利润率衡量商业银行给股东创造回报的能力。</w:t>
      </w:r>
    </w:p>
    <w:p w14:paraId="7401856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根据监管要求，商业银行资本利润率不应低于11%。对商业银行进行评估，应测算预测期间的资本利润率，预测期间的资本利润率应符合历史走势及商业银行的发展趋势。若发生了股权融资等一次性事件，短期内所有者权益金额快速上升，可能造成资本利润率下降的表象。评估机构应分析商业银行利用新融得资本金创造价值的能力，从而判断融资后的资本利润率走势。</w:t>
      </w:r>
    </w:p>
    <w:p w14:paraId="1D2C9C5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三、评估中应关注的问题</w:t>
      </w:r>
    </w:p>
    <w:p w14:paraId="0C86EA7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流动性指标衡量商业银行支付存款和偿还债务的能力。一般来说，风险较低、流动性较强的资产盈利能力相对较低，商业银行合理配置一些较高风险资产，可以提升其利润表现。需要注意的是，脱离风险控制的高收益并不足以支持商业银行的价值提升。流动性不足可能导致商业银行面临资金链风险，甚至因为挤兑问题而出现破产。以收益法对商业银行进行评估，评估对象流动性风险监管指标偏低的，评估机构可以在预测时调整其资产配置，合理增持风险较低、流动性较强的资产，使其在过渡期内达到流动性监管要求。此外，还可以考虑对流动性不足的商业银行采取较高折现率，以反映其在经营过程中所面对的风险。对于流动性不足的商业银行，评估机构应在评估报告中披露相关风险。</w:t>
      </w:r>
    </w:p>
    <w:p w14:paraId="6530514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风险监管指标衡量商业银行面临的经营风险。其中，不良资产率和不良贷款率衡量商业银行的资产质量，商业银行每发生一笔不良贷款，就会侵蚀掉几十倍的贷款额度所带来的收益，对其利润影响极大。贷款拨备率和拨备覆盖率衡量商业银行对于贷款风险的覆盖程度。拨备计提幅度对商业银行的利润影响较大，计提幅度较大的商业银行，将会在利润表中形成较高的资产减值损失，从而降低净利润表现。对商业银行进行评估，应重点关注其拨备计提幅度是否与贷款质量相匹配，一般来说，贷款质量越低，商业银行的拨备覆盖程度应越高。资本充足率对商业银行的规模扩张形成约束，避免商业银行的发展脱离风险控制。对商业银行进行评估，应关注其资本充足率是否符合监管需求，并合理采取发行资本工具及降低分红水平等方式对资本金形成长期有效的补充机制。对于风险监管指标不符合监管要求的商业银行，评估机构应在评估报告中披露相关风险。</w:t>
      </w:r>
    </w:p>
    <w:p w14:paraId="70924AC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盈利能力指标衡量商业银行利用资产创造收益的能力。其中，成本收入比是商业银行单位收入所对应的成本，体现其成本控制能力；资产利润率和资本利润率主要衡量商业银行创造利润的能力。合理预测商业银行的盈利能力，是合理评估商业银行价值的重要前提。商业银行的盈利来源主要是净利息收入和中间业务收入。净利息收入受到利率政策、商业银行经营模式、其他投资渠道等因素的影响。举例来说，在目前互联网金融的冲击之下，商业银行的吸储成本会有一定幅度上升，从而影响其收益水平。中间业务收入不占用资本金，且商业银行的网点优势利于其开展各种形式的中间业务，所以近年来中间业务越发受到商业银行重视，中间业务收入在商业银行营业收入中的占比也逐渐提升。鉴于我国商业银行中间业务水平与国际商业银行相比还有一定差距，可以预期中间业务在未来较长时间内还会继续成为商业银行的发展重点，资产评估师应将该趋势合理体现在假设数据之中。</w:t>
      </w:r>
    </w:p>
    <w:p w14:paraId="1E15FE5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评估机构还应注意，商业银行的流动性指标、风险监管指标和盈利能力指标是相互关联的，某项经营行为的变动，可能会同时影响多项指标。例如，商业银行在发放贷款时，提升了高风险贷款所占比例，这项经营行为会直接导致贷款质量下降，进一步带来的影响可能包括不良贷款率上升及资本充足率下降等。以收益法对商业银行进行评估，应将某因素变动造成的影响具体落实到各项相关财务假设数据中，从而体现在商业银行的权益价值之中。</w:t>
      </w:r>
    </w:p>
    <w:p w14:paraId="1DEF920D">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第三章　证券公司</w:t>
      </w:r>
    </w:p>
    <w:p w14:paraId="717DEBE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一、监管机构</w:t>
      </w:r>
    </w:p>
    <w:p w14:paraId="0A9800A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证券公司开展各项经营业务，主要受中国证监会、中国证券业协会及证券交易所监管。</w:t>
      </w:r>
    </w:p>
    <w:p w14:paraId="5244775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二、证券公司分类监管</w:t>
      </w:r>
    </w:p>
    <w:p w14:paraId="315D798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（一）监管分类</w:t>
      </w:r>
    </w:p>
    <w:p w14:paraId="0286FCC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中国证监会以证券公司风险管理能力为基础，结合公司市场竞争力和持续合规状况，对证券公司进行评分，并根据评分的高低将证券公司划分为A（AAA、AA、A）、B（BBB、BB、B）、C（CCC、CC、C）、D、E等5大类11个级别。其中，证券公司风险管理能力主要通过资本充足、公司治理与合规管理、动态风险监控、信息系统安全、客户权益保护、信息披露等6类指标进行评价。</w:t>
      </w:r>
    </w:p>
    <w:p w14:paraId="28DE854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（二）分类结果使用</w:t>
      </w:r>
    </w:p>
    <w:p w14:paraId="465A3EC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处于不同分类的证券公司，适用不同的监管措施，主要包括：</w:t>
      </w:r>
    </w:p>
    <w:p w14:paraId="0800D65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1.采用不同的风险控制指标标准和风险资本准备计算比例；</w:t>
      </w:r>
    </w:p>
    <w:p w14:paraId="4D4478E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2.将分类结果作为证券公司申请增加业务种类、新设营业网点、发行上市等事项的审慎性条件；</w:t>
      </w:r>
    </w:p>
    <w:p w14:paraId="62E9D8A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3.将分类结果作为确定新业务、新产品试点范围和推广顺序的依据；</w:t>
      </w:r>
    </w:p>
    <w:p w14:paraId="0E2AB3D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4.规定不同的证券投资者保护基金具体比例。</w:t>
      </w:r>
    </w:p>
    <w:p w14:paraId="58F321C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根据上述规定，评级较高的公司，由于经营状况和风险控制较好，所适用的风险监管要求更低，面临的业务发展机会更广。</w:t>
      </w:r>
    </w:p>
    <w:p w14:paraId="4AB7DBD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三、监管指标</w:t>
      </w:r>
    </w:p>
    <w:p w14:paraId="3F5C26C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对证券公司进行评估，需要关注的金融监管指标主要包括净资本相关指标和流动性风险监管指标。净资本相关监管指标主要包括净资本/各项风险资本准备、净资本/净资产、净资本/负债、净资产/负债；流动性风险监管指标包括流动性覆盖率和净稳定资金率。</w:t>
      </w:r>
    </w:p>
    <w:p w14:paraId="7FD0C4A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（一）净资本</w:t>
      </w:r>
    </w:p>
    <w:p w14:paraId="21B10A8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净资本=净资产-金融资产的风险调整合计-衍生金融资产的风险调整合计-其他资产项目的风险调整合计-或有负债的风险调整合计-/+中国证监会认定或核准的其他调整项目</w:t>
      </w:r>
    </w:p>
    <w:p w14:paraId="55B18B5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证券公司的净资本是在净资产的基础上，对资产负债等项目和有关业务进行风险调整后得出的综合性风险控制指标，是证券公司风险控制指标体系的核心。净资本的具体调整项及扣减比例可参见《关于调整证券公司净资本计算标准的规定》（证〔2012〕37号）。</w:t>
      </w:r>
    </w:p>
    <w:p w14:paraId="2517475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证券公司开展各项经营业务，净资本应符合下列要求：</w:t>
      </w:r>
    </w:p>
    <w:p w14:paraId="0736FF4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1.证券公司经营证券经纪业务的，其净资本不得低于人民币2,000万元；</w:t>
      </w:r>
    </w:p>
    <w:p w14:paraId="330C08F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2.证券公司经营证券承销与保荐、证券自营、证券资产管理、其他证券业务等业务之一的，其净资本不得低于人民币5,000万元；</w:t>
      </w:r>
    </w:p>
    <w:p w14:paraId="3CA2373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3.证券公司经营证券经纪业务，同时经营证券承销与保荐、证券自营、证券资产管理、其他证券业务等业务之一的，其净资本不得低于人民币1亿元；</w:t>
      </w:r>
    </w:p>
    <w:p w14:paraId="6D49F99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4.证券公司经营证券承销与保荐、证券自营、证券资产管理、其他证券业务中两项及两项以上的，其净资本不得低于人民币2亿元。</w:t>
      </w:r>
    </w:p>
    <w:p w14:paraId="5A97EEC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证券公司开展自营业务，净资本应符合下列要求：</w:t>
      </w:r>
    </w:p>
    <w:p w14:paraId="60519A0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1.自营权益类证券及证券衍生品的合计额不得超过净资本的100%；</w:t>
      </w:r>
    </w:p>
    <w:p w14:paraId="6D706FE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2.自营固定收益类证券的合计额不得超过净资本的500%；</w:t>
      </w:r>
    </w:p>
    <w:p w14:paraId="012D330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3.持有一种权益类证券的成本不得超过净资本的30%；</w:t>
      </w:r>
    </w:p>
    <w:p w14:paraId="5DC3359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4.持有一种权益类证券的市值与其总市值的比例不得超过5%，但因包销导致的情形和中国证监会另有规定的除外。</w:t>
      </w:r>
    </w:p>
    <w:p w14:paraId="535F2A8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（二）风险资本准备</w:t>
      </w:r>
    </w:p>
    <w:p w14:paraId="2DD17DE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证券公司开展各项业务、设立分支机构等经营行为存在导致净资本产生损失的风险，应当按一定标准计算风险资本准备，并确保各项风险资本准备有对应的净资本支撑。</w:t>
      </w:r>
    </w:p>
    <w:p w14:paraId="57D6E63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证券公司开展经营业务，或设立分支机构的，需要按照证监会的规定计提风险资本准备，具体如下表所示：</w:t>
      </w:r>
    </w:p>
    <w:tbl>
      <w:tblPr>
        <w:tblStyle w:val="24"/>
        <w:tblW w:w="4999"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948"/>
        <w:gridCol w:w="6566"/>
      </w:tblGrid>
      <w:tr w14:paraId="1313A9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144" w:type="pct"/>
          </w:tcPr>
          <w:p w14:paraId="39D20EA3">
            <w:pPr>
              <w:spacing w:line="440" w:lineRule="atLeast"/>
              <w:jc w:val="center"/>
              <w:rPr>
                <w:rFonts w:ascii="仿宋" w:hAnsi="仿宋" w:eastAsia="仿宋" w:cs="仿宋"/>
                <w:b/>
                <w:sz w:val="24"/>
              </w:rPr>
            </w:pPr>
            <w:r>
              <w:rPr>
                <w:rFonts w:hint="eastAsia" w:ascii="仿宋" w:hAnsi="仿宋" w:eastAsia="仿宋" w:cs="仿宋"/>
                <w:b/>
                <w:sz w:val="24"/>
              </w:rPr>
              <w:t>业务类型</w:t>
            </w:r>
          </w:p>
        </w:tc>
        <w:tc>
          <w:tcPr>
            <w:tcW w:w="3855" w:type="pct"/>
          </w:tcPr>
          <w:p w14:paraId="11CE72D4">
            <w:pPr>
              <w:spacing w:line="440" w:lineRule="atLeast"/>
              <w:jc w:val="center"/>
              <w:rPr>
                <w:rFonts w:ascii="仿宋" w:hAnsi="仿宋" w:eastAsia="仿宋" w:cs="仿宋"/>
                <w:b/>
                <w:sz w:val="24"/>
              </w:rPr>
            </w:pPr>
            <w:r>
              <w:rPr>
                <w:rFonts w:hint="eastAsia" w:ascii="仿宋" w:hAnsi="仿宋" w:eastAsia="仿宋" w:cs="仿宋"/>
                <w:b/>
                <w:sz w:val="24"/>
              </w:rPr>
              <w:t>风险资本准备计提要求</w:t>
            </w:r>
          </w:p>
        </w:tc>
      </w:tr>
      <w:tr w14:paraId="742822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44" w:type="pct"/>
          </w:tcPr>
          <w:p w14:paraId="4D34E604">
            <w:pPr>
              <w:spacing w:line="440" w:lineRule="atLeast"/>
              <w:rPr>
                <w:rFonts w:ascii="仿宋" w:hAnsi="仿宋" w:eastAsia="仿宋" w:cs="仿宋"/>
                <w:sz w:val="24"/>
              </w:rPr>
            </w:pPr>
            <w:r>
              <w:rPr>
                <w:rFonts w:hint="eastAsia" w:ascii="仿宋" w:hAnsi="仿宋" w:eastAsia="仿宋" w:cs="仿宋"/>
                <w:sz w:val="24"/>
              </w:rPr>
              <w:t>1.证券经纪业务</w:t>
            </w:r>
          </w:p>
        </w:tc>
        <w:tc>
          <w:tcPr>
            <w:tcW w:w="3855" w:type="pct"/>
          </w:tcPr>
          <w:p w14:paraId="4C28C834">
            <w:pPr>
              <w:numPr>
                <w:ilvl w:val="0"/>
                <w:numId w:val="1"/>
              </w:numPr>
              <w:spacing w:line="440" w:lineRule="atLeast"/>
              <w:ind w:left="0" w:firstLine="0"/>
              <w:rPr>
                <w:rFonts w:ascii="仿宋" w:hAnsi="仿宋" w:eastAsia="仿宋" w:cs="仿宋"/>
                <w:sz w:val="24"/>
              </w:rPr>
            </w:pPr>
            <w:r>
              <w:rPr>
                <w:rFonts w:hint="eastAsia" w:ascii="仿宋" w:hAnsi="仿宋" w:eastAsia="仿宋" w:cs="仿宋"/>
                <w:sz w:val="24"/>
              </w:rPr>
              <w:t>托管的客户交易结算资金总额的2%</w:t>
            </w:r>
          </w:p>
        </w:tc>
      </w:tr>
      <w:tr w14:paraId="08BC34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44" w:type="pct"/>
          </w:tcPr>
          <w:p w14:paraId="6BE0DD84">
            <w:pPr>
              <w:spacing w:line="440" w:lineRule="atLeast"/>
              <w:rPr>
                <w:rFonts w:ascii="仿宋" w:hAnsi="仿宋" w:eastAsia="仿宋" w:cs="仿宋"/>
                <w:sz w:val="24"/>
              </w:rPr>
            </w:pPr>
            <w:r>
              <w:rPr>
                <w:rFonts w:hint="eastAsia" w:ascii="仿宋" w:hAnsi="仿宋" w:eastAsia="仿宋" w:cs="仿宋"/>
                <w:sz w:val="24"/>
              </w:rPr>
              <w:t>2.证券自营业务</w:t>
            </w:r>
          </w:p>
        </w:tc>
        <w:tc>
          <w:tcPr>
            <w:tcW w:w="3855" w:type="pct"/>
          </w:tcPr>
          <w:p w14:paraId="4A7EC117">
            <w:pPr>
              <w:numPr>
                <w:ilvl w:val="0"/>
                <w:numId w:val="1"/>
              </w:numPr>
              <w:spacing w:line="440" w:lineRule="atLeast"/>
              <w:ind w:left="0" w:firstLine="0"/>
              <w:rPr>
                <w:rFonts w:ascii="仿宋" w:hAnsi="仿宋" w:eastAsia="仿宋" w:cs="仿宋"/>
                <w:sz w:val="24"/>
              </w:rPr>
            </w:pPr>
            <w:r>
              <w:rPr>
                <w:rFonts w:hint="eastAsia" w:ascii="仿宋" w:hAnsi="仿宋" w:eastAsia="仿宋" w:cs="仿宋"/>
                <w:sz w:val="24"/>
              </w:rPr>
              <w:t>对未进行风险对冲的证券衍生品、权益类证券和固定收益类证券分别按投资规模的20%、15%、8%</w:t>
            </w:r>
          </w:p>
          <w:p w14:paraId="4137BE71">
            <w:pPr>
              <w:numPr>
                <w:ilvl w:val="0"/>
                <w:numId w:val="1"/>
              </w:numPr>
              <w:spacing w:line="440" w:lineRule="atLeast"/>
              <w:ind w:left="0" w:firstLine="0"/>
              <w:rPr>
                <w:rFonts w:ascii="仿宋" w:hAnsi="仿宋" w:eastAsia="仿宋" w:cs="仿宋"/>
                <w:sz w:val="24"/>
              </w:rPr>
            </w:pPr>
            <w:r>
              <w:rPr>
                <w:rFonts w:hint="eastAsia" w:ascii="仿宋" w:hAnsi="仿宋" w:eastAsia="仿宋" w:cs="仿宋"/>
                <w:sz w:val="24"/>
              </w:rPr>
              <w:t>对已进行风险对冲的证券衍生品、权益类证券和固定收益类证券按投资规模的5%</w:t>
            </w:r>
          </w:p>
          <w:p w14:paraId="027C9BC8">
            <w:pPr>
              <w:numPr>
                <w:ilvl w:val="0"/>
                <w:numId w:val="1"/>
              </w:numPr>
              <w:spacing w:line="440" w:lineRule="atLeast"/>
              <w:ind w:left="0" w:firstLine="0"/>
              <w:rPr>
                <w:rFonts w:ascii="仿宋" w:hAnsi="仿宋" w:eastAsia="仿宋" w:cs="仿宋"/>
                <w:sz w:val="24"/>
              </w:rPr>
            </w:pPr>
            <w:r>
              <w:rPr>
                <w:rFonts w:hint="eastAsia" w:ascii="仿宋" w:hAnsi="仿宋" w:eastAsia="仿宋" w:cs="仿宋"/>
                <w:sz w:val="24"/>
              </w:rPr>
              <w:t>股指期货投资规模以股指期货合约价值总额的15%，利率互换投资规模以利率互换合约名义本金总额的3%</w:t>
            </w:r>
          </w:p>
          <w:p w14:paraId="3EC9B67D">
            <w:pPr>
              <w:numPr>
                <w:ilvl w:val="0"/>
                <w:numId w:val="1"/>
              </w:numPr>
              <w:spacing w:line="440" w:lineRule="atLeast"/>
              <w:ind w:left="0" w:firstLine="0"/>
              <w:rPr>
                <w:rFonts w:ascii="仿宋" w:hAnsi="仿宋" w:eastAsia="仿宋" w:cs="仿宋"/>
                <w:sz w:val="24"/>
              </w:rPr>
            </w:pPr>
            <w:r>
              <w:rPr>
                <w:rFonts w:hint="eastAsia" w:ascii="仿宋" w:hAnsi="仿宋" w:eastAsia="仿宋" w:cs="仿宋"/>
                <w:sz w:val="24"/>
              </w:rPr>
              <w:t>证券公司违反规定超比例自营的，在整改完成前应当将超比例部分按投资成本的100%计算风险资本准备</w:t>
            </w:r>
          </w:p>
        </w:tc>
      </w:tr>
      <w:tr w14:paraId="0652F4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44" w:type="pct"/>
          </w:tcPr>
          <w:p w14:paraId="2D949B2D">
            <w:pPr>
              <w:spacing w:line="440" w:lineRule="atLeast"/>
              <w:rPr>
                <w:rFonts w:ascii="仿宋" w:hAnsi="仿宋" w:eastAsia="仿宋" w:cs="仿宋"/>
                <w:sz w:val="24"/>
              </w:rPr>
            </w:pPr>
            <w:r>
              <w:rPr>
                <w:rFonts w:hint="eastAsia" w:ascii="仿宋" w:hAnsi="仿宋" w:eastAsia="仿宋" w:cs="仿宋"/>
                <w:sz w:val="24"/>
              </w:rPr>
              <w:t>3.证券承销业务</w:t>
            </w:r>
          </w:p>
        </w:tc>
        <w:tc>
          <w:tcPr>
            <w:tcW w:w="3855" w:type="pct"/>
          </w:tcPr>
          <w:p w14:paraId="5BA556A6">
            <w:pPr>
              <w:numPr>
                <w:ilvl w:val="0"/>
                <w:numId w:val="1"/>
              </w:numPr>
              <w:spacing w:line="440" w:lineRule="atLeast"/>
              <w:ind w:left="0" w:firstLine="0"/>
              <w:rPr>
                <w:rFonts w:ascii="仿宋" w:hAnsi="仿宋" w:eastAsia="仿宋" w:cs="仿宋"/>
                <w:sz w:val="24"/>
              </w:rPr>
            </w:pPr>
            <w:r>
              <w:rPr>
                <w:rFonts w:hint="eastAsia" w:ascii="仿宋" w:hAnsi="仿宋" w:eastAsia="仿宋" w:cs="仿宋"/>
                <w:sz w:val="24"/>
              </w:rPr>
              <w:t>按包销再融资项目股票、IPO项目股票、公司债券、政府债券金额的30%、15%、8%、4%</w:t>
            </w:r>
          </w:p>
        </w:tc>
      </w:tr>
      <w:tr w14:paraId="477510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44" w:type="pct"/>
          </w:tcPr>
          <w:p w14:paraId="3F3A032F">
            <w:pPr>
              <w:spacing w:line="440" w:lineRule="atLeast"/>
              <w:rPr>
                <w:rFonts w:ascii="仿宋" w:hAnsi="仿宋" w:eastAsia="仿宋" w:cs="仿宋"/>
                <w:sz w:val="24"/>
              </w:rPr>
            </w:pPr>
            <w:r>
              <w:rPr>
                <w:rFonts w:hint="eastAsia" w:ascii="仿宋" w:hAnsi="仿宋" w:eastAsia="仿宋" w:cs="仿宋"/>
                <w:sz w:val="24"/>
              </w:rPr>
              <w:t>4.资产管理业务</w:t>
            </w:r>
          </w:p>
        </w:tc>
        <w:tc>
          <w:tcPr>
            <w:tcW w:w="3855" w:type="pct"/>
          </w:tcPr>
          <w:p w14:paraId="60308F93">
            <w:pPr>
              <w:numPr>
                <w:ilvl w:val="0"/>
                <w:numId w:val="1"/>
              </w:numPr>
              <w:spacing w:line="440" w:lineRule="atLeast"/>
              <w:ind w:left="0" w:firstLine="0"/>
              <w:rPr>
                <w:rFonts w:ascii="仿宋" w:hAnsi="仿宋" w:eastAsia="仿宋" w:cs="仿宋"/>
                <w:sz w:val="24"/>
              </w:rPr>
            </w:pPr>
            <w:r>
              <w:rPr>
                <w:rFonts w:hint="eastAsia" w:ascii="仿宋" w:hAnsi="仿宋" w:eastAsia="仿宋" w:cs="仿宋"/>
                <w:sz w:val="24"/>
              </w:rPr>
              <w:t>专项、集合、限额特定、定向资产管理业务规模的2%、2%、1%、1%</w:t>
            </w:r>
          </w:p>
        </w:tc>
      </w:tr>
      <w:tr w14:paraId="6A83EC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44" w:type="pct"/>
          </w:tcPr>
          <w:p w14:paraId="5BE31381">
            <w:pPr>
              <w:spacing w:line="440" w:lineRule="atLeast"/>
              <w:rPr>
                <w:rFonts w:ascii="仿宋" w:hAnsi="仿宋" w:eastAsia="仿宋" w:cs="仿宋"/>
                <w:sz w:val="24"/>
              </w:rPr>
            </w:pPr>
            <w:r>
              <w:rPr>
                <w:rFonts w:hint="eastAsia" w:ascii="仿宋" w:hAnsi="仿宋" w:eastAsia="仿宋" w:cs="仿宋"/>
                <w:sz w:val="24"/>
              </w:rPr>
              <w:t>5.融资融券业务</w:t>
            </w:r>
          </w:p>
        </w:tc>
        <w:tc>
          <w:tcPr>
            <w:tcW w:w="3855" w:type="pct"/>
          </w:tcPr>
          <w:p w14:paraId="73F8C2BA">
            <w:pPr>
              <w:numPr>
                <w:ilvl w:val="0"/>
                <w:numId w:val="1"/>
              </w:numPr>
              <w:spacing w:line="440" w:lineRule="atLeast"/>
              <w:ind w:left="0" w:firstLine="0"/>
              <w:rPr>
                <w:rFonts w:ascii="仿宋" w:hAnsi="仿宋" w:eastAsia="仿宋" w:cs="仿宋"/>
                <w:sz w:val="24"/>
              </w:rPr>
            </w:pPr>
            <w:r>
              <w:rPr>
                <w:rFonts w:hint="eastAsia" w:ascii="仿宋" w:hAnsi="仿宋" w:eastAsia="仿宋" w:cs="仿宋"/>
                <w:sz w:val="24"/>
              </w:rPr>
              <w:t>客户融资业务规模的5%、融券业务规模的10%</w:t>
            </w:r>
          </w:p>
        </w:tc>
      </w:tr>
      <w:tr w14:paraId="597DE7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44" w:type="pct"/>
          </w:tcPr>
          <w:p w14:paraId="6AEBDF9C">
            <w:pPr>
              <w:spacing w:line="440" w:lineRule="atLeast"/>
              <w:rPr>
                <w:rFonts w:ascii="仿宋" w:hAnsi="仿宋" w:eastAsia="仿宋" w:cs="仿宋"/>
                <w:sz w:val="24"/>
              </w:rPr>
            </w:pPr>
            <w:r>
              <w:rPr>
                <w:rFonts w:hint="eastAsia" w:ascii="仿宋" w:hAnsi="仿宋" w:eastAsia="仿宋" w:cs="仿宋"/>
                <w:sz w:val="24"/>
              </w:rPr>
              <w:t>6.设立分支机构</w:t>
            </w:r>
          </w:p>
        </w:tc>
        <w:tc>
          <w:tcPr>
            <w:tcW w:w="3855" w:type="pct"/>
          </w:tcPr>
          <w:p w14:paraId="50DE6F43">
            <w:pPr>
              <w:numPr>
                <w:ilvl w:val="0"/>
                <w:numId w:val="1"/>
              </w:numPr>
              <w:spacing w:line="440" w:lineRule="atLeast"/>
              <w:ind w:left="0" w:firstLine="0"/>
              <w:rPr>
                <w:rFonts w:ascii="仿宋" w:hAnsi="仿宋" w:eastAsia="仿宋" w:cs="仿宋"/>
                <w:sz w:val="24"/>
              </w:rPr>
            </w:pPr>
            <w:r>
              <w:rPr>
                <w:rFonts w:hint="eastAsia" w:ascii="仿宋" w:hAnsi="仿宋" w:eastAsia="仿宋" w:cs="仿宋"/>
                <w:sz w:val="24"/>
              </w:rPr>
              <w:t>对分公司、证券营业部，分别按每家2000万元、300万元计算风险资本准备</w:t>
            </w:r>
          </w:p>
        </w:tc>
      </w:tr>
      <w:tr w14:paraId="27612C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44" w:type="pct"/>
          </w:tcPr>
          <w:p w14:paraId="00FDCBD8">
            <w:pPr>
              <w:spacing w:line="440" w:lineRule="atLeast"/>
              <w:rPr>
                <w:rFonts w:ascii="仿宋" w:hAnsi="仿宋" w:eastAsia="仿宋" w:cs="仿宋"/>
                <w:sz w:val="24"/>
              </w:rPr>
            </w:pPr>
            <w:r>
              <w:rPr>
                <w:rFonts w:hint="eastAsia" w:ascii="仿宋" w:hAnsi="仿宋" w:eastAsia="仿宋" w:cs="仿宋"/>
                <w:sz w:val="24"/>
              </w:rPr>
              <w:t>7.营运风险资本准备</w:t>
            </w:r>
          </w:p>
        </w:tc>
        <w:tc>
          <w:tcPr>
            <w:tcW w:w="3855" w:type="pct"/>
          </w:tcPr>
          <w:p w14:paraId="3316EDD1">
            <w:pPr>
              <w:numPr>
                <w:ilvl w:val="0"/>
                <w:numId w:val="1"/>
              </w:numPr>
              <w:spacing w:line="440" w:lineRule="atLeast"/>
              <w:ind w:left="0" w:firstLine="0"/>
              <w:rPr>
                <w:rFonts w:ascii="仿宋" w:hAnsi="仿宋" w:eastAsia="仿宋" w:cs="仿宋"/>
                <w:sz w:val="24"/>
              </w:rPr>
            </w:pPr>
            <w:r>
              <w:rPr>
                <w:rFonts w:hint="eastAsia" w:ascii="仿宋" w:hAnsi="仿宋" w:eastAsia="仿宋" w:cs="仿宋"/>
                <w:sz w:val="24"/>
              </w:rPr>
              <w:t>按上一年营业费用总额的10%计算营运风险资本准备</w:t>
            </w:r>
          </w:p>
        </w:tc>
      </w:tr>
    </w:tbl>
    <w:p w14:paraId="449AFC6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为与证券公司的风险管理能力相匹配，现阶段中国证监会对处于不同风险分类的证券公司实施不同的风险资本准备计算比例：</w:t>
      </w:r>
    </w:p>
    <w:p w14:paraId="267DBF6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1.A、B、C、D类公司分别按照上述</w:t>
      </w:r>
      <w:r>
        <w:rPr>
          <w:rFonts w:hint="eastAsia" w:ascii="宋体" w:hAnsi="宋体" w:eastAsia="宋体" w:cs="宋体"/>
          <w:bCs/>
          <w:color w:val="000000"/>
          <w:kern w:val="0"/>
          <w:sz w:val="24"/>
          <w:shd w:val="clear" w:color="auto" w:fill="FFFFFF"/>
        </w:rPr>
        <w:t>第一条</w:t>
      </w:r>
      <w:r>
        <w:rPr>
          <w:rFonts w:hint="eastAsia" w:ascii="宋体" w:hAnsi="宋体" w:eastAsia="宋体" w:cs="宋体"/>
          <w:color w:val="000000"/>
          <w:kern w:val="0"/>
          <w:sz w:val="24"/>
          <w:shd w:val="clear" w:color="auto" w:fill="FFFFFF"/>
        </w:rPr>
        <w:t>（一）至（五）项规定的基准计算标准的0.3倍、0.4倍、1倍、2倍计算有关风险资本准备；</w:t>
      </w:r>
    </w:p>
    <w:p w14:paraId="4B5E12E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2.连续三年为A类的公司按照上述</w:t>
      </w:r>
      <w:r>
        <w:rPr>
          <w:rFonts w:hint="eastAsia" w:ascii="宋体" w:hAnsi="宋体" w:eastAsia="宋体" w:cs="宋体"/>
          <w:bCs/>
          <w:color w:val="000000"/>
          <w:kern w:val="0"/>
          <w:sz w:val="24"/>
          <w:shd w:val="clear" w:color="auto" w:fill="FFFFFF"/>
        </w:rPr>
        <w:t>第一条</w:t>
      </w:r>
      <w:r>
        <w:rPr>
          <w:rFonts w:hint="eastAsia" w:ascii="宋体" w:hAnsi="宋体" w:eastAsia="宋体" w:cs="宋体"/>
          <w:color w:val="000000"/>
          <w:kern w:val="0"/>
          <w:sz w:val="24"/>
          <w:shd w:val="clear" w:color="auto" w:fill="FFFFFF"/>
        </w:rPr>
        <w:t>（一）至（五）项规定的基准计算标准的0.2倍计算有关风险资本准备。</w:t>
      </w:r>
    </w:p>
    <w:p w14:paraId="29CD34A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（三）净资本/风险资本准备</w:t>
      </w:r>
    </w:p>
    <w:p w14:paraId="714695E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净资本/风险资本准备比例衡量证券公司的净资本对风险资本的覆盖程度。风险资本准备越高，表示证券公司净资本存在损失的风险越高，对证券公司净资本的要求越高。</w:t>
      </w:r>
    </w:p>
    <w:p w14:paraId="3EACBB8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根据监管要求，净资本与各项风险资本准备之和的比例不得低于100%。对证券公司进行评估，若净资本/风险资本准备比例低于监管要求或出现预警，应分析出现该现象的原因。一方面可能是业务发展过快，超过了企业的风险控制能力，应考虑通过限制业务规模、合理配置资产等方式控制企业经营风险；另一方面可考虑通过发行资本工具、降低分红水平等方式对资本进行补充。</w:t>
      </w:r>
    </w:p>
    <w:p w14:paraId="4E9FFD9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需要注意的是，由于不同监管分类的证券公司适用不同的风险资本准备计提比例，所以处于较低分类的证券公司在进行规模扩张时将面临更严格的净资本要求。</w:t>
      </w:r>
    </w:p>
    <w:p w14:paraId="399D0E9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（四）净资本/净资产</w:t>
      </w:r>
    </w:p>
    <w:p w14:paraId="49235F7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净资本可视为净资产中流动性较高、可以快速变现的部分，净资本/净资产比例衡量证券公司抵御流动性风险的能力。</w:t>
      </w:r>
    </w:p>
    <w:p w14:paraId="4A88053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根据监管要求，净资本/净资产比例不得低于40%。对证券公司进行评估，应计算其净资本/净资产比例，预测结果应符合历史趋势和证券公司未来走势。净资本/净资产比例不符合监管要求的，应考虑其资产配置是否合理。</w:t>
      </w:r>
    </w:p>
    <w:p w14:paraId="4831226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（五）净资本/负债、净资产/负债</w:t>
      </w:r>
    </w:p>
    <w:p w14:paraId="3A9D42C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净资本/负债、净资产/负债比例衡量证券公司的以自有资本金偿还负债的能力。</w:t>
      </w:r>
    </w:p>
    <w:p w14:paraId="4C2DFDB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根据监管要求，净资本/负债比例不得低于8%，净资产/负债比例不得低于20%。对证券公司进行评估，应计算其净资本/负债、净资产/负债比例，若低于监管要求或出现预警，应考虑限制业务发展规模，或通过股本增资、限制分红比例等方式对证券公司净资本进行补足。</w:t>
      </w:r>
    </w:p>
    <w:p w14:paraId="0B2E5F6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（六）流动性覆盖率</w:t>
      </w:r>
    </w:p>
    <w:p w14:paraId="1D4E584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流动性覆盖率﹦优质流动性资产/未来30天现金净流出量×100%</w:t>
      </w:r>
    </w:p>
    <w:p w14:paraId="4D64206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其中，优质流动性资产是指可快速变现且风险较小的资产，如货币资金，结算备付金，未冻结和质押的国债、中央银行票据、金融债券、地方政府债等。</w:t>
      </w:r>
    </w:p>
    <w:p w14:paraId="2A7B402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流动性覆盖率衡量证券公司对于短期流动性风险的抵御能力。根据监管要求，证券公司的流动性覆盖率应不低于100%，在2014年12月31日前应达到80%，在2015年6月30日前应达到100%。</w:t>
      </w:r>
    </w:p>
    <w:p w14:paraId="52A1C22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（七）净稳定资金率</w:t>
      </w:r>
    </w:p>
    <w:p w14:paraId="74663AD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净稳定资金率﹦可用稳定资金/所需的稳定资金×100%</w:t>
      </w:r>
    </w:p>
    <w:p w14:paraId="22AB22D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其中，可用稳定资本主要由股东和债权人投入的资本金构成，包括调整后净资产和剩余存续期大于1年的借款和其他负债；所需稳定资金按照证券公司各项资产乘以对应折算率计算得到，一般地，资产风险越高、剩余存续期越长，对应的折算率越高。</w:t>
      </w:r>
    </w:p>
    <w:p w14:paraId="3326214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净稳定资金率旨在确保证券公司减少资金运用与资金来源的期限错配，增加长期稳定资金来源，满足各类表内外业务对稳定资金的需求。根据监管要求，证券公司的净稳定资金率应不低于100%，在2014年12月31日前应达到80%，在2015年6月30日前应达到100%。</w:t>
      </w:r>
    </w:p>
    <w:p w14:paraId="518B7B2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四、评估中应关注的问题</w:t>
      </w:r>
    </w:p>
    <w:p w14:paraId="0934890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证券公司监管指标体系以净资本为核心。</w:t>
      </w:r>
    </w:p>
    <w:p w14:paraId="00D6997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证券公司净资本或者其他风险控制指标不符合规定标准的，监管机构会责令公司限期改正。整改期内，中国证监会及其派出机构会区别情形，对证券公司采取下列措施：（1）停止批准新业务；（2）停止批准增设、收购营业性分支机构；（3）限制分配红利；（4）限制转让财产或在财产上设定其他权利。</w:t>
      </w:r>
    </w:p>
    <w:p w14:paraId="377B287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证券公司未按期完成整改的，自整改期限到期的次日起，监管机构会区别情形，对其采取下列措施：（1）限制业务活动；（2）责令暂停部分业务；（3）限制向董事、监事、高级管理人员支付报酬、提供福利；（4）责令更换董事、监事、高级管理人员或者限制其权利；（5）责令控股股东转让股权或者限制有关股东行使股东权利；（6）认定董事、监事、高级管理人员为不适当人选。</w:t>
      </w:r>
    </w:p>
    <w:p w14:paraId="3BFE757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证券公司未按期完成整改、风险控制指标情况继续恶化，严重危及该证券公司的稳健运行的，中国证监会可以撤销其有关业务许可。</w:t>
      </w:r>
    </w:p>
    <w:p w14:paraId="4F7D14D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证券公司风险控制指标无法达标，严重危害证券市场秩序、损害投资者利益的，中国证监会可以区别情形，对其采取下列措施：（1）责令停业整顿；（2）指定其他机构托管、接管；（3）撤销经营证券业务许可；（4）撤销。</w:t>
      </w:r>
    </w:p>
    <w:p w14:paraId="28A5C20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对证券公司进行评估，评估机构应对评估对象进行尽职调查，了解其净资本水平是否符合监管要求、是否有达到监管要求的可行计划和具体措施、预测期计划达到的资本充足水平、资本补充方式等。对于净资本水平不足的证券公司，可以通过发行资本工具、降低分红水平等方式对资本金进行补充。此外，还可以考虑对净资本偏低的证券公司采取较高折现率，以反映其在经营过程中所面对的风险。对于净资本水平不足的证券公司，评估机构应在评估报告中披露相关风险。</w:t>
      </w:r>
    </w:p>
    <w:p w14:paraId="39AE063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流动性风险监管指标衡量证券公司以合理成本及时获得充足资金，偿付到期债务、履行其他支付义务和满足正常业务资金需求的能力。证券公司合理配置一些较高风险资产，可以提升其利润表现。需要注意的是，脱离风险控制的高收益并不足以支持证券公司的价值提升。对证券公司进行评估，评估对象流动性风险监管指标偏低的，评估机构可以在预测时调整其资产配置，合理增持风险较低、流动性较强的资产，使其在过渡期内达到流动性监管要求。此外，还可以考虑对流动性不足的证券公司采取较高折现率，以反映其在经营过程中所面对的风险。对于流动性不足的证券公司，评估机构应在评估报告中披露相关风险。</w:t>
      </w:r>
    </w:p>
    <w:p w14:paraId="08458190">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第四章　保险公司</w:t>
      </w:r>
    </w:p>
    <w:p w14:paraId="7C4BE05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一、监管机构</w:t>
      </w:r>
    </w:p>
    <w:p w14:paraId="34D41CF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保险公司开展各项经营业务，主要受中国保监会、财政部和中国人民银行监管，上市保险公司同时受到中国证监会监管。</w:t>
      </w:r>
    </w:p>
    <w:p w14:paraId="63F8AC2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二、监管指标概述</w:t>
      </w:r>
    </w:p>
    <w:p w14:paraId="5B43FE3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按照业务类型进行划分，保险公司分为财险公司和寿险公司，二者在经营方面存在较大差异，分别适用不同的业务监管指标。本章将保险企业评估中应关注的金融监管指标分为保险公司综合监管指标、财险公司监管指标和寿险公司监管指标三大类，分别进行介绍。</w:t>
      </w:r>
    </w:p>
    <w:p w14:paraId="01441D0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三、保险公司综合监管指标</w:t>
      </w:r>
    </w:p>
    <w:p w14:paraId="5E12975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（一）实际资本</w:t>
      </w:r>
    </w:p>
    <w:p w14:paraId="718DC95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保险公司的实际资本，是指认可资产与认可负债的差额。认可资产（负债）是保险公司在评估偿付能力时依据中国保监会的规定所确认的资产（负债）。</w:t>
      </w:r>
    </w:p>
    <w:p w14:paraId="27AC31F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实际资本是保险公司能够履行对保单持有人赔付义务的资本，用于衡量保险公司的偿付能力。实际资本包括投入资本、剩余综合收益和计入实际资本的资本性负债。</w:t>
      </w:r>
    </w:p>
    <w:p w14:paraId="3F442CF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投入资本，指保险公司的所有者和捐赠者通过资本交易投入的资本。保险公司所有者通过非资本交易和事项投入的资本不属于投入资本，例如，保险公司用盈余公积和未分配利润转增的资本不计入投入资本，在剩余综合收益中反映。</w:t>
      </w:r>
    </w:p>
    <w:p w14:paraId="7220622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2.剩余综合收益，指保险公司的综合收益减去分配的现金股利（或利润）后的余额。</w:t>
      </w:r>
    </w:p>
    <w:p w14:paraId="260A8C7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3.计入实际资本的资本性负债，指保险公司按照《保险公司偿付能力报告编报规则第6号：认可负债》的规定不确认为认可负债而计入实际资本的资本性负债。目前我国保险公司的资本性负债主要是次级债。</w:t>
      </w:r>
    </w:p>
    <w:p w14:paraId="1DFD067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（二）最低资本</w:t>
      </w:r>
    </w:p>
    <w:p w14:paraId="41B7065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最低资本，是指保险公司为应对资产风险、承保风险等风险对偿付能力的不利影响，依据中国保监会的规定而应当具有的资本数额。财险公司和寿险公司对应不同的最低资本要求，具体如下表所示：</w:t>
      </w:r>
    </w:p>
    <w:tbl>
      <w:tblPr>
        <w:tblStyle w:val="24"/>
        <w:tblW w:w="4999"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239"/>
        <w:gridCol w:w="1274"/>
        <w:gridCol w:w="1557"/>
        <w:gridCol w:w="4444"/>
      </w:tblGrid>
      <w:tr w14:paraId="50CE2B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728" w:type="pct"/>
            <w:vAlign w:val="center"/>
          </w:tcPr>
          <w:p w14:paraId="7DFE5197">
            <w:pPr>
              <w:spacing w:before="31" w:beforeLines="10" w:after="31" w:afterLines="10" w:line="440" w:lineRule="atLeast"/>
              <w:rPr>
                <w:rFonts w:ascii="仿宋" w:hAnsi="仿宋" w:eastAsia="仿宋" w:cs="仿宋"/>
                <w:b/>
                <w:sz w:val="24"/>
              </w:rPr>
            </w:pPr>
            <w:r>
              <w:rPr>
                <w:rFonts w:hint="eastAsia" w:ascii="仿宋" w:hAnsi="仿宋" w:eastAsia="仿宋" w:cs="仿宋"/>
                <w:b/>
                <w:sz w:val="24"/>
              </w:rPr>
              <w:t>公司类型</w:t>
            </w:r>
          </w:p>
        </w:tc>
        <w:tc>
          <w:tcPr>
            <w:tcW w:w="4271" w:type="pct"/>
            <w:gridSpan w:val="3"/>
            <w:vAlign w:val="center"/>
          </w:tcPr>
          <w:p w14:paraId="49EB6E8D">
            <w:pPr>
              <w:spacing w:before="31" w:beforeLines="10" w:after="31" w:afterLines="10" w:line="440" w:lineRule="atLeast"/>
              <w:jc w:val="center"/>
              <w:rPr>
                <w:rFonts w:ascii="仿宋" w:hAnsi="仿宋" w:eastAsia="仿宋" w:cs="仿宋"/>
                <w:b/>
                <w:sz w:val="24"/>
              </w:rPr>
            </w:pPr>
            <w:r>
              <w:rPr>
                <w:rFonts w:hint="eastAsia" w:ascii="仿宋" w:hAnsi="仿宋" w:eastAsia="仿宋" w:cs="仿宋"/>
                <w:b/>
                <w:sz w:val="24"/>
              </w:rPr>
              <w:t>保险业务类型及最低资本要求</w:t>
            </w:r>
          </w:p>
        </w:tc>
      </w:tr>
      <w:tr w14:paraId="39A16E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28" w:type="pct"/>
            <w:vMerge w:val="restart"/>
            <w:vAlign w:val="center"/>
          </w:tcPr>
          <w:p w14:paraId="5C2FDD81">
            <w:pPr>
              <w:spacing w:before="31" w:beforeLines="10" w:after="31" w:afterLines="10" w:line="440" w:lineRule="atLeast"/>
              <w:jc w:val="center"/>
              <w:rPr>
                <w:rFonts w:ascii="仿宋" w:hAnsi="仿宋" w:eastAsia="仿宋" w:cs="仿宋"/>
                <w:sz w:val="24"/>
              </w:rPr>
            </w:pPr>
            <w:r>
              <w:rPr>
                <w:rFonts w:hint="eastAsia" w:ascii="仿宋" w:hAnsi="仿宋" w:eastAsia="仿宋" w:cs="仿宋"/>
                <w:sz w:val="24"/>
              </w:rPr>
              <w:t>财险公司</w:t>
            </w:r>
          </w:p>
        </w:tc>
        <w:tc>
          <w:tcPr>
            <w:tcW w:w="748" w:type="pct"/>
            <w:vAlign w:val="center"/>
          </w:tcPr>
          <w:p w14:paraId="2341B9B4">
            <w:pPr>
              <w:spacing w:before="31" w:beforeLines="10" w:after="31" w:afterLines="10" w:line="440" w:lineRule="atLeast"/>
              <w:jc w:val="center"/>
              <w:rPr>
                <w:rFonts w:ascii="仿宋" w:hAnsi="仿宋" w:eastAsia="仿宋" w:cs="仿宋"/>
                <w:sz w:val="24"/>
              </w:rPr>
            </w:pPr>
            <w:r>
              <w:rPr>
                <w:rFonts w:hint="eastAsia" w:ascii="仿宋" w:hAnsi="仿宋" w:eastAsia="仿宋" w:cs="仿宋"/>
                <w:sz w:val="24"/>
              </w:rPr>
              <w:t>非寿险保障型业务</w:t>
            </w:r>
          </w:p>
        </w:tc>
        <w:tc>
          <w:tcPr>
            <w:tcW w:w="3522" w:type="pct"/>
            <w:gridSpan w:val="2"/>
          </w:tcPr>
          <w:p w14:paraId="6B7DD769">
            <w:pPr>
              <w:spacing w:before="31" w:beforeLines="10" w:after="31" w:afterLines="10" w:line="440" w:lineRule="atLeast"/>
              <w:rPr>
                <w:rFonts w:ascii="仿宋" w:hAnsi="仿宋" w:eastAsia="仿宋" w:cs="仿宋"/>
                <w:sz w:val="24"/>
              </w:rPr>
            </w:pPr>
            <w:r>
              <w:rPr>
                <w:rFonts w:hint="eastAsia" w:ascii="仿宋" w:hAnsi="仿宋" w:eastAsia="仿宋" w:cs="仿宋"/>
                <w:sz w:val="24"/>
              </w:rPr>
              <w:t>下述两项中数额较大的一项：</w:t>
            </w:r>
          </w:p>
          <w:p w14:paraId="7C80846F">
            <w:pPr>
              <w:spacing w:before="31" w:beforeLines="10" w:after="31" w:afterLines="10" w:line="440" w:lineRule="atLeast"/>
              <w:rPr>
                <w:rFonts w:ascii="仿宋" w:hAnsi="仿宋" w:eastAsia="仿宋" w:cs="仿宋"/>
                <w:sz w:val="24"/>
              </w:rPr>
            </w:pPr>
            <w:r>
              <w:rPr>
                <w:rFonts w:hint="eastAsia" w:ascii="仿宋" w:hAnsi="仿宋" w:eastAsia="仿宋" w:cs="仿宋"/>
                <w:sz w:val="24"/>
              </w:rPr>
              <w:t>（1）最近会计年度公司自留保费减营业税及附加后1亿元人民币以下部分的18%和1亿元人民币以上部分的16%；</w:t>
            </w:r>
          </w:p>
          <w:p w14:paraId="2010AC7F">
            <w:pPr>
              <w:spacing w:before="31" w:beforeLines="10" w:after="31" w:afterLines="10" w:line="440" w:lineRule="atLeast"/>
              <w:rPr>
                <w:rFonts w:ascii="仿宋" w:hAnsi="仿宋" w:eastAsia="仿宋" w:cs="仿宋"/>
                <w:sz w:val="24"/>
              </w:rPr>
            </w:pPr>
            <w:r>
              <w:rPr>
                <w:rFonts w:hint="eastAsia" w:ascii="仿宋" w:hAnsi="仿宋" w:eastAsia="仿宋" w:cs="仿宋"/>
                <w:sz w:val="24"/>
              </w:rPr>
              <w:t>（2）公司最近3年平均综合赔款金额7,000万元以下部分的26%和7,000万元以上部分的23%。</w:t>
            </w:r>
          </w:p>
        </w:tc>
      </w:tr>
      <w:tr w14:paraId="5F731B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28" w:type="pct"/>
            <w:vMerge w:val="continue"/>
            <w:vAlign w:val="center"/>
          </w:tcPr>
          <w:p w14:paraId="2275F929">
            <w:pPr>
              <w:spacing w:before="31" w:beforeLines="10" w:after="31" w:afterLines="10" w:line="440" w:lineRule="atLeast"/>
              <w:rPr>
                <w:rFonts w:ascii="仿宋" w:hAnsi="仿宋" w:eastAsia="仿宋" w:cs="仿宋"/>
                <w:b/>
                <w:bCs/>
                <w:sz w:val="24"/>
              </w:rPr>
            </w:pPr>
          </w:p>
        </w:tc>
        <w:tc>
          <w:tcPr>
            <w:tcW w:w="748" w:type="pct"/>
            <w:vMerge w:val="restart"/>
            <w:vAlign w:val="center"/>
          </w:tcPr>
          <w:p w14:paraId="4799A89F">
            <w:pPr>
              <w:spacing w:before="31" w:beforeLines="10" w:after="31" w:afterLines="10" w:line="440" w:lineRule="atLeast"/>
              <w:jc w:val="center"/>
              <w:rPr>
                <w:rFonts w:ascii="仿宋" w:hAnsi="仿宋" w:eastAsia="仿宋" w:cs="仿宋"/>
                <w:sz w:val="24"/>
              </w:rPr>
            </w:pPr>
            <w:r>
              <w:rPr>
                <w:rFonts w:hint="eastAsia" w:ascii="仿宋" w:hAnsi="仿宋" w:eastAsia="仿宋" w:cs="仿宋"/>
                <w:sz w:val="24"/>
              </w:rPr>
              <w:t>非寿险投资型业务</w:t>
            </w:r>
          </w:p>
        </w:tc>
        <w:tc>
          <w:tcPr>
            <w:tcW w:w="914" w:type="pct"/>
            <w:vAlign w:val="center"/>
          </w:tcPr>
          <w:p w14:paraId="0FABFF0E">
            <w:pPr>
              <w:spacing w:before="31" w:beforeLines="10" w:after="31" w:afterLines="10" w:line="440" w:lineRule="atLeast"/>
              <w:jc w:val="center"/>
              <w:rPr>
                <w:rFonts w:ascii="仿宋" w:hAnsi="仿宋" w:eastAsia="仿宋" w:cs="仿宋"/>
                <w:sz w:val="24"/>
              </w:rPr>
            </w:pPr>
            <w:r>
              <w:rPr>
                <w:rFonts w:hint="eastAsia" w:ascii="仿宋" w:hAnsi="仿宋" w:eastAsia="仿宋" w:cs="仿宋"/>
                <w:sz w:val="24"/>
              </w:rPr>
              <w:t>风险保费</w:t>
            </w:r>
          </w:p>
          <w:p w14:paraId="6599F432">
            <w:pPr>
              <w:spacing w:before="31" w:beforeLines="10" w:after="31" w:afterLines="10" w:line="440" w:lineRule="atLeast"/>
              <w:jc w:val="center"/>
              <w:rPr>
                <w:rFonts w:ascii="仿宋" w:hAnsi="仿宋" w:eastAsia="仿宋" w:cs="仿宋"/>
                <w:sz w:val="24"/>
              </w:rPr>
            </w:pPr>
            <w:r>
              <w:rPr>
                <w:rFonts w:hint="eastAsia" w:ascii="仿宋" w:hAnsi="仿宋" w:eastAsia="仿宋" w:cs="仿宋"/>
                <w:sz w:val="24"/>
              </w:rPr>
              <w:t>部分</w:t>
            </w:r>
          </w:p>
        </w:tc>
        <w:tc>
          <w:tcPr>
            <w:tcW w:w="2608" w:type="pct"/>
          </w:tcPr>
          <w:p w14:paraId="4C1658D7">
            <w:pPr>
              <w:spacing w:before="31" w:beforeLines="10" w:after="31" w:afterLines="10" w:line="440" w:lineRule="atLeast"/>
              <w:rPr>
                <w:rFonts w:ascii="仿宋" w:hAnsi="仿宋" w:eastAsia="仿宋" w:cs="仿宋"/>
                <w:sz w:val="24"/>
              </w:rPr>
            </w:pPr>
            <w:r>
              <w:rPr>
                <w:rFonts w:hint="eastAsia" w:ascii="仿宋" w:hAnsi="仿宋" w:eastAsia="仿宋" w:cs="仿宋"/>
                <w:sz w:val="24"/>
              </w:rPr>
              <w:t>适用非寿险保障型业务最低资本评估标准。</w:t>
            </w:r>
          </w:p>
        </w:tc>
      </w:tr>
      <w:tr w14:paraId="685405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28" w:type="pct"/>
            <w:vMerge w:val="continue"/>
            <w:vAlign w:val="center"/>
          </w:tcPr>
          <w:p w14:paraId="057F9AC7">
            <w:pPr>
              <w:spacing w:before="31" w:beforeLines="10" w:after="31" w:afterLines="10" w:line="440" w:lineRule="atLeast"/>
              <w:rPr>
                <w:rFonts w:ascii="仿宋" w:hAnsi="仿宋" w:eastAsia="仿宋" w:cs="仿宋"/>
                <w:b/>
                <w:bCs/>
                <w:sz w:val="24"/>
              </w:rPr>
            </w:pPr>
          </w:p>
        </w:tc>
        <w:tc>
          <w:tcPr>
            <w:tcW w:w="748" w:type="pct"/>
            <w:vMerge w:val="continue"/>
            <w:vAlign w:val="center"/>
          </w:tcPr>
          <w:p w14:paraId="0A5E324F">
            <w:pPr>
              <w:spacing w:before="31" w:beforeLines="10" w:after="31" w:afterLines="10" w:line="440" w:lineRule="atLeast"/>
              <w:rPr>
                <w:rFonts w:ascii="仿宋" w:hAnsi="仿宋" w:eastAsia="仿宋" w:cs="仿宋"/>
                <w:b/>
                <w:bCs/>
                <w:sz w:val="24"/>
              </w:rPr>
            </w:pPr>
          </w:p>
        </w:tc>
        <w:tc>
          <w:tcPr>
            <w:tcW w:w="914" w:type="pct"/>
            <w:vAlign w:val="center"/>
          </w:tcPr>
          <w:p w14:paraId="06FD6F85">
            <w:pPr>
              <w:spacing w:before="31" w:beforeLines="10" w:after="31" w:afterLines="10" w:line="440" w:lineRule="atLeast"/>
              <w:jc w:val="center"/>
              <w:rPr>
                <w:rFonts w:ascii="仿宋" w:hAnsi="仿宋" w:eastAsia="仿宋" w:cs="仿宋"/>
                <w:sz w:val="24"/>
              </w:rPr>
            </w:pPr>
            <w:r>
              <w:rPr>
                <w:rFonts w:hint="eastAsia" w:ascii="仿宋" w:hAnsi="仿宋" w:eastAsia="仿宋" w:cs="仿宋"/>
                <w:sz w:val="24"/>
              </w:rPr>
              <w:t>投资金部分</w:t>
            </w:r>
          </w:p>
        </w:tc>
        <w:tc>
          <w:tcPr>
            <w:tcW w:w="2608" w:type="pct"/>
          </w:tcPr>
          <w:p w14:paraId="0370DCB5">
            <w:pPr>
              <w:spacing w:before="31" w:beforeLines="10" w:after="31" w:afterLines="10" w:line="440" w:lineRule="atLeast"/>
              <w:rPr>
                <w:rFonts w:ascii="仿宋" w:hAnsi="仿宋" w:eastAsia="仿宋" w:cs="仿宋"/>
                <w:sz w:val="24"/>
              </w:rPr>
            </w:pPr>
            <w:r>
              <w:rPr>
                <w:rFonts w:hint="eastAsia" w:ascii="仿宋" w:hAnsi="仿宋" w:eastAsia="仿宋" w:cs="仿宋"/>
                <w:sz w:val="24"/>
              </w:rPr>
              <w:t>下述两项之和：</w:t>
            </w:r>
          </w:p>
          <w:p w14:paraId="095E3C5D">
            <w:pPr>
              <w:spacing w:before="31" w:beforeLines="10" w:after="31" w:afterLines="10" w:line="440" w:lineRule="atLeast"/>
              <w:rPr>
                <w:rFonts w:ascii="仿宋" w:hAnsi="仿宋" w:eastAsia="仿宋" w:cs="仿宋"/>
                <w:sz w:val="24"/>
              </w:rPr>
            </w:pPr>
            <w:r>
              <w:rPr>
                <w:rFonts w:hint="eastAsia" w:ascii="仿宋" w:hAnsi="仿宋" w:eastAsia="仿宋" w:cs="仿宋"/>
                <w:sz w:val="24"/>
              </w:rPr>
              <w:t>（1）预定收益型非寿险投资型产品投资金部分期末责任准备金的4%；</w:t>
            </w:r>
          </w:p>
          <w:p w14:paraId="6D40C5A6">
            <w:pPr>
              <w:spacing w:before="31" w:beforeLines="10" w:after="31" w:afterLines="10" w:line="440" w:lineRule="atLeast"/>
              <w:rPr>
                <w:rFonts w:ascii="仿宋" w:hAnsi="仿宋" w:eastAsia="仿宋" w:cs="仿宋"/>
                <w:sz w:val="24"/>
              </w:rPr>
            </w:pPr>
            <w:r>
              <w:rPr>
                <w:rFonts w:hint="eastAsia" w:ascii="仿宋" w:hAnsi="仿宋" w:eastAsia="仿宋" w:cs="仿宋"/>
                <w:sz w:val="24"/>
              </w:rPr>
              <w:t>（2）非预定收益型非寿险投资型产品投资金部分期末责任准备金的1%。</w:t>
            </w:r>
          </w:p>
        </w:tc>
      </w:tr>
      <w:tr w14:paraId="5DBEC3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28" w:type="pct"/>
            <w:vMerge w:val="restart"/>
            <w:vAlign w:val="center"/>
          </w:tcPr>
          <w:p w14:paraId="7EAFD0AF">
            <w:pPr>
              <w:spacing w:before="31" w:beforeLines="10" w:after="31" w:afterLines="10" w:line="440" w:lineRule="atLeast"/>
              <w:jc w:val="center"/>
              <w:rPr>
                <w:rFonts w:ascii="仿宋" w:hAnsi="仿宋" w:eastAsia="仿宋" w:cs="仿宋"/>
                <w:sz w:val="24"/>
              </w:rPr>
            </w:pPr>
            <w:r>
              <w:rPr>
                <w:rFonts w:hint="eastAsia" w:ascii="仿宋" w:hAnsi="仿宋" w:eastAsia="仿宋" w:cs="仿宋"/>
                <w:sz w:val="24"/>
              </w:rPr>
              <w:t>寿险公司</w:t>
            </w:r>
          </w:p>
        </w:tc>
        <w:tc>
          <w:tcPr>
            <w:tcW w:w="748" w:type="pct"/>
            <w:vAlign w:val="center"/>
          </w:tcPr>
          <w:p w14:paraId="46845CAF">
            <w:pPr>
              <w:spacing w:before="31" w:beforeLines="10" w:after="31" w:afterLines="10" w:line="440" w:lineRule="atLeast"/>
              <w:jc w:val="center"/>
              <w:rPr>
                <w:rFonts w:ascii="仿宋" w:hAnsi="仿宋" w:eastAsia="仿宋" w:cs="仿宋"/>
                <w:sz w:val="24"/>
              </w:rPr>
            </w:pPr>
            <w:r>
              <w:rPr>
                <w:rFonts w:hint="eastAsia" w:ascii="仿宋" w:hAnsi="仿宋" w:eastAsia="仿宋" w:cs="仿宋"/>
                <w:sz w:val="24"/>
              </w:rPr>
              <w:t>长期</w:t>
            </w:r>
          </w:p>
          <w:p w14:paraId="239EE995">
            <w:pPr>
              <w:spacing w:before="31" w:beforeLines="10" w:after="31" w:afterLines="10" w:line="440" w:lineRule="atLeast"/>
              <w:jc w:val="center"/>
              <w:rPr>
                <w:rFonts w:ascii="仿宋" w:hAnsi="仿宋" w:eastAsia="仿宋" w:cs="仿宋"/>
                <w:sz w:val="24"/>
              </w:rPr>
            </w:pPr>
            <w:r>
              <w:rPr>
                <w:rFonts w:hint="eastAsia" w:ascii="仿宋" w:hAnsi="仿宋" w:eastAsia="仿宋" w:cs="仿宋"/>
                <w:sz w:val="24"/>
              </w:rPr>
              <w:t>人身险业务</w:t>
            </w:r>
          </w:p>
        </w:tc>
        <w:tc>
          <w:tcPr>
            <w:tcW w:w="3522" w:type="pct"/>
            <w:gridSpan w:val="2"/>
          </w:tcPr>
          <w:p w14:paraId="37BB5BC8">
            <w:pPr>
              <w:spacing w:before="31" w:beforeLines="10" w:after="31" w:afterLines="10" w:line="440" w:lineRule="atLeast"/>
              <w:rPr>
                <w:rFonts w:ascii="仿宋" w:hAnsi="仿宋" w:eastAsia="仿宋" w:cs="仿宋"/>
                <w:sz w:val="24"/>
              </w:rPr>
            </w:pPr>
            <w:r>
              <w:rPr>
                <w:rFonts w:hint="eastAsia" w:ascii="仿宋" w:hAnsi="仿宋" w:eastAsia="仿宋" w:cs="仿宋"/>
                <w:sz w:val="24"/>
              </w:rPr>
              <w:t>下述两项之和：</w:t>
            </w:r>
          </w:p>
          <w:p w14:paraId="393708B8">
            <w:pPr>
              <w:spacing w:before="31" w:beforeLines="10" w:after="31" w:afterLines="10" w:line="440" w:lineRule="atLeast"/>
              <w:rPr>
                <w:rFonts w:ascii="仿宋" w:hAnsi="仿宋" w:eastAsia="仿宋" w:cs="仿宋"/>
                <w:sz w:val="24"/>
              </w:rPr>
            </w:pPr>
            <w:r>
              <w:rPr>
                <w:rFonts w:hint="eastAsia" w:ascii="仿宋" w:hAnsi="仿宋" w:eastAsia="仿宋" w:cs="仿宋"/>
                <w:sz w:val="24"/>
              </w:rPr>
              <w:t>（1）投资连结保险产品期末责任准备金的1%和其他寿险产品期末责任准备金的4%；</w:t>
            </w:r>
          </w:p>
          <w:p w14:paraId="193B2356">
            <w:pPr>
              <w:spacing w:before="31" w:beforeLines="10" w:after="31" w:afterLines="10" w:line="440" w:lineRule="atLeast"/>
              <w:rPr>
                <w:rFonts w:ascii="仿宋" w:hAnsi="仿宋" w:eastAsia="仿宋" w:cs="仿宋"/>
                <w:sz w:val="24"/>
              </w:rPr>
            </w:pPr>
            <w:r>
              <w:rPr>
                <w:rFonts w:hint="eastAsia" w:ascii="仿宋" w:hAnsi="仿宋" w:eastAsia="仿宋" w:cs="仿宋"/>
                <w:sz w:val="24"/>
              </w:rPr>
              <w:t>（2）保险期间小于3年的定期死亡保险风险保额的0.1%，保险期间为3年到5年的定期死亡保险风险保额的0.15%，保险期间超过5年的定期死亡保险和其他险种风险保额的0.3%。</w:t>
            </w:r>
          </w:p>
        </w:tc>
      </w:tr>
      <w:tr w14:paraId="583096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28" w:type="pct"/>
            <w:vMerge w:val="continue"/>
            <w:vAlign w:val="center"/>
          </w:tcPr>
          <w:p w14:paraId="0B59CD7A">
            <w:pPr>
              <w:spacing w:before="31" w:beforeLines="10" w:after="31" w:afterLines="10" w:line="440" w:lineRule="atLeast"/>
              <w:rPr>
                <w:rFonts w:ascii="仿宋" w:hAnsi="仿宋" w:eastAsia="仿宋" w:cs="仿宋"/>
                <w:b/>
                <w:bCs/>
                <w:sz w:val="24"/>
              </w:rPr>
            </w:pPr>
          </w:p>
        </w:tc>
        <w:tc>
          <w:tcPr>
            <w:tcW w:w="748" w:type="pct"/>
            <w:vAlign w:val="center"/>
          </w:tcPr>
          <w:p w14:paraId="65B7500B">
            <w:pPr>
              <w:spacing w:before="31" w:beforeLines="10" w:after="31" w:afterLines="10" w:line="440" w:lineRule="atLeast"/>
              <w:jc w:val="center"/>
              <w:rPr>
                <w:rFonts w:ascii="仿宋" w:hAnsi="仿宋" w:eastAsia="仿宋" w:cs="仿宋"/>
                <w:sz w:val="24"/>
              </w:rPr>
            </w:pPr>
            <w:r>
              <w:rPr>
                <w:rFonts w:hint="eastAsia" w:ascii="仿宋" w:hAnsi="仿宋" w:eastAsia="仿宋" w:cs="仿宋"/>
                <w:sz w:val="24"/>
              </w:rPr>
              <w:t>短期</w:t>
            </w:r>
          </w:p>
          <w:p w14:paraId="628FF3A3">
            <w:pPr>
              <w:spacing w:before="31" w:beforeLines="10" w:after="31" w:afterLines="10" w:line="440" w:lineRule="atLeast"/>
              <w:jc w:val="center"/>
              <w:rPr>
                <w:rFonts w:ascii="仿宋" w:hAnsi="仿宋" w:eastAsia="仿宋" w:cs="仿宋"/>
                <w:sz w:val="24"/>
              </w:rPr>
            </w:pPr>
            <w:r>
              <w:rPr>
                <w:rFonts w:hint="eastAsia" w:ascii="仿宋" w:hAnsi="仿宋" w:eastAsia="仿宋" w:cs="仿宋"/>
                <w:sz w:val="24"/>
              </w:rPr>
              <w:t>人身险　　</w:t>
            </w:r>
          </w:p>
          <w:p w14:paraId="2E5AFFC5">
            <w:pPr>
              <w:spacing w:before="31" w:beforeLines="10" w:after="31" w:afterLines="10" w:line="440" w:lineRule="atLeast"/>
              <w:jc w:val="center"/>
              <w:rPr>
                <w:rFonts w:ascii="仿宋" w:hAnsi="仿宋" w:eastAsia="仿宋" w:cs="仿宋"/>
                <w:sz w:val="24"/>
              </w:rPr>
            </w:pPr>
            <w:r>
              <w:rPr>
                <w:rFonts w:hint="eastAsia" w:ascii="仿宋" w:hAnsi="仿宋" w:eastAsia="仿宋" w:cs="仿宋"/>
                <w:sz w:val="24"/>
              </w:rPr>
              <w:t>业务</w:t>
            </w:r>
          </w:p>
        </w:tc>
        <w:tc>
          <w:tcPr>
            <w:tcW w:w="3522" w:type="pct"/>
            <w:gridSpan w:val="2"/>
            <w:vAlign w:val="center"/>
          </w:tcPr>
          <w:p w14:paraId="09DD959B">
            <w:pPr>
              <w:spacing w:before="31" w:beforeLines="10" w:after="31" w:afterLines="10" w:line="440" w:lineRule="atLeast"/>
              <w:jc w:val="center"/>
              <w:rPr>
                <w:rFonts w:ascii="仿宋" w:hAnsi="仿宋" w:eastAsia="仿宋" w:cs="仿宋"/>
                <w:sz w:val="24"/>
              </w:rPr>
            </w:pPr>
            <w:r>
              <w:rPr>
                <w:rFonts w:hint="eastAsia" w:ascii="仿宋" w:hAnsi="仿宋" w:eastAsia="仿宋" w:cs="仿宋"/>
                <w:sz w:val="24"/>
              </w:rPr>
              <w:t>适用非寿险保障型业务最低资本评估标准。</w:t>
            </w:r>
          </w:p>
        </w:tc>
      </w:tr>
    </w:tbl>
    <w:p w14:paraId="60C4FA5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（三）偿付能力充足率</w:t>
      </w:r>
    </w:p>
    <w:p w14:paraId="1472D85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偿付能力充足率﹦实际资本/最低资本</w:t>
      </w:r>
    </w:p>
    <w:p w14:paraId="2516EB2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保险公司的偿付能力充足率又称资本充足率，衡量保险公司对保单持有人进行偿付的能力。</w:t>
      </w:r>
    </w:p>
    <w:p w14:paraId="4B29210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中国保监会规定，保险公司偿付能力充足率不应低于100%，并根据偿付能力充足率将保险公司划分为三类：不足类公司（偿付能力充足率低于100%），充足Ⅰ类公司（偿付能力充足率在100%和150%之间）和充足Ⅱ类公司（偿付能力充足率高于150%）。不同类别公司适用不同的监管政策。</w:t>
      </w:r>
    </w:p>
    <w:p w14:paraId="0467540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偿付能力充足率对保险公司的业务发展进行约束。对保险公司进行评估，保险公司偿付能力充足率不足或出现预警的，应考虑适当调整业务发展规模，或降低对股东的分红。此外，保险公司应根据业务发展需要建立相应的资本补充机制，如提升盈利能力、进行资本融资等。</w:t>
      </w:r>
    </w:p>
    <w:p w14:paraId="4534A3C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（四）次级债</w:t>
      </w:r>
    </w:p>
    <w:p w14:paraId="1E653A4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保险公司次级债，是指保险公司为了弥补临时性或者阶段性资本不足，经批准募集，期限在五年以上（含五年），且本金和利息的清偿顺序列于保单责任和其他负债之后、先于保险公司股权资本的保险公司债务。</w:t>
      </w:r>
    </w:p>
    <w:p w14:paraId="7C6FAC3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对保险公司进行评估，保险公司有计划通过发行次级债对资本金进行补充的，应符合以下规定：</w:t>
      </w:r>
    </w:p>
    <w:p w14:paraId="564B421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1.偿付能力充足率低于150%或者预计未来两年内偿付能力充足率将低于150%；</w:t>
      </w:r>
    </w:p>
    <w:p w14:paraId="3DC0154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2.经审计的上年度末净资产不低于人民币5亿元；</w:t>
      </w:r>
    </w:p>
    <w:p w14:paraId="72EF194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3.募集后，累计未偿付的次级债本息额不超过上年度末经审计的净资产的50%；</w:t>
      </w:r>
    </w:p>
    <w:p w14:paraId="170FA5E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4.只有在确保偿还次级债本息后偿付能力充足率不低于100%的前提下，才能安排偿付本息；</w:t>
      </w:r>
    </w:p>
    <w:p w14:paraId="56B9B92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5.募集人不能按时偿付次级债本息的，期间不得安排股利发放。</w:t>
      </w:r>
    </w:p>
    <w:p w14:paraId="2A7B37C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次级债的偿还义务优先于股权，以收益法对保险公司进行评估，应合理安排偿还次级债本息及发放股利的顺序。若在次级债本息不能按时清偿的情况下安排股利发放，可能导致股权价值高估。</w:t>
      </w:r>
    </w:p>
    <w:p w14:paraId="4B440C1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需要注意的是，保险公司计入附属资本的次级债金额不得超过净资产的50%，所以保险公司并不能单纯采用发行次级债的方式进行资本补充。</w:t>
      </w:r>
    </w:p>
    <w:p w14:paraId="4291213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（五）保证金</w:t>
      </w:r>
    </w:p>
    <w:p w14:paraId="38E4BB8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保险公司应当按照其注册资本总额的20%提取保证金，存入国务院保险监督管理机构指定的银行，除公司清算时用于清偿债务外，不得动用。</w:t>
      </w:r>
    </w:p>
    <w:p w14:paraId="49D245D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存出资本保证金不得随意支取，以收益法对保险公司进行评估，应将存出资本保证金视为保险公司持续经营所必需的资金，不得作为溢余资金处理，否则会造成评估价值偏高。</w:t>
      </w:r>
    </w:p>
    <w:p w14:paraId="21FBE52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（六）保险保障基金</w:t>
      </w:r>
    </w:p>
    <w:p w14:paraId="4248577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保险保障基金是保险公司根据监管要求缴纳的，在一定情况下，用于救助保单持有人、保单受让公司或者处置保险业风险的非政府性行业风险救助基金。</w:t>
      </w:r>
    </w:p>
    <w:p w14:paraId="0BFA0AA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有下列情形之一的，保险公司可以动用保险保障基金：</w:t>
      </w:r>
    </w:p>
    <w:p w14:paraId="5E1DF25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1.保险公司被依法撤销或者依法实施破产，其清算财产不足以偿付保单利益的；</w:t>
      </w:r>
    </w:p>
    <w:p w14:paraId="29FFAF9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2.中国保监会经商有关部门认定，保险公司存在重大风险，可能严重危及社会公共利益和金融稳定的。</w:t>
      </w:r>
    </w:p>
    <w:p w14:paraId="339ED27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保险保障基金分为财产保险保障基金和人身保险保障基金，具体监管要求如下：</w:t>
      </w:r>
    </w:p>
    <w:tbl>
      <w:tblPr>
        <w:tblStyle w:val="24"/>
        <w:tblW w:w="4999"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99"/>
        <w:gridCol w:w="867"/>
        <w:gridCol w:w="2267"/>
        <w:gridCol w:w="2266"/>
        <w:gridCol w:w="2315"/>
      </w:tblGrid>
      <w:tr w14:paraId="5A244B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2309" w:type="pct"/>
            <w:gridSpan w:val="3"/>
          </w:tcPr>
          <w:p w14:paraId="7CF92FF4">
            <w:pPr>
              <w:spacing w:before="31" w:beforeLines="10" w:after="31" w:afterLines="10" w:line="440" w:lineRule="atLeast"/>
              <w:jc w:val="center"/>
              <w:rPr>
                <w:rFonts w:ascii="仿宋" w:hAnsi="仿宋" w:eastAsia="仿宋" w:cs="仿宋"/>
                <w:b/>
                <w:sz w:val="24"/>
              </w:rPr>
            </w:pPr>
            <w:r>
              <w:rPr>
                <w:rFonts w:hint="eastAsia" w:ascii="仿宋" w:hAnsi="仿宋" w:eastAsia="仿宋" w:cs="仿宋"/>
                <w:b/>
                <w:sz w:val="24"/>
              </w:rPr>
              <w:t>保险类型</w:t>
            </w:r>
          </w:p>
        </w:tc>
        <w:tc>
          <w:tcPr>
            <w:tcW w:w="1330" w:type="pct"/>
          </w:tcPr>
          <w:p w14:paraId="748F0239">
            <w:pPr>
              <w:spacing w:before="31" w:beforeLines="10" w:after="31" w:afterLines="10" w:line="440" w:lineRule="atLeast"/>
              <w:jc w:val="center"/>
              <w:rPr>
                <w:rFonts w:ascii="仿宋" w:hAnsi="仿宋" w:eastAsia="仿宋" w:cs="仿宋"/>
                <w:b/>
                <w:sz w:val="24"/>
              </w:rPr>
            </w:pPr>
            <w:r>
              <w:rPr>
                <w:rFonts w:hint="eastAsia" w:ascii="仿宋" w:hAnsi="仿宋" w:eastAsia="仿宋" w:cs="仿宋"/>
                <w:b/>
                <w:sz w:val="24"/>
              </w:rPr>
              <w:t>缴纳标准</w:t>
            </w:r>
          </w:p>
        </w:tc>
        <w:tc>
          <w:tcPr>
            <w:tcW w:w="1359" w:type="pct"/>
          </w:tcPr>
          <w:p w14:paraId="25081F1C">
            <w:pPr>
              <w:spacing w:before="31" w:beforeLines="10" w:after="31" w:afterLines="10" w:line="440" w:lineRule="atLeast"/>
              <w:jc w:val="center"/>
              <w:rPr>
                <w:rFonts w:ascii="仿宋" w:hAnsi="仿宋" w:eastAsia="仿宋" w:cs="仿宋"/>
                <w:b/>
                <w:sz w:val="24"/>
              </w:rPr>
            </w:pPr>
            <w:r>
              <w:rPr>
                <w:rFonts w:hint="eastAsia" w:ascii="仿宋" w:hAnsi="仿宋" w:eastAsia="仿宋" w:cs="仿宋"/>
                <w:b/>
                <w:sz w:val="24"/>
              </w:rPr>
              <w:t>暂停缴纳</w:t>
            </w:r>
          </w:p>
        </w:tc>
      </w:tr>
      <w:tr w14:paraId="41BDDD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69" w:type="pct"/>
            <w:vMerge w:val="restart"/>
            <w:vAlign w:val="center"/>
          </w:tcPr>
          <w:p w14:paraId="1387E06D">
            <w:pPr>
              <w:spacing w:before="31" w:beforeLines="10" w:after="31" w:afterLines="10" w:line="440" w:lineRule="atLeast"/>
              <w:jc w:val="center"/>
              <w:rPr>
                <w:rFonts w:ascii="仿宋" w:hAnsi="仿宋" w:eastAsia="仿宋" w:cs="仿宋"/>
                <w:sz w:val="24"/>
              </w:rPr>
            </w:pPr>
            <w:r>
              <w:rPr>
                <w:rFonts w:hint="eastAsia" w:ascii="仿宋" w:hAnsi="仿宋" w:eastAsia="仿宋" w:cs="仿宋"/>
                <w:sz w:val="24"/>
              </w:rPr>
              <w:t>财产</w:t>
            </w:r>
          </w:p>
          <w:p w14:paraId="3BD68E68">
            <w:pPr>
              <w:spacing w:before="31" w:beforeLines="10" w:after="31" w:afterLines="10" w:line="440" w:lineRule="atLeast"/>
              <w:jc w:val="center"/>
              <w:rPr>
                <w:rFonts w:ascii="仿宋" w:hAnsi="仿宋" w:eastAsia="仿宋" w:cs="仿宋"/>
                <w:sz w:val="24"/>
              </w:rPr>
            </w:pPr>
            <w:r>
              <w:rPr>
                <w:rFonts w:hint="eastAsia" w:ascii="仿宋" w:hAnsi="仿宋" w:eastAsia="仿宋" w:cs="仿宋"/>
                <w:sz w:val="24"/>
              </w:rPr>
              <w:t>保险</w:t>
            </w:r>
          </w:p>
        </w:tc>
        <w:tc>
          <w:tcPr>
            <w:tcW w:w="1840" w:type="pct"/>
            <w:gridSpan w:val="2"/>
          </w:tcPr>
          <w:p w14:paraId="3301283D">
            <w:pPr>
              <w:spacing w:before="31" w:beforeLines="10" w:after="31" w:afterLines="10" w:line="440" w:lineRule="atLeast"/>
              <w:rPr>
                <w:rFonts w:ascii="仿宋" w:hAnsi="仿宋" w:eastAsia="仿宋" w:cs="仿宋"/>
                <w:sz w:val="24"/>
              </w:rPr>
            </w:pPr>
            <w:r>
              <w:rPr>
                <w:rFonts w:hint="eastAsia" w:ascii="仿宋" w:hAnsi="仿宋" w:eastAsia="仿宋" w:cs="仿宋"/>
                <w:sz w:val="24"/>
              </w:rPr>
              <w:t>非投资型</w:t>
            </w:r>
          </w:p>
        </w:tc>
        <w:tc>
          <w:tcPr>
            <w:tcW w:w="1330" w:type="pct"/>
          </w:tcPr>
          <w:p w14:paraId="6ACE8B59">
            <w:pPr>
              <w:spacing w:before="31" w:beforeLines="10" w:after="31" w:afterLines="10" w:line="440" w:lineRule="atLeast"/>
              <w:rPr>
                <w:rFonts w:ascii="仿宋" w:hAnsi="仿宋" w:eastAsia="仿宋" w:cs="仿宋"/>
                <w:sz w:val="24"/>
              </w:rPr>
            </w:pPr>
            <w:r>
              <w:rPr>
                <w:rFonts w:hint="eastAsia" w:ascii="仿宋" w:hAnsi="仿宋" w:eastAsia="仿宋" w:cs="仿宋"/>
                <w:sz w:val="24"/>
              </w:rPr>
              <w:t>保费收入的0.8%</w:t>
            </w:r>
          </w:p>
        </w:tc>
        <w:tc>
          <w:tcPr>
            <w:tcW w:w="1359" w:type="pct"/>
            <w:vMerge w:val="restart"/>
          </w:tcPr>
          <w:p w14:paraId="664479A3">
            <w:pPr>
              <w:spacing w:before="31" w:beforeLines="10" w:after="31" w:afterLines="10" w:line="440" w:lineRule="atLeast"/>
              <w:rPr>
                <w:rFonts w:ascii="仿宋" w:hAnsi="仿宋" w:eastAsia="仿宋" w:cs="仿宋"/>
                <w:sz w:val="24"/>
              </w:rPr>
            </w:pPr>
            <w:r>
              <w:rPr>
                <w:rFonts w:hint="eastAsia" w:ascii="仿宋" w:hAnsi="仿宋" w:eastAsia="仿宋" w:cs="仿宋"/>
                <w:sz w:val="24"/>
              </w:rPr>
              <w:t>保险保障基金余额达到公司总资产6%</w:t>
            </w:r>
          </w:p>
        </w:tc>
      </w:tr>
      <w:tr w14:paraId="397D80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69" w:type="pct"/>
            <w:vMerge w:val="continue"/>
            <w:vAlign w:val="center"/>
          </w:tcPr>
          <w:p w14:paraId="6AD44533">
            <w:pPr>
              <w:keepNext/>
              <w:spacing w:before="31" w:beforeLines="10" w:after="31" w:afterLines="10" w:line="440" w:lineRule="atLeast"/>
              <w:jc w:val="center"/>
              <w:outlineLvl w:val="2"/>
              <w:rPr>
                <w:rFonts w:ascii="仿宋" w:hAnsi="仿宋" w:eastAsia="仿宋" w:cs="仿宋"/>
                <w:b/>
                <w:bCs/>
                <w:sz w:val="24"/>
              </w:rPr>
            </w:pPr>
          </w:p>
        </w:tc>
        <w:tc>
          <w:tcPr>
            <w:tcW w:w="1840" w:type="pct"/>
            <w:gridSpan w:val="2"/>
          </w:tcPr>
          <w:p w14:paraId="4A0C81A1">
            <w:pPr>
              <w:spacing w:before="31" w:beforeLines="10" w:after="31" w:afterLines="10" w:line="440" w:lineRule="atLeast"/>
              <w:rPr>
                <w:rFonts w:ascii="仿宋" w:hAnsi="仿宋" w:eastAsia="仿宋" w:cs="仿宋"/>
                <w:sz w:val="24"/>
              </w:rPr>
            </w:pPr>
            <w:r>
              <w:rPr>
                <w:rFonts w:hint="eastAsia" w:ascii="仿宋" w:hAnsi="仿宋" w:eastAsia="仿宋" w:cs="仿宋"/>
                <w:sz w:val="24"/>
              </w:rPr>
              <w:t>投资型、有保证收益</w:t>
            </w:r>
          </w:p>
        </w:tc>
        <w:tc>
          <w:tcPr>
            <w:tcW w:w="1330" w:type="pct"/>
          </w:tcPr>
          <w:p w14:paraId="16C46002">
            <w:pPr>
              <w:spacing w:before="31" w:beforeLines="10" w:after="31" w:afterLines="10" w:line="440" w:lineRule="atLeast"/>
              <w:rPr>
                <w:rFonts w:ascii="仿宋" w:hAnsi="仿宋" w:eastAsia="仿宋" w:cs="仿宋"/>
                <w:sz w:val="24"/>
              </w:rPr>
            </w:pPr>
            <w:r>
              <w:rPr>
                <w:rFonts w:hint="eastAsia" w:ascii="仿宋" w:hAnsi="仿宋" w:eastAsia="仿宋" w:cs="仿宋"/>
                <w:sz w:val="24"/>
              </w:rPr>
              <w:t>业务收入的0.08%</w:t>
            </w:r>
          </w:p>
        </w:tc>
        <w:tc>
          <w:tcPr>
            <w:tcW w:w="1359" w:type="pct"/>
            <w:vMerge w:val="continue"/>
          </w:tcPr>
          <w:p w14:paraId="59B3EDBF">
            <w:pPr>
              <w:keepNext/>
              <w:spacing w:before="31" w:beforeLines="10" w:after="31" w:afterLines="10" w:line="440" w:lineRule="atLeast"/>
              <w:outlineLvl w:val="2"/>
              <w:rPr>
                <w:rFonts w:ascii="仿宋" w:hAnsi="仿宋" w:eastAsia="仿宋" w:cs="仿宋"/>
                <w:b/>
                <w:bCs/>
                <w:sz w:val="24"/>
              </w:rPr>
            </w:pPr>
          </w:p>
        </w:tc>
      </w:tr>
      <w:tr w14:paraId="1BD3DA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69" w:type="pct"/>
            <w:vMerge w:val="continue"/>
            <w:vAlign w:val="center"/>
          </w:tcPr>
          <w:p w14:paraId="209ACE4E">
            <w:pPr>
              <w:keepNext/>
              <w:spacing w:before="31" w:beforeLines="10" w:after="31" w:afterLines="10" w:line="440" w:lineRule="atLeast"/>
              <w:jc w:val="center"/>
              <w:outlineLvl w:val="2"/>
              <w:rPr>
                <w:rFonts w:ascii="仿宋" w:hAnsi="仿宋" w:eastAsia="仿宋" w:cs="仿宋"/>
                <w:b/>
                <w:bCs/>
                <w:sz w:val="24"/>
              </w:rPr>
            </w:pPr>
          </w:p>
        </w:tc>
        <w:tc>
          <w:tcPr>
            <w:tcW w:w="1840" w:type="pct"/>
            <w:gridSpan w:val="2"/>
          </w:tcPr>
          <w:p w14:paraId="38845069">
            <w:pPr>
              <w:spacing w:before="31" w:beforeLines="10" w:after="31" w:afterLines="10" w:line="440" w:lineRule="atLeast"/>
              <w:rPr>
                <w:rFonts w:ascii="仿宋" w:hAnsi="仿宋" w:eastAsia="仿宋" w:cs="仿宋"/>
                <w:sz w:val="24"/>
              </w:rPr>
            </w:pPr>
            <w:r>
              <w:rPr>
                <w:rFonts w:hint="eastAsia" w:ascii="仿宋" w:hAnsi="仿宋" w:eastAsia="仿宋" w:cs="仿宋"/>
                <w:sz w:val="24"/>
              </w:rPr>
              <w:t>投资型、无保证收益</w:t>
            </w:r>
          </w:p>
        </w:tc>
        <w:tc>
          <w:tcPr>
            <w:tcW w:w="1330" w:type="pct"/>
          </w:tcPr>
          <w:p w14:paraId="5EBC2E4E">
            <w:pPr>
              <w:spacing w:before="31" w:beforeLines="10" w:after="31" w:afterLines="10" w:line="440" w:lineRule="atLeast"/>
              <w:rPr>
                <w:rFonts w:ascii="仿宋" w:hAnsi="仿宋" w:eastAsia="仿宋" w:cs="仿宋"/>
                <w:sz w:val="24"/>
              </w:rPr>
            </w:pPr>
            <w:r>
              <w:rPr>
                <w:rFonts w:hint="eastAsia" w:ascii="仿宋" w:hAnsi="仿宋" w:eastAsia="仿宋" w:cs="仿宋"/>
                <w:sz w:val="24"/>
              </w:rPr>
              <w:t>业务收入的0.05%</w:t>
            </w:r>
          </w:p>
        </w:tc>
        <w:tc>
          <w:tcPr>
            <w:tcW w:w="1359" w:type="pct"/>
            <w:vMerge w:val="continue"/>
          </w:tcPr>
          <w:p w14:paraId="1B4FF15B">
            <w:pPr>
              <w:keepNext/>
              <w:spacing w:before="31" w:beforeLines="10" w:after="31" w:afterLines="10" w:line="440" w:lineRule="atLeast"/>
              <w:outlineLvl w:val="2"/>
              <w:rPr>
                <w:rFonts w:ascii="仿宋" w:hAnsi="仿宋" w:eastAsia="仿宋" w:cs="仿宋"/>
                <w:b/>
                <w:bCs/>
                <w:sz w:val="24"/>
              </w:rPr>
            </w:pPr>
          </w:p>
        </w:tc>
      </w:tr>
      <w:tr w14:paraId="4194C9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69" w:type="pct"/>
            <w:vMerge w:val="restart"/>
            <w:vAlign w:val="center"/>
          </w:tcPr>
          <w:p w14:paraId="29E36977">
            <w:pPr>
              <w:spacing w:before="31" w:beforeLines="10" w:after="31" w:afterLines="10" w:line="440" w:lineRule="atLeast"/>
              <w:jc w:val="center"/>
              <w:rPr>
                <w:rFonts w:ascii="仿宋" w:hAnsi="仿宋" w:eastAsia="仿宋" w:cs="仿宋"/>
                <w:sz w:val="24"/>
              </w:rPr>
            </w:pPr>
            <w:r>
              <w:rPr>
                <w:rFonts w:hint="eastAsia" w:ascii="仿宋" w:hAnsi="仿宋" w:eastAsia="仿宋" w:cs="仿宋"/>
                <w:sz w:val="24"/>
              </w:rPr>
              <w:t>人身</w:t>
            </w:r>
          </w:p>
          <w:p w14:paraId="6EED20EC">
            <w:pPr>
              <w:spacing w:before="31" w:beforeLines="10" w:after="31" w:afterLines="10" w:line="440" w:lineRule="atLeast"/>
              <w:jc w:val="center"/>
              <w:rPr>
                <w:rFonts w:ascii="仿宋" w:hAnsi="仿宋" w:eastAsia="仿宋" w:cs="仿宋"/>
                <w:sz w:val="24"/>
              </w:rPr>
            </w:pPr>
            <w:r>
              <w:rPr>
                <w:rFonts w:hint="eastAsia" w:ascii="仿宋" w:hAnsi="仿宋" w:eastAsia="仿宋" w:cs="仿宋"/>
                <w:sz w:val="24"/>
              </w:rPr>
              <w:t>保险</w:t>
            </w:r>
          </w:p>
        </w:tc>
        <w:tc>
          <w:tcPr>
            <w:tcW w:w="509" w:type="pct"/>
            <w:vMerge w:val="restart"/>
            <w:vAlign w:val="center"/>
          </w:tcPr>
          <w:p w14:paraId="2C33DF55">
            <w:pPr>
              <w:spacing w:before="31" w:beforeLines="10" w:after="31" w:afterLines="10" w:line="440" w:lineRule="atLeast"/>
              <w:jc w:val="center"/>
              <w:rPr>
                <w:rFonts w:ascii="仿宋" w:hAnsi="仿宋" w:eastAsia="仿宋" w:cs="仿宋"/>
                <w:sz w:val="24"/>
              </w:rPr>
            </w:pPr>
            <w:r>
              <w:rPr>
                <w:rFonts w:hint="eastAsia" w:ascii="仿宋" w:hAnsi="仿宋" w:eastAsia="仿宋" w:cs="仿宋"/>
                <w:sz w:val="24"/>
              </w:rPr>
              <w:t>人寿</w:t>
            </w:r>
          </w:p>
          <w:p w14:paraId="7A381829">
            <w:pPr>
              <w:spacing w:before="31" w:beforeLines="10" w:after="31" w:afterLines="10" w:line="440" w:lineRule="atLeast"/>
              <w:jc w:val="center"/>
              <w:rPr>
                <w:rFonts w:ascii="仿宋" w:hAnsi="仿宋" w:eastAsia="仿宋" w:cs="仿宋"/>
                <w:sz w:val="24"/>
              </w:rPr>
            </w:pPr>
            <w:r>
              <w:rPr>
                <w:rFonts w:hint="eastAsia" w:ascii="仿宋" w:hAnsi="仿宋" w:eastAsia="仿宋" w:cs="仿宋"/>
                <w:sz w:val="24"/>
              </w:rPr>
              <w:t>保险</w:t>
            </w:r>
          </w:p>
        </w:tc>
        <w:tc>
          <w:tcPr>
            <w:tcW w:w="1331" w:type="pct"/>
          </w:tcPr>
          <w:p w14:paraId="7257FE74">
            <w:pPr>
              <w:spacing w:before="31" w:beforeLines="10" w:after="31" w:afterLines="10" w:line="440" w:lineRule="atLeast"/>
              <w:rPr>
                <w:rFonts w:ascii="仿宋" w:hAnsi="仿宋" w:eastAsia="仿宋" w:cs="仿宋"/>
                <w:sz w:val="24"/>
              </w:rPr>
            </w:pPr>
            <w:r>
              <w:rPr>
                <w:rFonts w:hint="eastAsia" w:ascii="仿宋" w:hAnsi="仿宋" w:eastAsia="仿宋" w:cs="仿宋"/>
                <w:sz w:val="24"/>
              </w:rPr>
              <w:t>有保证收益</w:t>
            </w:r>
          </w:p>
        </w:tc>
        <w:tc>
          <w:tcPr>
            <w:tcW w:w="1330" w:type="pct"/>
          </w:tcPr>
          <w:p w14:paraId="6DD5ED0F">
            <w:pPr>
              <w:spacing w:before="31" w:beforeLines="10" w:after="31" w:afterLines="10" w:line="440" w:lineRule="atLeast"/>
              <w:rPr>
                <w:rFonts w:ascii="仿宋" w:hAnsi="仿宋" w:eastAsia="仿宋" w:cs="仿宋"/>
                <w:sz w:val="24"/>
              </w:rPr>
            </w:pPr>
            <w:r>
              <w:rPr>
                <w:rFonts w:hint="eastAsia" w:ascii="仿宋" w:hAnsi="仿宋" w:eastAsia="仿宋" w:cs="仿宋"/>
                <w:sz w:val="24"/>
              </w:rPr>
              <w:t>业务收入的0.15%</w:t>
            </w:r>
          </w:p>
        </w:tc>
        <w:tc>
          <w:tcPr>
            <w:tcW w:w="1359" w:type="pct"/>
            <w:vMerge w:val="restart"/>
          </w:tcPr>
          <w:p w14:paraId="638AC530">
            <w:pPr>
              <w:spacing w:before="31" w:beforeLines="10" w:after="31" w:afterLines="10" w:line="440" w:lineRule="atLeast"/>
              <w:rPr>
                <w:rFonts w:ascii="仿宋" w:hAnsi="仿宋" w:eastAsia="仿宋" w:cs="仿宋"/>
                <w:sz w:val="24"/>
              </w:rPr>
            </w:pPr>
            <w:r>
              <w:rPr>
                <w:rFonts w:hint="eastAsia" w:ascii="仿宋" w:hAnsi="仿宋" w:eastAsia="仿宋" w:cs="仿宋"/>
                <w:sz w:val="24"/>
              </w:rPr>
              <w:t>保险保障基金余额达到公司总资产1%</w:t>
            </w:r>
          </w:p>
        </w:tc>
      </w:tr>
      <w:tr w14:paraId="766D2C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69" w:type="pct"/>
            <w:vMerge w:val="continue"/>
          </w:tcPr>
          <w:p w14:paraId="367C767D">
            <w:pPr>
              <w:keepNext/>
              <w:spacing w:before="31" w:beforeLines="10" w:after="31" w:afterLines="10" w:line="440" w:lineRule="atLeast"/>
              <w:outlineLvl w:val="2"/>
              <w:rPr>
                <w:rFonts w:ascii="仿宋" w:hAnsi="仿宋" w:eastAsia="仿宋" w:cs="仿宋"/>
                <w:b/>
                <w:bCs/>
                <w:sz w:val="24"/>
              </w:rPr>
            </w:pPr>
          </w:p>
        </w:tc>
        <w:tc>
          <w:tcPr>
            <w:tcW w:w="509" w:type="pct"/>
            <w:vMerge w:val="continue"/>
            <w:vAlign w:val="center"/>
          </w:tcPr>
          <w:p w14:paraId="10DEB440">
            <w:pPr>
              <w:keepNext/>
              <w:spacing w:before="31" w:beforeLines="10" w:after="31" w:afterLines="10" w:line="440" w:lineRule="atLeast"/>
              <w:jc w:val="center"/>
              <w:outlineLvl w:val="2"/>
              <w:rPr>
                <w:rFonts w:ascii="仿宋" w:hAnsi="仿宋" w:eastAsia="仿宋" w:cs="仿宋"/>
                <w:b/>
                <w:bCs/>
                <w:sz w:val="24"/>
              </w:rPr>
            </w:pPr>
          </w:p>
        </w:tc>
        <w:tc>
          <w:tcPr>
            <w:tcW w:w="1331" w:type="pct"/>
          </w:tcPr>
          <w:p w14:paraId="1D025A65">
            <w:pPr>
              <w:spacing w:before="31" w:beforeLines="10" w:after="31" w:afterLines="10" w:line="440" w:lineRule="atLeast"/>
              <w:rPr>
                <w:rFonts w:ascii="仿宋" w:hAnsi="仿宋" w:eastAsia="仿宋" w:cs="仿宋"/>
                <w:sz w:val="24"/>
              </w:rPr>
            </w:pPr>
            <w:r>
              <w:rPr>
                <w:rFonts w:hint="eastAsia" w:ascii="仿宋" w:hAnsi="仿宋" w:eastAsia="仿宋" w:cs="仿宋"/>
                <w:sz w:val="24"/>
              </w:rPr>
              <w:t>无保证收益</w:t>
            </w:r>
          </w:p>
        </w:tc>
        <w:tc>
          <w:tcPr>
            <w:tcW w:w="1330" w:type="pct"/>
          </w:tcPr>
          <w:p w14:paraId="37AE6064">
            <w:pPr>
              <w:spacing w:before="31" w:beforeLines="10" w:after="31" w:afterLines="10" w:line="440" w:lineRule="atLeast"/>
              <w:rPr>
                <w:rFonts w:ascii="仿宋" w:hAnsi="仿宋" w:eastAsia="仿宋" w:cs="仿宋"/>
                <w:sz w:val="24"/>
              </w:rPr>
            </w:pPr>
            <w:r>
              <w:rPr>
                <w:rFonts w:hint="eastAsia" w:ascii="仿宋" w:hAnsi="仿宋" w:eastAsia="仿宋" w:cs="仿宋"/>
                <w:sz w:val="24"/>
              </w:rPr>
              <w:t>业务收入的0.05%</w:t>
            </w:r>
          </w:p>
        </w:tc>
        <w:tc>
          <w:tcPr>
            <w:tcW w:w="1359" w:type="pct"/>
            <w:vMerge w:val="continue"/>
          </w:tcPr>
          <w:p w14:paraId="6186B959">
            <w:pPr>
              <w:keepNext/>
              <w:spacing w:before="31" w:beforeLines="10" w:after="31" w:afterLines="10" w:line="440" w:lineRule="atLeast"/>
              <w:outlineLvl w:val="2"/>
              <w:rPr>
                <w:rFonts w:ascii="仿宋" w:hAnsi="仿宋" w:eastAsia="仿宋" w:cs="仿宋"/>
                <w:b/>
                <w:bCs/>
                <w:sz w:val="24"/>
              </w:rPr>
            </w:pPr>
          </w:p>
        </w:tc>
      </w:tr>
      <w:tr w14:paraId="3ECD3D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69" w:type="pct"/>
            <w:vMerge w:val="continue"/>
          </w:tcPr>
          <w:p w14:paraId="23AB7A9C">
            <w:pPr>
              <w:keepNext/>
              <w:spacing w:before="31" w:beforeLines="10" w:after="31" w:afterLines="10" w:line="440" w:lineRule="atLeast"/>
              <w:outlineLvl w:val="2"/>
              <w:rPr>
                <w:rFonts w:ascii="仿宋" w:hAnsi="仿宋" w:eastAsia="仿宋" w:cs="仿宋"/>
                <w:b/>
                <w:bCs/>
                <w:sz w:val="24"/>
              </w:rPr>
            </w:pPr>
          </w:p>
        </w:tc>
        <w:tc>
          <w:tcPr>
            <w:tcW w:w="509" w:type="pct"/>
            <w:vMerge w:val="restart"/>
            <w:vAlign w:val="center"/>
          </w:tcPr>
          <w:p w14:paraId="214DA108">
            <w:pPr>
              <w:spacing w:before="31" w:beforeLines="10" w:after="31" w:afterLines="10" w:line="440" w:lineRule="atLeast"/>
              <w:jc w:val="center"/>
              <w:rPr>
                <w:rFonts w:ascii="仿宋" w:hAnsi="仿宋" w:eastAsia="仿宋" w:cs="仿宋"/>
                <w:sz w:val="24"/>
              </w:rPr>
            </w:pPr>
            <w:r>
              <w:rPr>
                <w:rFonts w:hint="eastAsia" w:ascii="仿宋" w:hAnsi="仿宋" w:eastAsia="仿宋" w:cs="仿宋"/>
                <w:sz w:val="24"/>
              </w:rPr>
              <w:t>健康</w:t>
            </w:r>
          </w:p>
          <w:p w14:paraId="1692CDFB">
            <w:pPr>
              <w:spacing w:before="31" w:beforeLines="10" w:after="31" w:afterLines="10" w:line="440" w:lineRule="atLeast"/>
              <w:jc w:val="center"/>
              <w:rPr>
                <w:rFonts w:ascii="仿宋" w:hAnsi="仿宋" w:eastAsia="仿宋" w:cs="仿宋"/>
                <w:sz w:val="24"/>
              </w:rPr>
            </w:pPr>
            <w:r>
              <w:rPr>
                <w:rFonts w:hint="eastAsia" w:ascii="仿宋" w:hAnsi="仿宋" w:eastAsia="仿宋" w:cs="仿宋"/>
                <w:sz w:val="24"/>
              </w:rPr>
              <w:t>保险</w:t>
            </w:r>
          </w:p>
        </w:tc>
        <w:tc>
          <w:tcPr>
            <w:tcW w:w="1331" w:type="pct"/>
          </w:tcPr>
          <w:p w14:paraId="4BD699F4">
            <w:pPr>
              <w:spacing w:before="31" w:beforeLines="10" w:after="31" w:afterLines="10" w:line="440" w:lineRule="atLeast"/>
              <w:rPr>
                <w:rFonts w:ascii="仿宋" w:hAnsi="仿宋" w:eastAsia="仿宋" w:cs="仿宋"/>
                <w:sz w:val="24"/>
              </w:rPr>
            </w:pPr>
            <w:r>
              <w:rPr>
                <w:rFonts w:hint="eastAsia" w:ascii="仿宋" w:hAnsi="仿宋" w:eastAsia="仿宋" w:cs="仿宋"/>
                <w:sz w:val="24"/>
              </w:rPr>
              <w:t>短期</w:t>
            </w:r>
          </w:p>
        </w:tc>
        <w:tc>
          <w:tcPr>
            <w:tcW w:w="1330" w:type="pct"/>
          </w:tcPr>
          <w:p w14:paraId="0CFED2A9">
            <w:pPr>
              <w:spacing w:before="31" w:beforeLines="10" w:after="31" w:afterLines="10" w:line="440" w:lineRule="atLeast"/>
              <w:rPr>
                <w:rFonts w:ascii="仿宋" w:hAnsi="仿宋" w:eastAsia="仿宋" w:cs="仿宋"/>
                <w:sz w:val="24"/>
              </w:rPr>
            </w:pPr>
            <w:r>
              <w:rPr>
                <w:rFonts w:hint="eastAsia" w:ascii="仿宋" w:hAnsi="仿宋" w:eastAsia="仿宋" w:cs="仿宋"/>
                <w:sz w:val="24"/>
              </w:rPr>
              <w:t>保费收入的0.8%</w:t>
            </w:r>
          </w:p>
        </w:tc>
        <w:tc>
          <w:tcPr>
            <w:tcW w:w="1359" w:type="pct"/>
            <w:vMerge w:val="continue"/>
          </w:tcPr>
          <w:p w14:paraId="52B6856D">
            <w:pPr>
              <w:keepNext/>
              <w:spacing w:before="31" w:beforeLines="10" w:after="31" w:afterLines="10" w:line="440" w:lineRule="atLeast"/>
              <w:outlineLvl w:val="2"/>
              <w:rPr>
                <w:rFonts w:ascii="仿宋" w:hAnsi="仿宋" w:eastAsia="仿宋" w:cs="仿宋"/>
                <w:b/>
                <w:bCs/>
                <w:sz w:val="24"/>
              </w:rPr>
            </w:pPr>
          </w:p>
        </w:tc>
      </w:tr>
      <w:tr w14:paraId="3184ED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69" w:type="pct"/>
            <w:vMerge w:val="continue"/>
          </w:tcPr>
          <w:p w14:paraId="4F3298D1">
            <w:pPr>
              <w:keepNext/>
              <w:spacing w:before="31" w:beforeLines="10" w:after="31" w:afterLines="10" w:line="440" w:lineRule="atLeast"/>
              <w:outlineLvl w:val="2"/>
              <w:rPr>
                <w:rFonts w:ascii="仿宋" w:hAnsi="仿宋" w:eastAsia="仿宋" w:cs="仿宋"/>
                <w:b/>
                <w:bCs/>
                <w:sz w:val="24"/>
              </w:rPr>
            </w:pPr>
          </w:p>
        </w:tc>
        <w:tc>
          <w:tcPr>
            <w:tcW w:w="509" w:type="pct"/>
            <w:vMerge w:val="continue"/>
            <w:vAlign w:val="center"/>
          </w:tcPr>
          <w:p w14:paraId="359B53FD">
            <w:pPr>
              <w:keepNext/>
              <w:spacing w:before="31" w:beforeLines="10" w:after="31" w:afterLines="10" w:line="440" w:lineRule="atLeast"/>
              <w:jc w:val="center"/>
              <w:outlineLvl w:val="2"/>
              <w:rPr>
                <w:rFonts w:ascii="仿宋" w:hAnsi="仿宋" w:eastAsia="仿宋" w:cs="仿宋"/>
                <w:b/>
                <w:bCs/>
                <w:sz w:val="24"/>
              </w:rPr>
            </w:pPr>
          </w:p>
        </w:tc>
        <w:tc>
          <w:tcPr>
            <w:tcW w:w="1331" w:type="pct"/>
          </w:tcPr>
          <w:p w14:paraId="79B69DCF">
            <w:pPr>
              <w:spacing w:before="31" w:beforeLines="10" w:after="31" w:afterLines="10" w:line="440" w:lineRule="atLeast"/>
              <w:rPr>
                <w:rFonts w:ascii="仿宋" w:hAnsi="仿宋" w:eastAsia="仿宋" w:cs="仿宋"/>
                <w:sz w:val="24"/>
              </w:rPr>
            </w:pPr>
            <w:r>
              <w:rPr>
                <w:rFonts w:hint="eastAsia" w:ascii="仿宋" w:hAnsi="仿宋" w:eastAsia="仿宋" w:cs="仿宋"/>
                <w:sz w:val="24"/>
              </w:rPr>
              <w:t>长期</w:t>
            </w:r>
          </w:p>
        </w:tc>
        <w:tc>
          <w:tcPr>
            <w:tcW w:w="1330" w:type="pct"/>
          </w:tcPr>
          <w:p w14:paraId="30047922">
            <w:pPr>
              <w:spacing w:before="31" w:beforeLines="10" w:after="31" w:afterLines="10" w:line="440" w:lineRule="atLeast"/>
              <w:rPr>
                <w:rFonts w:ascii="仿宋" w:hAnsi="仿宋" w:eastAsia="仿宋" w:cs="仿宋"/>
                <w:sz w:val="24"/>
              </w:rPr>
            </w:pPr>
            <w:r>
              <w:rPr>
                <w:rFonts w:hint="eastAsia" w:ascii="仿宋" w:hAnsi="仿宋" w:eastAsia="仿宋" w:cs="仿宋"/>
                <w:sz w:val="24"/>
              </w:rPr>
              <w:t>保费收入的0.15%</w:t>
            </w:r>
          </w:p>
        </w:tc>
        <w:tc>
          <w:tcPr>
            <w:tcW w:w="1359" w:type="pct"/>
            <w:vMerge w:val="continue"/>
          </w:tcPr>
          <w:p w14:paraId="6350A107">
            <w:pPr>
              <w:keepNext/>
              <w:spacing w:before="31" w:beforeLines="10" w:after="31" w:afterLines="10" w:line="440" w:lineRule="atLeast"/>
              <w:outlineLvl w:val="2"/>
              <w:rPr>
                <w:rFonts w:ascii="仿宋" w:hAnsi="仿宋" w:eastAsia="仿宋" w:cs="仿宋"/>
                <w:b/>
                <w:bCs/>
                <w:sz w:val="24"/>
              </w:rPr>
            </w:pPr>
          </w:p>
        </w:tc>
      </w:tr>
      <w:tr w14:paraId="4F508F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69" w:type="pct"/>
            <w:vMerge w:val="continue"/>
          </w:tcPr>
          <w:p w14:paraId="4617B2B2">
            <w:pPr>
              <w:keepNext/>
              <w:spacing w:before="31" w:beforeLines="10" w:after="31" w:afterLines="10" w:line="440" w:lineRule="atLeast"/>
              <w:outlineLvl w:val="2"/>
              <w:rPr>
                <w:rFonts w:ascii="仿宋" w:hAnsi="仿宋" w:eastAsia="仿宋" w:cs="仿宋"/>
                <w:b/>
                <w:bCs/>
                <w:sz w:val="24"/>
              </w:rPr>
            </w:pPr>
          </w:p>
        </w:tc>
        <w:tc>
          <w:tcPr>
            <w:tcW w:w="509" w:type="pct"/>
            <w:vMerge w:val="restart"/>
            <w:vAlign w:val="center"/>
          </w:tcPr>
          <w:p w14:paraId="568B6188">
            <w:pPr>
              <w:spacing w:before="31" w:beforeLines="10" w:after="31" w:afterLines="10" w:line="440" w:lineRule="atLeast"/>
              <w:jc w:val="center"/>
              <w:rPr>
                <w:rFonts w:ascii="仿宋" w:hAnsi="仿宋" w:eastAsia="仿宋" w:cs="仿宋"/>
                <w:sz w:val="24"/>
              </w:rPr>
            </w:pPr>
            <w:r>
              <w:rPr>
                <w:rFonts w:hint="eastAsia" w:ascii="仿宋" w:hAnsi="仿宋" w:eastAsia="仿宋" w:cs="仿宋"/>
                <w:sz w:val="24"/>
              </w:rPr>
              <w:t>意外</w:t>
            </w:r>
          </w:p>
          <w:p w14:paraId="2A2E6ACE">
            <w:pPr>
              <w:spacing w:before="31" w:beforeLines="10" w:after="31" w:afterLines="10" w:line="440" w:lineRule="atLeast"/>
              <w:jc w:val="center"/>
              <w:rPr>
                <w:rFonts w:ascii="仿宋" w:hAnsi="仿宋" w:eastAsia="仿宋" w:cs="仿宋"/>
                <w:sz w:val="24"/>
              </w:rPr>
            </w:pPr>
            <w:r>
              <w:rPr>
                <w:rFonts w:hint="eastAsia" w:ascii="仿宋" w:hAnsi="仿宋" w:eastAsia="仿宋" w:cs="仿宋"/>
                <w:sz w:val="24"/>
              </w:rPr>
              <w:t>伤害</w:t>
            </w:r>
          </w:p>
          <w:p w14:paraId="164E63AC">
            <w:pPr>
              <w:spacing w:before="31" w:beforeLines="10" w:after="31" w:afterLines="10" w:line="440" w:lineRule="atLeast"/>
              <w:jc w:val="center"/>
              <w:rPr>
                <w:rFonts w:ascii="仿宋" w:hAnsi="仿宋" w:eastAsia="仿宋" w:cs="仿宋"/>
                <w:sz w:val="24"/>
              </w:rPr>
            </w:pPr>
            <w:r>
              <w:rPr>
                <w:rFonts w:hint="eastAsia" w:ascii="仿宋" w:hAnsi="仿宋" w:eastAsia="仿宋" w:cs="仿宋"/>
                <w:sz w:val="24"/>
              </w:rPr>
              <w:t>保险</w:t>
            </w:r>
          </w:p>
        </w:tc>
        <w:tc>
          <w:tcPr>
            <w:tcW w:w="1331" w:type="pct"/>
          </w:tcPr>
          <w:p w14:paraId="347EAF36">
            <w:pPr>
              <w:spacing w:before="31" w:beforeLines="10" w:after="31" w:afterLines="10" w:line="440" w:lineRule="atLeast"/>
              <w:rPr>
                <w:rFonts w:ascii="仿宋" w:hAnsi="仿宋" w:eastAsia="仿宋" w:cs="仿宋"/>
                <w:sz w:val="24"/>
              </w:rPr>
            </w:pPr>
            <w:r>
              <w:rPr>
                <w:rFonts w:hint="eastAsia" w:ascii="仿宋" w:hAnsi="仿宋" w:eastAsia="仿宋" w:cs="仿宋"/>
                <w:sz w:val="24"/>
              </w:rPr>
              <w:t>非投资型</w:t>
            </w:r>
          </w:p>
        </w:tc>
        <w:tc>
          <w:tcPr>
            <w:tcW w:w="1330" w:type="pct"/>
          </w:tcPr>
          <w:p w14:paraId="7FBD3640">
            <w:pPr>
              <w:spacing w:before="31" w:beforeLines="10" w:after="31" w:afterLines="10" w:line="440" w:lineRule="atLeast"/>
              <w:rPr>
                <w:rFonts w:ascii="仿宋" w:hAnsi="仿宋" w:eastAsia="仿宋" w:cs="仿宋"/>
                <w:sz w:val="24"/>
              </w:rPr>
            </w:pPr>
            <w:r>
              <w:rPr>
                <w:rFonts w:hint="eastAsia" w:ascii="仿宋" w:hAnsi="仿宋" w:eastAsia="仿宋" w:cs="仿宋"/>
                <w:sz w:val="24"/>
              </w:rPr>
              <w:t>保费收入的0.8%</w:t>
            </w:r>
          </w:p>
        </w:tc>
        <w:tc>
          <w:tcPr>
            <w:tcW w:w="1359" w:type="pct"/>
            <w:vMerge w:val="continue"/>
          </w:tcPr>
          <w:p w14:paraId="244D0C1D">
            <w:pPr>
              <w:keepNext/>
              <w:spacing w:before="31" w:beforeLines="10" w:after="31" w:afterLines="10" w:line="440" w:lineRule="atLeast"/>
              <w:outlineLvl w:val="2"/>
              <w:rPr>
                <w:rFonts w:ascii="仿宋" w:hAnsi="仿宋" w:eastAsia="仿宋" w:cs="仿宋"/>
                <w:b/>
                <w:bCs/>
                <w:sz w:val="24"/>
              </w:rPr>
            </w:pPr>
          </w:p>
        </w:tc>
      </w:tr>
      <w:tr w14:paraId="3B0EE8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69" w:type="pct"/>
            <w:vMerge w:val="continue"/>
          </w:tcPr>
          <w:p w14:paraId="7A7CA22B">
            <w:pPr>
              <w:keepNext/>
              <w:spacing w:before="31" w:beforeLines="10" w:after="31" w:afterLines="10" w:line="440" w:lineRule="atLeast"/>
              <w:outlineLvl w:val="2"/>
              <w:rPr>
                <w:rFonts w:ascii="仿宋" w:hAnsi="仿宋" w:eastAsia="仿宋" w:cs="仿宋"/>
                <w:b/>
                <w:bCs/>
                <w:sz w:val="24"/>
              </w:rPr>
            </w:pPr>
          </w:p>
        </w:tc>
        <w:tc>
          <w:tcPr>
            <w:tcW w:w="509" w:type="pct"/>
            <w:vMerge w:val="continue"/>
          </w:tcPr>
          <w:p w14:paraId="622CFC6E">
            <w:pPr>
              <w:keepNext/>
              <w:spacing w:before="31" w:beforeLines="10" w:after="31" w:afterLines="10" w:line="440" w:lineRule="atLeast"/>
              <w:outlineLvl w:val="2"/>
              <w:rPr>
                <w:rFonts w:ascii="仿宋" w:hAnsi="仿宋" w:eastAsia="仿宋" w:cs="仿宋"/>
                <w:b/>
                <w:bCs/>
                <w:sz w:val="24"/>
              </w:rPr>
            </w:pPr>
          </w:p>
        </w:tc>
        <w:tc>
          <w:tcPr>
            <w:tcW w:w="1331" w:type="pct"/>
          </w:tcPr>
          <w:p w14:paraId="540EC189">
            <w:pPr>
              <w:spacing w:before="31" w:beforeLines="10" w:after="31" w:afterLines="10" w:line="440" w:lineRule="atLeast"/>
              <w:rPr>
                <w:rFonts w:ascii="仿宋" w:hAnsi="仿宋" w:eastAsia="仿宋" w:cs="仿宋"/>
                <w:sz w:val="24"/>
              </w:rPr>
            </w:pPr>
            <w:r>
              <w:rPr>
                <w:rFonts w:hint="eastAsia" w:ascii="仿宋" w:hAnsi="仿宋" w:eastAsia="仿宋" w:cs="仿宋"/>
                <w:sz w:val="24"/>
              </w:rPr>
              <w:t>投资型、有保证收益</w:t>
            </w:r>
          </w:p>
        </w:tc>
        <w:tc>
          <w:tcPr>
            <w:tcW w:w="1330" w:type="pct"/>
          </w:tcPr>
          <w:p w14:paraId="7358215C">
            <w:pPr>
              <w:spacing w:before="31" w:beforeLines="10" w:after="31" w:afterLines="10" w:line="440" w:lineRule="atLeast"/>
              <w:rPr>
                <w:rFonts w:ascii="仿宋" w:hAnsi="仿宋" w:eastAsia="仿宋" w:cs="仿宋"/>
                <w:sz w:val="24"/>
              </w:rPr>
            </w:pPr>
            <w:r>
              <w:rPr>
                <w:rFonts w:hint="eastAsia" w:ascii="仿宋" w:hAnsi="仿宋" w:eastAsia="仿宋" w:cs="仿宋"/>
                <w:sz w:val="24"/>
              </w:rPr>
              <w:t>业务收入的0.08%</w:t>
            </w:r>
          </w:p>
        </w:tc>
        <w:tc>
          <w:tcPr>
            <w:tcW w:w="1359" w:type="pct"/>
            <w:vMerge w:val="continue"/>
          </w:tcPr>
          <w:p w14:paraId="05FB9108">
            <w:pPr>
              <w:keepNext/>
              <w:spacing w:before="31" w:beforeLines="10" w:after="31" w:afterLines="10" w:line="440" w:lineRule="atLeast"/>
              <w:outlineLvl w:val="2"/>
              <w:rPr>
                <w:rFonts w:ascii="仿宋" w:hAnsi="仿宋" w:eastAsia="仿宋" w:cs="仿宋"/>
                <w:b/>
                <w:bCs/>
                <w:sz w:val="24"/>
              </w:rPr>
            </w:pPr>
          </w:p>
        </w:tc>
      </w:tr>
      <w:tr w14:paraId="5CE241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69" w:type="pct"/>
            <w:vMerge w:val="continue"/>
          </w:tcPr>
          <w:p w14:paraId="05399991">
            <w:pPr>
              <w:keepNext/>
              <w:spacing w:before="31" w:beforeLines="10" w:after="31" w:afterLines="10" w:line="440" w:lineRule="atLeast"/>
              <w:outlineLvl w:val="2"/>
              <w:rPr>
                <w:rFonts w:ascii="仿宋" w:hAnsi="仿宋" w:eastAsia="仿宋" w:cs="仿宋"/>
                <w:b/>
                <w:bCs/>
                <w:sz w:val="24"/>
              </w:rPr>
            </w:pPr>
          </w:p>
        </w:tc>
        <w:tc>
          <w:tcPr>
            <w:tcW w:w="509" w:type="pct"/>
            <w:vMerge w:val="continue"/>
          </w:tcPr>
          <w:p w14:paraId="7B934950">
            <w:pPr>
              <w:keepNext/>
              <w:spacing w:before="31" w:beforeLines="10" w:after="31" w:afterLines="10" w:line="440" w:lineRule="atLeast"/>
              <w:outlineLvl w:val="2"/>
              <w:rPr>
                <w:rFonts w:ascii="仿宋" w:hAnsi="仿宋" w:eastAsia="仿宋" w:cs="仿宋"/>
                <w:b/>
                <w:bCs/>
                <w:sz w:val="24"/>
              </w:rPr>
            </w:pPr>
          </w:p>
        </w:tc>
        <w:tc>
          <w:tcPr>
            <w:tcW w:w="1331" w:type="pct"/>
          </w:tcPr>
          <w:p w14:paraId="4FE55946">
            <w:pPr>
              <w:spacing w:before="31" w:beforeLines="10" w:after="31" w:afterLines="10" w:line="440" w:lineRule="atLeast"/>
              <w:rPr>
                <w:rFonts w:ascii="仿宋" w:hAnsi="仿宋" w:eastAsia="仿宋" w:cs="仿宋"/>
                <w:sz w:val="24"/>
              </w:rPr>
            </w:pPr>
            <w:r>
              <w:rPr>
                <w:rFonts w:hint="eastAsia" w:ascii="仿宋" w:hAnsi="仿宋" w:eastAsia="仿宋" w:cs="仿宋"/>
                <w:sz w:val="24"/>
              </w:rPr>
              <w:t>投资型、无保证收益</w:t>
            </w:r>
          </w:p>
        </w:tc>
        <w:tc>
          <w:tcPr>
            <w:tcW w:w="1330" w:type="pct"/>
          </w:tcPr>
          <w:p w14:paraId="1299B8E7">
            <w:pPr>
              <w:spacing w:before="31" w:beforeLines="10" w:after="31" w:afterLines="10" w:line="440" w:lineRule="atLeast"/>
              <w:rPr>
                <w:rFonts w:ascii="仿宋" w:hAnsi="仿宋" w:eastAsia="仿宋" w:cs="仿宋"/>
                <w:sz w:val="24"/>
              </w:rPr>
            </w:pPr>
            <w:r>
              <w:rPr>
                <w:rFonts w:hint="eastAsia" w:ascii="仿宋" w:hAnsi="仿宋" w:eastAsia="仿宋" w:cs="仿宋"/>
                <w:sz w:val="24"/>
              </w:rPr>
              <w:t>业务收入的0.05%</w:t>
            </w:r>
          </w:p>
        </w:tc>
        <w:tc>
          <w:tcPr>
            <w:tcW w:w="1359" w:type="pct"/>
            <w:vMerge w:val="continue"/>
          </w:tcPr>
          <w:p w14:paraId="7D5C598E">
            <w:pPr>
              <w:keepNext/>
              <w:spacing w:before="31" w:beforeLines="10" w:after="31" w:afterLines="10" w:line="440" w:lineRule="atLeast"/>
              <w:outlineLvl w:val="2"/>
              <w:rPr>
                <w:rFonts w:ascii="仿宋" w:hAnsi="仿宋" w:eastAsia="仿宋" w:cs="仿宋"/>
                <w:b/>
                <w:bCs/>
                <w:sz w:val="24"/>
              </w:rPr>
            </w:pPr>
          </w:p>
        </w:tc>
      </w:tr>
    </w:tbl>
    <w:p w14:paraId="6ABBD13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保险公司会计年度提取的保险保障基金，计入业务及管理费科目。对保险公司进行评估，应根据保险公司不同类型业务对应的收入，合理计算当年应计提的保险保障基金。</w:t>
      </w:r>
    </w:p>
    <w:p w14:paraId="1515B69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四、财险公司监管指标</w:t>
      </w:r>
    </w:p>
    <w:p w14:paraId="34617F9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（一）综合赔付率</w:t>
      </w:r>
    </w:p>
    <w:p w14:paraId="0074F39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综合赔付率﹦（赔付支出﹣摊回赔付支出﹢提取保险责任准备金﹣摊回保险责任准备金）/已赚保费</w:t>
      </w:r>
    </w:p>
    <w:p w14:paraId="0447DAB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综合赔付率衡量财险公司的赔付支出情况。对财险公司进行评估，应根据预测结果计算其综合赔付率，预测期间的综合赔付率应符合该公司历史趋势和发展预期。</w:t>
      </w:r>
    </w:p>
    <w:p w14:paraId="7DF52C3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（二）综合费用率</w:t>
      </w:r>
    </w:p>
    <w:p w14:paraId="0394850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综合费用率﹦（非投资相关的营业税金及附加﹢非投资相关的手续费及佣金支出﹢非投资相关的业务及管理费﹢分保费用﹣摊回分保费用）/已赚保费</w:t>
      </w:r>
    </w:p>
    <w:p w14:paraId="772C135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综合费用率衡量财险公司控制经营成本的能力。其中，手续费及佣金支出主要是保险公司支付给销售渠道以及保险营销员的费用。对财险公司进行评估，应根据预测结果计算其综合费用率，预测期间的综合费用率应符合该公司历史趋势和发展预期。</w:t>
      </w:r>
    </w:p>
    <w:p w14:paraId="5A0428E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（三）综合成本率</w:t>
      </w:r>
    </w:p>
    <w:p w14:paraId="1E54C84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综合成本率﹦综合赔付率﹢综合费用率</w:t>
      </w:r>
    </w:p>
    <w:p w14:paraId="12DE127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综合成本率考虑了财险公司保险业务所对应的赔付和经营等各项支出，用于衡量财险公司开展保险业务的盈利能力。对财险公司进行评估，应根据预测结果计算其综合成本率，预测期间的综合成本率应符合该公司历史趋势和发展预期。</w:t>
      </w:r>
    </w:p>
    <w:p w14:paraId="60D4A70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（四）应收保费率</w:t>
      </w:r>
    </w:p>
    <w:p w14:paraId="5901A72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应收保费率﹦应收保费/保费收入×100%</w:t>
      </w:r>
    </w:p>
    <w:p w14:paraId="67EA03E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其中，应收保费指认可资产表中“应收保费”的账面价值中账龄不长于1年的那部分应收保费价值。</w:t>
      </w:r>
    </w:p>
    <w:p w14:paraId="77D47A5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应收保费率衡量财险公司及时收取保费的能力。应收保费率过高，可能导致财险公司出现现金流紧张、坏账率较高等问题，给保险公司造成较大的经营风险。根据监管要求，保险公司的应收保费率应不大于8%。对财险公司进行评估，应结合监管要求、公司历史趋势及未来经营环境，合理假设其应收保费率。</w:t>
      </w:r>
    </w:p>
    <w:p w14:paraId="11E16F6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五、寿险公司监管指标</w:t>
      </w:r>
    </w:p>
    <w:p w14:paraId="2F82AFC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（一）退保率</w:t>
      </w:r>
    </w:p>
    <w:p w14:paraId="2E0B5F9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退保率﹦退保金/（上年末长期险责任准备金＋本年长期险保费收入）×100%</w:t>
      </w:r>
    </w:p>
    <w:p w14:paraId="0471C9A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退保率衡量寿险公司的业务质量，退保率过高，则寿险公司经营业务的稳定性较差。根据监管要求，寿险公司的退保率应小于5%。</w:t>
      </w:r>
    </w:p>
    <w:p w14:paraId="22AB157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影响寿险公司退保率的因素包括保险公司的保险产品质量、服务质量、投资收益率、市场其他投资产品收益率等。对寿险公司进行评估，应结合该公司历史趋势和相关影响因素，合理假设其退保率。</w:t>
      </w:r>
    </w:p>
    <w:p w14:paraId="239E880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（二）评估中应关注的问题</w:t>
      </w:r>
    </w:p>
    <w:p w14:paraId="6F5A0B4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偿付能力充足率衡量保险公司对保单持有人进行偿付的能力，反映保险公司对于经营风险的覆盖程度。对保险公司进行评估，偿付能力充足率不足或出现预警的，评估机构可以调整其预测期的发展规模，使其逐渐符合监管要求。此外，保险公司也可以通过发行新股、次级债、降低分红水平等方式对实际资本进行补充。对于偿付能力充足率不符合监管要求的保险公司，评估机构应在评估报告中披露相关风险。</w:t>
      </w:r>
    </w:p>
    <w:p w14:paraId="31E1C25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综合赔付率、综合费用率和综合成本率衡量财险公司的成本控制能力，直接影响财险公司的利润表现。影响财险公司成本相关指标的因素包括保险险种、业务质量、成本控制能力等。此外，综合赔付率指标中的赔付支出主要取决于历史年度的业务状况，而已赚保费反映当期的保费收入，二者之间存在一定的不匹配，对于经营尚不稳定的财险公司，该指标的波动性可能较大。对财险公司进行评估，应关注该公司历史期间的成本费用率是否稳定，与同行业其他公司相比处于什么水平，并分析其原因，以对预测期做出合理假设。</w:t>
      </w:r>
    </w:p>
    <w:p w14:paraId="497E4E6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退保率主要用于衡量寿险公司的业务情况。影响退保率指标的因素包括寿险公司业务质量、人员服务水平、市场其他投资产品收益率等。对寿险公司进行评估，应关注评估对象退保率的历史趋势，与同行业其他公司相比处于什么水平，并分析其原因，合理预测退保率。对于退保率过高的保险公司，评估机构应在评估报告中披露相关风险。</w:t>
      </w:r>
    </w:p>
    <w:p w14:paraId="0E50171E">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第五章　信托公司</w:t>
      </w:r>
    </w:p>
    <w:p w14:paraId="5269D17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一、监管机构</w:t>
      </w:r>
    </w:p>
    <w:p w14:paraId="6E647C3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信托公司开展各项经营业务，主要受中国银监会监管，上市信托公司同时受到中国证监会监管。</w:t>
      </w:r>
    </w:p>
    <w:p w14:paraId="1B38E8B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二、信托公司分级监管</w:t>
      </w:r>
    </w:p>
    <w:p w14:paraId="0F4D72E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（一）监管评级</w:t>
      </w:r>
    </w:p>
    <w:p w14:paraId="096EF1B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中国银监会以公司治理、内部控制、合规管理、资产管理和盈利能力等五个方面为基础，对我国信托公司进行评级。单项要素的评级结果根据定量指标和定性因素的得分情况划分为1-6级，综合评级根据各要素的重要性和级别情况确定为1-6级，每个级别分别设A、B、C三档。</w:t>
      </w:r>
    </w:p>
    <w:p w14:paraId="41059F9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（二）评级指标</w:t>
      </w:r>
    </w:p>
    <w:p w14:paraId="513A8E3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信托公司评级指标包括定性指标和定量指标，定量指标包括资产管理定量指标和盈利能力定量指标。</w:t>
      </w:r>
    </w:p>
    <w:p w14:paraId="7B9F871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1.资产管理定量指标</w:t>
      </w:r>
    </w:p>
    <w:tbl>
      <w:tblPr>
        <w:tblStyle w:val="24"/>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3551"/>
        <w:gridCol w:w="4963"/>
      </w:tblGrid>
      <w:tr w14:paraId="0FB9A1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2085" w:type="pct"/>
            <w:vAlign w:val="center"/>
          </w:tcPr>
          <w:p w14:paraId="4FBEEA9D">
            <w:pPr>
              <w:spacing w:before="31" w:beforeLines="10" w:after="31" w:afterLines="10" w:line="440" w:lineRule="atLeast"/>
              <w:jc w:val="center"/>
              <w:rPr>
                <w:rFonts w:ascii="仿宋" w:hAnsi="仿宋" w:eastAsia="仿宋" w:cs="仿宋"/>
                <w:b/>
                <w:sz w:val="24"/>
              </w:rPr>
            </w:pPr>
            <w:r>
              <w:rPr>
                <w:rFonts w:hint="eastAsia" w:ascii="仿宋" w:hAnsi="仿宋" w:eastAsia="仿宋" w:cs="仿宋"/>
                <w:b/>
                <w:sz w:val="24"/>
              </w:rPr>
              <w:t>资产管理能力</w:t>
            </w:r>
          </w:p>
        </w:tc>
        <w:tc>
          <w:tcPr>
            <w:tcW w:w="2914" w:type="pct"/>
          </w:tcPr>
          <w:p w14:paraId="03641741">
            <w:pPr>
              <w:spacing w:before="31" w:beforeLines="10" w:after="31" w:afterLines="10" w:line="440" w:lineRule="atLeast"/>
              <w:jc w:val="center"/>
              <w:rPr>
                <w:rFonts w:ascii="仿宋" w:hAnsi="仿宋" w:eastAsia="仿宋" w:cs="仿宋"/>
                <w:b/>
                <w:sz w:val="24"/>
              </w:rPr>
            </w:pPr>
            <w:r>
              <w:rPr>
                <w:rFonts w:hint="eastAsia" w:ascii="仿宋" w:hAnsi="仿宋" w:eastAsia="仿宋" w:cs="仿宋"/>
                <w:b/>
                <w:sz w:val="24"/>
              </w:rPr>
              <w:t>指标名称</w:t>
            </w:r>
          </w:p>
        </w:tc>
      </w:tr>
      <w:tr w14:paraId="7A8BCE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085" w:type="pct"/>
            <w:vAlign w:val="center"/>
          </w:tcPr>
          <w:p w14:paraId="066B2858">
            <w:pPr>
              <w:spacing w:before="31" w:beforeLines="10" w:after="31" w:afterLines="10" w:line="440" w:lineRule="atLeast"/>
              <w:jc w:val="center"/>
              <w:rPr>
                <w:rFonts w:ascii="仿宋" w:hAnsi="仿宋" w:eastAsia="仿宋" w:cs="仿宋"/>
                <w:sz w:val="24"/>
              </w:rPr>
            </w:pPr>
            <w:r>
              <w:rPr>
                <w:rFonts w:hint="eastAsia" w:ascii="仿宋" w:hAnsi="仿宋" w:eastAsia="仿宋" w:cs="仿宋"/>
                <w:sz w:val="24"/>
              </w:rPr>
              <w:t>综合管理能力</w:t>
            </w:r>
          </w:p>
        </w:tc>
        <w:tc>
          <w:tcPr>
            <w:tcW w:w="2914" w:type="pct"/>
          </w:tcPr>
          <w:p w14:paraId="623FBE71">
            <w:pPr>
              <w:spacing w:before="31" w:beforeLines="10" w:after="31" w:afterLines="10" w:line="440" w:lineRule="atLeast"/>
              <w:rPr>
                <w:rFonts w:ascii="仿宋" w:hAnsi="仿宋" w:eastAsia="仿宋" w:cs="仿宋"/>
                <w:sz w:val="24"/>
              </w:rPr>
            </w:pPr>
            <w:r>
              <w:rPr>
                <w:rFonts w:hint="eastAsia" w:ascii="仿宋" w:hAnsi="仿宋" w:eastAsia="仿宋" w:cs="仿宋"/>
                <w:sz w:val="24"/>
              </w:rPr>
              <w:t>净资本</w:t>
            </w:r>
          </w:p>
        </w:tc>
      </w:tr>
      <w:tr w14:paraId="5A4F20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085" w:type="pct"/>
            <w:vMerge w:val="restart"/>
            <w:vAlign w:val="center"/>
          </w:tcPr>
          <w:p w14:paraId="1C310D9F">
            <w:pPr>
              <w:spacing w:before="31" w:beforeLines="10" w:after="31" w:afterLines="10" w:line="440" w:lineRule="atLeast"/>
              <w:jc w:val="center"/>
              <w:rPr>
                <w:rFonts w:ascii="仿宋" w:hAnsi="仿宋" w:eastAsia="仿宋" w:cs="仿宋"/>
                <w:sz w:val="24"/>
              </w:rPr>
            </w:pPr>
            <w:r>
              <w:rPr>
                <w:rFonts w:hint="eastAsia" w:ascii="仿宋" w:hAnsi="仿宋" w:eastAsia="仿宋" w:cs="仿宋"/>
                <w:sz w:val="24"/>
              </w:rPr>
              <w:t>信托业务综合管理能力</w:t>
            </w:r>
          </w:p>
        </w:tc>
        <w:tc>
          <w:tcPr>
            <w:tcW w:w="2914" w:type="pct"/>
          </w:tcPr>
          <w:p w14:paraId="6F27A7FB">
            <w:pPr>
              <w:spacing w:before="31" w:beforeLines="10" w:after="31" w:afterLines="10" w:line="440" w:lineRule="atLeast"/>
              <w:rPr>
                <w:rFonts w:ascii="仿宋" w:hAnsi="仿宋" w:eastAsia="仿宋" w:cs="仿宋"/>
                <w:sz w:val="24"/>
              </w:rPr>
            </w:pPr>
            <w:r>
              <w:rPr>
                <w:rFonts w:hint="eastAsia" w:ascii="仿宋" w:hAnsi="仿宋" w:eastAsia="仿宋" w:cs="仿宋"/>
                <w:sz w:val="24"/>
              </w:rPr>
              <w:t>信托业务规模</w:t>
            </w:r>
          </w:p>
        </w:tc>
      </w:tr>
      <w:tr w14:paraId="2998D6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085" w:type="pct"/>
            <w:vMerge w:val="continue"/>
            <w:vAlign w:val="center"/>
          </w:tcPr>
          <w:p w14:paraId="01A2F0EE">
            <w:pPr>
              <w:spacing w:before="31" w:beforeLines="10" w:after="31" w:afterLines="10" w:line="440" w:lineRule="atLeast"/>
              <w:jc w:val="center"/>
              <w:rPr>
                <w:rFonts w:ascii="仿宋" w:hAnsi="仿宋" w:eastAsia="仿宋" w:cs="仿宋"/>
                <w:b/>
                <w:bCs/>
                <w:sz w:val="24"/>
              </w:rPr>
            </w:pPr>
          </w:p>
        </w:tc>
        <w:tc>
          <w:tcPr>
            <w:tcW w:w="2914" w:type="pct"/>
          </w:tcPr>
          <w:p w14:paraId="4FFEE5EA">
            <w:pPr>
              <w:spacing w:before="31" w:beforeLines="10" w:after="31" w:afterLines="10" w:line="440" w:lineRule="atLeast"/>
              <w:rPr>
                <w:rFonts w:ascii="仿宋" w:hAnsi="仿宋" w:eastAsia="仿宋" w:cs="仿宋"/>
                <w:sz w:val="24"/>
              </w:rPr>
            </w:pPr>
            <w:r>
              <w:rPr>
                <w:rFonts w:hint="eastAsia" w:ascii="仿宋" w:hAnsi="仿宋" w:eastAsia="仿宋" w:cs="仿宋"/>
                <w:sz w:val="24"/>
              </w:rPr>
              <w:t>信托业务收入</w:t>
            </w:r>
          </w:p>
        </w:tc>
      </w:tr>
      <w:tr w14:paraId="1AF79F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085" w:type="pct"/>
            <w:vMerge w:val="continue"/>
            <w:vAlign w:val="center"/>
          </w:tcPr>
          <w:p w14:paraId="4EF8C6E3">
            <w:pPr>
              <w:spacing w:before="31" w:beforeLines="10" w:after="31" w:afterLines="10" w:line="440" w:lineRule="atLeast"/>
              <w:jc w:val="center"/>
              <w:rPr>
                <w:rFonts w:ascii="仿宋" w:hAnsi="仿宋" w:eastAsia="仿宋" w:cs="仿宋"/>
                <w:b/>
                <w:bCs/>
                <w:sz w:val="24"/>
              </w:rPr>
            </w:pPr>
          </w:p>
        </w:tc>
        <w:tc>
          <w:tcPr>
            <w:tcW w:w="2914" w:type="pct"/>
          </w:tcPr>
          <w:p w14:paraId="25862011">
            <w:pPr>
              <w:spacing w:before="31" w:beforeLines="10" w:after="31" w:afterLines="10" w:line="440" w:lineRule="atLeast"/>
              <w:rPr>
                <w:rFonts w:ascii="仿宋" w:hAnsi="仿宋" w:eastAsia="仿宋" w:cs="仿宋"/>
                <w:sz w:val="24"/>
              </w:rPr>
            </w:pPr>
            <w:r>
              <w:rPr>
                <w:rFonts w:hint="eastAsia" w:ascii="仿宋" w:hAnsi="仿宋" w:eastAsia="仿宋" w:cs="仿宋"/>
                <w:sz w:val="24"/>
              </w:rPr>
              <w:t>信托规模增长率</w:t>
            </w:r>
          </w:p>
        </w:tc>
      </w:tr>
      <w:tr w14:paraId="1D0BD9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085" w:type="pct"/>
            <w:vMerge w:val="continue"/>
            <w:vAlign w:val="center"/>
          </w:tcPr>
          <w:p w14:paraId="575921AD">
            <w:pPr>
              <w:spacing w:before="31" w:beforeLines="10" w:after="31" w:afterLines="10" w:line="440" w:lineRule="atLeast"/>
              <w:jc w:val="center"/>
              <w:rPr>
                <w:rFonts w:ascii="仿宋" w:hAnsi="仿宋" w:eastAsia="仿宋" w:cs="仿宋"/>
                <w:b/>
                <w:bCs/>
                <w:sz w:val="24"/>
              </w:rPr>
            </w:pPr>
          </w:p>
        </w:tc>
        <w:tc>
          <w:tcPr>
            <w:tcW w:w="2914" w:type="pct"/>
          </w:tcPr>
          <w:p w14:paraId="7CD9DB2D">
            <w:pPr>
              <w:spacing w:before="31" w:beforeLines="10" w:after="31" w:afterLines="10" w:line="440" w:lineRule="atLeast"/>
              <w:rPr>
                <w:rFonts w:ascii="仿宋" w:hAnsi="仿宋" w:eastAsia="仿宋" w:cs="仿宋"/>
                <w:sz w:val="24"/>
              </w:rPr>
            </w:pPr>
            <w:r>
              <w:rPr>
                <w:rFonts w:hint="eastAsia" w:ascii="仿宋" w:hAnsi="仿宋" w:eastAsia="仿宋" w:cs="仿宋"/>
                <w:sz w:val="24"/>
              </w:rPr>
              <w:t>融资类业务收益水平</w:t>
            </w:r>
          </w:p>
        </w:tc>
      </w:tr>
      <w:tr w14:paraId="74E6C1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085" w:type="pct"/>
            <w:vMerge w:val="continue"/>
            <w:vAlign w:val="center"/>
          </w:tcPr>
          <w:p w14:paraId="745FC9A1">
            <w:pPr>
              <w:spacing w:before="31" w:beforeLines="10" w:after="31" w:afterLines="10" w:line="440" w:lineRule="atLeast"/>
              <w:jc w:val="center"/>
              <w:rPr>
                <w:rFonts w:ascii="仿宋" w:hAnsi="仿宋" w:eastAsia="仿宋" w:cs="仿宋"/>
                <w:b/>
                <w:bCs/>
                <w:sz w:val="24"/>
              </w:rPr>
            </w:pPr>
          </w:p>
        </w:tc>
        <w:tc>
          <w:tcPr>
            <w:tcW w:w="2914" w:type="pct"/>
          </w:tcPr>
          <w:p w14:paraId="13909809">
            <w:pPr>
              <w:spacing w:before="31" w:beforeLines="10" w:after="31" w:afterLines="10" w:line="440" w:lineRule="atLeast"/>
              <w:rPr>
                <w:rFonts w:ascii="仿宋" w:hAnsi="仿宋" w:eastAsia="仿宋" w:cs="仿宋"/>
                <w:sz w:val="24"/>
              </w:rPr>
            </w:pPr>
            <w:r>
              <w:rPr>
                <w:rFonts w:hint="eastAsia" w:ascii="仿宋" w:hAnsi="仿宋" w:eastAsia="仿宋" w:cs="仿宋"/>
                <w:sz w:val="24"/>
              </w:rPr>
              <w:t>投资类业务收益水平</w:t>
            </w:r>
          </w:p>
        </w:tc>
      </w:tr>
      <w:tr w14:paraId="3ADCF2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085" w:type="pct"/>
            <w:vMerge w:val="restart"/>
            <w:vAlign w:val="center"/>
          </w:tcPr>
          <w:p w14:paraId="17B434F3">
            <w:pPr>
              <w:spacing w:before="31" w:beforeLines="10" w:after="31" w:afterLines="10" w:line="440" w:lineRule="atLeast"/>
              <w:jc w:val="center"/>
              <w:rPr>
                <w:rFonts w:ascii="仿宋" w:hAnsi="仿宋" w:eastAsia="仿宋" w:cs="仿宋"/>
                <w:sz w:val="24"/>
              </w:rPr>
            </w:pPr>
            <w:r>
              <w:rPr>
                <w:rFonts w:hint="eastAsia" w:ascii="仿宋" w:hAnsi="仿宋" w:eastAsia="仿宋" w:cs="仿宋"/>
                <w:sz w:val="24"/>
              </w:rPr>
              <w:t>固有业务管理能力</w:t>
            </w:r>
          </w:p>
        </w:tc>
        <w:tc>
          <w:tcPr>
            <w:tcW w:w="2914" w:type="pct"/>
          </w:tcPr>
          <w:p w14:paraId="5D5C0933">
            <w:pPr>
              <w:spacing w:before="31" w:beforeLines="10" w:after="31" w:afterLines="10" w:line="440" w:lineRule="atLeast"/>
              <w:rPr>
                <w:rFonts w:ascii="仿宋" w:hAnsi="仿宋" w:eastAsia="仿宋" w:cs="仿宋"/>
                <w:sz w:val="24"/>
              </w:rPr>
            </w:pPr>
            <w:r>
              <w:rPr>
                <w:rFonts w:hint="eastAsia" w:ascii="仿宋" w:hAnsi="仿宋" w:eastAsia="仿宋" w:cs="仿宋"/>
                <w:sz w:val="24"/>
              </w:rPr>
              <w:t>不良资产率</w:t>
            </w:r>
          </w:p>
        </w:tc>
      </w:tr>
      <w:tr w14:paraId="3C73CC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085" w:type="pct"/>
            <w:vMerge w:val="continue"/>
          </w:tcPr>
          <w:p w14:paraId="61FEC704">
            <w:pPr>
              <w:spacing w:before="31" w:beforeLines="10" w:after="31" w:afterLines="10" w:line="440" w:lineRule="atLeast"/>
              <w:rPr>
                <w:rFonts w:ascii="仿宋" w:hAnsi="仿宋" w:eastAsia="仿宋" w:cs="仿宋"/>
                <w:b/>
                <w:bCs/>
                <w:sz w:val="24"/>
              </w:rPr>
            </w:pPr>
          </w:p>
        </w:tc>
        <w:tc>
          <w:tcPr>
            <w:tcW w:w="2914" w:type="pct"/>
          </w:tcPr>
          <w:p w14:paraId="12D2B007">
            <w:pPr>
              <w:spacing w:before="31" w:beforeLines="10" w:after="31" w:afterLines="10" w:line="440" w:lineRule="atLeast"/>
              <w:rPr>
                <w:rFonts w:ascii="仿宋" w:hAnsi="仿宋" w:eastAsia="仿宋" w:cs="仿宋"/>
                <w:sz w:val="24"/>
              </w:rPr>
            </w:pPr>
            <w:r>
              <w:rPr>
                <w:rFonts w:hint="eastAsia" w:ascii="仿宋" w:hAnsi="仿宋" w:eastAsia="仿宋" w:cs="仿宋"/>
                <w:sz w:val="24"/>
              </w:rPr>
              <w:t>不良资产余额变化情况</w:t>
            </w:r>
          </w:p>
        </w:tc>
      </w:tr>
      <w:tr w14:paraId="3CD198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085" w:type="pct"/>
            <w:vMerge w:val="continue"/>
          </w:tcPr>
          <w:p w14:paraId="3BBAF592">
            <w:pPr>
              <w:spacing w:before="31" w:beforeLines="10" w:after="31" w:afterLines="10" w:line="440" w:lineRule="atLeast"/>
              <w:rPr>
                <w:rFonts w:ascii="仿宋" w:hAnsi="仿宋" w:eastAsia="仿宋" w:cs="仿宋"/>
                <w:b/>
                <w:bCs/>
                <w:sz w:val="24"/>
              </w:rPr>
            </w:pPr>
          </w:p>
        </w:tc>
        <w:tc>
          <w:tcPr>
            <w:tcW w:w="2914" w:type="pct"/>
          </w:tcPr>
          <w:p w14:paraId="655D4C31">
            <w:pPr>
              <w:spacing w:before="31" w:beforeLines="10" w:after="31" w:afterLines="10" w:line="440" w:lineRule="atLeast"/>
              <w:rPr>
                <w:rFonts w:ascii="仿宋" w:hAnsi="仿宋" w:eastAsia="仿宋" w:cs="仿宋"/>
                <w:sz w:val="24"/>
              </w:rPr>
            </w:pPr>
            <w:r>
              <w:rPr>
                <w:rFonts w:hint="eastAsia" w:ascii="仿宋" w:hAnsi="仿宋" w:eastAsia="仿宋" w:cs="仿宋"/>
                <w:sz w:val="24"/>
              </w:rPr>
              <w:t>新发生不良资产</w:t>
            </w:r>
          </w:p>
        </w:tc>
      </w:tr>
    </w:tbl>
    <w:p w14:paraId="7858AEC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2.盈利能力定量指标</w:t>
      </w:r>
    </w:p>
    <w:tbl>
      <w:tblPr>
        <w:tblStyle w:val="24"/>
        <w:tblW w:w="85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53"/>
        <w:gridCol w:w="2650"/>
        <w:gridCol w:w="4019"/>
      </w:tblGrid>
      <w:tr w14:paraId="16FA80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853" w:type="dxa"/>
            <w:vAlign w:val="center"/>
          </w:tcPr>
          <w:p w14:paraId="47BE9B36">
            <w:pPr>
              <w:spacing w:before="31" w:beforeLines="10" w:after="31" w:afterLines="10" w:line="440" w:lineRule="atLeast"/>
              <w:jc w:val="center"/>
              <w:rPr>
                <w:rFonts w:ascii="仿宋" w:hAnsi="仿宋" w:eastAsia="仿宋" w:cs="仿宋"/>
                <w:b/>
                <w:sz w:val="24"/>
              </w:rPr>
            </w:pPr>
            <w:r>
              <w:rPr>
                <w:rFonts w:hint="eastAsia" w:ascii="仿宋" w:hAnsi="仿宋" w:eastAsia="仿宋" w:cs="仿宋"/>
                <w:b/>
                <w:sz w:val="24"/>
              </w:rPr>
              <w:t>盈利能力</w:t>
            </w:r>
          </w:p>
        </w:tc>
        <w:tc>
          <w:tcPr>
            <w:tcW w:w="2650" w:type="dxa"/>
          </w:tcPr>
          <w:p w14:paraId="067C08F6">
            <w:pPr>
              <w:spacing w:before="31" w:beforeLines="10" w:after="31" w:afterLines="10" w:line="440" w:lineRule="atLeast"/>
              <w:jc w:val="center"/>
              <w:rPr>
                <w:rFonts w:ascii="仿宋" w:hAnsi="仿宋" w:eastAsia="仿宋" w:cs="仿宋"/>
                <w:b/>
                <w:sz w:val="24"/>
              </w:rPr>
            </w:pPr>
            <w:r>
              <w:rPr>
                <w:rFonts w:hint="eastAsia" w:ascii="仿宋" w:hAnsi="仿宋" w:eastAsia="仿宋" w:cs="仿宋"/>
                <w:b/>
                <w:sz w:val="24"/>
              </w:rPr>
              <w:t>指标名称</w:t>
            </w:r>
          </w:p>
        </w:tc>
        <w:tc>
          <w:tcPr>
            <w:tcW w:w="4019" w:type="dxa"/>
          </w:tcPr>
          <w:p w14:paraId="47B072BD">
            <w:pPr>
              <w:spacing w:before="31" w:beforeLines="10" w:after="31" w:afterLines="10" w:line="440" w:lineRule="atLeast"/>
              <w:jc w:val="center"/>
              <w:rPr>
                <w:rFonts w:ascii="仿宋" w:hAnsi="仿宋" w:eastAsia="仿宋" w:cs="仿宋"/>
                <w:b/>
                <w:sz w:val="24"/>
              </w:rPr>
            </w:pPr>
            <w:r>
              <w:rPr>
                <w:rFonts w:hint="eastAsia" w:ascii="仿宋" w:hAnsi="仿宋" w:eastAsia="仿宋" w:cs="仿宋"/>
                <w:b/>
                <w:sz w:val="24"/>
              </w:rPr>
              <w:t>指标计算公式</w:t>
            </w:r>
          </w:p>
        </w:tc>
      </w:tr>
      <w:tr w14:paraId="3AF703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53" w:type="dxa"/>
            <w:vMerge w:val="restart"/>
            <w:vAlign w:val="center"/>
          </w:tcPr>
          <w:p w14:paraId="33D8657C">
            <w:pPr>
              <w:spacing w:before="31" w:beforeLines="10" w:after="31" w:afterLines="10" w:line="440" w:lineRule="atLeast"/>
              <w:jc w:val="center"/>
              <w:rPr>
                <w:rFonts w:ascii="仿宋" w:hAnsi="仿宋" w:eastAsia="仿宋" w:cs="仿宋"/>
                <w:sz w:val="24"/>
              </w:rPr>
            </w:pPr>
            <w:r>
              <w:rPr>
                <w:rFonts w:hint="eastAsia" w:ascii="仿宋" w:hAnsi="仿宋" w:eastAsia="仿宋" w:cs="仿宋"/>
                <w:sz w:val="24"/>
              </w:rPr>
              <w:t>综合盈利</w:t>
            </w:r>
          </w:p>
          <w:p w14:paraId="79547084">
            <w:pPr>
              <w:spacing w:before="31" w:beforeLines="10" w:after="31" w:afterLines="10" w:line="440" w:lineRule="atLeast"/>
              <w:jc w:val="center"/>
              <w:rPr>
                <w:rFonts w:ascii="仿宋" w:hAnsi="仿宋" w:eastAsia="仿宋" w:cs="仿宋"/>
                <w:sz w:val="24"/>
              </w:rPr>
            </w:pPr>
            <w:r>
              <w:rPr>
                <w:rFonts w:hint="eastAsia" w:ascii="仿宋" w:hAnsi="仿宋" w:eastAsia="仿宋" w:cs="仿宋"/>
                <w:sz w:val="24"/>
              </w:rPr>
              <w:t>能力指标</w:t>
            </w:r>
          </w:p>
        </w:tc>
        <w:tc>
          <w:tcPr>
            <w:tcW w:w="2650" w:type="dxa"/>
          </w:tcPr>
          <w:p w14:paraId="5EDADE7D">
            <w:pPr>
              <w:spacing w:before="31" w:beforeLines="10" w:after="31" w:afterLines="10" w:line="440" w:lineRule="atLeast"/>
              <w:rPr>
                <w:rFonts w:ascii="仿宋" w:hAnsi="仿宋" w:eastAsia="仿宋" w:cs="仿宋"/>
                <w:sz w:val="24"/>
              </w:rPr>
            </w:pPr>
            <w:r>
              <w:rPr>
                <w:rFonts w:hint="eastAsia" w:ascii="仿宋" w:hAnsi="仿宋" w:eastAsia="仿宋" w:cs="仿宋"/>
                <w:sz w:val="24"/>
              </w:rPr>
              <w:t>净资产收益率</w:t>
            </w:r>
          </w:p>
        </w:tc>
        <w:tc>
          <w:tcPr>
            <w:tcW w:w="4019" w:type="dxa"/>
          </w:tcPr>
          <w:p w14:paraId="21AF6A0C">
            <w:pPr>
              <w:spacing w:before="31" w:beforeLines="10" w:after="31" w:afterLines="10" w:line="440" w:lineRule="atLeast"/>
              <w:rPr>
                <w:rFonts w:ascii="仿宋" w:hAnsi="仿宋" w:eastAsia="仿宋" w:cs="仿宋"/>
                <w:sz w:val="24"/>
              </w:rPr>
            </w:pPr>
            <w:r>
              <w:rPr>
                <w:rFonts w:hint="eastAsia" w:ascii="仿宋" w:hAnsi="仿宋" w:eastAsia="仿宋" w:cs="仿宋"/>
                <w:sz w:val="24"/>
              </w:rPr>
              <w:t>净利润/所有者权益平均余额×100%</w:t>
            </w:r>
          </w:p>
        </w:tc>
      </w:tr>
      <w:tr w14:paraId="42EF2A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53" w:type="dxa"/>
            <w:vMerge w:val="continue"/>
            <w:vAlign w:val="center"/>
          </w:tcPr>
          <w:p w14:paraId="6FC2611B">
            <w:pPr>
              <w:spacing w:before="31" w:beforeLines="10" w:after="31" w:afterLines="10" w:line="440" w:lineRule="atLeast"/>
              <w:jc w:val="center"/>
              <w:rPr>
                <w:rFonts w:ascii="仿宋" w:hAnsi="仿宋" w:eastAsia="仿宋" w:cs="仿宋"/>
                <w:b/>
                <w:bCs/>
                <w:sz w:val="24"/>
              </w:rPr>
            </w:pPr>
          </w:p>
        </w:tc>
        <w:tc>
          <w:tcPr>
            <w:tcW w:w="2650" w:type="dxa"/>
          </w:tcPr>
          <w:p w14:paraId="1254D9C9">
            <w:pPr>
              <w:spacing w:before="31" w:beforeLines="10" w:after="31" w:afterLines="10" w:line="440" w:lineRule="atLeast"/>
              <w:rPr>
                <w:rFonts w:ascii="仿宋" w:hAnsi="仿宋" w:eastAsia="仿宋" w:cs="仿宋"/>
                <w:sz w:val="24"/>
              </w:rPr>
            </w:pPr>
            <w:r>
              <w:rPr>
                <w:rFonts w:hint="eastAsia" w:ascii="仿宋" w:hAnsi="仿宋" w:eastAsia="仿宋" w:cs="仿宋"/>
                <w:sz w:val="24"/>
              </w:rPr>
              <w:t>净资产收益增长率</w:t>
            </w:r>
          </w:p>
        </w:tc>
        <w:tc>
          <w:tcPr>
            <w:tcW w:w="4019" w:type="dxa"/>
          </w:tcPr>
          <w:p w14:paraId="25AED180">
            <w:pPr>
              <w:spacing w:before="31" w:beforeLines="10" w:after="31" w:afterLines="10" w:line="440" w:lineRule="atLeast"/>
              <w:rPr>
                <w:rFonts w:ascii="仿宋" w:hAnsi="仿宋" w:eastAsia="仿宋" w:cs="仿宋"/>
                <w:sz w:val="24"/>
              </w:rPr>
            </w:pPr>
            <w:r>
              <w:rPr>
                <w:rFonts w:hint="eastAsia" w:ascii="仿宋" w:hAnsi="仿宋" w:eastAsia="仿宋" w:cs="仿宋"/>
                <w:sz w:val="24"/>
              </w:rPr>
              <w:t>（本年净资产收益率/上年净资产收益率-1）×100%</w:t>
            </w:r>
          </w:p>
        </w:tc>
      </w:tr>
      <w:tr w14:paraId="5D07D9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53" w:type="dxa"/>
            <w:vMerge w:val="continue"/>
            <w:vAlign w:val="center"/>
          </w:tcPr>
          <w:p w14:paraId="2EAFAD94">
            <w:pPr>
              <w:spacing w:before="31" w:beforeLines="10" w:after="31" w:afterLines="10" w:line="440" w:lineRule="atLeast"/>
              <w:jc w:val="center"/>
              <w:rPr>
                <w:rFonts w:ascii="仿宋" w:hAnsi="仿宋" w:eastAsia="仿宋" w:cs="仿宋"/>
                <w:b/>
                <w:bCs/>
                <w:sz w:val="24"/>
              </w:rPr>
            </w:pPr>
          </w:p>
        </w:tc>
        <w:tc>
          <w:tcPr>
            <w:tcW w:w="2650" w:type="dxa"/>
          </w:tcPr>
          <w:p w14:paraId="3F064717">
            <w:pPr>
              <w:spacing w:before="31" w:beforeLines="10" w:after="31" w:afterLines="10" w:line="440" w:lineRule="atLeast"/>
              <w:rPr>
                <w:rFonts w:ascii="仿宋" w:hAnsi="仿宋" w:eastAsia="仿宋" w:cs="仿宋"/>
                <w:sz w:val="24"/>
              </w:rPr>
            </w:pPr>
            <w:r>
              <w:rPr>
                <w:rFonts w:hint="eastAsia" w:ascii="仿宋" w:hAnsi="仿宋" w:eastAsia="仿宋" w:cs="仿宋"/>
                <w:sz w:val="24"/>
              </w:rPr>
              <w:t>成本收入比率</w:t>
            </w:r>
          </w:p>
        </w:tc>
        <w:tc>
          <w:tcPr>
            <w:tcW w:w="4019" w:type="dxa"/>
          </w:tcPr>
          <w:p w14:paraId="7D78D764">
            <w:pPr>
              <w:spacing w:before="31" w:beforeLines="10" w:after="31" w:afterLines="10" w:line="440" w:lineRule="atLeast"/>
              <w:rPr>
                <w:rFonts w:ascii="仿宋" w:hAnsi="仿宋" w:eastAsia="仿宋" w:cs="仿宋"/>
                <w:sz w:val="24"/>
              </w:rPr>
            </w:pPr>
            <w:r>
              <w:rPr>
                <w:rFonts w:hint="eastAsia" w:ascii="仿宋" w:hAnsi="仿宋" w:eastAsia="仿宋" w:cs="仿宋"/>
                <w:sz w:val="24"/>
              </w:rPr>
              <w:t>（营业支出-营业税金及附加）/营业收入×100%</w:t>
            </w:r>
          </w:p>
        </w:tc>
      </w:tr>
      <w:tr w14:paraId="60DC01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53" w:type="dxa"/>
            <w:vMerge w:val="continue"/>
            <w:vAlign w:val="center"/>
          </w:tcPr>
          <w:p w14:paraId="156472ED">
            <w:pPr>
              <w:spacing w:before="31" w:beforeLines="10" w:after="31" w:afterLines="10" w:line="440" w:lineRule="atLeast"/>
              <w:jc w:val="center"/>
              <w:rPr>
                <w:rFonts w:ascii="仿宋" w:hAnsi="仿宋" w:eastAsia="仿宋" w:cs="仿宋"/>
                <w:b/>
                <w:bCs/>
                <w:sz w:val="24"/>
              </w:rPr>
            </w:pPr>
          </w:p>
        </w:tc>
        <w:tc>
          <w:tcPr>
            <w:tcW w:w="2650" w:type="dxa"/>
          </w:tcPr>
          <w:p w14:paraId="751BF7D0">
            <w:pPr>
              <w:spacing w:before="31" w:beforeLines="10" w:after="31" w:afterLines="10" w:line="440" w:lineRule="atLeast"/>
              <w:rPr>
                <w:rFonts w:ascii="仿宋" w:hAnsi="仿宋" w:eastAsia="仿宋" w:cs="仿宋"/>
                <w:sz w:val="24"/>
              </w:rPr>
            </w:pPr>
            <w:r>
              <w:rPr>
                <w:rFonts w:hint="eastAsia" w:ascii="仿宋" w:hAnsi="仿宋" w:eastAsia="仿宋" w:cs="仿宋"/>
                <w:sz w:val="24"/>
              </w:rPr>
              <w:t>成本收入变动比率</w:t>
            </w:r>
          </w:p>
        </w:tc>
        <w:tc>
          <w:tcPr>
            <w:tcW w:w="4019" w:type="dxa"/>
          </w:tcPr>
          <w:p w14:paraId="0521F46A">
            <w:pPr>
              <w:spacing w:before="31" w:beforeLines="10" w:after="31" w:afterLines="10" w:line="440" w:lineRule="atLeast"/>
              <w:rPr>
                <w:rFonts w:ascii="仿宋" w:hAnsi="仿宋" w:eastAsia="仿宋" w:cs="仿宋"/>
                <w:sz w:val="24"/>
              </w:rPr>
            </w:pPr>
            <w:r>
              <w:rPr>
                <w:rFonts w:hint="eastAsia" w:ascii="仿宋" w:hAnsi="仿宋" w:eastAsia="仿宋" w:cs="仿宋"/>
                <w:sz w:val="24"/>
              </w:rPr>
              <w:t>（本年成本收入比率/上年成本收入比率-1）×100%</w:t>
            </w:r>
          </w:p>
        </w:tc>
      </w:tr>
      <w:tr w14:paraId="584CE3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53" w:type="dxa"/>
            <w:vMerge w:val="continue"/>
            <w:vAlign w:val="center"/>
          </w:tcPr>
          <w:p w14:paraId="4AE326CF">
            <w:pPr>
              <w:spacing w:before="31" w:beforeLines="10" w:after="31" w:afterLines="10" w:line="440" w:lineRule="atLeast"/>
              <w:jc w:val="center"/>
              <w:rPr>
                <w:rFonts w:ascii="仿宋" w:hAnsi="仿宋" w:eastAsia="仿宋" w:cs="仿宋"/>
                <w:b/>
                <w:bCs/>
                <w:sz w:val="24"/>
              </w:rPr>
            </w:pPr>
          </w:p>
        </w:tc>
        <w:tc>
          <w:tcPr>
            <w:tcW w:w="2650" w:type="dxa"/>
          </w:tcPr>
          <w:p w14:paraId="0DA7D978">
            <w:pPr>
              <w:spacing w:before="31" w:beforeLines="10" w:after="31" w:afterLines="10" w:line="440" w:lineRule="atLeast"/>
              <w:rPr>
                <w:rFonts w:ascii="仿宋" w:hAnsi="仿宋" w:eastAsia="仿宋" w:cs="仿宋"/>
                <w:sz w:val="24"/>
              </w:rPr>
            </w:pPr>
            <w:r>
              <w:rPr>
                <w:rFonts w:hint="eastAsia" w:ascii="仿宋" w:hAnsi="仿宋" w:eastAsia="仿宋" w:cs="仿宋"/>
                <w:sz w:val="24"/>
              </w:rPr>
              <w:t>人均利率</w:t>
            </w:r>
          </w:p>
        </w:tc>
        <w:tc>
          <w:tcPr>
            <w:tcW w:w="4019" w:type="dxa"/>
          </w:tcPr>
          <w:p w14:paraId="00745D2F">
            <w:pPr>
              <w:spacing w:before="31" w:beforeLines="10" w:after="31" w:afterLines="10" w:line="440" w:lineRule="atLeast"/>
              <w:rPr>
                <w:rFonts w:ascii="仿宋" w:hAnsi="仿宋" w:eastAsia="仿宋" w:cs="仿宋"/>
                <w:sz w:val="24"/>
              </w:rPr>
            </w:pPr>
            <w:r>
              <w:rPr>
                <w:rFonts w:hint="eastAsia" w:ascii="仿宋" w:hAnsi="仿宋" w:eastAsia="仿宋" w:cs="仿宋"/>
                <w:sz w:val="24"/>
              </w:rPr>
              <w:t>净利润/公司职工人数</w:t>
            </w:r>
          </w:p>
        </w:tc>
      </w:tr>
      <w:tr w14:paraId="60EB71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53" w:type="dxa"/>
            <w:vMerge w:val="continue"/>
            <w:vAlign w:val="center"/>
          </w:tcPr>
          <w:p w14:paraId="48A44BFB">
            <w:pPr>
              <w:spacing w:before="31" w:beforeLines="10" w:after="31" w:afterLines="10" w:line="440" w:lineRule="atLeast"/>
              <w:jc w:val="center"/>
              <w:rPr>
                <w:rFonts w:ascii="仿宋" w:hAnsi="仿宋" w:eastAsia="仿宋" w:cs="仿宋"/>
                <w:b/>
                <w:bCs/>
                <w:sz w:val="24"/>
              </w:rPr>
            </w:pPr>
          </w:p>
        </w:tc>
        <w:tc>
          <w:tcPr>
            <w:tcW w:w="2650" w:type="dxa"/>
          </w:tcPr>
          <w:p w14:paraId="59153D83">
            <w:pPr>
              <w:spacing w:before="31" w:beforeLines="10" w:after="31" w:afterLines="10" w:line="440" w:lineRule="atLeast"/>
              <w:rPr>
                <w:rFonts w:ascii="仿宋" w:hAnsi="仿宋" w:eastAsia="仿宋" w:cs="仿宋"/>
                <w:sz w:val="24"/>
              </w:rPr>
            </w:pPr>
            <w:r>
              <w:rPr>
                <w:rFonts w:hint="eastAsia" w:ascii="仿宋" w:hAnsi="仿宋" w:eastAsia="仿宋" w:cs="仿宋"/>
                <w:sz w:val="24"/>
              </w:rPr>
              <w:t>人均利率增长率</w:t>
            </w:r>
          </w:p>
        </w:tc>
        <w:tc>
          <w:tcPr>
            <w:tcW w:w="4019" w:type="dxa"/>
          </w:tcPr>
          <w:p w14:paraId="351675EF">
            <w:pPr>
              <w:spacing w:before="31" w:beforeLines="10" w:after="31" w:afterLines="10" w:line="440" w:lineRule="atLeast"/>
              <w:rPr>
                <w:rFonts w:ascii="仿宋" w:hAnsi="仿宋" w:eastAsia="仿宋" w:cs="仿宋"/>
                <w:sz w:val="24"/>
              </w:rPr>
            </w:pPr>
            <w:r>
              <w:rPr>
                <w:rFonts w:hint="eastAsia" w:ascii="仿宋" w:hAnsi="仿宋" w:eastAsia="仿宋" w:cs="仿宋"/>
                <w:sz w:val="24"/>
              </w:rPr>
              <w:t>（本年人均利润-上年人均利润）/上年人均利润×100%</w:t>
            </w:r>
          </w:p>
        </w:tc>
      </w:tr>
      <w:tr w14:paraId="1B76E3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53" w:type="dxa"/>
            <w:vMerge w:val="restart"/>
            <w:vAlign w:val="center"/>
          </w:tcPr>
          <w:p w14:paraId="6B24D8C3">
            <w:pPr>
              <w:spacing w:before="31" w:beforeLines="10" w:after="31" w:afterLines="10" w:line="440" w:lineRule="atLeast"/>
              <w:jc w:val="center"/>
              <w:rPr>
                <w:rFonts w:ascii="仿宋" w:hAnsi="仿宋" w:eastAsia="仿宋" w:cs="仿宋"/>
                <w:sz w:val="24"/>
              </w:rPr>
            </w:pPr>
            <w:r>
              <w:rPr>
                <w:rFonts w:hint="eastAsia" w:ascii="仿宋" w:hAnsi="仿宋" w:eastAsia="仿宋" w:cs="仿宋"/>
                <w:sz w:val="24"/>
              </w:rPr>
              <w:t>信托业务</w:t>
            </w:r>
          </w:p>
          <w:p w14:paraId="0370FCB4">
            <w:pPr>
              <w:spacing w:before="31" w:beforeLines="10" w:after="31" w:afterLines="10" w:line="440" w:lineRule="atLeast"/>
              <w:jc w:val="center"/>
              <w:rPr>
                <w:rFonts w:ascii="仿宋" w:hAnsi="仿宋" w:eastAsia="仿宋" w:cs="仿宋"/>
                <w:sz w:val="24"/>
              </w:rPr>
            </w:pPr>
            <w:r>
              <w:rPr>
                <w:rFonts w:hint="eastAsia" w:ascii="仿宋" w:hAnsi="仿宋" w:eastAsia="仿宋" w:cs="仿宋"/>
                <w:sz w:val="24"/>
              </w:rPr>
              <w:t>盈利能力指标</w:t>
            </w:r>
          </w:p>
        </w:tc>
        <w:tc>
          <w:tcPr>
            <w:tcW w:w="2650" w:type="dxa"/>
          </w:tcPr>
          <w:p w14:paraId="5D895DDB">
            <w:pPr>
              <w:spacing w:before="31" w:beforeLines="10" w:after="31" w:afterLines="10" w:line="440" w:lineRule="atLeast"/>
              <w:rPr>
                <w:rFonts w:ascii="仿宋" w:hAnsi="仿宋" w:eastAsia="仿宋" w:cs="仿宋"/>
                <w:sz w:val="24"/>
              </w:rPr>
            </w:pPr>
            <w:r>
              <w:rPr>
                <w:rFonts w:hint="eastAsia" w:ascii="仿宋" w:hAnsi="仿宋" w:eastAsia="仿宋" w:cs="仿宋"/>
                <w:sz w:val="24"/>
              </w:rPr>
              <w:t>信托业务收入占比</w:t>
            </w:r>
          </w:p>
        </w:tc>
        <w:tc>
          <w:tcPr>
            <w:tcW w:w="4019" w:type="dxa"/>
          </w:tcPr>
          <w:p w14:paraId="2BBB9490">
            <w:pPr>
              <w:spacing w:before="31" w:beforeLines="10" w:after="31" w:afterLines="10" w:line="440" w:lineRule="atLeast"/>
              <w:rPr>
                <w:rFonts w:ascii="仿宋" w:hAnsi="仿宋" w:eastAsia="仿宋" w:cs="仿宋"/>
                <w:sz w:val="24"/>
              </w:rPr>
            </w:pPr>
            <w:r>
              <w:rPr>
                <w:rFonts w:hint="eastAsia" w:ascii="仿宋" w:hAnsi="仿宋" w:eastAsia="仿宋" w:cs="仿宋"/>
                <w:sz w:val="24"/>
              </w:rPr>
              <w:t>信托业务收入/总收入×100%</w:t>
            </w:r>
          </w:p>
        </w:tc>
      </w:tr>
      <w:tr w14:paraId="1B8844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53" w:type="dxa"/>
            <w:vMerge w:val="continue"/>
            <w:vAlign w:val="center"/>
          </w:tcPr>
          <w:p w14:paraId="031AF69A">
            <w:pPr>
              <w:spacing w:before="31" w:beforeLines="10" w:after="31" w:afterLines="10" w:line="440" w:lineRule="atLeast"/>
              <w:jc w:val="center"/>
              <w:rPr>
                <w:rFonts w:ascii="仿宋" w:hAnsi="仿宋" w:eastAsia="仿宋" w:cs="仿宋"/>
                <w:b/>
                <w:bCs/>
                <w:sz w:val="24"/>
              </w:rPr>
            </w:pPr>
          </w:p>
        </w:tc>
        <w:tc>
          <w:tcPr>
            <w:tcW w:w="2650" w:type="dxa"/>
          </w:tcPr>
          <w:p w14:paraId="240AD439">
            <w:pPr>
              <w:spacing w:before="31" w:beforeLines="10" w:after="31" w:afterLines="10" w:line="440" w:lineRule="atLeast"/>
              <w:rPr>
                <w:rFonts w:ascii="仿宋" w:hAnsi="仿宋" w:eastAsia="仿宋" w:cs="仿宋"/>
                <w:sz w:val="24"/>
              </w:rPr>
            </w:pPr>
            <w:r>
              <w:rPr>
                <w:rFonts w:hint="eastAsia" w:ascii="仿宋" w:hAnsi="仿宋" w:eastAsia="仿宋" w:cs="仿宋"/>
                <w:sz w:val="24"/>
              </w:rPr>
              <w:t>信托业务收入增长率</w:t>
            </w:r>
          </w:p>
        </w:tc>
        <w:tc>
          <w:tcPr>
            <w:tcW w:w="4019" w:type="dxa"/>
          </w:tcPr>
          <w:p w14:paraId="0FB26780">
            <w:pPr>
              <w:spacing w:before="31" w:beforeLines="10" w:after="31" w:afterLines="10" w:line="440" w:lineRule="atLeast"/>
              <w:rPr>
                <w:rFonts w:ascii="仿宋" w:hAnsi="仿宋" w:eastAsia="仿宋" w:cs="仿宋"/>
                <w:sz w:val="24"/>
              </w:rPr>
            </w:pPr>
            <w:r>
              <w:rPr>
                <w:rFonts w:hint="eastAsia" w:ascii="仿宋" w:hAnsi="仿宋" w:eastAsia="仿宋" w:cs="仿宋"/>
                <w:sz w:val="24"/>
              </w:rPr>
              <w:t>（本年信托业务收入-上年信托业务收入）/上年信托业务收入×100%</w:t>
            </w:r>
          </w:p>
        </w:tc>
      </w:tr>
      <w:tr w14:paraId="51D712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53" w:type="dxa"/>
            <w:vMerge w:val="continue"/>
            <w:vAlign w:val="center"/>
          </w:tcPr>
          <w:p w14:paraId="2862AC19">
            <w:pPr>
              <w:spacing w:before="31" w:beforeLines="10" w:after="31" w:afterLines="10" w:line="440" w:lineRule="atLeast"/>
              <w:jc w:val="center"/>
              <w:rPr>
                <w:rFonts w:ascii="仿宋" w:hAnsi="仿宋" w:eastAsia="仿宋" w:cs="仿宋"/>
                <w:b/>
                <w:bCs/>
                <w:sz w:val="24"/>
              </w:rPr>
            </w:pPr>
          </w:p>
        </w:tc>
        <w:tc>
          <w:tcPr>
            <w:tcW w:w="2650" w:type="dxa"/>
          </w:tcPr>
          <w:p w14:paraId="78109BFD">
            <w:pPr>
              <w:spacing w:before="31" w:beforeLines="10" w:after="31" w:afterLines="10" w:line="440" w:lineRule="atLeast"/>
              <w:rPr>
                <w:rFonts w:ascii="仿宋" w:hAnsi="仿宋" w:eastAsia="仿宋" w:cs="仿宋"/>
                <w:sz w:val="24"/>
              </w:rPr>
            </w:pPr>
            <w:r>
              <w:rPr>
                <w:rFonts w:hint="eastAsia" w:ascii="仿宋" w:hAnsi="仿宋" w:eastAsia="仿宋" w:cs="仿宋"/>
                <w:sz w:val="24"/>
              </w:rPr>
              <w:t>信托报酬率</w:t>
            </w:r>
          </w:p>
        </w:tc>
        <w:tc>
          <w:tcPr>
            <w:tcW w:w="4019" w:type="dxa"/>
          </w:tcPr>
          <w:p w14:paraId="4AF3D8D2">
            <w:pPr>
              <w:spacing w:before="31" w:beforeLines="10" w:after="31" w:afterLines="10" w:line="440" w:lineRule="atLeast"/>
              <w:rPr>
                <w:rFonts w:ascii="仿宋" w:hAnsi="仿宋" w:eastAsia="仿宋" w:cs="仿宋"/>
                <w:sz w:val="24"/>
              </w:rPr>
            </w:pPr>
            <w:r>
              <w:rPr>
                <w:rFonts w:hint="eastAsia" w:ascii="仿宋" w:hAnsi="仿宋" w:eastAsia="仿宋" w:cs="仿宋"/>
                <w:sz w:val="24"/>
              </w:rPr>
              <w:t>信托业务收入/实收信托平均余额×100%</w:t>
            </w:r>
          </w:p>
        </w:tc>
      </w:tr>
      <w:tr w14:paraId="2E326F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53" w:type="dxa"/>
            <w:vMerge w:val="restart"/>
            <w:vAlign w:val="center"/>
          </w:tcPr>
          <w:p w14:paraId="10CD55FB">
            <w:pPr>
              <w:spacing w:before="31" w:beforeLines="10" w:after="31" w:afterLines="10" w:line="440" w:lineRule="atLeast"/>
              <w:jc w:val="center"/>
              <w:rPr>
                <w:rFonts w:ascii="仿宋" w:hAnsi="仿宋" w:eastAsia="仿宋" w:cs="仿宋"/>
                <w:sz w:val="24"/>
              </w:rPr>
            </w:pPr>
            <w:r>
              <w:rPr>
                <w:rFonts w:hint="eastAsia" w:ascii="仿宋" w:hAnsi="仿宋" w:eastAsia="仿宋" w:cs="仿宋"/>
                <w:sz w:val="24"/>
              </w:rPr>
              <w:t>固有业务</w:t>
            </w:r>
          </w:p>
          <w:p w14:paraId="5EF343CC">
            <w:pPr>
              <w:spacing w:before="31" w:beforeLines="10" w:after="31" w:afterLines="10" w:line="440" w:lineRule="atLeast"/>
              <w:jc w:val="center"/>
              <w:rPr>
                <w:rFonts w:ascii="仿宋" w:hAnsi="仿宋" w:eastAsia="仿宋" w:cs="仿宋"/>
                <w:sz w:val="24"/>
              </w:rPr>
            </w:pPr>
            <w:r>
              <w:rPr>
                <w:rFonts w:hint="eastAsia" w:ascii="仿宋" w:hAnsi="仿宋" w:eastAsia="仿宋" w:cs="仿宋"/>
                <w:sz w:val="24"/>
              </w:rPr>
              <w:t>盈利能力指标</w:t>
            </w:r>
          </w:p>
        </w:tc>
        <w:tc>
          <w:tcPr>
            <w:tcW w:w="2650" w:type="dxa"/>
          </w:tcPr>
          <w:p w14:paraId="1CB83B6D">
            <w:pPr>
              <w:spacing w:before="31" w:beforeLines="10" w:after="31" w:afterLines="10" w:line="440" w:lineRule="atLeast"/>
              <w:rPr>
                <w:rFonts w:ascii="仿宋" w:hAnsi="仿宋" w:eastAsia="仿宋" w:cs="仿宋"/>
                <w:sz w:val="24"/>
              </w:rPr>
            </w:pPr>
            <w:r>
              <w:rPr>
                <w:rFonts w:hint="eastAsia" w:ascii="仿宋" w:hAnsi="仿宋" w:eastAsia="仿宋" w:cs="仿宋"/>
                <w:sz w:val="24"/>
              </w:rPr>
              <w:t>固有业务收益率</w:t>
            </w:r>
          </w:p>
        </w:tc>
        <w:tc>
          <w:tcPr>
            <w:tcW w:w="4019" w:type="dxa"/>
          </w:tcPr>
          <w:p w14:paraId="4BAA16F7">
            <w:pPr>
              <w:spacing w:before="31" w:beforeLines="10" w:after="31" w:afterLines="10" w:line="440" w:lineRule="atLeast"/>
              <w:rPr>
                <w:rFonts w:ascii="仿宋" w:hAnsi="仿宋" w:eastAsia="仿宋" w:cs="仿宋"/>
                <w:sz w:val="24"/>
              </w:rPr>
            </w:pPr>
            <w:r>
              <w:rPr>
                <w:rFonts w:hint="eastAsia" w:ascii="仿宋" w:hAnsi="仿宋" w:eastAsia="仿宋" w:cs="仿宋"/>
                <w:sz w:val="24"/>
              </w:rPr>
              <w:t>固有业务收入/所有者权益平均余额×100%</w:t>
            </w:r>
          </w:p>
        </w:tc>
      </w:tr>
      <w:tr w14:paraId="5720FE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53" w:type="dxa"/>
            <w:vMerge w:val="continue"/>
          </w:tcPr>
          <w:p w14:paraId="1CEB69E6">
            <w:pPr>
              <w:spacing w:before="31" w:beforeLines="10" w:after="31" w:afterLines="10" w:line="440" w:lineRule="atLeast"/>
              <w:rPr>
                <w:rFonts w:ascii="仿宋" w:hAnsi="仿宋" w:eastAsia="仿宋" w:cs="仿宋"/>
                <w:b/>
                <w:bCs/>
                <w:sz w:val="24"/>
              </w:rPr>
            </w:pPr>
          </w:p>
        </w:tc>
        <w:tc>
          <w:tcPr>
            <w:tcW w:w="2650" w:type="dxa"/>
          </w:tcPr>
          <w:p w14:paraId="37361F85">
            <w:pPr>
              <w:spacing w:before="31" w:beforeLines="10" w:after="31" w:afterLines="10" w:line="440" w:lineRule="atLeast"/>
              <w:rPr>
                <w:rFonts w:ascii="仿宋" w:hAnsi="仿宋" w:eastAsia="仿宋" w:cs="仿宋"/>
                <w:sz w:val="24"/>
              </w:rPr>
            </w:pPr>
            <w:r>
              <w:rPr>
                <w:rFonts w:hint="eastAsia" w:ascii="仿宋" w:hAnsi="仿宋" w:eastAsia="仿宋" w:cs="仿宋"/>
                <w:sz w:val="24"/>
              </w:rPr>
              <w:t>固有业务收益增长率</w:t>
            </w:r>
          </w:p>
        </w:tc>
        <w:tc>
          <w:tcPr>
            <w:tcW w:w="4019" w:type="dxa"/>
          </w:tcPr>
          <w:p w14:paraId="5A85AD6D">
            <w:pPr>
              <w:spacing w:before="31" w:beforeLines="10" w:after="31" w:afterLines="10" w:line="440" w:lineRule="atLeast"/>
              <w:rPr>
                <w:rFonts w:ascii="仿宋" w:hAnsi="仿宋" w:eastAsia="仿宋" w:cs="仿宋"/>
                <w:sz w:val="24"/>
              </w:rPr>
            </w:pPr>
            <w:r>
              <w:rPr>
                <w:rFonts w:hint="eastAsia" w:ascii="仿宋" w:hAnsi="仿宋" w:eastAsia="仿宋" w:cs="仿宋"/>
                <w:sz w:val="24"/>
              </w:rPr>
              <w:t>（本年固有业务收益率/上年固有业务收益率-1）×100%</w:t>
            </w:r>
          </w:p>
        </w:tc>
      </w:tr>
    </w:tbl>
    <w:p w14:paraId="1BF9FE0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（三）评级结果使用</w:t>
      </w:r>
    </w:p>
    <w:p w14:paraId="4229744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上述定量监管指标，并不属于强制性监管指标，但是会影响信托公司的监管评级。评级结果对信托公司的影响主要体现在：</w:t>
      </w:r>
    </w:p>
    <w:p w14:paraId="04F95A7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1.评级结果作为衡量信托公司风险程度的主要依据；</w:t>
      </w:r>
    </w:p>
    <w:p w14:paraId="79D3611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2.评级结果作为监管规划和合理配置监管资源的主要依据；</w:t>
      </w:r>
    </w:p>
    <w:p w14:paraId="5439D02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3.评级结果是监管机构采取监管措施和行动的主要依据。</w:t>
      </w:r>
    </w:p>
    <w:p w14:paraId="3A9F502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三、监管指标</w:t>
      </w:r>
    </w:p>
    <w:p w14:paraId="7A8FBBE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除上述监管评级指标，信托公司评估中应关注的金融监管指标主要包括净资本相关指标和信托赔偿准备金。</w:t>
      </w:r>
    </w:p>
    <w:p w14:paraId="592C2A6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（一）净资本</w:t>
      </w:r>
    </w:p>
    <w:p w14:paraId="1411166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信托公司净资本，是根据信托公司的业务范围和公司资产结构的特点，在净资产的基础上对各固有资产项目、表外项目和其他有关业务进行风险调整后得出的综合性风险控制指标。</w:t>
      </w:r>
    </w:p>
    <w:p w14:paraId="2CD19D8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净资本﹦净资产﹣各类资产的风险扣除项﹣或有负债的风险扣除项﹣中国银行业监督管理委员会认定的其他风险扣除项。</w:t>
      </w:r>
    </w:p>
    <w:p w14:paraId="795B74D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对信托公司实施净资本管理的目的，是确保信托公司固有资产充足并保持必要的流动性，以满足抵御各项业务不可预期损失的需要。</w:t>
      </w:r>
    </w:p>
    <w:p w14:paraId="1C0B36C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根据监管要求，信托公司净资本不得低于人民币2亿元。</w:t>
      </w:r>
    </w:p>
    <w:p w14:paraId="4187165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（二）风险资本</w:t>
      </w:r>
    </w:p>
    <w:p w14:paraId="34B14A7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信托公司风险资本，是信托公司按照一定标准计算并配置给某项业务用于应对潜在风险的资本。</w:t>
      </w:r>
    </w:p>
    <w:p w14:paraId="4C6A651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风险资本﹦固有业务风险资本﹢信托业务风险资本﹢其他业务风险资本</w:t>
      </w:r>
    </w:p>
    <w:p w14:paraId="2BF8CCE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固有业务风险资本﹦固有业务各项资产净值×风险系数</w:t>
      </w:r>
    </w:p>
    <w:p w14:paraId="5E8F195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信托业务风险资本﹦信托业务各项资产余额×风险系数</w:t>
      </w:r>
    </w:p>
    <w:p w14:paraId="3DFEC9D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其他业务风险资本﹦其他各项业务余额×风险系数</w:t>
      </w:r>
    </w:p>
    <w:p w14:paraId="236CA62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风险资本衡量信托公司开展各项经营业务所面临的风险，风险资本越高，对信托公司的资本金水平要求越高。不同评级的信托公司对应不同的风险系数。评级结果为3级及以下的信托公司风险资本计算系数为标准系数，评级结果为1级和2级的信托公司风险资本计算系数在标准系数基础上下浮20%。</w:t>
      </w:r>
    </w:p>
    <w:p w14:paraId="3536DB7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（三）净资本/风险资本</w:t>
      </w:r>
    </w:p>
    <w:p w14:paraId="7383992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净资本/风险资本比例衡量信托公司对业务风险的覆盖程度。根据监管要求，信托公司净资本水平不得低于各项风险资本之和的100%。由于不同监管评级的信托公司适用不同的风险系数，所以处于较低评级的信托公司在进行规模扩张时将面临更严格的净资本要求。</w:t>
      </w:r>
    </w:p>
    <w:p w14:paraId="76822EE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对信托公司进行评估，信托公司净资本/风险资本比例出现不足或预警的，应分析其原因。如果是业务发展过快，脱离了资本约束，则应调节业务发展规模；如果业务发展合理，但是净资本没有得到及时的补充，则可通过发行资本工具、降低分红比例等方式对净资本进行相应补充。</w:t>
      </w:r>
    </w:p>
    <w:p w14:paraId="7EC9B60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（四）净资本/净资产</w:t>
      </w:r>
    </w:p>
    <w:p w14:paraId="2DB2E6C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净资本/净资产比例衡量信托公司防御流动性风险的能力。</w:t>
      </w:r>
    </w:p>
    <w:p w14:paraId="744B298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根据监管要求，信托公司净资本不得低于净资产的40%。对信托公司进行评估，应计算其净资本/净资产比例，预测结果应符合历史趋势和信托公司未来走势。净资本/净资产比例不符合监管要求的，应考虑其资产配置是否合理。</w:t>
      </w:r>
    </w:p>
    <w:p w14:paraId="3D65866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（五）信托赔偿准备金</w:t>
      </w:r>
    </w:p>
    <w:p w14:paraId="084C76B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信托赔偿准备是指从事信托业务的金融企业按规定从净利润中提取，用于赔偿信托业务损失的风险准备。</w:t>
      </w:r>
    </w:p>
    <w:p w14:paraId="70D7D11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根据监管要求，信托公司每年应当从税后利润中提取5%作为信托赔偿准备金，但该赔偿准备金累计总额达到公司注册资本的20%时，可不再提取。</w:t>
      </w:r>
    </w:p>
    <w:p w14:paraId="25F042A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目前我国信托赔偿准备金的来源较为单一，信托赔偿准备金的规模与信托公司管理的信托资产规模相差甚远，尚不足以发挥防范风险的作用。</w:t>
      </w:r>
    </w:p>
    <w:p w14:paraId="3A8CBB7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四、评估中应关注的问题</w:t>
      </w:r>
    </w:p>
    <w:p w14:paraId="42D74A6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信托公司进行各项经营活动，应保证一定的资本水平，以抵御可能出现的经营风险和流动性风险。对信托公司进行评估，应关注其净资本/风险资本比例和净资本/净资产比例是否符合监管要求。信托公司净资本水平不足或可能出现不足的，评估机构可以合理预测其业务发展规模。此外，信托公司也可以通过发行资本工具、降低分红水平等方式对资本金进行补充。对于净资本水平不足的信托公司，评估机构应在评估报告中披露相关风险。</w:t>
      </w:r>
    </w:p>
    <w:p w14:paraId="057355A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信托赔偿准备金主要用于赔偿信托项目可能出现的损失。需要注意的是，信托赔偿准备金的金额相对于信托项目金额来说较小，信托公司依法提取信托赔偿准备金，尚不足以表示其对于信托项目的风险覆盖程度较好。对信托公司进行评估，还应该分析具体信托项目的风险水平，并在评估报告中披露相关风险。</w:t>
      </w:r>
    </w:p>
    <w:p w14:paraId="64272811">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第六章　其他金融企业监管指标简述</w:t>
      </w:r>
    </w:p>
    <w:p w14:paraId="64BD7B9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一、金融资产管理公司</w:t>
      </w:r>
    </w:p>
    <w:p w14:paraId="012F9F9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金融资产管理公司开展各项经营业务，主要受中国银监会和中国人民银行监管。</w:t>
      </w:r>
    </w:p>
    <w:p w14:paraId="4CA8854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对金融资产管理公司进行评估，应关注的金融监管指标及相关要求包括：</w:t>
      </w:r>
    </w:p>
    <w:p w14:paraId="152AB9C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（一）资产公司最低资本为风险加权资产（含表外资产）的12.5%，不良资产运营的最低资本为以不良资产收购成本为基础计算的风险加权资产的8%；</w:t>
      </w:r>
    </w:p>
    <w:p w14:paraId="41D6E89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（二）集团合并财务杠杆率不低于6%，资产公司财务杠杆率不低于6%；</w:t>
      </w:r>
    </w:p>
    <w:p w14:paraId="5488B9C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（三）资产公司流动性比例不低于15%。</w:t>
      </w:r>
    </w:p>
    <w:p w14:paraId="64767F9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二、金融租赁公司</w:t>
      </w:r>
    </w:p>
    <w:p w14:paraId="704D957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金融租赁公司开展各项经营业务，主要受中国银监会和中国人民银行监管。</w:t>
      </w:r>
    </w:p>
    <w:p w14:paraId="59A02F5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对金融租赁公司进行评估，应关注的金融监管指标及相关要求包括：</w:t>
      </w:r>
    </w:p>
    <w:p w14:paraId="147DDEE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（一）资本充足率：金融租赁公司资本净额与风险加权资产的比例不得低于中国银监会的最低监管要求；</w:t>
      </w:r>
    </w:p>
    <w:p w14:paraId="1D13A69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（二）单一客户融资集中度：金融租赁公司对单一承租人的全部融资租赁业务余额不得超过资本净额的30%；</w:t>
      </w:r>
    </w:p>
    <w:p w14:paraId="530034E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（三）单一集团客户融资集中度：金融租赁公司对单一集团的全部融资租赁业务余额不得超过资本净额的50%；</w:t>
      </w:r>
    </w:p>
    <w:p w14:paraId="77760EB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（四）单一客户关联度：金融租赁公司对一个关联方的全部融资租赁业务余额不得超过资本净额的30%；</w:t>
      </w:r>
    </w:p>
    <w:p w14:paraId="6376E98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（五）全部关联度：金融租赁公司对全部关联方的全部融资租赁业务余额不得超过资本净额的50%；</w:t>
      </w:r>
    </w:p>
    <w:p w14:paraId="6D965AF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（六）单一股东关联度：对单一股东及其全部关联方的融资余额不得超过该股东在金融租赁公司的出资额，且应同时满足本办法对单一客户关联度的规定；</w:t>
      </w:r>
    </w:p>
    <w:p w14:paraId="1FE8B12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（七）同业拆借比例：金融租赁公司同业拆入资金余额不得超过资本净额的100%。</w:t>
      </w:r>
    </w:p>
    <w:p w14:paraId="788327E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三、汽车金融公司</w:t>
      </w:r>
    </w:p>
    <w:p w14:paraId="142EBA8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汽车金融公司开展各项经营业务，主要受中国银监会和中国人民银行监管。</w:t>
      </w:r>
    </w:p>
    <w:p w14:paraId="440B279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对汽车金融公司进行评估，应关注的金融监管指标及相关要求包括：</w:t>
      </w:r>
    </w:p>
    <w:p w14:paraId="5DFB38E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（一）资本充足率不低于8%，核心资本充足率不低于4%；</w:t>
      </w:r>
    </w:p>
    <w:p w14:paraId="0AD67D1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（二）对单一借款人的授信余额不得超过资本净额的15%；</w:t>
      </w:r>
    </w:p>
    <w:p w14:paraId="47B0E83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（三）对单一集团客户的授信余额不得超过资本净额的50%；</w:t>
      </w:r>
    </w:p>
    <w:p w14:paraId="37A2911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（四）对单一股东及其关联方的授信余额不得超过该股东在汽车金融公司的出资额；</w:t>
      </w:r>
    </w:p>
    <w:p w14:paraId="33D08C3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（五）自用固定资产比例不得超过资本净额的40%。</w:t>
      </w:r>
    </w:p>
    <w:p w14:paraId="6668C57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四、消费金融公司</w:t>
      </w:r>
    </w:p>
    <w:p w14:paraId="393E66E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消费金融公司开展各项经营业务，主要受中国银监会和中国人民银行监管。</w:t>
      </w:r>
    </w:p>
    <w:p w14:paraId="6330D2D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对消费金融公司进行评估，应关注的金融监管指标及相关要求包括：</w:t>
      </w:r>
    </w:p>
    <w:p w14:paraId="411DB43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（一）资本充足率不低于100%；</w:t>
      </w:r>
    </w:p>
    <w:p w14:paraId="1640522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（二）同业拆入资金比例不高于资本总额的100%；</w:t>
      </w:r>
    </w:p>
    <w:p w14:paraId="610F6DD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（三）资产损失准备充足率不低于100%；</w:t>
      </w:r>
    </w:p>
    <w:p w14:paraId="41BFB07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（四）投资余额不高于资本总额的20%。</w:t>
      </w:r>
    </w:p>
    <w:p w14:paraId="12C9A94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五、期货公司</w:t>
      </w:r>
    </w:p>
    <w:p w14:paraId="7E03937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期货公司开展各项经营业务，主要受中国证监会监管。</w:t>
      </w:r>
    </w:p>
    <w:p w14:paraId="5551E1B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对期货公司进行评估，应关注的金融监管指标及相关要求包括：</w:t>
      </w:r>
    </w:p>
    <w:p w14:paraId="3B09231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（一）净资本不低于人民币1,500万元；</w:t>
      </w:r>
    </w:p>
    <w:p w14:paraId="3A51A9E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（二）净资本与公司的风险资本准备的比例不低于100%；</w:t>
      </w:r>
    </w:p>
    <w:p w14:paraId="7074F43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（三）净资本与净资产的比例不低于40%；</w:t>
      </w:r>
    </w:p>
    <w:p w14:paraId="0C31BE2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（四）流动资产与流动负债的比例不低于100%；</w:t>
      </w:r>
    </w:p>
    <w:p w14:paraId="7CD31F9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（五）负债与净资产的比例不高于150%；</w:t>
      </w:r>
    </w:p>
    <w:p w14:paraId="382EBAF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（六）规定的最低限额的结算准备金要求。</w:t>
      </w:r>
    </w:p>
    <w:p w14:paraId="2AA1EAA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附：监管指标涉及的相关法规一览表.</w:t>
      </w:r>
    </w:p>
    <w:p w14:paraId="1CE675D7">
      <w:pPr>
        <w:spacing w:line="440" w:lineRule="atLeast"/>
        <w:rPr>
          <w:rFonts w:ascii="仿宋_GB2312"/>
          <w:bCs/>
          <w:sz w:val="24"/>
        </w:rPr>
      </w:pPr>
      <w:r>
        <w:rPr>
          <w:rFonts w:hint="eastAsia" w:ascii="仿宋_GB2312"/>
          <w:bCs/>
          <w:sz w:val="24"/>
        </w:rPr>
        <w:br w:type="page"/>
      </w:r>
    </w:p>
    <w:p w14:paraId="7106CBEE">
      <w:pPr>
        <w:spacing w:line="440" w:lineRule="atLeast"/>
        <w:rPr>
          <w:rFonts w:ascii="宋体" w:hAnsi="宋体" w:eastAsia="宋体" w:cs="宋体"/>
          <w:bCs/>
          <w:sz w:val="24"/>
        </w:rPr>
      </w:pPr>
      <w:r>
        <w:rPr>
          <w:rFonts w:hint="eastAsia" w:ascii="宋体" w:hAnsi="宋体" w:eastAsia="宋体" w:cs="宋体"/>
          <w:bCs/>
          <w:sz w:val="24"/>
        </w:rPr>
        <w:t>附：</w:t>
      </w:r>
    </w:p>
    <w:p w14:paraId="60321355">
      <w:pPr>
        <w:spacing w:line="440" w:lineRule="atLeast"/>
        <w:jc w:val="center"/>
        <w:rPr>
          <w:rFonts w:ascii="仿宋_GB2312"/>
          <w:b/>
          <w:sz w:val="32"/>
          <w:szCs w:val="32"/>
        </w:rPr>
      </w:pPr>
      <w:r>
        <w:rPr>
          <w:rFonts w:hint="eastAsia" w:ascii="仿宋_GB2312"/>
          <w:b/>
          <w:sz w:val="32"/>
          <w:szCs w:val="32"/>
        </w:rPr>
        <w:t>监管指标涉及的相关法规一览表</w:t>
      </w:r>
    </w:p>
    <w:tbl>
      <w:tblPr>
        <w:tblStyle w:val="24"/>
        <w:tblW w:w="918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18"/>
        <w:gridCol w:w="2092"/>
        <w:gridCol w:w="3402"/>
        <w:gridCol w:w="2268"/>
      </w:tblGrid>
      <w:tr w14:paraId="1A5CE1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418" w:type="dxa"/>
          </w:tcPr>
          <w:p w14:paraId="49B944DA">
            <w:pPr>
              <w:spacing w:before="31" w:beforeLines="10" w:after="31" w:afterLines="10" w:line="440" w:lineRule="atLeast"/>
              <w:jc w:val="center"/>
              <w:rPr>
                <w:rFonts w:ascii="仿宋_GB2312"/>
                <w:b/>
                <w:sz w:val="24"/>
              </w:rPr>
            </w:pPr>
            <w:r>
              <w:rPr>
                <w:rFonts w:hint="eastAsia" w:ascii="仿宋_GB2312"/>
                <w:b/>
                <w:sz w:val="24"/>
              </w:rPr>
              <w:t>行业类别</w:t>
            </w:r>
          </w:p>
        </w:tc>
        <w:tc>
          <w:tcPr>
            <w:tcW w:w="2092" w:type="dxa"/>
          </w:tcPr>
          <w:p w14:paraId="7C005C79">
            <w:pPr>
              <w:spacing w:before="31" w:beforeLines="10" w:after="31" w:afterLines="10" w:line="440" w:lineRule="atLeast"/>
              <w:jc w:val="center"/>
              <w:rPr>
                <w:rFonts w:ascii="仿宋_GB2312"/>
                <w:b/>
                <w:sz w:val="24"/>
              </w:rPr>
            </w:pPr>
            <w:r>
              <w:rPr>
                <w:rFonts w:hint="eastAsia" w:ascii="仿宋_GB2312"/>
                <w:b/>
                <w:sz w:val="24"/>
              </w:rPr>
              <w:t>指标名称</w:t>
            </w:r>
          </w:p>
        </w:tc>
        <w:tc>
          <w:tcPr>
            <w:tcW w:w="3402" w:type="dxa"/>
          </w:tcPr>
          <w:p w14:paraId="273C2E35">
            <w:pPr>
              <w:spacing w:before="31" w:beforeLines="10" w:after="31" w:afterLines="10" w:line="440" w:lineRule="atLeast"/>
              <w:jc w:val="center"/>
              <w:rPr>
                <w:rFonts w:ascii="仿宋_GB2312"/>
                <w:b/>
                <w:sz w:val="24"/>
              </w:rPr>
            </w:pPr>
            <w:r>
              <w:rPr>
                <w:rFonts w:hint="eastAsia" w:ascii="仿宋_GB2312"/>
                <w:b/>
                <w:sz w:val="24"/>
              </w:rPr>
              <w:t>文件名称</w:t>
            </w:r>
          </w:p>
        </w:tc>
        <w:tc>
          <w:tcPr>
            <w:tcW w:w="2268" w:type="dxa"/>
          </w:tcPr>
          <w:p w14:paraId="20BEFEEB">
            <w:pPr>
              <w:spacing w:before="31" w:beforeLines="10" w:after="31" w:afterLines="10" w:line="440" w:lineRule="atLeast"/>
              <w:jc w:val="center"/>
              <w:rPr>
                <w:rFonts w:ascii="仿宋_GB2312"/>
                <w:b/>
                <w:sz w:val="24"/>
              </w:rPr>
            </w:pPr>
            <w:r>
              <w:rPr>
                <w:rFonts w:hint="eastAsia" w:ascii="仿宋_GB2312"/>
                <w:b/>
                <w:sz w:val="24"/>
              </w:rPr>
              <w:t>文件编号（来源）</w:t>
            </w:r>
          </w:p>
        </w:tc>
      </w:tr>
      <w:tr w14:paraId="0775D7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18" w:type="dxa"/>
          </w:tcPr>
          <w:p w14:paraId="46D82D35">
            <w:pPr>
              <w:spacing w:before="31" w:beforeLines="10" w:after="31" w:afterLines="10" w:line="440" w:lineRule="atLeast"/>
              <w:rPr>
                <w:rFonts w:ascii="仿宋_GB2312"/>
                <w:sz w:val="24"/>
              </w:rPr>
            </w:pPr>
            <w:r>
              <w:rPr>
                <w:rFonts w:hint="eastAsia" w:ascii="仿宋_GB2312"/>
                <w:sz w:val="24"/>
              </w:rPr>
              <w:t>商业银行</w:t>
            </w:r>
          </w:p>
        </w:tc>
        <w:tc>
          <w:tcPr>
            <w:tcW w:w="2092" w:type="dxa"/>
          </w:tcPr>
          <w:p w14:paraId="2FF4232A">
            <w:pPr>
              <w:spacing w:before="31" w:beforeLines="10" w:after="31" w:afterLines="10" w:line="440" w:lineRule="atLeast"/>
              <w:rPr>
                <w:rFonts w:ascii="仿宋_GB2312"/>
                <w:sz w:val="24"/>
              </w:rPr>
            </w:pPr>
            <w:r>
              <w:rPr>
                <w:rFonts w:hint="eastAsia" w:ascii="仿宋_GB2312"/>
                <w:sz w:val="24"/>
              </w:rPr>
              <w:t>流动性覆盖率</w:t>
            </w:r>
          </w:p>
        </w:tc>
        <w:tc>
          <w:tcPr>
            <w:tcW w:w="3402" w:type="dxa"/>
          </w:tcPr>
          <w:p w14:paraId="32F6D3F1">
            <w:pPr>
              <w:spacing w:before="31" w:beforeLines="10" w:after="31" w:afterLines="10" w:line="440" w:lineRule="atLeast"/>
              <w:rPr>
                <w:rFonts w:ascii="仿宋_GB2312"/>
                <w:sz w:val="24"/>
              </w:rPr>
            </w:pPr>
            <w:r>
              <w:rPr>
                <w:rFonts w:hint="eastAsia" w:ascii="仿宋_GB2312"/>
                <w:sz w:val="24"/>
              </w:rPr>
              <w:t>《商业银行流动性风险管理办法（试行）》</w:t>
            </w:r>
          </w:p>
        </w:tc>
        <w:tc>
          <w:tcPr>
            <w:tcW w:w="2268" w:type="dxa"/>
          </w:tcPr>
          <w:p w14:paraId="4EC1F000">
            <w:pPr>
              <w:spacing w:before="31" w:beforeLines="10" w:after="31" w:afterLines="10" w:line="440" w:lineRule="atLeast"/>
              <w:rPr>
                <w:rFonts w:ascii="仿宋_GB2312"/>
                <w:sz w:val="24"/>
              </w:rPr>
            </w:pPr>
            <w:r>
              <w:rPr>
                <w:rFonts w:hint="eastAsia" w:ascii="仿宋_GB2312"/>
                <w:sz w:val="24"/>
              </w:rPr>
              <w:t>银监会令</w:t>
            </w:r>
            <w:r>
              <w:rPr>
                <w:rFonts w:hint="eastAsia" w:ascii="仿宋_GB2312" w:hAnsi="Times New Roman"/>
                <w:sz w:val="24"/>
              </w:rPr>
              <w:t>〔2014〕2号</w:t>
            </w:r>
          </w:p>
        </w:tc>
      </w:tr>
      <w:tr w14:paraId="552DA0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18" w:type="dxa"/>
          </w:tcPr>
          <w:p w14:paraId="41742576">
            <w:pPr>
              <w:spacing w:before="31" w:beforeLines="10" w:after="31" w:afterLines="10" w:line="440" w:lineRule="atLeast"/>
              <w:rPr>
                <w:rFonts w:ascii="仿宋_GB2312"/>
                <w:sz w:val="24"/>
              </w:rPr>
            </w:pPr>
            <w:r>
              <w:rPr>
                <w:rFonts w:hint="eastAsia" w:ascii="仿宋_GB2312"/>
                <w:sz w:val="24"/>
              </w:rPr>
              <w:t>商业银行</w:t>
            </w:r>
          </w:p>
        </w:tc>
        <w:tc>
          <w:tcPr>
            <w:tcW w:w="2092" w:type="dxa"/>
          </w:tcPr>
          <w:p w14:paraId="771FACC7">
            <w:pPr>
              <w:spacing w:before="31" w:beforeLines="10" w:after="31" w:afterLines="10" w:line="440" w:lineRule="atLeast"/>
              <w:rPr>
                <w:rFonts w:ascii="仿宋_GB2312"/>
                <w:sz w:val="24"/>
              </w:rPr>
            </w:pPr>
            <w:r>
              <w:rPr>
                <w:rFonts w:hint="eastAsia" w:ascii="仿宋_GB2312"/>
                <w:sz w:val="24"/>
              </w:rPr>
              <w:t>流动性比例</w:t>
            </w:r>
          </w:p>
        </w:tc>
        <w:tc>
          <w:tcPr>
            <w:tcW w:w="3402" w:type="dxa"/>
          </w:tcPr>
          <w:p w14:paraId="7A7FD856">
            <w:pPr>
              <w:spacing w:before="31" w:beforeLines="10" w:after="31" w:afterLines="10" w:line="440" w:lineRule="atLeast"/>
              <w:rPr>
                <w:rFonts w:ascii="仿宋_GB2312"/>
                <w:sz w:val="24"/>
              </w:rPr>
            </w:pPr>
            <w:r>
              <w:rPr>
                <w:rFonts w:hint="eastAsia" w:ascii="仿宋_GB2312"/>
                <w:sz w:val="24"/>
              </w:rPr>
              <w:t>《商业银行流动性风险管理办法（试行）》</w:t>
            </w:r>
          </w:p>
        </w:tc>
        <w:tc>
          <w:tcPr>
            <w:tcW w:w="2268" w:type="dxa"/>
          </w:tcPr>
          <w:p w14:paraId="185E21F1">
            <w:pPr>
              <w:spacing w:before="31" w:beforeLines="10" w:after="31" w:afterLines="10" w:line="440" w:lineRule="atLeast"/>
              <w:rPr>
                <w:rFonts w:ascii="仿宋_GB2312"/>
                <w:sz w:val="24"/>
              </w:rPr>
            </w:pPr>
            <w:r>
              <w:rPr>
                <w:rFonts w:hint="eastAsia" w:ascii="仿宋_GB2312"/>
                <w:sz w:val="24"/>
              </w:rPr>
              <w:t>银监会令</w:t>
            </w:r>
            <w:r>
              <w:rPr>
                <w:rFonts w:hint="eastAsia" w:ascii="仿宋_GB2312" w:hAnsi="Times New Roman"/>
                <w:sz w:val="24"/>
              </w:rPr>
              <w:t>〔2014〕2号</w:t>
            </w:r>
          </w:p>
        </w:tc>
      </w:tr>
      <w:tr w14:paraId="5378C5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18" w:type="dxa"/>
          </w:tcPr>
          <w:p w14:paraId="1EADC748">
            <w:pPr>
              <w:spacing w:before="31" w:beforeLines="10" w:after="31" w:afterLines="10" w:line="440" w:lineRule="atLeast"/>
              <w:rPr>
                <w:rFonts w:ascii="仿宋_GB2312"/>
                <w:sz w:val="24"/>
              </w:rPr>
            </w:pPr>
            <w:r>
              <w:rPr>
                <w:rFonts w:hint="eastAsia" w:ascii="仿宋_GB2312"/>
                <w:sz w:val="24"/>
              </w:rPr>
              <w:t>商业银行</w:t>
            </w:r>
          </w:p>
        </w:tc>
        <w:tc>
          <w:tcPr>
            <w:tcW w:w="2092" w:type="dxa"/>
          </w:tcPr>
          <w:p w14:paraId="7FC94EE5">
            <w:pPr>
              <w:spacing w:before="31" w:beforeLines="10" w:after="31" w:afterLines="10" w:line="440" w:lineRule="atLeast"/>
              <w:rPr>
                <w:rFonts w:ascii="仿宋_GB2312"/>
                <w:sz w:val="24"/>
              </w:rPr>
            </w:pPr>
            <w:r>
              <w:rPr>
                <w:rFonts w:hint="eastAsia" w:ascii="仿宋_GB2312"/>
                <w:sz w:val="24"/>
              </w:rPr>
              <w:t>核心负债比例</w:t>
            </w:r>
          </w:p>
        </w:tc>
        <w:tc>
          <w:tcPr>
            <w:tcW w:w="3402" w:type="dxa"/>
          </w:tcPr>
          <w:p w14:paraId="502D0880">
            <w:pPr>
              <w:spacing w:before="31" w:beforeLines="10" w:after="31" w:afterLines="10" w:line="440" w:lineRule="atLeast"/>
              <w:rPr>
                <w:rFonts w:ascii="仿宋_GB2312"/>
                <w:sz w:val="24"/>
              </w:rPr>
            </w:pPr>
            <w:r>
              <w:rPr>
                <w:rFonts w:hint="eastAsia" w:ascii="仿宋_GB2312"/>
                <w:sz w:val="24"/>
              </w:rPr>
              <w:t>《商业银行风险监管核心指标（试行）》</w:t>
            </w:r>
          </w:p>
        </w:tc>
        <w:tc>
          <w:tcPr>
            <w:tcW w:w="2268" w:type="dxa"/>
          </w:tcPr>
          <w:p w14:paraId="6B9E2EA3">
            <w:pPr>
              <w:spacing w:before="31" w:beforeLines="10" w:after="31" w:afterLines="10" w:line="440" w:lineRule="atLeast"/>
              <w:rPr>
                <w:rFonts w:ascii="仿宋_GB2312"/>
                <w:sz w:val="24"/>
              </w:rPr>
            </w:pPr>
            <w:r>
              <w:rPr>
                <w:rFonts w:hint="eastAsia" w:ascii="仿宋_GB2312"/>
                <w:sz w:val="24"/>
              </w:rPr>
              <w:t>银监会2005年12月31日公告</w:t>
            </w:r>
          </w:p>
        </w:tc>
      </w:tr>
      <w:tr w14:paraId="32F2F0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18" w:type="dxa"/>
          </w:tcPr>
          <w:p w14:paraId="433B0245">
            <w:pPr>
              <w:spacing w:before="31" w:beforeLines="10" w:after="31" w:afterLines="10" w:line="440" w:lineRule="atLeast"/>
              <w:rPr>
                <w:rFonts w:ascii="仿宋_GB2312"/>
                <w:sz w:val="24"/>
              </w:rPr>
            </w:pPr>
            <w:r>
              <w:rPr>
                <w:rFonts w:hint="eastAsia" w:ascii="仿宋_GB2312"/>
                <w:sz w:val="24"/>
              </w:rPr>
              <w:t>商业银行</w:t>
            </w:r>
          </w:p>
        </w:tc>
        <w:tc>
          <w:tcPr>
            <w:tcW w:w="2092" w:type="dxa"/>
          </w:tcPr>
          <w:p w14:paraId="6CF1C6C8">
            <w:pPr>
              <w:spacing w:before="31" w:beforeLines="10" w:after="31" w:afterLines="10" w:line="440" w:lineRule="atLeast"/>
              <w:rPr>
                <w:rFonts w:ascii="仿宋_GB2312"/>
                <w:sz w:val="24"/>
              </w:rPr>
            </w:pPr>
            <w:r>
              <w:rPr>
                <w:rFonts w:hint="eastAsia" w:ascii="仿宋_GB2312"/>
                <w:sz w:val="24"/>
              </w:rPr>
              <w:t>不良资产率</w:t>
            </w:r>
          </w:p>
        </w:tc>
        <w:tc>
          <w:tcPr>
            <w:tcW w:w="3402" w:type="dxa"/>
          </w:tcPr>
          <w:p w14:paraId="1C96F743">
            <w:pPr>
              <w:spacing w:before="31" w:beforeLines="10" w:after="31" w:afterLines="10" w:line="440" w:lineRule="atLeast"/>
              <w:rPr>
                <w:rFonts w:ascii="仿宋_GB2312"/>
                <w:sz w:val="24"/>
              </w:rPr>
            </w:pPr>
            <w:r>
              <w:rPr>
                <w:rFonts w:hint="eastAsia" w:ascii="仿宋_GB2312"/>
                <w:sz w:val="24"/>
              </w:rPr>
              <w:t>《商业银行风险监管核心指标（试行）》</w:t>
            </w:r>
          </w:p>
        </w:tc>
        <w:tc>
          <w:tcPr>
            <w:tcW w:w="2268" w:type="dxa"/>
          </w:tcPr>
          <w:p w14:paraId="5A0EA666">
            <w:pPr>
              <w:spacing w:before="31" w:beforeLines="10" w:after="31" w:afterLines="10" w:line="440" w:lineRule="atLeast"/>
              <w:rPr>
                <w:rFonts w:ascii="仿宋_GB2312"/>
                <w:sz w:val="24"/>
              </w:rPr>
            </w:pPr>
            <w:r>
              <w:rPr>
                <w:rFonts w:hint="eastAsia" w:ascii="仿宋_GB2312"/>
                <w:sz w:val="24"/>
              </w:rPr>
              <w:t>银监会2005年12月31日公告</w:t>
            </w:r>
          </w:p>
        </w:tc>
      </w:tr>
      <w:tr w14:paraId="68DF8E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18" w:type="dxa"/>
          </w:tcPr>
          <w:p w14:paraId="7C015A21">
            <w:pPr>
              <w:spacing w:before="31" w:beforeLines="10" w:after="31" w:afterLines="10" w:line="440" w:lineRule="atLeast"/>
              <w:rPr>
                <w:rFonts w:ascii="仿宋_GB2312"/>
                <w:sz w:val="24"/>
              </w:rPr>
            </w:pPr>
            <w:r>
              <w:rPr>
                <w:rFonts w:hint="eastAsia" w:ascii="仿宋_GB2312"/>
                <w:sz w:val="24"/>
              </w:rPr>
              <w:t>商业银行</w:t>
            </w:r>
          </w:p>
        </w:tc>
        <w:tc>
          <w:tcPr>
            <w:tcW w:w="2092" w:type="dxa"/>
          </w:tcPr>
          <w:p w14:paraId="0F3B3E7B">
            <w:pPr>
              <w:spacing w:before="31" w:beforeLines="10" w:after="31" w:afterLines="10" w:line="440" w:lineRule="atLeast"/>
              <w:rPr>
                <w:rFonts w:ascii="仿宋_GB2312"/>
                <w:sz w:val="24"/>
              </w:rPr>
            </w:pPr>
            <w:r>
              <w:rPr>
                <w:rFonts w:hint="eastAsia" w:ascii="仿宋_GB2312"/>
                <w:sz w:val="24"/>
              </w:rPr>
              <w:t>不良贷款率</w:t>
            </w:r>
          </w:p>
        </w:tc>
        <w:tc>
          <w:tcPr>
            <w:tcW w:w="3402" w:type="dxa"/>
          </w:tcPr>
          <w:p w14:paraId="1E34EB61">
            <w:pPr>
              <w:spacing w:before="31" w:beforeLines="10" w:after="31" w:afterLines="10" w:line="440" w:lineRule="atLeast"/>
              <w:rPr>
                <w:rFonts w:ascii="仿宋_GB2312"/>
                <w:sz w:val="24"/>
              </w:rPr>
            </w:pPr>
            <w:r>
              <w:rPr>
                <w:rFonts w:hint="eastAsia" w:ascii="仿宋_GB2312"/>
                <w:sz w:val="24"/>
              </w:rPr>
              <w:t>《商业银行风险监管核心指标（试行）》</w:t>
            </w:r>
          </w:p>
        </w:tc>
        <w:tc>
          <w:tcPr>
            <w:tcW w:w="2268" w:type="dxa"/>
          </w:tcPr>
          <w:p w14:paraId="57107D9E">
            <w:pPr>
              <w:spacing w:before="31" w:beforeLines="10" w:after="31" w:afterLines="10" w:line="440" w:lineRule="atLeast"/>
              <w:rPr>
                <w:rFonts w:ascii="仿宋_GB2312"/>
                <w:sz w:val="24"/>
              </w:rPr>
            </w:pPr>
            <w:r>
              <w:rPr>
                <w:rFonts w:hint="eastAsia" w:ascii="仿宋_GB2312"/>
                <w:sz w:val="24"/>
              </w:rPr>
              <w:t>银监会2005年12月31日公告</w:t>
            </w:r>
          </w:p>
        </w:tc>
      </w:tr>
      <w:tr w14:paraId="09800D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18" w:type="dxa"/>
          </w:tcPr>
          <w:p w14:paraId="708BD963">
            <w:pPr>
              <w:spacing w:before="31" w:beforeLines="10" w:after="31" w:afterLines="10" w:line="440" w:lineRule="atLeast"/>
              <w:rPr>
                <w:rFonts w:ascii="仿宋_GB2312"/>
                <w:sz w:val="24"/>
              </w:rPr>
            </w:pPr>
            <w:r>
              <w:rPr>
                <w:rFonts w:hint="eastAsia" w:ascii="仿宋_GB2312"/>
                <w:sz w:val="24"/>
              </w:rPr>
              <w:t>商业银行</w:t>
            </w:r>
          </w:p>
        </w:tc>
        <w:tc>
          <w:tcPr>
            <w:tcW w:w="2092" w:type="dxa"/>
          </w:tcPr>
          <w:p w14:paraId="02F1AE54">
            <w:pPr>
              <w:spacing w:before="31" w:beforeLines="10" w:after="31" w:afterLines="10" w:line="440" w:lineRule="atLeast"/>
              <w:rPr>
                <w:rFonts w:ascii="仿宋_GB2312"/>
                <w:sz w:val="24"/>
              </w:rPr>
            </w:pPr>
            <w:r>
              <w:rPr>
                <w:rFonts w:hint="eastAsia" w:ascii="仿宋_GB2312"/>
                <w:sz w:val="24"/>
              </w:rPr>
              <w:t>贷款拨备率</w:t>
            </w:r>
          </w:p>
        </w:tc>
        <w:tc>
          <w:tcPr>
            <w:tcW w:w="3402" w:type="dxa"/>
          </w:tcPr>
          <w:p w14:paraId="766404B4">
            <w:pPr>
              <w:spacing w:before="31" w:beforeLines="10" w:after="31" w:afterLines="10" w:line="440" w:lineRule="atLeast"/>
              <w:rPr>
                <w:rFonts w:ascii="仿宋_GB2312"/>
                <w:sz w:val="24"/>
              </w:rPr>
            </w:pPr>
            <w:r>
              <w:rPr>
                <w:rFonts w:hint="eastAsia" w:ascii="仿宋_GB2312" w:hAnsi="Times New Roman"/>
                <w:sz w:val="24"/>
              </w:rPr>
              <w:t>《中国银监会关于中国银行业实施新监管标准的指导意见》</w:t>
            </w:r>
          </w:p>
        </w:tc>
        <w:tc>
          <w:tcPr>
            <w:tcW w:w="2268" w:type="dxa"/>
          </w:tcPr>
          <w:p w14:paraId="4F75970A">
            <w:pPr>
              <w:spacing w:before="31" w:beforeLines="10" w:after="31" w:afterLines="10" w:line="440" w:lineRule="atLeast"/>
              <w:rPr>
                <w:rFonts w:ascii="仿宋_GB2312" w:hAnsi="Times New Roman"/>
                <w:sz w:val="24"/>
              </w:rPr>
            </w:pPr>
            <w:r>
              <w:rPr>
                <w:rFonts w:hint="eastAsia" w:ascii="仿宋_GB2312" w:hAnsi="Times New Roman"/>
                <w:sz w:val="24"/>
              </w:rPr>
              <w:t>银监发〔2011〕44号</w:t>
            </w:r>
          </w:p>
        </w:tc>
      </w:tr>
      <w:tr w14:paraId="1160FE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18" w:type="dxa"/>
          </w:tcPr>
          <w:p w14:paraId="657F3D84">
            <w:pPr>
              <w:spacing w:before="31" w:beforeLines="10" w:after="31" w:afterLines="10" w:line="440" w:lineRule="atLeast"/>
              <w:rPr>
                <w:rFonts w:ascii="仿宋_GB2312"/>
                <w:sz w:val="24"/>
              </w:rPr>
            </w:pPr>
            <w:r>
              <w:rPr>
                <w:rFonts w:hint="eastAsia" w:ascii="仿宋_GB2312"/>
                <w:sz w:val="24"/>
              </w:rPr>
              <w:t>商业银行</w:t>
            </w:r>
          </w:p>
        </w:tc>
        <w:tc>
          <w:tcPr>
            <w:tcW w:w="2092" w:type="dxa"/>
          </w:tcPr>
          <w:p w14:paraId="76FC0E1A">
            <w:pPr>
              <w:spacing w:before="31" w:beforeLines="10" w:after="31" w:afterLines="10" w:line="440" w:lineRule="atLeast"/>
              <w:rPr>
                <w:rFonts w:ascii="仿宋_GB2312"/>
                <w:sz w:val="24"/>
              </w:rPr>
            </w:pPr>
            <w:r>
              <w:rPr>
                <w:rFonts w:hint="eastAsia" w:ascii="仿宋_GB2312"/>
                <w:sz w:val="24"/>
              </w:rPr>
              <w:t>拨备覆盖率</w:t>
            </w:r>
          </w:p>
        </w:tc>
        <w:tc>
          <w:tcPr>
            <w:tcW w:w="3402" w:type="dxa"/>
          </w:tcPr>
          <w:p w14:paraId="7A70138D">
            <w:pPr>
              <w:spacing w:before="31" w:beforeLines="10" w:after="31" w:afterLines="10" w:line="440" w:lineRule="atLeast"/>
              <w:rPr>
                <w:rFonts w:ascii="仿宋_GB2312"/>
                <w:sz w:val="24"/>
              </w:rPr>
            </w:pPr>
            <w:r>
              <w:rPr>
                <w:rFonts w:hint="eastAsia" w:ascii="仿宋_GB2312" w:hAnsi="Times New Roman"/>
                <w:sz w:val="24"/>
              </w:rPr>
              <w:t>《中国银监会关于中国银行业实施新监管标准的指导意见》</w:t>
            </w:r>
          </w:p>
        </w:tc>
        <w:tc>
          <w:tcPr>
            <w:tcW w:w="2268" w:type="dxa"/>
          </w:tcPr>
          <w:p w14:paraId="7EF76C5B">
            <w:pPr>
              <w:spacing w:before="31" w:beforeLines="10" w:after="31" w:afterLines="10" w:line="440" w:lineRule="atLeast"/>
              <w:rPr>
                <w:rFonts w:ascii="仿宋_GB2312" w:hAnsi="Times New Roman"/>
                <w:sz w:val="24"/>
              </w:rPr>
            </w:pPr>
            <w:r>
              <w:rPr>
                <w:rFonts w:hint="eastAsia" w:ascii="仿宋_GB2312" w:hAnsi="Times New Roman"/>
                <w:sz w:val="24"/>
              </w:rPr>
              <w:t>银监发〔2011〕44号</w:t>
            </w:r>
          </w:p>
        </w:tc>
      </w:tr>
      <w:tr w14:paraId="1B6228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18" w:type="dxa"/>
          </w:tcPr>
          <w:p w14:paraId="1613770C">
            <w:pPr>
              <w:spacing w:before="31" w:beforeLines="10" w:after="31" w:afterLines="10" w:line="440" w:lineRule="atLeast"/>
              <w:rPr>
                <w:rFonts w:ascii="仿宋_GB2312"/>
                <w:sz w:val="24"/>
              </w:rPr>
            </w:pPr>
            <w:r>
              <w:rPr>
                <w:rFonts w:hint="eastAsia" w:ascii="仿宋_GB2312"/>
                <w:sz w:val="24"/>
              </w:rPr>
              <w:t>商业银行</w:t>
            </w:r>
          </w:p>
        </w:tc>
        <w:tc>
          <w:tcPr>
            <w:tcW w:w="2092" w:type="dxa"/>
          </w:tcPr>
          <w:p w14:paraId="48FDC0F8">
            <w:pPr>
              <w:spacing w:before="31" w:beforeLines="10" w:after="31" w:afterLines="10" w:line="440" w:lineRule="atLeast"/>
              <w:rPr>
                <w:rFonts w:ascii="仿宋_GB2312"/>
                <w:sz w:val="24"/>
              </w:rPr>
            </w:pPr>
            <w:r>
              <w:rPr>
                <w:rFonts w:hint="eastAsia" w:ascii="仿宋_GB2312"/>
                <w:sz w:val="24"/>
              </w:rPr>
              <w:t>贷款迁徙率</w:t>
            </w:r>
          </w:p>
        </w:tc>
        <w:tc>
          <w:tcPr>
            <w:tcW w:w="3402" w:type="dxa"/>
          </w:tcPr>
          <w:p w14:paraId="55CF9771">
            <w:pPr>
              <w:spacing w:before="31" w:beforeLines="10" w:after="31" w:afterLines="10" w:line="440" w:lineRule="atLeast"/>
              <w:rPr>
                <w:rFonts w:ascii="仿宋_GB2312"/>
                <w:sz w:val="24"/>
              </w:rPr>
            </w:pPr>
            <w:r>
              <w:rPr>
                <w:rFonts w:hint="eastAsia" w:ascii="仿宋_GB2312"/>
                <w:sz w:val="24"/>
              </w:rPr>
              <w:t>《商业银行风险监管核心指标（试行）》</w:t>
            </w:r>
          </w:p>
        </w:tc>
        <w:tc>
          <w:tcPr>
            <w:tcW w:w="2268" w:type="dxa"/>
          </w:tcPr>
          <w:p w14:paraId="59080BE7">
            <w:pPr>
              <w:spacing w:before="31" w:beforeLines="10" w:after="31" w:afterLines="10" w:line="440" w:lineRule="atLeast"/>
              <w:rPr>
                <w:rFonts w:ascii="仿宋_GB2312"/>
                <w:sz w:val="24"/>
              </w:rPr>
            </w:pPr>
            <w:r>
              <w:rPr>
                <w:rFonts w:hint="eastAsia" w:ascii="仿宋_GB2312"/>
                <w:sz w:val="24"/>
              </w:rPr>
              <w:t>银监会2005年12月31日公告</w:t>
            </w:r>
          </w:p>
        </w:tc>
      </w:tr>
      <w:tr w14:paraId="1140B6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18" w:type="dxa"/>
            <w:vMerge w:val="restart"/>
          </w:tcPr>
          <w:p w14:paraId="0538502D">
            <w:pPr>
              <w:spacing w:before="31" w:beforeLines="10" w:after="31" w:afterLines="10" w:line="440" w:lineRule="atLeast"/>
              <w:rPr>
                <w:rFonts w:ascii="仿宋_GB2312"/>
                <w:sz w:val="24"/>
              </w:rPr>
            </w:pPr>
            <w:r>
              <w:rPr>
                <w:rFonts w:hint="eastAsia" w:ascii="仿宋_GB2312"/>
                <w:sz w:val="24"/>
              </w:rPr>
              <w:t>商业银行</w:t>
            </w:r>
          </w:p>
        </w:tc>
        <w:tc>
          <w:tcPr>
            <w:tcW w:w="2092" w:type="dxa"/>
            <w:vMerge w:val="restart"/>
          </w:tcPr>
          <w:p w14:paraId="0B06291B">
            <w:pPr>
              <w:spacing w:before="31" w:beforeLines="10" w:after="31" w:afterLines="10" w:line="440" w:lineRule="atLeast"/>
              <w:rPr>
                <w:rFonts w:ascii="仿宋_GB2312"/>
                <w:sz w:val="24"/>
              </w:rPr>
            </w:pPr>
            <w:r>
              <w:rPr>
                <w:rFonts w:hint="eastAsia" w:ascii="仿宋_GB2312"/>
                <w:sz w:val="24"/>
              </w:rPr>
              <w:t>资本充足率</w:t>
            </w:r>
          </w:p>
        </w:tc>
        <w:tc>
          <w:tcPr>
            <w:tcW w:w="3402" w:type="dxa"/>
          </w:tcPr>
          <w:p w14:paraId="658B9B70">
            <w:pPr>
              <w:spacing w:before="31" w:beforeLines="10" w:after="31" w:afterLines="10" w:line="440" w:lineRule="atLeast"/>
              <w:rPr>
                <w:rFonts w:ascii="仿宋_GB2312"/>
                <w:sz w:val="24"/>
              </w:rPr>
            </w:pPr>
            <w:r>
              <w:rPr>
                <w:rFonts w:hint="eastAsia" w:ascii="仿宋_GB2312"/>
                <w:sz w:val="24"/>
              </w:rPr>
              <w:t>《中国银监会关于中国银行业实施新监管标准的指导意见》</w:t>
            </w:r>
          </w:p>
        </w:tc>
        <w:tc>
          <w:tcPr>
            <w:tcW w:w="2268" w:type="dxa"/>
          </w:tcPr>
          <w:p w14:paraId="4D5D55DD">
            <w:pPr>
              <w:spacing w:before="31" w:beforeLines="10" w:after="31" w:afterLines="10" w:line="440" w:lineRule="atLeast"/>
              <w:rPr>
                <w:rFonts w:ascii="仿宋_GB2312"/>
                <w:sz w:val="24"/>
              </w:rPr>
            </w:pPr>
            <w:r>
              <w:rPr>
                <w:rFonts w:hint="eastAsia" w:ascii="仿宋_GB2312"/>
                <w:sz w:val="24"/>
              </w:rPr>
              <w:t>银监发〔2011〕44号</w:t>
            </w:r>
          </w:p>
        </w:tc>
      </w:tr>
      <w:tr w14:paraId="1B4F23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18" w:type="dxa"/>
            <w:vMerge w:val="continue"/>
          </w:tcPr>
          <w:p w14:paraId="1A21D193">
            <w:pPr>
              <w:spacing w:before="31" w:beforeLines="10" w:after="31" w:afterLines="10" w:line="440" w:lineRule="atLeast"/>
              <w:rPr>
                <w:rFonts w:ascii="仿宋_GB2312" w:cs="黑体"/>
                <w:b/>
                <w:bCs/>
                <w:sz w:val="24"/>
              </w:rPr>
            </w:pPr>
          </w:p>
        </w:tc>
        <w:tc>
          <w:tcPr>
            <w:tcW w:w="2092" w:type="dxa"/>
            <w:vMerge w:val="continue"/>
          </w:tcPr>
          <w:p w14:paraId="204B9FE5">
            <w:pPr>
              <w:spacing w:before="31" w:beforeLines="10" w:after="31" w:afterLines="10" w:line="440" w:lineRule="atLeast"/>
              <w:rPr>
                <w:rFonts w:ascii="仿宋_GB2312" w:cs="黑体"/>
                <w:b/>
                <w:bCs/>
                <w:sz w:val="24"/>
              </w:rPr>
            </w:pPr>
          </w:p>
        </w:tc>
        <w:tc>
          <w:tcPr>
            <w:tcW w:w="3402" w:type="dxa"/>
          </w:tcPr>
          <w:p w14:paraId="76E1163A">
            <w:pPr>
              <w:spacing w:before="31" w:beforeLines="10" w:after="31" w:afterLines="10" w:line="440" w:lineRule="atLeast"/>
              <w:rPr>
                <w:rFonts w:ascii="仿宋_GB2312"/>
                <w:sz w:val="24"/>
              </w:rPr>
            </w:pPr>
            <w:r>
              <w:rPr>
                <w:rFonts w:hint="eastAsia" w:ascii="仿宋_GB2312"/>
                <w:sz w:val="24"/>
              </w:rPr>
              <w:t>《商业银行资本管理办法（试行）》</w:t>
            </w:r>
          </w:p>
        </w:tc>
        <w:tc>
          <w:tcPr>
            <w:tcW w:w="2268" w:type="dxa"/>
          </w:tcPr>
          <w:p w14:paraId="7BA2159D">
            <w:pPr>
              <w:spacing w:before="31" w:beforeLines="10" w:after="31" w:afterLines="10" w:line="440" w:lineRule="atLeast"/>
              <w:rPr>
                <w:rFonts w:ascii="仿宋_GB2312"/>
                <w:sz w:val="24"/>
              </w:rPr>
            </w:pPr>
            <w:r>
              <w:rPr>
                <w:rFonts w:ascii="仿宋_GB2312"/>
                <w:sz w:val="24"/>
              </w:rPr>
              <w:t>银监会令</w:t>
            </w:r>
            <w:r>
              <w:rPr>
                <w:rFonts w:hint="eastAsia" w:ascii="仿宋_GB2312"/>
                <w:sz w:val="24"/>
              </w:rPr>
              <w:t>〔2012〕1</w:t>
            </w:r>
            <w:r>
              <w:rPr>
                <w:rFonts w:ascii="仿宋_GB2312"/>
                <w:sz w:val="24"/>
              </w:rPr>
              <w:t>号</w:t>
            </w:r>
          </w:p>
        </w:tc>
      </w:tr>
      <w:tr w14:paraId="0557EC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18" w:type="dxa"/>
          </w:tcPr>
          <w:p w14:paraId="6C8966EB">
            <w:pPr>
              <w:spacing w:before="31" w:beforeLines="10" w:after="31" w:afterLines="10" w:line="440" w:lineRule="atLeast"/>
              <w:rPr>
                <w:rFonts w:ascii="仿宋_GB2312"/>
                <w:sz w:val="24"/>
              </w:rPr>
            </w:pPr>
            <w:r>
              <w:rPr>
                <w:rFonts w:hint="eastAsia" w:ascii="仿宋_GB2312"/>
                <w:sz w:val="24"/>
              </w:rPr>
              <w:t>商业银行</w:t>
            </w:r>
          </w:p>
        </w:tc>
        <w:tc>
          <w:tcPr>
            <w:tcW w:w="2092" w:type="dxa"/>
          </w:tcPr>
          <w:p w14:paraId="0505DCB9">
            <w:pPr>
              <w:spacing w:before="31" w:beforeLines="10" w:after="31" w:afterLines="10" w:line="440" w:lineRule="atLeast"/>
              <w:rPr>
                <w:rFonts w:ascii="仿宋_GB2312"/>
                <w:sz w:val="24"/>
              </w:rPr>
            </w:pPr>
            <w:r>
              <w:rPr>
                <w:rFonts w:hint="eastAsia" w:ascii="仿宋_GB2312"/>
                <w:sz w:val="24"/>
              </w:rPr>
              <w:t>存款准备金率</w:t>
            </w:r>
          </w:p>
        </w:tc>
        <w:tc>
          <w:tcPr>
            <w:tcW w:w="3402" w:type="dxa"/>
          </w:tcPr>
          <w:p w14:paraId="59DCB157">
            <w:pPr>
              <w:spacing w:before="31" w:beforeLines="10" w:after="31" w:afterLines="10" w:line="440" w:lineRule="atLeast"/>
              <w:rPr>
                <w:rFonts w:ascii="仿宋_GB2312" w:cs="黑体"/>
                <w:b/>
                <w:bCs/>
                <w:sz w:val="24"/>
              </w:rPr>
            </w:pPr>
          </w:p>
        </w:tc>
        <w:tc>
          <w:tcPr>
            <w:tcW w:w="2268" w:type="dxa"/>
          </w:tcPr>
          <w:p w14:paraId="4B1A7D1F">
            <w:pPr>
              <w:spacing w:before="31" w:beforeLines="10" w:after="31" w:afterLines="10" w:line="440" w:lineRule="atLeast"/>
              <w:rPr>
                <w:rFonts w:ascii="仿宋_GB2312" w:cs="黑体"/>
                <w:b/>
                <w:bCs/>
                <w:sz w:val="24"/>
              </w:rPr>
            </w:pPr>
            <w:r>
              <w:rPr>
                <w:rFonts w:hint="eastAsia" w:ascii="仿宋_GB2312"/>
                <w:sz w:val="24"/>
              </w:rPr>
              <w:t>中国人民银行网站公告</w:t>
            </w:r>
          </w:p>
        </w:tc>
      </w:tr>
      <w:tr w14:paraId="2E6D37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18" w:type="dxa"/>
          </w:tcPr>
          <w:p w14:paraId="0144AC5F">
            <w:pPr>
              <w:spacing w:before="31" w:beforeLines="10" w:after="31" w:afterLines="10" w:line="440" w:lineRule="atLeast"/>
              <w:rPr>
                <w:rFonts w:ascii="仿宋_GB2312"/>
                <w:sz w:val="24"/>
              </w:rPr>
            </w:pPr>
            <w:r>
              <w:rPr>
                <w:rFonts w:hint="eastAsia" w:ascii="仿宋_GB2312"/>
                <w:sz w:val="24"/>
              </w:rPr>
              <w:t>商业银行</w:t>
            </w:r>
          </w:p>
        </w:tc>
        <w:tc>
          <w:tcPr>
            <w:tcW w:w="2092" w:type="dxa"/>
          </w:tcPr>
          <w:p w14:paraId="0FD79266">
            <w:pPr>
              <w:spacing w:before="31" w:beforeLines="10" w:after="31" w:afterLines="10" w:line="440" w:lineRule="atLeast"/>
              <w:rPr>
                <w:rFonts w:ascii="仿宋_GB2312"/>
                <w:sz w:val="24"/>
              </w:rPr>
            </w:pPr>
            <w:r>
              <w:rPr>
                <w:rFonts w:hint="eastAsia" w:ascii="仿宋_GB2312"/>
                <w:sz w:val="24"/>
              </w:rPr>
              <w:t>成本收入比</w:t>
            </w:r>
          </w:p>
        </w:tc>
        <w:tc>
          <w:tcPr>
            <w:tcW w:w="3402" w:type="dxa"/>
          </w:tcPr>
          <w:p w14:paraId="062F2FD2">
            <w:pPr>
              <w:spacing w:before="31" w:beforeLines="10" w:after="31" w:afterLines="10" w:line="440" w:lineRule="atLeast"/>
              <w:rPr>
                <w:rFonts w:ascii="仿宋_GB2312"/>
                <w:sz w:val="24"/>
              </w:rPr>
            </w:pPr>
            <w:r>
              <w:rPr>
                <w:rFonts w:hint="eastAsia" w:ascii="仿宋_GB2312"/>
                <w:sz w:val="24"/>
              </w:rPr>
              <w:t>《商业银行风险监管核心指标（试行）》</w:t>
            </w:r>
          </w:p>
        </w:tc>
        <w:tc>
          <w:tcPr>
            <w:tcW w:w="2268" w:type="dxa"/>
          </w:tcPr>
          <w:p w14:paraId="46E548AD">
            <w:pPr>
              <w:spacing w:before="31" w:beforeLines="10" w:after="31" w:afterLines="10" w:line="440" w:lineRule="atLeast"/>
              <w:rPr>
                <w:rFonts w:ascii="仿宋_GB2312"/>
                <w:sz w:val="24"/>
              </w:rPr>
            </w:pPr>
            <w:r>
              <w:rPr>
                <w:rFonts w:hint="eastAsia" w:ascii="仿宋_GB2312"/>
                <w:sz w:val="24"/>
              </w:rPr>
              <w:t>银监会2005年12月31日公告</w:t>
            </w:r>
          </w:p>
        </w:tc>
      </w:tr>
      <w:tr w14:paraId="4712C1D9">
        <w:tblPrEx>
          <w:tblCellMar>
            <w:top w:w="0" w:type="dxa"/>
            <w:left w:w="108" w:type="dxa"/>
            <w:bottom w:w="0" w:type="dxa"/>
            <w:right w:w="108" w:type="dxa"/>
          </w:tblCellMar>
        </w:tblPrEx>
        <w:tc>
          <w:tcPr>
            <w:tcW w:w="1418" w:type="dxa"/>
          </w:tcPr>
          <w:p w14:paraId="0BBBA31D">
            <w:pPr>
              <w:spacing w:before="31" w:beforeLines="10" w:after="31" w:afterLines="10" w:line="440" w:lineRule="atLeast"/>
              <w:rPr>
                <w:rFonts w:ascii="仿宋_GB2312"/>
                <w:sz w:val="24"/>
              </w:rPr>
            </w:pPr>
            <w:r>
              <w:rPr>
                <w:rFonts w:hint="eastAsia" w:ascii="仿宋_GB2312"/>
                <w:sz w:val="24"/>
              </w:rPr>
              <w:t>商业银行</w:t>
            </w:r>
          </w:p>
        </w:tc>
        <w:tc>
          <w:tcPr>
            <w:tcW w:w="2092" w:type="dxa"/>
          </w:tcPr>
          <w:p w14:paraId="6760C23B">
            <w:pPr>
              <w:spacing w:before="31" w:beforeLines="10" w:after="31" w:afterLines="10" w:line="440" w:lineRule="atLeast"/>
              <w:rPr>
                <w:rFonts w:ascii="仿宋_GB2312"/>
                <w:sz w:val="24"/>
              </w:rPr>
            </w:pPr>
            <w:r>
              <w:rPr>
                <w:rFonts w:hint="eastAsia" w:ascii="仿宋_GB2312"/>
                <w:sz w:val="24"/>
              </w:rPr>
              <w:t>资产利润率</w:t>
            </w:r>
          </w:p>
        </w:tc>
        <w:tc>
          <w:tcPr>
            <w:tcW w:w="3402" w:type="dxa"/>
          </w:tcPr>
          <w:p w14:paraId="503EC2F0">
            <w:pPr>
              <w:spacing w:before="31" w:beforeLines="10" w:after="31" w:afterLines="10" w:line="440" w:lineRule="atLeast"/>
              <w:rPr>
                <w:rFonts w:ascii="仿宋_GB2312"/>
                <w:sz w:val="24"/>
              </w:rPr>
            </w:pPr>
            <w:r>
              <w:rPr>
                <w:rFonts w:hint="eastAsia" w:ascii="仿宋_GB2312"/>
                <w:sz w:val="24"/>
              </w:rPr>
              <w:t>《商业银行风险监管核心指标（试行）》</w:t>
            </w:r>
          </w:p>
        </w:tc>
        <w:tc>
          <w:tcPr>
            <w:tcW w:w="2268" w:type="dxa"/>
          </w:tcPr>
          <w:p w14:paraId="24AECD59">
            <w:pPr>
              <w:spacing w:before="31" w:beforeLines="10" w:after="31" w:afterLines="10" w:line="440" w:lineRule="atLeast"/>
              <w:rPr>
                <w:rFonts w:ascii="仿宋_GB2312"/>
                <w:sz w:val="24"/>
              </w:rPr>
            </w:pPr>
            <w:r>
              <w:rPr>
                <w:rFonts w:hint="eastAsia" w:ascii="仿宋_GB2312"/>
                <w:sz w:val="24"/>
              </w:rPr>
              <w:t>银监会2005年12月31日公告</w:t>
            </w:r>
          </w:p>
        </w:tc>
      </w:tr>
      <w:tr w14:paraId="7832F3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18" w:type="dxa"/>
          </w:tcPr>
          <w:p w14:paraId="5FF3D3F4">
            <w:pPr>
              <w:spacing w:before="31" w:beforeLines="10" w:after="31" w:afterLines="10" w:line="440" w:lineRule="atLeast"/>
              <w:rPr>
                <w:rFonts w:ascii="仿宋_GB2312"/>
                <w:sz w:val="24"/>
              </w:rPr>
            </w:pPr>
            <w:r>
              <w:rPr>
                <w:rFonts w:hint="eastAsia" w:ascii="仿宋_GB2312"/>
                <w:sz w:val="24"/>
              </w:rPr>
              <w:t>商业银行</w:t>
            </w:r>
          </w:p>
        </w:tc>
        <w:tc>
          <w:tcPr>
            <w:tcW w:w="2092" w:type="dxa"/>
          </w:tcPr>
          <w:p w14:paraId="45A1C218">
            <w:pPr>
              <w:spacing w:before="31" w:beforeLines="10" w:after="31" w:afterLines="10" w:line="440" w:lineRule="atLeast"/>
              <w:rPr>
                <w:rFonts w:ascii="仿宋_GB2312"/>
                <w:sz w:val="24"/>
              </w:rPr>
            </w:pPr>
            <w:r>
              <w:rPr>
                <w:rFonts w:hint="eastAsia" w:ascii="仿宋_GB2312"/>
                <w:sz w:val="24"/>
              </w:rPr>
              <w:t>资本利润率</w:t>
            </w:r>
          </w:p>
        </w:tc>
        <w:tc>
          <w:tcPr>
            <w:tcW w:w="3402" w:type="dxa"/>
          </w:tcPr>
          <w:p w14:paraId="4608CF4D">
            <w:pPr>
              <w:spacing w:before="31" w:beforeLines="10" w:after="31" w:afterLines="10" w:line="440" w:lineRule="atLeast"/>
              <w:rPr>
                <w:rFonts w:ascii="仿宋_GB2312"/>
                <w:sz w:val="24"/>
              </w:rPr>
            </w:pPr>
            <w:r>
              <w:rPr>
                <w:rFonts w:hint="eastAsia" w:ascii="仿宋_GB2312"/>
                <w:sz w:val="24"/>
              </w:rPr>
              <w:t>《商业银行风险监管核心指标（试行）》</w:t>
            </w:r>
          </w:p>
        </w:tc>
        <w:tc>
          <w:tcPr>
            <w:tcW w:w="2268" w:type="dxa"/>
          </w:tcPr>
          <w:p w14:paraId="59FA5935">
            <w:pPr>
              <w:spacing w:before="31" w:beforeLines="10" w:after="31" w:afterLines="10" w:line="440" w:lineRule="atLeast"/>
              <w:rPr>
                <w:rFonts w:ascii="仿宋_GB2312"/>
                <w:sz w:val="24"/>
              </w:rPr>
            </w:pPr>
            <w:r>
              <w:rPr>
                <w:rFonts w:hint="eastAsia" w:ascii="仿宋_GB2312"/>
                <w:sz w:val="24"/>
              </w:rPr>
              <w:t>银监会2005年12月31日公告</w:t>
            </w:r>
          </w:p>
        </w:tc>
      </w:tr>
      <w:tr w14:paraId="71E957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18" w:type="dxa"/>
          </w:tcPr>
          <w:p w14:paraId="7F038EF8">
            <w:pPr>
              <w:spacing w:before="31" w:beforeLines="10" w:after="31" w:afterLines="10" w:line="440" w:lineRule="atLeast"/>
              <w:rPr>
                <w:rFonts w:ascii="仿宋_GB2312"/>
                <w:sz w:val="24"/>
              </w:rPr>
            </w:pPr>
            <w:r>
              <w:rPr>
                <w:rFonts w:hint="eastAsia" w:ascii="仿宋_GB2312"/>
                <w:sz w:val="24"/>
              </w:rPr>
              <w:t>证券公司</w:t>
            </w:r>
          </w:p>
        </w:tc>
        <w:tc>
          <w:tcPr>
            <w:tcW w:w="2092" w:type="dxa"/>
          </w:tcPr>
          <w:p w14:paraId="66B9C0A2">
            <w:pPr>
              <w:spacing w:before="31" w:beforeLines="10" w:after="31" w:afterLines="10" w:line="440" w:lineRule="atLeast"/>
              <w:rPr>
                <w:rFonts w:ascii="仿宋_GB2312"/>
                <w:sz w:val="24"/>
              </w:rPr>
            </w:pPr>
            <w:r>
              <w:rPr>
                <w:rFonts w:hint="eastAsia" w:ascii="仿宋_GB2312"/>
                <w:sz w:val="24"/>
              </w:rPr>
              <w:t>净资本</w:t>
            </w:r>
          </w:p>
        </w:tc>
        <w:tc>
          <w:tcPr>
            <w:tcW w:w="3402" w:type="dxa"/>
          </w:tcPr>
          <w:p w14:paraId="77FB6250">
            <w:pPr>
              <w:spacing w:before="31" w:beforeLines="10" w:after="31" w:afterLines="10" w:line="440" w:lineRule="atLeast"/>
              <w:rPr>
                <w:rFonts w:ascii="仿宋_GB2312"/>
                <w:sz w:val="24"/>
              </w:rPr>
            </w:pPr>
            <w:r>
              <w:rPr>
                <w:rFonts w:ascii="仿宋_GB2312"/>
                <w:sz w:val="24"/>
              </w:rPr>
              <w:t>《关于修改〈证券公司风险控制指标管理办法〉的决定》</w:t>
            </w:r>
          </w:p>
        </w:tc>
        <w:tc>
          <w:tcPr>
            <w:tcW w:w="2268" w:type="dxa"/>
          </w:tcPr>
          <w:p w14:paraId="0204530D">
            <w:pPr>
              <w:spacing w:before="31" w:beforeLines="10" w:after="31" w:afterLines="10" w:line="440" w:lineRule="atLeast"/>
              <w:rPr>
                <w:rFonts w:ascii="仿宋_GB2312"/>
                <w:sz w:val="24"/>
              </w:rPr>
            </w:pPr>
            <w:r>
              <w:rPr>
                <w:rFonts w:ascii="仿宋_GB2312"/>
                <w:sz w:val="24"/>
              </w:rPr>
              <w:t>银监会令</w:t>
            </w:r>
            <w:r>
              <w:rPr>
                <w:rFonts w:hint="eastAsia" w:ascii="仿宋_GB2312"/>
                <w:sz w:val="24"/>
              </w:rPr>
              <w:t>〔2008〕55</w:t>
            </w:r>
            <w:r>
              <w:rPr>
                <w:rFonts w:ascii="仿宋_GB2312"/>
                <w:sz w:val="24"/>
              </w:rPr>
              <w:t>号</w:t>
            </w:r>
          </w:p>
        </w:tc>
      </w:tr>
      <w:tr w14:paraId="1C5A78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18" w:type="dxa"/>
          </w:tcPr>
          <w:p w14:paraId="7836BED1">
            <w:pPr>
              <w:spacing w:before="31" w:beforeLines="10" w:after="31" w:afterLines="10" w:line="440" w:lineRule="atLeast"/>
              <w:rPr>
                <w:rFonts w:ascii="仿宋_GB2312"/>
                <w:sz w:val="24"/>
              </w:rPr>
            </w:pPr>
            <w:r>
              <w:rPr>
                <w:rFonts w:hint="eastAsia" w:ascii="仿宋_GB2312"/>
                <w:sz w:val="24"/>
              </w:rPr>
              <w:t>证券公司</w:t>
            </w:r>
          </w:p>
        </w:tc>
        <w:tc>
          <w:tcPr>
            <w:tcW w:w="2092" w:type="dxa"/>
          </w:tcPr>
          <w:p w14:paraId="29EE2B9E">
            <w:pPr>
              <w:spacing w:before="31" w:beforeLines="10" w:after="31" w:afterLines="10" w:line="440" w:lineRule="atLeast"/>
              <w:rPr>
                <w:rFonts w:ascii="仿宋_GB2312"/>
                <w:sz w:val="24"/>
              </w:rPr>
            </w:pPr>
            <w:r>
              <w:rPr>
                <w:rFonts w:hint="eastAsia" w:ascii="仿宋_GB2312"/>
                <w:sz w:val="24"/>
              </w:rPr>
              <w:t>风险资本准备</w:t>
            </w:r>
          </w:p>
        </w:tc>
        <w:tc>
          <w:tcPr>
            <w:tcW w:w="3402" w:type="dxa"/>
          </w:tcPr>
          <w:p w14:paraId="262DA3C9">
            <w:pPr>
              <w:spacing w:before="31" w:beforeLines="10" w:after="31" w:afterLines="10" w:line="440" w:lineRule="atLeast"/>
              <w:rPr>
                <w:rFonts w:ascii="仿宋_GB2312"/>
                <w:sz w:val="24"/>
              </w:rPr>
            </w:pPr>
            <w:r>
              <w:rPr>
                <w:rFonts w:ascii="仿宋_GB2312"/>
                <w:sz w:val="24"/>
              </w:rPr>
              <w:t>《关于修改〈关于证券公司风险资本准备计算标准的规定〉的决定》，</w:t>
            </w:r>
          </w:p>
        </w:tc>
        <w:tc>
          <w:tcPr>
            <w:tcW w:w="2268" w:type="dxa"/>
          </w:tcPr>
          <w:p w14:paraId="0C1BC181">
            <w:pPr>
              <w:spacing w:before="31" w:beforeLines="10" w:after="31" w:afterLines="10" w:line="440" w:lineRule="atLeast"/>
              <w:rPr>
                <w:rFonts w:ascii="仿宋_GB2312"/>
                <w:sz w:val="24"/>
              </w:rPr>
            </w:pPr>
            <w:r>
              <w:rPr>
                <w:rFonts w:ascii="仿宋_GB2312"/>
                <w:sz w:val="24"/>
              </w:rPr>
              <w:t>证监会公告</w:t>
            </w:r>
            <w:r>
              <w:rPr>
                <w:rFonts w:hint="eastAsia" w:ascii="仿宋_GB2312"/>
                <w:sz w:val="24"/>
              </w:rPr>
              <w:t>〔2012〕</w:t>
            </w:r>
            <w:r>
              <w:rPr>
                <w:rFonts w:ascii="仿宋_GB2312"/>
                <w:sz w:val="24"/>
              </w:rPr>
              <w:t>7号</w:t>
            </w:r>
          </w:p>
        </w:tc>
      </w:tr>
      <w:tr w14:paraId="256045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18" w:type="dxa"/>
          </w:tcPr>
          <w:p w14:paraId="1007E57A">
            <w:pPr>
              <w:spacing w:before="31" w:beforeLines="10" w:after="31" w:afterLines="10" w:line="440" w:lineRule="atLeast"/>
              <w:rPr>
                <w:rFonts w:ascii="仿宋_GB2312"/>
                <w:sz w:val="24"/>
              </w:rPr>
            </w:pPr>
            <w:r>
              <w:rPr>
                <w:rFonts w:hint="eastAsia" w:ascii="仿宋_GB2312"/>
                <w:sz w:val="24"/>
              </w:rPr>
              <w:t>证券公司</w:t>
            </w:r>
          </w:p>
        </w:tc>
        <w:tc>
          <w:tcPr>
            <w:tcW w:w="2092" w:type="dxa"/>
          </w:tcPr>
          <w:p w14:paraId="52FFA7E7">
            <w:pPr>
              <w:spacing w:before="31" w:beforeLines="10" w:after="31" w:afterLines="10" w:line="440" w:lineRule="atLeast"/>
              <w:rPr>
                <w:rFonts w:ascii="仿宋_GB2312"/>
                <w:sz w:val="24"/>
              </w:rPr>
            </w:pPr>
            <w:r>
              <w:rPr>
                <w:rFonts w:hint="eastAsia" w:ascii="仿宋_GB2312"/>
                <w:sz w:val="24"/>
              </w:rPr>
              <w:t>净资本/风险资本准备</w:t>
            </w:r>
          </w:p>
        </w:tc>
        <w:tc>
          <w:tcPr>
            <w:tcW w:w="3402" w:type="dxa"/>
          </w:tcPr>
          <w:p w14:paraId="4AF7F55D">
            <w:pPr>
              <w:spacing w:before="31" w:beforeLines="10" w:after="31" w:afterLines="10" w:line="440" w:lineRule="atLeast"/>
              <w:rPr>
                <w:rFonts w:ascii="仿宋_GB2312"/>
                <w:sz w:val="24"/>
              </w:rPr>
            </w:pPr>
            <w:r>
              <w:rPr>
                <w:rFonts w:ascii="仿宋_GB2312"/>
                <w:sz w:val="24"/>
              </w:rPr>
              <w:t>《关于修改〈证券公司风险控制指标管理办法〉的决定》</w:t>
            </w:r>
          </w:p>
        </w:tc>
        <w:tc>
          <w:tcPr>
            <w:tcW w:w="2268" w:type="dxa"/>
          </w:tcPr>
          <w:p w14:paraId="76C14CCF">
            <w:pPr>
              <w:spacing w:before="31" w:beforeLines="10" w:after="31" w:afterLines="10" w:line="440" w:lineRule="atLeast"/>
              <w:rPr>
                <w:rFonts w:ascii="仿宋_GB2312"/>
                <w:sz w:val="24"/>
              </w:rPr>
            </w:pPr>
            <w:r>
              <w:rPr>
                <w:rFonts w:ascii="仿宋_GB2312"/>
                <w:sz w:val="24"/>
              </w:rPr>
              <w:t>银监会令</w:t>
            </w:r>
            <w:r>
              <w:rPr>
                <w:rFonts w:hint="eastAsia" w:ascii="仿宋_GB2312"/>
                <w:sz w:val="24"/>
              </w:rPr>
              <w:t>〔2008〕55</w:t>
            </w:r>
            <w:r>
              <w:rPr>
                <w:rFonts w:ascii="仿宋_GB2312"/>
                <w:sz w:val="24"/>
              </w:rPr>
              <w:t>号</w:t>
            </w:r>
          </w:p>
        </w:tc>
      </w:tr>
      <w:tr w14:paraId="561975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18" w:type="dxa"/>
          </w:tcPr>
          <w:p w14:paraId="76E73114">
            <w:pPr>
              <w:spacing w:before="31" w:beforeLines="10" w:after="31" w:afterLines="10" w:line="440" w:lineRule="atLeast"/>
              <w:rPr>
                <w:rFonts w:ascii="仿宋_GB2312"/>
                <w:sz w:val="24"/>
              </w:rPr>
            </w:pPr>
            <w:r>
              <w:rPr>
                <w:rFonts w:hint="eastAsia" w:ascii="仿宋_GB2312"/>
                <w:sz w:val="24"/>
              </w:rPr>
              <w:t>证券公司</w:t>
            </w:r>
          </w:p>
        </w:tc>
        <w:tc>
          <w:tcPr>
            <w:tcW w:w="2092" w:type="dxa"/>
          </w:tcPr>
          <w:p w14:paraId="7C4A28E2">
            <w:pPr>
              <w:spacing w:before="31" w:beforeLines="10" w:after="31" w:afterLines="10" w:line="440" w:lineRule="atLeast"/>
              <w:rPr>
                <w:rFonts w:ascii="仿宋_GB2312"/>
                <w:sz w:val="24"/>
              </w:rPr>
            </w:pPr>
            <w:r>
              <w:rPr>
                <w:rFonts w:hint="eastAsia" w:ascii="仿宋_GB2312"/>
                <w:sz w:val="24"/>
              </w:rPr>
              <w:t>净资本/净资产</w:t>
            </w:r>
          </w:p>
        </w:tc>
        <w:tc>
          <w:tcPr>
            <w:tcW w:w="3402" w:type="dxa"/>
          </w:tcPr>
          <w:p w14:paraId="60CBEB89">
            <w:pPr>
              <w:spacing w:before="31" w:beforeLines="10" w:after="31" w:afterLines="10" w:line="440" w:lineRule="atLeast"/>
              <w:rPr>
                <w:rFonts w:ascii="仿宋_GB2312"/>
                <w:sz w:val="24"/>
              </w:rPr>
            </w:pPr>
            <w:r>
              <w:rPr>
                <w:rFonts w:ascii="仿宋_GB2312"/>
                <w:sz w:val="24"/>
              </w:rPr>
              <w:t>《关于修改〈证券公司风险控制指标管理办法〉的决定》</w:t>
            </w:r>
          </w:p>
        </w:tc>
        <w:tc>
          <w:tcPr>
            <w:tcW w:w="2268" w:type="dxa"/>
          </w:tcPr>
          <w:p w14:paraId="6755EF0A">
            <w:pPr>
              <w:spacing w:before="31" w:beforeLines="10" w:after="31" w:afterLines="10" w:line="440" w:lineRule="atLeast"/>
              <w:rPr>
                <w:rFonts w:ascii="仿宋_GB2312"/>
                <w:sz w:val="24"/>
              </w:rPr>
            </w:pPr>
            <w:r>
              <w:rPr>
                <w:rFonts w:ascii="仿宋_GB2312"/>
                <w:sz w:val="24"/>
              </w:rPr>
              <w:t>银监会令</w:t>
            </w:r>
            <w:r>
              <w:rPr>
                <w:rFonts w:hint="eastAsia" w:ascii="仿宋_GB2312"/>
                <w:sz w:val="24"/>
              </w:rPr>
              <w:t>〔2008〕55</w:t>
            </w:r>
            <w:r>
              <w:rPr>
                <w:rFonts w:ascii="仿宋_GB2312"/>
                <w:sz w:val="24"/>
              </w:rPr>
              <w:t>号</w:t>
            </w:r>
          </w:p>
        </w:tc>
      </w:tr>
      <w:tr w14:paraId="16C2F3D9">
        <w:tblPrEx>
          <w:tblCellMar>
            <w:top w:w="0" w:type="dxa"/>
            <w:left w:w="108" w:type="dxa"/>
            <w:bottom w:w="0" w:type="dxa"/>
            <w:right w:w="108" w:type="dxa"/>
          </w:tblCellMar>
        </w:tblPrEx>
        <w:tc>
          <w:tcPr>
            <w:tcW w:w="1418" w:type="dxa"/>
          </w:tcPr>
          <w:p w14:paraId="115F170A">
            <w:pPr>
              <w:spacing w:before="31" w:beforeLines="10" w:after="31" w:afterLines="10" w:line="440" w:lineRule="atLeast"/>
              <w:rPr>
                <w:rFonts w:ascii="仿宋_GB2312"/>
                <w:sz w:val="24"/>
              </w:rPr>
            </w:pPr>
            <w:r>
              <w:rPr>
                <w:rFonts w:hint="eastAsia" w:ascii="仿宋_GB2312"/>
                <w:sz w:val="24"/>
              </w:rPr>
              <w:t>证券公司</w:t>
            </w:r>
          </w:p>
        </w:tc>
        <w:tc>
          <w:tcPr>
            <w:tcW w:w="2092" w:type="dxa"/>
          </w:tcPr>
          <w:p w14:paraId="675CC778">
            <w:pPr>
              <w:spacing w:before="31" w:beforeLines="10" w:after="31" w:afterLines="10" w:line="440" w:lineRule="atLeast"/>
              <w:rPr>
                <w:rFonts w:ascii="仿宋_GB2312"/>
                <w:sz w:val="24"/>
              </w:rPr>
            </w:pPr>
            <w:r>
              <w:rPr>
                <w:rFonts w:hint="eastAsia" w:ascii="仿宋_GB2312"/>
                <w:sz w:val="24"/>
              </w:rPr>
              <w:t>净资本/负债</w:t>
            </w:r>
          </w:p>
        </w:tc>
        <w:tc>
          <w:tcPr>
            <w:tcW w:w="3402" w:type="dxa"/>
          </w:tcPr>
          <w:p w14:paraId="701FEF3E">
            <w:pPr>
              <w:spacing w:before="31" w:beforeLines="10" w:after="31" w:afterLines="10" w:line="440" w:lineRule="atLeast"/>
              <w:rPr>
                <w:rFonts w:ascii="仿宋_GB2312"/>
                <w:sz w:val="24"/>
              </w:rPr>
            </w:pPr>
            <w:r>
              <w:rPr>
                <w:rFonts w:ascii="仿宋_GB2312"/>
                <w:sz w:val="24"/>
              </w:rPr>
              <w:t>《关于修改〈证券公司风险控制指标管理办法〉的决定》</w:t>
            </w:r>
          </w:p>
        </w:tc>
        <w:tc>
          <w:tcPr>
            <w:tcW w:w="2268" w:type="dxa"/>
          </w:tcPr>
          <w:p w14:paraId="6436947B">
            <w:pPr>
              <w:spacing w:before="31" w:beforeLines="10" w:after="31" w:afterLines="10" w:line="440" w:lineRule="atLeast"/>
              <w:rPr>
                <w:rFonts w:ascii="仿宋_GB2312"/>
                <w:sz w:val="24"/>
              </w:rPr>
            </w:pPr>
            <w:r>
              <w:rPr>
                <w:rFonts w:ascii="仿宋_GB2312"/>
                <w:sz w:val="24"/>
              </w:rPr>
              <w:t>银监会令</w:t>
            </w:r>
            <w:r>
              <w:rPr>
                <w:rFonts w:hint="eastAsia" w:ascii="仿宋_GB2312"/>
                <w:sz w:val="24"/>
              </w:rPr>
              <w:t>〔2008〕55</w:t>
            </w:r>
            <w:r>
              <w:rPr>
                <w:rFonts w:ascii="仿宋_GB2312"/>
                <w:sz w:val="24"/>
              </w:rPr>
              <w:t>号</w:t>
            </w:r>
          </w:p>
        </w:tc>
      </w:tr>
      <w:tr w14:paraId="08B9D5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18" w:type="dxa"/>
          </w:tcPr>
          <w:p w14:paraId="2002D4B4">
            <w:pPr>
              <w:spacing w:before="31" w:beforeLines="10" w:after="31" w:afterLines="10" w:line="440" w:lineRule="atLeast"/>
              <w:rPr>
                <w:rFonts w:ascii="仿宋_GB2312"/>
                <w:sz w:val="24"/>
              </w:rPr>
            </w:pPr>
            <w:r>
              <w:rPr>
                <w:rFonts w:hint="eastAsia" w:ascii="仿宋_GB2312"/>
                <w:sz w:val="24"/>
              </w:rPr>
              <w:t>证券公司</w:t>
            </w:r>
          </w:p>
        </w:tc>
        <w:tc>
          <w:tcPr>
            <w:tcW w:w="2092" w:type="dxa"/>
          </w:tcPr>
          <w:p w14:paraId="0E2DA796">
            <w:pPr>
              <w:spacing w:before="31" w:beforeLines="10" w:after="31" w:afterLines="10" w:line="440" w:lineRule="atLeast"/>
              <w:rPr>
                <w:rFonts w:ascii="仿宋_GB2312"/>
                <w:sz w:val="24"/>
              </w:rPr>
            </w:pPr>
            <w:r>
              <w:rPr>
                <w:rFonts w:hint="eastAsia" w:ascii="仿宋_GB2312"/>
                <w:sz w:val="24"/>
              </w:rPr>
              <w:t>净资产/负债</w:t>
            </w:r>
          </w:p>
        </w:tc>
        <w:tc>
          <w:tcPr>
            <w:tcW w:w="3402" w:type="dxa"/>
          </w:tcPr>
          <w:p w14:paraId="591701A6">
            <w:pPr>
              <w:spacing w:before="31" w:beforeLines="10" w:after="31" w:afterLines="10" w:line="440" w:lineRule="atLeast"/>
              <w:rPr>
                <w:rFonts w:ascii="仿宋_GB2312"/>
                <w:sz w:val="24"/>
              </w:rPr>
            </w:pPr>
            <w:r>
              <w:rPr>
                <w:rFonts w:ascii="仿宋_GB2312"/>
                <w:sz w:val="24"/>
              </w:rPr>
              <w:t>《关于修改〈证券公司风险控制指标管理办法〉的决定》</w:t>
            </w:r>
          </w:p>
        </w:tc>
        <w:tc>
          <w:tcPr>
            <w:tcW w:w="2268" w:type="dxa"/>
          </w:tcPr>
          <w:p w14:paraId="0D76B8AF">
            <w:pPr>
              <w:spacing w:before="31" w:beforeLines="10" w:after="31" w:afterLines="10" w:line="440" w:lineRule="atLeast"/>
              <w:rPr>
                <w:rFonts w:ascii="仿宋_GB2312"/>
                <w:sz w:val="24"/>
              </w:rPr>
            </w:pPr>
            <w:r>
              <w:rPr>
                <w:rFonts w:ascii="仿宋_GB2312"/>
                <w:sz w:val="24"/>
              </w:rPr>
              <w:t>银监会令</w:t>
            </w:r>
            <w:r>
              <w:rPr>
                <w:rFonts w:hint="eastAsia" w:ascii="仿宋_GB2312"/>
                <w:sz w:val="24"/>
              </w:rPr>
              <w:t>〔2008〕55</w:t>
            </w:r>
            <w:r>
              <w:rPr>
                <w:rFonts w:ascii="仿宋_GB2312"/>
                <w:sz w:val="24"/>
              </w:rPr>
              <w:t>号</w:t>
            </w:r>
          </w:p>
        </w:tc>
      </w:tr>
      <w:tr w14:paraId="40896E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18" w:type="dxa"/>
          </w:tcPr>
          <w:p w14:paraId="56C48D13">
            <w:pPr>
              <w:spacing w:before="31" w:beforeLines="10" w:after="31" w:afterLines="10" w:line="440" w:lineRule="atLeast"/>
              <w:rPr>
                <w:rFonts w:ascii="仿宋_GB2312"/>
                <w:sz w:val="24"/>
              </w:rPr>
            </w:pPr>
            <w:r>
              <w:rPr>
                <w:rFonts w:hint="eastAsia" w:ascii="仿宋_GB2312"/>
                <w:sz w:val="24"/>
              </w:rPr>
              <w:t>证券公司</w:t>
            </w:r>
          </w:p>
        </w:tc>
        <w:tc>
          <w:tcPr>
            <w:tcW w:w="2092" w:type="dxa"/>
          </w:tcPr>
          <w:p w14:paraId="3C89AB88">
            <w:pPr>
              <w:spacing w:before="31" w:beforeLines="10" w:after="31" w:afterLines="10" w:line="440" w:lineRule="atLeast"/>
              <w:rPr>
                <w:rFonts w:ascii="仿宋_GB2312"/>
                <w:sz w:val="24"/>
              </w:rPr>
            </w:pPr>
            <w:r>
              <w:rPr>
                <w:rFonts w:hint="eastAsia" w:ascii="仿宋_GB2312"/>
                <w:sz w:val="24"/>
              </w:rPr>
              <w:t>流动性覆盖率</w:t>
            </w:r>
          </w:p>
        </w:tc>
        <w:tc>
          <w:tcPr>
            <w:tcW w:w="3402" w:type="dxa"/>
          </w:tcPr>
          <w:p w14:paraId="726B5771">
            <w:pPr>
              <w:spacing w:before="31" w:beforeLines="10" w:after="31" w:afterLines="10" w:line="440" w:lineRule="atLeast"/>
              <w:rPr>
                <w:rFonts w:ascii="仿宋_GB2312"/>
                <w:sz w:val="24"/>
              </w:rPr>
            </w:pPr>
            <w:r>
              <w:rPr>
                <w:rFonts w:hint="eastAsia" w:ascii="仿宋_GB2312"/>
                <w:sz w:val="24"/>
              </w:rPr>
              <w:t>《证券公司流动性风险管理指引》</w:t>
            </w:r>
          </w:p>
        </w:tc>
        <w:tc>
          <w:tcPr>
            <w:tcW w:w="2268" w:type="dxa"/>
          </w:tcPr>
          <w:p w14:paraId="27A58581">
            <w:pPr>
              <w:spacing w:before="31" w:beforeLines="10" w:after="31" w:afterLines="10" w:line="440" w:lineRule="atLeast"/>
              <w:rPr>
                <w:rFonts w:ascii="仿宋_GB2312"/>
                <w:sz w:val="24"/>
              </w:rPr>
            </w:pPr>
            <w:r>
              <w:rPr>
                <w:rFonts w:hint="eastAsia" w:ascii="仿宋_GB2312"/>
                <w:sz w:val="24"/>
              </w:rPr>
              <w:t>中证协发〔2014〕36号</w:t>
            </w:r>
          </w:p>
        </w:tc>
      </w:tr>
      <w:tr w14:paraId="36F6BC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18" w:type="dxa"/>
          </w:tcPr>
          <w:p w14:paraId="66EBEE7B">
            <w:pPr>
              <w:spacing w:before="31" w:beforeLines="10" w:after="31" w:afterLines="10" w:line="440" w:lineRule="atLeast"/>
              <w:rPr>
                <w:rFonts w:ascii="仿宋_GB2312"/>
                <w:sz w:val="24"/>
              </w:rPr>
            </w:pPr>
            <w:r>
              <w:rPr>
                <w:rFonts w:hint="eastAsia" w:ascii="仿宋_GB2312"/>
                <w:sz w:val="24"/>
              </w:rPr>
              <w:t>证券公司</w:t>
            </w:r>
          </w:p>
        </w:tc>
        <w:tc>
          <w:tcPr>
            <w:tcW w:w="2092" w:type="dxa"/>
          </w:tcPr>
          <w:p w14:paraId="6F50F422">
            <w:pPr>
              <w:spacing w:before="31" w:beforeLines="10" w:after="31" w:afterLines="10" w:line="440" w:lineRule="atLeast"/>
              <w:rPr>
                <w:rFonts w:ascii="仿宋_GB2312"/>
                <w:sz w:val="24"/>
              </w:rPr>
            </w:pPr>
            <w:r>
              <w:rPr>
                <w:rFonts w:hint="eastAsia" w:ascii="仿宋_GB2312"/>
                <w:sz w:val="24"/>
              </w:rPr>
              <w:t>净稳定资金率</w:t>
            </w:r>
          </w:p>
        </w:tc>
        <w:tc>
          <w:tcPr>
            <w:tcW w:w="3402" w:type="dxa"/>
          </w:tcPr>
          <w:p w14:paraId="246557DE">
            <w:pPr>
              <w:spacing w:before="31" w:beforeLines="10" w:after="31" w:afterLines="10" w:line="440" w:lineRule="atLeast"/>
              <w:rPr>
                <w:rFonts w:ascii="仿宋_GB2312"/>
                <w:sz w:val="24"/>
              </w:rPr>
            </w:pPr>
            <w:r>
              <w:rPr>
                <w:rFonts w:hint="eastAsia" w:ascii="仿宋_GB2312"/>
                <w:sz w:val="24"/>
              </w:rPr>
              <w:t>《证券公司流动性风险管理指引》</w:t>
            </w:r>
          </w:p>
        </w:tc>
        <w:tc>
          <w:tcPr>
            <w:tcW w:w="2268" w:type="dxa"/>
          </w:tcPr>
          <w:p w14:paraId="42DF2243">
            <w:pPr>
              <w:spacing w:before="31" w:beforeLines="10" w:after="31" w:afterLines="10" w:line="440" w:lineRule="atLeast"/>
              <w:rPr>
                <w:rFonts w:ascii="仿宋_GB2312"/>
                <w:sz w:val="24"/>
              </w:rPr>
            </w:pPr>
            <w:r>
              <w:rPr>
                <w:rFonts w:hint="eastAsia" w:ascii="仿宋_GB2312"/>
                <w:sz w:val="24"/>
              </w:rPr>
              <w:t>中证协发〔2014〕36号</w:t>
            </w:r>
          </w:p>
        </w:tc>
      </w:tr>
      <w:tr w14:paraId="4327E4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18" w:type="dxa"/>
          </w:tcPr>
          <w:p w14:paraId="792A54F4">
            <w:pPr>
              <w:spacing w:before="31" w:beforeLines="10" w:after="31" w:afterLines="10" w:line="440" w:lineRule="atLeast"/>
              <w:rPr>
                <w:rFonts w:ascii="仿宋_GB2312"/>
                <w:sz w:val="24"/>
              </w:rPr>
            </w:pPr>
            <w:r>
              <w:rPr>
                <w:rFonts w:hint="eastAsia" w:ascii="仿宋_GB2312"/>
                <w:sz w:val="24"/>
              </w:rPr>
              <w:t>保险公司</w:t>
            </w:r>
          </w:p>
        </w:tc>
        <w:tc>
          <w:tcPr>
            <w:tcW w:w="2092" w:type="dxa"/>
          </w:tcPr>
          <w:p w14:paraId="14DEEEB6">
            <w:pPr>
              <w:spacing w:before="31" w:beforeLines="10" w:after="31" w:afterLines="10" w:line="440" w:lineRule="atLeast"/>
              <w:rPr>
                <w:rFonts w:ascii="仿宋_GB2312"/>
                <w:sz w:val="24"/>
              </w:rPr>
            </w:pPr>
            <w:r>
              <w:rPr>
                <w:rFonts w:hint="eastAsia" w:ascii="仿宋_GB2312"/>
                <w:sz w:val="24"/>
              </w:rPr>
              <w:t>实际资本</w:t>
            </w:r>
          </w:p>
        </w:tc>
        <w:tc>
          <w:tcPr>
            <w:tcW w:w="3402" w:type="dxa"/>
          </w:tcPr>
          <w:p w14:paraId="1C9997A7">
            <w:pPr>
              <w:spacing w:before="31" w:beforeLines="10" w:after="31" w:afterLines="10" w:line="440" w:lineRule="atLeast"/>
              <w:rPr>
                <w:rFonts w:ascii="仿宋_GB2312"/>
                <w:sz w:val="24"/>
              </w:rPr>
            </w:pPr>
            <w:r>
              <w:rPr>
                <w:rFonts w:hint="eastAsia" w:ascii="仿宋_GB2312"/>
                <w:sz w:val="24"/>
              </w:rPr>
              <w:t>《保险公司偿付能力报告编报规则第8号：实际资本》实务指南</w:t>
            </w:r>
          </w:p>
        </w:tc>
        <w:tc>
          <w:tcPr>
            <w:tcW w:w="2268" w:type="dxa"/>
          </w:tcPr>
          <w:p w14:paraId="722698B2">
            <w:pPr>
              <w:spacing w:before="31" w:beforeLines="10" w:after="31" w:afterLines="10" w:line="440" w:lineRule="atLeast"/>
              <w:rPr>
                <w:rFonts w:ascii="仿宋_GB2312"/>
                <w:sz w:val="24"/>
              </w:rPr>
            </w:pPr>
            <w:r>
              <w:rPr>
                <w:rFonts w:hint="eastAsia" w:ascii="仿宋_GB2312"/>
                <w:sz w:val="24"/>
              </w:rPr>
              <w:t>保监会2006年4月18日公告</w:t>
            </w:r>
          </w:p>
        </w:tc>
      </w:tr>
      <w:tr w14:paraId="1EB08C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18" w:type="dxa"/>
          </w:tcPr>
          <w:p w14:paraId="629981D8">
            <w:pPr>
              <w:spacing w:before="31" w:beforeLines="10" w:after="31" w:afterLines="10" w:line="440" w:lineRule="atLeast"/>
              <w:rPr>
                <w:rFonts w:ascii="仿宋_GB2312"/>
                <w:sz w:val="24"/>
              </w:rPr>
            </w:pPr>
            <w:r>
              <w:rPr>
                <w:rFonts w:hint="eastAsia" w:ascii="仿宋_GB2312"/>
                <w:sz w:val="24"/>
              </w:rPr>
              <w:t>保险公司</w:t>
            </w:r>
          </w:p>
        </w:tc>
        <w:tc>
          <w:tcPr>
            <w:tcW w:w="2092" w:type="dxa"/>
          </w:tcPr>
          <w:p w14:paraId="4EC2E107">
            <w:pPr>
              <w:spacing w:before="31" w:beforeLines="10" w:after="31" w:afterLines="10" w:line="440" w:lineRule="atLeast"/>
              <w:rPr>
                <w:rFonts w:ascii="仿宋_GB2312"/>
                <w:sz w:val="24"/>
              </w:rPr>
            </w:pPr>
            <w:r>
              <w:rPr>
                <w:rFonts w:hint="eastAsia" w:ascii="仿宋_GB2312"/>
                <w:sz w:val="24"/>
              </w:rPr>
              <w:t>最低资本</w:t>
            </w:r>
          </w:p>
        </w:tc>
        <w:tc>
          <w:tcPr>
            <w:tcW w:w="3402" w:type="dxa"/>
          </w:tcPr>
          <w:p w14:paraId="0E24552A">
            <w:pPr>
              <w:spacing w:before="31" w:beforeLines="10" w:after="31" w:afterLines="10" w:line="440" w:lineRule="atLeast"/>
              <w:rPr>
                <w:rFonts w:ascii="仿宋_GB2312"/>
                <w:sz w:val="24"/>
              </w:rPr>
            </w:pPr>
            <w:r>
              <w:rPr>
                <w:rFonts w:hint="eastAsia" w:ascii="仿宋_GB2312"/>
                <w:sz w:val="24"/>
              </w:rPr>
              <w:t>关于实施《保险公司偿付能力管理规定》有关事项的通知</w:t>
            </w:r>
          </w:p>
        </w:tc>
        <w:tc>
          <w:tcPr>
            <w:tcW w:w="2268" w:type="dxa"/>
          </w:tcPr>
          <w:p w14:paraId="2DB1F77B">
            <w:pPr>
              <w:spacing w:before="31" w:beforeLines="10" w:after="31" w:afterLines="10" w:line="440" w:lineRule="atLeast"/>
              <w:rPr>
                <w:rFonts w:ascii="仿宋_GB2312"/>
                <w:sz w:val="24"/>
              </w:rPr>
            </w:pPr>
            <w:r>
              <w:rPr>
                <w:rFonts w:ascii="仿宋_GB2312"/>
                <w:sz w:val="24"/>
              </w:rPr>
              <w:t>保监发</w:t>
            </w:r>
            <w:r>
              <w:rPr>
                <w:rFonts w:hint="eastAsia" w:ascii="仿宋_GB2312"/>
                <w:sz w:val="24"/>
              </w:rPr>
              <w:t>〔2008〕</w:t>
            </w:r>
            <w:r>
              <w:rPr>
                <w:rFonts w:ascii="仿宋_GB2312"/>
                <w:sz w:val="24"/>
              </w:rPr>
              <w:t>89号</w:t>
            </w:r>
          </w:p>
        </w:tc>
      </w:tr>
      <w:tr w14:paraId="7D2E55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18" w:type="dxa"/>
          </w:tcPr>
          <w:p w14:paraId="349AB67A">
            <w:pPr>
              <w:spacing w:before="31" w:beforeLines="10" w:after="31" w:afterLines="10" w:line="440" w:lineRule="atLeast"/>
              <w:rPr>
                <w:rFonts w:ascii="仿宋_GB2312"/>
                <w:sz w:val="24"/>
              </w:rPr>
            </w:pPr>
            <w:r>
              <w:rPr>
                <w:rFonts w:hint="eastAsia" w:ascii="仿宋_GB2312"/>
                <w:sz w:val="24"/>
              </w:rPr>
              <w:t>保险公司</w:t>
            </w:r>
          </w:p>
        </w:tc>
        <w:tc>
          <w:tcPr>
            <w:tcW w:w="2092" w:type="dxa"/>
          </w:tcPr>
          <w:p w14:paraId="58FB8EB0">
            <w:pPr>
              <w:spacing w:before="31" w:beforeLines="10" w:after="31" w:afterLines="10" w:line="440" w:lineRule="atLeast"/>
              <w:rPr>
                <w:rFonts w:ascii="仿宋_GB2312"/>
                <w:sz w:val="24"/>
              </w:rPr>
            </w:pPr>
            <w:r>
              <w:rPr>
                <w:rFonts w:hint="eastAsia" w:ascii="仿宋_GB2312"/>
                <w:sz w:val="24"/>
              </w:rPr>
              <w:t>偿付能力充足率</w:t>
            </w:r>
          </w:p>
        </w:tc>
        <w:tc>
          <w:tcPr>
            <w:tcW w:w="3402" w:type="dxa"/>
          </w:tcPr>
          <w:p w14:paraId="28845E0C">
            <w:pPr>
              <w:spacing w:before="31" w:beforeLines="10" w:after="31" w:afterLines="10" w:line="440" w:lineRule="atLeast"/>
              <w:rPr>
                <w:rFonts w:ascii="仿宋_GB2312"/>
                <w:sz w:val="24"/>
              </w:rPr>
            </w:pPr>
            <w:r>
              <w:rPr>
                <w:rFonts w:hint="eastAsia" w:ascii="仿宋_GB2312"/>
                <w:sz w:val="24"/>
              </w:rPr>
              <w:t>《保险公司偿付能力管理规定》</w:t>
            </w:r>
          </w:p>
        </w:tc>
        <w:tc>
          <w:tcPr>
            <w:tcW w:w="2268" w:type="dxa"/>
          </w:tcPr>
          <w:p w14:paraId="5F9C3C37">
            <w:pPr>
              <w:spacing w:before="31" w:beforeLines="10" w:after="31" w:afterLines="10" w:line="440" w:lineRule="atLeast"/>
              <w:rPr>
                <w:rFonts w:ascii="仿宋_GB2312"/>
                <w:sz w:val="24"/>
              </w:rPr>
            </w:pPr>
            <w:r>
              <w:rPr>
                <w:rFonts w:ascii="仿宋_GB2312"/>
                <w:sz w:val="24"/>
              </w:rPr>
              <w:t>保监会令</w:t>
            </w:r>
            <w:r>
              <w:rPr>
                <w:rFonts w:hint="eastAsia" w:ascii="仿宋_GB2312"/>
                <w:sz w:val="24"/>
              </w:rPr>
              <w:t>〔2008〕</w:t>
            </w:r>
            <w:r>
              <w:rPr>
                <w:rFonts w:ascii="仿宋_GB2312"/>
                <w:sz w:val="24"/>
              </w:rPr>
              <w:t>1号</w:t>
            </w:r>
          </w:p>
        </w:tc>
      </w:tr>
      <w:tr w14:paraId="446ADA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18" w:type="dxa"/>
          </w:tcPr>
          <w:p w14:paraId="4C0AC669">
            <w:pPr>
              <w:spacing w:before="31" w:beforeLines="10" w:after="31" w:afterLines="10" w:line="440" w:lineRule="atLeast"/>
              <w:rPr>
                <w:rFonts w:ascii="仿宋_GB2312"/>
                <w:sz w:val="24"/>
              </w:rPr>
            </w:pPr>
            <w:r>
              <w:rPr>
                <w:rFonts w:hint="eastAsia" w:ascii="仿宋_GB2312"/>
                <w:sz w:val="24"/>
              </w:rPr>
              <w:t>保险公司</w:t>
            </w:r>
          </w:p>
        </w:tc>
        <w:tc>
          <w:tcPr>
            <w:tcW w:w="2092" w:type="dxa"/>
          </w:tcPr>
          <w:p w14:paraId="029DDC3E">
            <w:pPr>
              <w:spacing w:before="31" w:beforeLines="10" w:after="31" w:afterLines="10" w:line="440" w:lineRule="atLeast"/>
              <w:rPr>
                <w:rFonts w:ascii="仿宋_GB2312"/>
                <w:sz w:val="24"/>
              </w:rPr>
            </w:pPr>
            <w:r>
              <w:rPr>
                <w:rFonts w:hint="eastAsia" w:ascii="仿宋_GB2312"/>
                <w:sz w:val="24"/>
              </w:rPr>
              <w:t>次级债</w:t>
            </w:r>
          </w:p>
        </w:tc>
        <w:tc>
          <w:tcPr>
            <w:tcW w:w="3402" w:type="dxa"/>
          </w:tcPr>
          <w:p w14:paraId="05A3BE82">
            <w:pPr>
              <w:spacing w:before="31" w:beforeLines="10" w:after="31" w:afterLines="10" w:line="440" w:lineRule="atLeast"/>
              <w:rPr>
                <w:rFonts w:ascii="仿宋_GB2312"/>
                <w:sz w:val="24"/>
              </w:rPr>
            </w:pPr>
            <w:r>
              <w:rPr>
                <w:rFonts w:hint="eastAsia" w:ascii="仿宋_GB2312"/>
                <w:sz w:val="24"/>
              </w:rPr>
              <w:t>《保险公司次级定期债务管理办法》</w:t>
            </w:r>
          </w:p>
        </w:tc>
        <w:tc>
          <w:tcPr>
            <w:tcW w:w="2268" w:type="dxa"/>
          </w:tcPr>
          <w:p w14:paraId="541B9BB8">
            <w:pPr>
              <w:spacing w:before="31" w:beforeLines="10" w:after="31" w:afterLines="10" w:line="440" w:lineRule="atLeast"/>
              <w:rPr>
                <w:rFonts w:ascii="仿宋_GB2312"/>
                <w:sz w:val="24"/>
              </w:rPr>
            </w:pPr>
            <w:r>
              <w:rPr>
                <w:rFonts w:ascii="仿宋_GB2312"/>
                <w:sz w:val="24"/>
              </w:rPr>
              <w:t>保监会令</w:t>
            </w:r>
            <w:r>
              <w:rPr>
                <w:rFonts w:hint="eastAsia" w:ascii="仿宋_GB2312"/>
                <w:sz w:val="24"/>
              </w:rPr>
              <w:t>〔2013〕5</w:t>
            </w:r>
            <w:r>
              <w:rPr>
                <w:rFonts w:ascii="仿宋_GB2312"/>
                <w:sz w:val="24"/>
              </w:rPr>
              <w:t>号</w:t>
            </w:r>
          </w:p>
        </w:tc>
      </w:tr>
      <w:tr w14:paraId="08A554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18" w:type="dxa"/>
          </w:tcPr>
          <w:p w14:paraId="1FB9E357">
            <w:pPr>
              <w:spacing w:before="31" w:beforeLines="10" w:after="31" w:afterLines="10" w:line="440" w:lineRule="atLeast"/>
              <w:rPr>
                <w:rFonts w:ascii="仿宋_GB2312"/>
                <w:sz w:val="24"/>
              </w:rPr>
            </w:pPr>
            <w:r>
              <w:rPr>
                <w:rFonts w:hint="eastAsia" w:ascii="仿宋_GB2312"/>
                <w:sz w:val="24"/>
              </w:rPr>
              <w:t>保险公司</w:t>
            </w:r>
          </w:p>
        </w:tc>
        <w:tc>
          <w:tcPr>
            <w:tcW w:w="2092" w:type="dxa"/>
          </w:tcPr>
          <w:p w14:paraId="7EDDF4AF">
            <w:pPr>
              <w:spacing w:before="31" w:beforeLines="10" w:after="31" w:afterLines="10" w:line="440" w:lineRule="atLeast"/>
              <w:rPr>
                <w:rFonts w:ascii="仿宋_GB2312"/>
                <w:sz w:val="24"/>
              </w:rPr>
            </w:pPr>
            <w:r>
              <w:rPr>
                <w:rFonts w:hint="eastAsia" w:ascii="仿宋_GB2312"/>
                <w:sz w:val="24"/>
              </w:rPr>
              <w:t>保证金</w:t>
            </w:r>
          </w:p>
        </w:tc>
        <w:tc>
          <w:tcPr>
            <w:tcW w:w="3402" w:type="dxa"/>
          </w:tcPr>
          <w:p w14:paraId="7E463EC7">
            <w:pPr>
              <w:spacing w:before="31" w:beforeLines="10" w:after="31" w:afterLines="10" w:line="440" w:lineRule="atLeast"/>
              <w:rPr>
                <w:rFonts w:ascii="仿宋_GB2312"/>
                <w:sz w:val="24"/>
              </w:rPr>
            </w:pPr>
            <w:r>
              <w:rPr>
                <w:rFonts w:hint="eastAsia" w:ascii="仿宋_GB2312"/>
                <w:sz w:val="24"/>
              </w:rPr>
              <w:t>《保险法》</w:t>
            </w:r>
          </w:p>
        </w:tc>
        <w:tc>
          <w:tcPr>
            <w:tcW w:w="2268" w:type="dxa"/>
          </w:tcPr>
          <w:p w14:paraId="516688E7">
            <w:pPr>
              <w:spacing w:before="31" w:beforeLines="10" w:after="31" w:afterLines="10" w:line="440" w:lineRule="atLeast"/>
              <w:rPr>
                <w:rFonts w:ascii="仿宋_GB2312"/>
                <w:sz w:val="24"/>
              </w:rPr>
            </w:pPr>
            <w:r>
              <w:rPr>
                <w:rFonts w:ascii="仿宋_GB2312"/>
                <w:sz w:val="24"/>
              </w:rPr>
              <w:t>2009年2月28日第十一届全国人民代表大会常务委员会第七次会议修订</w:t>
            </w:r>
          </w:p>
        </w:tc>
      </w:tr>
      <w:tr w14:paraId="769102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18" w:type="dxa"/>
          </w:tcPr>
          <w:p w14:paraId="0070292A">
            <w:pPr>
              <w:spacing w:before="31" w:beforeLines="10" w:after="31" w:afterLines="10" w:line="440" w:lineRule="atLeast"/>
              <w:rPr>
                <w:rFonts w:ascii="仿宋_GB2312"/>
                <w:sz w:val="24"/>
              </w:rPr>
            </w:pPr>
            <w:r>
              <w:rPr>
                <w:rFonts w:hint="eastAsia" w:ascii="仿宋_GB2312"/>
                <w:sz w:val="24"/>
              </w:rPr>
              <w:t>保险公司</w:t>
            </w:r>
          </w:p>
        </w:tc>
        <w:tc>
          <w:tcPr>
            <w:tcW w:w="2092" w:type="dxa"/>
          </w:tcPr>
          <w:p w14:paraId="1276019C">
            <w:pPr>
              <w:spacing w:before="31" w:beforeLines="10" w:after="31" w:afterLines="10" w:line="440" w:lineRule="atLeast"/>
              <w:rPr>
                <w:rFonts w:ascii="仿宋_GB2312"/>
                <w:sz w:val="24"/>
              </w:rPr>
            </w:pPr>
            <w:r>
              <w:rPr>
                <w:rFonts w:hint="eastAsia" w:ascii="仿宋_GB2312"/>
                <w:sz w:val="24"/>
              </w:rPr>
              <w:t>保险保障基金</w:t>
            </w:r>
          </w:p>
        </w:tc>
        <w:tc>
          <w:tcPr>
            <w:tcW w:w="3402" w:type="dxa"/>
          </w:tcPr>
          <w:p w14:paraId="329BA1C7">
            <w:pPr>
              <w:spacing w:before="31" w:beforeLines="10" w:after="31" w:afterLines="10" w:line="440" w:lineRule="atLeast"/>
              <w:rPr>
                <w:rFonts w:ascii="仿宋_GB2312"/>
                <w:sz w:val="24"/>
              </w:rPr>
            </w:pPr>
            <w:r>
              <w:rPr>
                <w:rFonts w:hint="eastAsia" w:ascii="仿宋_GB2312"/>
                <w:sz w:val="24"/>
              </w:rPr>
              <w:t>《保险保障基金管理办法》</w:t>
            </w:r>
          </w:p>
        </w:tc>
        <w:tc>
          <w:tcPr>
            <w:tcW w:w="2268" w:type="dxa"/>
          </w:tcPr>
          <w:p w14:paraId="57BE9C4C">
            <w:pPr>
              <w:spacing w:before="31" w:beforeLines="10" w:after="31" w:afterLines="10" w:line="440" w:lineRule="atLeast"/>
              <w:rPr>
                <w:rFonts w:ascii="仿宋_GB2312"/>
                <w:sz w:val="24"/>
              </w:rPr>
            </w:pPr>
            <w:r>
              <w:rPr>
                <w:rFonts w:ascii="仿宋_GB2312"/>
                <w:sz w:val="24"/>
              </w:rPr>
              <w:t>保监会令</w:t>
            </w:r>
            <w:r>
              <w:rPr>
                <w:rFonts w:hint="eastAsia" w:ascii="仿宋_GB2312"/>
                <w:sz w:val="24"/>
              </w:rPr>
              <w:t>〔2008〕2</w:t>
            </w:r>
            <w:r>
              <w:rPr>
                <w:rFonts w:ascii="仿宋_GB2312"/>
                <w:sz w:val="24"/>
              </w:rPr>
              <w:t>号</w:t>
            </w:r>
          </w:p>
        </w:tc>
      </w:tr>
      <w:tr w14:paraId="3C1169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18" w:type="dxa"/>
          </w:tcPr>
          <w:p w14:paraId="6BDAA160">
            <w:pPr>
              <w:spacing w:before="31" w:beforeLines="10" w:after="31" w:afterLines="10" w:line="440" w:lineRule="atLeast"/>
              <w:rPr>
                <w:rFonts w:ascii="仿宋_GB2312"/>
                <w:sz w:val="24"/>
              </w:rPr>
            </w:pPr>
            <w:r>
              <w:rPr>
                <w:rFonts w:hint="eastAsia" w:ascii="仿宋_GB2312"/>
                <w:sz w:val="24"/>
              </w:rPr>
              <w:t>保险公司</w:t>
            </w:r>
          </w:p>
        </w:tc>
        <w:tc>
          <w:tcPr>
            <w:tcW w:w="2092" w:type="dxa"/>
          </w:tcPr>
          <w:p w14:paraId="69E9F62D">
            <w:pPr>
              <w:spacing w:before="31" w:beforeLines="10" w:after="31" w:afterLines="10" w:line="440" w:lineRule="atLeast"/>
              <w:rPr>
                <w:rFonts w:ascii="仿宋_GB2312"/>
                <w:sz w:val="24"/>
              </w:rPr>
            </w:pPr>
            <w:r>
              <w:rPr>
                <w:rFonts w:hint="eastAsia" w:ascii="仿宋_GB2312"/>
                <w:sz w:val="24"/>
              </w:rPr>
              <w:t>综合成本率</w:t>
            </w:r>
          </w:p>
        </w:tc>
        <w:tc>
          <w:tcPr>
            <w:tcW w:w="3402" w:type="dxa"/>
          </w:tcPr>
          <w:p w14:paraId="198F7904">
            <w:pPr>
              <w:spacing w:before="31" w:beforeLines="10" w:after="31" w:afterLines="10" w:line="440" w:lineRule="atLeast"/>
              <w:rPr>
                <w:rFonts w:ascii="仿宋_GB2312"/>
                <w:sz w:val="24"/>
              </w:rPr>
            </w:pPr>
            <w:r>
              <w:rPr>
                <w:rFonts w:hint="eastAsia" w:ascii="仿宋_GB2312"/>
                <w:sz w:val="24"/>
              </w:rPr>
              <w:t>《保险公司偿付能力额度及监管指标管理规定》</w:t>
            </w:r>
          </w:p>
        </w:tc>
        <w:tc>
          <w:tcPr>
            <w:tcW w:w="2268" w:type="dxa"/>
          </w:tcPr>
          <w:p w14:paraId="59CA6DC5">
            <w:pPr>
              <w:spacing w:before="31" w:beforeLines="10" w:after="31" w:afterLines="10" w:line="440" w:lineRule="atLeast"/>
              <w:rPr>
                <w:rFonts w:ascii="仿宋_GB2312"/>
                <w:sz w:val="24"/>
              </w:rPr>
            </w:pPr>
            <w:r>
              <w:rPr>
                <w:rFonts w:ascii="仿宋_GB2312"/>
                <w:sz w:val="24"/>
              </w:rPr>
              <w:t>保监会令</w:t>
            </w:r>
            <w:r>
              <w:rPr>
                <w:rFonts w:hint="eastAsia" w:ascii="仿宋_GB2312"/>
                <w:sz w:val="24"/>
              </w:rPr>
              <w:t>〔2003〕1</w:t>
            </w:r>
            <w:r>
              <w:rPr>
                <w:rFonts w:ascii="仿宋_GB2312"/>
                <w:sz w:val="24"/>
              </w:rPr>
              <w:t>号</w:t>
            </w:r>
          </w:p>
        </w:tc>
      </w:tr>
      <w:tr w14:paraId="6D0224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18" w:type="dxa"/>
          </w:tcPr>
          <w:p w14:paraId="0AEDD75D">
            <w:pPr>
              <w:spacing w:before="31" w:beforeLines="10" w:after="31" w:afterLines="10" w:line="440" w:lineRule="atLeast"/>
              <w:rPr>
                <w:rFonts w:ascii="仿宋_GB2312"/>
                <w:sz w:val="24"/>
              </w:rPr>
            </w:pPr>
            <w:r>
              <w:rPr>
                <w:rFonts w:hint="eastAsia" w:ascii="仿宋_GB2312"/>
                <w:sz w:val="24"/>
              </w:rPr>
              <w:t>保险公司</w:t>
            </w:r>
          </w:p>
        </w:tc>
        <w:tc>
          <w:tcPr>
            <w:tcW w:w="2092" w:type="dxa"/>
          </w:tcPr>
          <w:p w14:paraId="4484E5B0">
            <w:pPr>
              <w:spacing w:before="31" w:beforeLines="10" w:after="31" w:afterLines="10" w:line="440" w:lineRule="atLeast"/>
              <w:rPr>
                <w:rFonts w:ascii="仿宋_GB2312"/>
                <w:sz w:val="24"/>
              </w:rPr>
            </w:pPr>
            <w:r>
              <w:rPr>
                <w:rFonts w:hint="eastAsia" w:ascii="仿宋_GB2312"/>
                <w:sz w:val="24"/>
              </w:rPr>
              <w:t>应收保费率</w:t>
            </w:r>
          </w:p>
        </w:tc>
        <w:tc>
          <w:tcPr>
            <w:tcW w:w="3402" w:type="dxa"/>
          </w:tcPr>
          <w:p w14:paraId="622252DB">
            <w:pPr>
              <w:spacing w:before="31" w:beforeLines="10" w:after="31" w:afterLines="10" w:line="440" w:lineRule="atLeast"/>
              <w:rPr>
                <w:rFonts w:ascii="仿宋_GB2312"/>
                <w:sz w:val="24"/>
              </w:rPr>
            </w:pPr>
            <w:r>
              <w:rPr>
                <w:rFonts w:hint="eastAsia" w:ascii="仿宋_GB2312"/>
                <w:sz w:val="24"/>
              </w:rPr>
              <w:t>《保险公司偿付能力额度及监管指标管理规定》</w:t>
            </w:r>
          </w:p>
        </w:tc>
        <w:tc>
          <w:tcPr>
            <w:tcW w:w="2268" w:type="dxa"/>
          </w:tcPr>
          <w:p w14:paraId="545F0105">
            <w:pPr>
              <w:spacing w:before="31" w:beforeLines="10" w:after="31" w:afterLines="10" w:line="440" w:lineRule="atLeast"/>
              <w:rPr>
                <w:rFonts w:ascii="仿宋_GB2312"/>
                <w:sz w:val="24"/>
              </w:rPr>
            </w:pPr>
            <w:r>
              <w:rPr>
                <w:rFonts w:ascii="仿宋_GB2312"/>
                <w:sz w:val="24"/>
              </w:rPr>
              <w:t>保监会令</w:t>
            </w:r>
            <w:r>
              <w:rPr>
                <w:rFonts w:hint="eastAsia" w:ascii="仿宋_GB2312"/>
                <w:sz w:val="24"/>
              </w:rPr>
              <w:t>〔2003〕1</w:t>
            </w:r>
            <w:r>
              <w:rPr>
                <w:rFonts w:ascii="仿宋_GB2312"/>
                <w:sz w:val="24"/>
              </w:rPr>
              <w:t>号</w:t>
            </w:r>
          </w:p>
        </w:tc>
      </w:tr>
      <w:tr w14:paraId="59B775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18" w:type="dxa"/>
          </w:tcPr>
          <w:p w14:paraId="4D6CA2A1">
            <w:pPr>
              <w:spacing w:before="31" w:beforeLines="10" w:after="31" w:afterLines="10" w:line="440" w:lineRule="atLeast"/>
              <w:rPr>
                <w:rFonts w:ascii="仿宋_GB2312"/>
                <w:sz w:val="24"/>
              </w:rPr>
            </w:pPr>
            <w:r>
              <w:rPr>
                <w:rFonts w:hint="eastAsia" w:ascii="仿宋_GB2312"/>
                <w:sz w:val="24"/>
              </w:rPr>
              <w:t>保险公司</w:t>
            </w:r>
          </w:p>
        </w:tc>
        <w:tc>
          <w:tcPr>
            <w:tcW w:w="2092" w:type="dxa"/>
          </w:tcPr>
          <w:p w14:paraId="3E41863D">
            <w:pPr>
              <w:spacing w:before="31" w:beforeLines="10" w:after="31" w:afterLines="10" w:line="440" w:lineRule="atLeast"/>
              <w:rPr>
                <w:rFonts w:ascii="仿宋_GB2312"/>
                <w:sz w:val="24"/>
              </w:rPr>
            </w:pPr>
            <w:r>
              <w:rPr>
                <w:rFonts w:hint="eastAsia" w:ascii="仿宋_GB2312"/>
                <w:sz w:val="24"/>
              </w:rPr>
              <w:t>退保率</w:t>
            </w:r>
          </w:p>
        </w:tc>
        <w:tc>
          <w:tcPr>
            <w:tcW w:w="3402" w:type="dxa"/>
          </w:tcPr>
          <w:p w14:paraId="02742F35">
            <w:pPr>
              <w:spacing w:before="31" w:beforeLines="10" w:after="31" w:afterLines="10" w:line="440" w:lineRule="atLeast"/>
              <w:rPr>
                <w:rFonts w:ascii="仿宋_GB2312"/>
                <w:sz w:val="24"/>
              </w:rPr>
            </w:pPr>
            <w:r>
              <w:rPr>
                <w:rFonts w:hint="eastAsia" w:ascii="仿宋_GB2312"/>
                <w:sz w:val="24"/>
              </w:rPr>
              <w:t>《保险公司偿付能力额度及监管指标管理规定》</w:t>
            </w:r>
          </w:p>
        </w:tc>
        <w:tc>
          <w:tcPr>
            <w:tcW w:w="2268" w:type="dxa"/>
          </w:tcPr>
          <w:p w14:paraId="54FEDDF2">
            <w:pPr>
              <w:spacing w:before="31" w:beforeLines="10" w:after="31" w:afterLines="10" w:line="440" w:lineRule="atLeast"/>
              <w:rPr>
                <w:rFonts w:ascii="仿宋_GB2312"/>
                <w:sz w:val="24"/>
              </w:rPr>
            </w:pPr>
            <w:r>
              <w:rPr>
                <w:rFonts w:ascii="仿宋_GB2312"/>
                <w:sz w:val="24"/>
              </w:rPr>
              <w:t>保监会令</w:t>
            </w:r>
            <w:r>
              <w:rPr>
                <w:rFonts w:hint="eastAsia" w:ascii="仿宋_GB2312"/>
                <w:sz w:val="24"/>
              </w:rPr>
              <w:t>〔2003〕1</w:t>
            </w:r>
            <w:r>
              <w:rPr>
                <w:rFonts w:ascii="仿宋_GB2312"/>
                <w:sz w:val="24"/>
              </w:rPr>
              <w:t>号</w:t>
            </w:r>
          </w:p>
        </w:tc>
      </w:tr>
      <w:tr w14:paraId="21D084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18" w:type="dxa"/>
          </w:tcPr>
          <w:p w14:paraId="221CA8E2">
            <w:pPr>
              <w:spacing w:before="31" w:beforeLines="10" w:after="31" w:afterLines="10" w:line="440" w:lineRule="atLeast"/>
              <w:rPr>
                <w:rFonts w:ascii="仿宋_GB2312"/>
                <w:sz w:val="24"/>
              </w:rPr>
            </w:pPr>
            <w:r>
              <w:rPr>
                <w:rFonts w:hint="eastAsia" w:ascii="仿宋_GB2312"/>
                <w:sz w:val="24"/>
              </w:rPr>
              <w:t>信托公司</w:t>
            </w:r>
          </w:p>
        </w:tc>
        <w:tc>
          <w:tcPr>
            <w:tcW w:w="2092" w:type="dxa"/>
          </w:tcPr>
          <w:p w14:paraId="2DDEC7B8">
            <w:pPr>
              <w:spacing w:before="31" w:beforeLines="10" w:after="31" w:afterLines="10" w:line="440" w:lineRule="atLeast"/>
              <w:rPr>
                <w:rFonts w:ascii="仿宋_GB2312"/>
                <w:sz w:val="24"/>
              </w:rPr>
            </w:pPr>
            <w:r>
              <w:rPr>
                <w:rFonts w:hint="eastAsia" w:ascii="仿宋_GB2312"/>
                <w:sz w:val="24"/>
              </w:rPr>
              <w:t>净资本</w:t>
            </w:r>
          </w:p>
        </w:tc>
        <w:tc>
          <w:tcPr>
            <w:tcW w:w="3402" w:type="dxa"/>
          </w:tcPr>
          <w:p w14:paraId="40BE6A21">
            <w:pPr>
              <w:spacing w:before="31" w:beforeLines="10" w:after="31" w:afterLines="10" w:line="440" w:lineRule="atLeast"/>
              <w:rPr>
                <w:rFonts w:ascii="仿宋_GB2312"/>
                <w:sz w:val="24"/>
              </w:rPr>
            </w:pPr>
            <w:r>
              <w:rPr>
                <w:rFonts w:hint="eastAsia" w:ascii="仿宋_GB2312"/>
                <w:sz w:val="24"/>
              </w:rPr>
              <w:t>《信托公司净资本管理办法》</w:t>
            </w:r>
          </w:p>
        </w:tc>
        <w:tc>
          <w:tcPr>
            <w:tcW w:w="2268" w:type="dxa"/>
          </w:tcPr>
          <w:p w14:paraId="1229E609">
            <w:pPr>
              <w:spacing w:before="31" w:beforeLines="10" w:after="31" w:afterLines="10" w:line="440" w:lineRule="atLeast"/>
              <w:rPr>
                <w:rFonts w:ascii="仿宋_GB2312"/>
                <w:sz w:val="24"/>
              </w:rPr>
            </w:pPr>
            <w:r>
              <w:rPr>
                <w:rFonts w:ascii="仿宋_GB2312"/>
                <w:sz w:val="24"/>
              </w:rPr>
              <w:t>银监会令</w:t>
            </w:r>
            <w:r>
              <w:rPr>
                <w:rFonts w:hint="eastAsia" w:ascii="仿宋_GB2312"/>
                <w:sz w:val="24"/>
              </w:rPr>
              <w:t>〔2010〕5</w:t>
            </w:r>
            <w:r>
              <w:rPr>
                <w:rFonts w:ascii="仿宋_GB2312"/>
                <w:sz w:val="24"/>
              </w:rPr>
              <w:t>号</w:t>
            </w:r>
          </w:p>
        </w:tc>
      </w:tr>
      <w:tr w14:paraId="3F9817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18" w:type="dxa"/>
          </w:tcPr>
          <w:p w14:paraId="44E1AFE3">
            <w:pPr>
              <w:spacing w:before="31" w:beforeLines="10" w:after="31" w:afterLines="10" w:line="440" w:lineRule="atLeast"/>
              <w:rPr>
                <w:rFonts w:ascii="仿宋_GB2312"/>
                <w:sz w:val="24"/>
              </w:rPr>
            </w:pPr>
            <w:r>
              <w:rPr>
                <w:rFonts w:hint="eastAsia" w:ascii="仿宋_GB2312"/>
                <w:sz w:val="24"/>
              </w:rPr>
              <w:t>信托公司</w:t>
            </w:r>
          </w:p>
        </w:tc>
        <w:tc>
          <w:tcPr>
            <w:tcW w:w="2092" w:type="dxa"/>
          </w:tcPr>
          <w:p w14:paraId="010D685F">
            <w:pPr>
              <w:spacing w:before="31" w:beforeLines="10" w:after="31" w:afterLines="10" w:line="440" w:lineRule="atLeast"/>
              <w:rPr>
                <w:rFonts w:ascii="仿宋_GB2312"/>
                <w:sz w:val="24"/>
              </w:rPr>
            </w:pPr>
            <w:r>
              <w:rPr>
                <w:rFonts w:hint="eastAsia" w:ascii="仿宋_GB2312"/>
                <w:sz w:val="24"/>
              </w:rPr>
              <w:t>风险资本</w:t>
            </w:r>
          </w:p>
        </w:tc>
        <w:tc>
          <w:tcPr>
            <w:tcW w:w="3402" w:type="dxa"/>
          </w:tcPr>
          <w:p w14:paraId="4C6AA2AB">
            <w:pPr>
              <w:spacing w:before="31" w:beforeLines="10" w:after="31" w:afterLines="10" w:line="440" w:lineRule="atLeast"/>
              <w:rPr>
                <w:rFonts w:ascii="仿宋_GB2312"/>
                <w:sz w:val="24"/>
              </w:rPr>
            </w:pPr>
            <w:r>
              <w:rPr>
                <w:rFonts w:hint="eastAsia" w:ascii="仿宋_GB2312"/>
                <w:sz w:val="24"/>
              </w:rPr>
              <w:t>《信托公司净资本管理办法》</w:t>
            </w:r>
          </w:p>
        </w:tc>
        <w:tc>
          <w:tcPr>
            <w:tcW w:w="2268" w:type="dxa"/>
          </w:tcPr>
          <w:p w14:paraId="09A0A1BB">
            <w:pPr>
              <w:spacing w:before="31" w:beforeLines="10" w:after="31" w:afterLines="10" w:line="440" w:lineRule="atLeast"/>
              <w:rPr>
                <w:rFonts w:ascii="仿宋_GB2312"/>
                <w:sz w:val="24"/>
              </w:rPr>
            </w:pPr>
            <w:r>
              <w:rPr>
                <w:rFonts w:ascii="仿宋_GB2312"/>
                <w:sz w:val="24"/>
              </w:rPr>
              <w:t>银监会令</w:t>
            </w:r>
            <w:r>
              <w:rPr>
                <w:rFonts w:hint="eastAsia" w:ascii="仿宋_GB2312"/>
                <w:sz w:val="24"/>
              </w:rPr>
              <w:t>〔2010〕5</w:t>
            </w:r>
            <w:r>
              <w:rPr>
                <w:rFonts w:ascii="仿宋_GB2312"/>
                <w:sz w:val="24"/>
              </w:rPr>
              <w:t>号</w:t>
            </w:r>
          </w:p>
        </w:tc>
      </w:tr>
      <w:tr w14:paraId="7CA4E8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18" w:type="dxa"/>
          </w:tcPr>
          <w:p w14:paraId="2C33C237">
            <w:pPr>
              <w:spacing w:before="31" w:beforeLines="10" w:after="31" w:afterLines="10" w:line="440" w:lineRule="atLeast"/>
              <w:rPr>
                <w:rFonts w:ascii="仿宋_GB2312"/>
                <w:sz w:val="24"/>
              </w:rPr>
            </w:pPr>
            <w:r>
              <w:rPr>
                <w:rFonts w:hint="eastAsia" w:ascii="仿宋_GB2312"/>
                <w:sz w:val="24"/>
              </w:rPr>
              <w:t>信托公司</w:t>
            </w:r>
          </w:p>
        </w:tc>
        <w:tc>
          <w:tcPr>
            <w:tcW w:w="2092" w:type="dxa"/>
          </w:tcPr>
          <w:p w14:paraId="05DABF35">
            <w:pPr>
              <w:spacing w:before="31" w:beforeLines="10" w:after="31" w:afterLines="10" w:line="440" w:lineRule="atLeast"/>
              <w:rPr>
                <w:rFonts w:ascii="仿宋_GB2312"/>
                <w:sz w:val="24"/>
              </w:rPr>
            </w:pPr>
            <w:r>
              <w:rPr>
                <w:rFonts w:hint="eastAsia" w:ascii="仿宋_GB2312"/>
                <w:sz w:val="24"/>
              </w:rPr>
              <w:t>净资本/风险资本</w:t>
            </w:r>
          </w:p>
        </w:tc>
        <w:tc>
          <w:tcPr>
            <w:tcW w:w="3402" w:type="dxa"/>
          </w:tcPr>
          <w:p w14:paraId="067A4582">
            <w:pPr>
              <w:spacing w:before="31" w:beforeLines="10" w:after="31" w:afterLines="10" w:line="440" w:lineRule="atLeast"/>
              <w:rPr>
                <w:rFonts w:ascii="仿宋_GB2312"/>
                <w:sz w:val="24"/>
              </w:rPr>
            </w:pPr>
            <w:r>
              <w:rPr>
                <w:rFonts w:hint="eastAsia" w:ascii="仿宋_GB2312"/>
                <w:sz w:val="24"/>
              </w:rPr>
              <w:t>《信托公司净资本管理办法》</w:t>
            </w:r>
          </w:p>
        </w:tc>
        <w:tc>
          <w:tcPr>
            <w:tcW w:w="2268" w:type="dxa"/>
          </w:tcPr>
          <w:p w14:paraId="37A20BBA">
            <w:pPr>
              <w:spacing w:before="31" w:beforeLines="10" w:after="31" w:afterLines="10" w:line="440" w:lineRule="atLeast"/>
              <w:rPr>
                <w:rFonts w:ascii="仿宋_GB2312"/>
                <w:sz w:val="24"/>
              </w:rPr>
            </w:pPr>
            <w:r>
              <w:rPr>
                <w:rFonts w:ascii="仿宋_GB2312"/>
                <w:sz w:val="24"/>
              </w:rPr>
              <w:t>银监会令</w:t>
            </w:r>
            <w:r>
              <w:rPr>
                <w:rFonts w:hint="eastAsia" w:ascii="仿宋_GB2312"/>
                <w:sz w:val="24"/>
              </w:rPr>
              <w:t>〔2010〕5</w:t>
            </w:r>
            <w:r>
              <w:rPr>
                <w:rFonts w:ascii="仿宋_GB2312"/>
                <w:sz w:val="24"/>
              </w:rPr>
              <w:t>号</w:t>
            </w:r>
          </w:p>
        </w:tc>
      </w:tr>
      <w:tr w14:paraId="4231FB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18" w:type="dxa"/>
          </w:tcPr>
          <w:p w14:paraId="2E7C6493">
            <w:pPr>
              <w:spacing w:before="31" w:beforeLines="10" w:after="31" w:afterLines="10" w:line="440" w:lineRule="atLeast"/>
              <w:rPr>
                <w:rFonts w:ascii="仿宋_GB2312"/>
                <w:sz w:val="24"/>
              </w:rPr>
            </w:pPr>
            <w:r>
              <w:rPr>
                <w:rFonts w:hint="eastAsia" w:ascii="仿宋_GB2312"/>
                <w:sz w:val="24"/>
              </w:rPr>
              <w:t>信托公司</w:t>
            </w:r>
          </w:p>
        </w:tc>
        <w:tc>
          <w:tcPr>
            <w:tcW w:w="2092" w:type="dxa"/>
          </w:tcPr>
          <w:p w14:paraId="4B7A4B8A">
            <w:pPr>
              <w:spacing w:before="31" w:beforeLines="10" w:after="31" w:afterLines="10" w:line="440" w:lineRule="atLeast"/>
              <w:rPr>
                <w:rFonts w:ascii="仿宋_GB2312"/>
                <w:sz w:val="24"/>
              </w:rPr>
            </w:pPr>
            <w:r>
              <w:rPr>
                <w:rFonts w:hint="eastAsia" w:ascii="仿宋_GB2312"/>
                <w:sz w:val="24"/>
              </w:rPr>
              <w:t>净资本/净资产</w:t>
            </w:r>
          </w:p>
        </w:tc>
        <w:tc>
          <w:tcPr>
            <w:tcW w:w="3402" w:type="dxa"/>
          </w:tcPr>
          <w:p w14:paraId="6A1EBB2F">
            <w:pPr>
              <w:spacing w:before="31" w:beforeLines="10" w:after="31" w:afterLines="10" w:line="440" w:lineRule="atLeast"/>
              <w:rPr>
                <w:rFonts w:ascii="仿宋_GB2312"/>
                <w:sz w:val="24"/>
              </w:rPr>
            </w:pPr>
            <w:r>
              <w:rPr>
                <w:rFonts w:hint="eastAsia" w:ascii="仿宋_GB2312"/>
                <w:sz w:val="24"/>
              </w:rPr>
              <w:t>《信托公司净资本管理办法》</w:t>
            </w:r>
          </w:p>
        </w:tc>
        <w:tc>
          <w:tcPr>
            <w:tcW w:w="2268" w:type="dxa"/>
          </w:tcPr>
          <w:p w14:paraId="5FF66A9D">
            <w:pPr>
              <w:spacing w:before="31" w:beforeLines="10" w:after="31" w:afterLines="10" w:line="440" w:lineRule="atLeast"/>
              <w:rPr>
                <w:rFonts w:ascii="仿宋_GB2312"/>
                <w:sz w:val="24"/>
              </w:rPr>
            </w:pPr>
            <w:r>
              <w:rPr>
                <w:rFonts w:ascii="仿宋_GB2312"/>
                <w:sz w:val="24"/>
              </w:rPr>
              <w:t>银监会令</w:t>
            </w:r>
            <w:r>
              <w:rPr>
                <w:rFonts w:hint="eastAsia" w:ascii="仿宋_GB2312"/>
                <w:sz w:val="24"/>
              </w:rPr>
              <w:t>〔2010〕5</w:t>
            </w:r>
            <w:r>
              <w:rPr>
                <w:rFonts w:ascii="仿宋_GB2312"/>
                <w:sz w:val="24"/>
              </w:rPr>
              <w:t>号</w:t>
            </w:r>
          </w:p>
        </w:tc>
      </w:tr>
      <w:tr w14:paraId="584CD8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18" w:type="dxa"/>
          </w:tcPr>
          <w:p w14:paraId="7B90512F">
            <w:pPr>
              <w:spacing w:before="31" w:beforeLines="10" w:after="31" w:afterLines="10" w:line="440" w:lineRule="atLeast"/>
              <w:rPr>
                <w:rFonts w:ascii="仿宋_GB2312"/>
                <w:sz w:val="24"/>
              </w:rPr>
            </w:pPr>
            <w:r>
              <w:rPr>
                <w:rFonts w:hint="eastAsia" w:ascii="仿宋_GB2312"/>
                <w:sz w:val="24"/>
              </w:rPr>
              <w:t>信托公司</w:t>
            </w:r>
          </w:p>
        </w:tc>
        <w:tc>
          <w:tcPr>
            <w:tcW w:w="2092" w:type="dxa"/>
          </w:tcPr>
          <w:p w14:paraId="4E640C9C">
            <w:pPr>
              <w:spacing w:before="31" w:beforeLines="10" w:after="31" w:afterLines="10" w:line="440" w:lineRule="atLeast"/>
              <w:rPr>
                <w:rFonts w:ascii="仿宋_GB2312"/>
                <w:sz w:val="24"/>
              </w:rPr>
            </w:pPr>
            <w:r>
              <w:rPr>
                <w:rFonts w:hint="eastAsia" w:ascii="仿宋_GB2312"/>
                <w:sz w:val="24"/>
              </w:rPr>
              <w:t>信托赔偿准备金</w:t>
            </w:r>
          </w:p>
        </w:tc>
        <w:tc>
          <w:tcPr>
            <w:tcW w:w="3402" w:type="dxa"/>
          </w:tcPr>
          <w:p w14:paraId="2930EA8F">
            <w:pPr>
              <w:spacing w:before="31" w:beforeLines="10" w:after="31" w:afterLines="10" w:line="440" w:lineRule="atLeast"/>
              <w:rPr>
                <w:rFonts w:ascii="仿宋_GB2312"/>
                <w:sz w:val="24"/>
              </w:rPr>
            </w:pPr>
            <w:r>
              <w:rPr>
                <w:rFonts w:hint="eastAsia" w:ascii="仿宋_GB2312"/>
                <w:sz w:val="24"/>
              </w:rPr>
              <w:t>《信托公司管理办法》</w:t>
            </w:r>
          </w:p>
        </w:tc>
        <w:tc>
          <w:tcPr>
            <w:tcW w:w="2268" w:type="dxa"/>
          </w:tcPr>
          <w:p w14:paraId="65BBACFB">
            <w:pPr>
              <w:spacing w:before="31" w:beforeLines="10" w:after="31" w:afterLines="10" w:line="440" w:lineRule="atLeast"/>
              <w:rPr>
                <w:rFonts w:ascii="仿宋_GB2312"/>
                <w:sz w:val="24"/>
              </w:rPr>
            </w:pPr>
            <w:r>
              <w:rPr>
                <w:rFonts w:ascii="仿宋_GB2312"/>
                <w:sz w:val="24"/>
              </w:rPr>
              <w:t>银监会令</w:t>
            </w:r>
            <w:r>
              <w:rPr>
                <w:rFonts w:hint="eastAsia" w:ascii="仿宋_GB2312"/>
                <w:sz w:val="24"/>
              </w:rPr>
              <w:t>〔2007〕2</w:t>
            </w:r>
            <w:r>
              <w:rPr>
                <w:rFonts w:ascii="仿宋_GB2312"/>
                <w:sz w:val="24"/>
              </w:rPr>
              <w:t>号</w:t>
            </w:r>
          </w:p>
        </w:tc>
      </w:tr>
      <w:tr w14:paraId="5833BA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18" w:type="dxa"/>
            <w:vMerge w:val="restart"/>
          </w:tcPr>
          <w:p w14:paraId="08D0667F">
            <w:pPr>
              <w:spacing w:before="31" w:beforeLines="10" w:after="31" w:afterLines="10" w:line="440" w:lineRule="atLeast"/>
              <w:rPr>
                <w:rFonts w:ascii="仿宋_GB2312"/>
                <w:sz w:val="24"/>
              </w:rPr>
            </w:pPr>
            <w:r>
              <w:rPr>
                <w:rFonts w:hint="eastAsia" w:ascii="仿宋_GB2312"/>
                <w:sz w:val="24"/>
              </w:rPr>
              <w:t>金融资产管理公司</w:t>
            </w:r>
          </w:p>
        </w:tc>
        <w:tc>
          <w:tcPr>
            <w:tcW w:w="2092" w:type="dxa"/>
            <w:vMerge w:val="restart"/>
          </w:tcPr>
          <w:p w14:paraId="68A8C67A">
            <w:pPr>
              <w:spacing w:before="31" w:beforeLines="10" w:after="31" w:afterLines="10" w:line="440" w:lineRule="atLeast"/>
              <w:rPr>
                <w:rFonts w:ascii="仿宋_GB2312"/>
                <w:sz w:val="24"/>
              </w:rPr>
            </w:pPr>
            <w:r>
              <w:rPr>
                <w:rFonts w:hint="eastAsia" w:ascii="仿宋_GB2312"/>
                <w:sz w:val="24"/>
              </w:rPr>
              <w:t>最低资本、财务杠杆率、流动性比例</w:t>
            </w:r>
          </w:p>
        </w:tc>
        <w:tc>
          <w:tcPr>
            <w:tcW w:w="3402" w:type="dxa"/>
          </w:tcPr>
          <w:p w14:paraId="17A6449B">
            <w:pPr>
              <w:spacing w:before="31" w:beforeLines="10" w:after="31" w:afterLines="10" w:line="440" w:lineRule="atLeast"/>
              <w:rPr>
                <w:rFonts w:ascii="仿宋_GB2312"/>
                <w:sz w:val="24"/>
              </w:rPr>
            </w:pPr>
            <w:r>
              <w:rPr>
                <w:rFonts w:hint="eastAsia" w:ascii="仿宋_GB2312"/>
                <w:sz w:val="24"/>
              </w:rPr>
              <w:t>《金融资产管理公司并表监管指引（试行）》</w:t>
            </w:r>
          </w:p>
        </w:tc>
        <w:tc>
          <w:tcPr>
            <w:tcW w:w="2268" w:type="dxa"/>
          </w:tcPr>
          <w:p w14:paraId="4DE585A0">
            <w:pPr>
              <w:spacing w:before="31" w:beforeLines="10" w:after="31" w:afterLines="10" w:line="440" w:lineRule="atLeast"/>
              <w:rPr>
                <w:rFonts w:ascii="仿宋_GB2312"/>
                <w:sz w:val="24"/>
              </w:rPr>
            </w:pPr>
            <w:r>
              <w:rPr>
                <w:rFonts w:hint="eastAsia" w:ascii="仿宋_GB2312"/>
                <w:sz w:val="24"/>
              </w:rPr>
              <w:t>银监发〔2011〕20号</w:t>
            </w:r>
          </w:p>
        </w:tc>
      </w:tr>
      <w:tr w14:paraId="5CD23F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18" w:type="dxa"/>
            <w:vMerge w:val="continue"/>
          </w:tcPr>
          <w:p w14:paraId="016D3533">
            <w:pPr>
              <w:spacing w:before="31" w:beforeLines="10" w:after="31" w:afterLines="10" w:line="440" w:lineRule="atLeast"/>
              <w:rPr>
                <w:rFonts w:ascii="仿宋_GB2312" w:cs="黑体"/>
                <w:b/>
                <w:bCs/>
                <w:sz w:val="24"/>
              </w:rPr>
            </w:pPr>
          </w:p>
        </w:tc>
        <w:tc>
          <w:tcPr>
            <w:tcW w:w="2092" w:type="dxa"/>
            <w:vMerge w:val="continue"/>
          </w:tcPr>
          <w:p w14:paraId="7979B975">
            <w:pPr>
              <w:spacing w:before="31" w:beforeLines="10" w:after="31" w:afterLines="10" w:line="440" w:lineRule="atLeast"/>
              <w:rPr>
                <w:rFonts w:ascii="仿宋_GB2312" w:cs="黑体"/>
                <w:b/>
                <w:bCs/>
                <w:sz w:val="24"/>
              </w:rPr>
            </w:pPr>
          </w:p>
        </w:tc>
        <w:tc>
          <w:tcPr>
            <w:tcW w:w="3402" w:type="dxa"/>
          </w:tcPr>
          <w:p w14:paraId="2134593B">
            <w:pPr>
              <w:spacing w:before="31" w:beforeLines="10" w:after="31" w:afterLines="10" w:line="440" w:lineRule="atLeast"/>
              <w:rPr>
                <w:rFonts w:ascii="仿宋_GB2312"/>
                <w:sz w:val="24"/>
              </w:rPr>
            </w:pPr>
            <w:r>
              <w:rPr>
                <w:rFonts w:hint="eastAsia" w:ascii="仿宋_GB2312"/>
                <w:sz w:val="24"/>
              </w:rPr>
              <w:t>《关于印发&lt;金融资产管理公司非现场监管报表指标体系（试行）&gt;的通知》</w:t>
            </w:r>
          </w:p>
        </w:tc>
        <w:tc>
          <w:tcPr>
            <w:tcW w:w="2268" w:type="dxa"/>
          </w:tcPr>
          <w:p w14:paraId="5A135275">
            <w:pPr>
              <w:spacing w:before="31" w:beforeLines="10" w:after="31" w:afterLines="10" w:line="440" w:lineRule="atLeast"/>
              <w:rPr>
                <w:rFonts w:ascii="仿宋_GB2312"/>
                <w:sz w:val="24"/>
              </w:rPr>
            </w:pPr>
            <w:r>
              <w:rPr>
                <w:rFonts w:hint="eastAsia" w:ascii="仿宋_GB2312"/>
                <w:sz w:val="24"/>
              </w:rPr>
              <w:t>银监办发〔2012〕153号</w:t>
            </w:r>
          </w:p>
        </w:tc>
      </w:tr>
      <w:tr w14:paraId="306404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18" w:type="dxa"/>
          </w:tcPr>
          <w:p w14:paraId="753571F3">
            <w:pPr>
              <w:spacing w:before="31" w:beforeLines="10" w:after="31" w:afterLines="10" w:line="440" w:lineRule="atLeast"/>
              <w:rPr>
                <w:rFonts w:ascii="仿宋_GB2312"/>
                <w:sz w:val="24"/>
              </w:rPr>
            </w:pPr>
            <w:r>
              <w:rPr>
                <w:rFonts w:hint="eastAsia" w:ascii="仿宋_GB2312"/>
                <w:sz w:val="24"/>
              </w:rPr>
              <w:t>金融租赁公司</w:t>
            </w:r>
          </w:p>
        </w:tc>
        <w:tc>
          <w:tcPr>
            <w:tcW w:w="2092" w:type="dxa"/>
          </w:tcPr>
          <w:p w14:paraId="613852E9">
            <w:pPr>
              <w:spacing w:before="31" w:beforeLines="10" w:after="31" w:afterLines="10" w:line="440" w:lineRule="atLeast"/>
              <w:rPr>
                <w:rFonts w:ascii="仿宋_GB2312"/>
                <w:sz w:val="24"/>
              </w:rPr>
            </w:pPr>
            <w:r>
              <w:rPr>
                <w:rFonts w:hint="eastAsia" w:ascii="仿宋_GB2312"/>
                <w:sz w:val="24"/>
              </w:rPr>
              <w:t>资本充足率、同业拆借比例、固定收益类证券投资业务/资本净额</w:t>
            </w:r>
          </w:p>
        </w:tc>
        <w:tc>
          <w:tcPr>
            <w:tcW w:w="3402" w:type="dxa"/>
          </w:tcPr>
          <w:p w14:paraId="4C353D8D">
            <w:pPr>
              <w:spacing w:before="31" w:beforeLines="10" w:after="31" w:afterLines="10" w:line="440" w:lineRule="atLeast"/>
              <w:rPr>
                <w:rFonts w:ascii="仿宋_GB2312"/>
                <w:sz w:val="24"/>
              </w:rPr>
            </w:pPr>
            <w:r>
              <w:rPr>
                <w:rFonts w:hint="eastAsia" w:ascii="仿宋_GB2312"/>
                <w:sz w:val="24"/>
              </w:rPr>
              <w:t>《金融租赁公司管理办法》</w:t>
            </w:r>
          </w:p>
        </w:tc>
        <w:tc>
          <w:tcPr>
            <w:tcW w:w="2268" w:type="dxa"/>
          </w:tcPr>
          <w:p w14:paraId="445266C1">
            <w:pPr>
              <w:spacing w:before="31" w:beforeLines="10" w:after="31" w:afterLines="10" w:line="440" w:lineRule="atLeast"/>
              <w:rPr>
                <w:rFonts w:ascii="仿宋_GB2312"/>
                <w:sz w:val="24"/>
              </w:rPr>
            </w:pPr>
            <w:r>
              <w:rPr>
                <w:rFonts w:ascii="仿宋_GB2312"/>
                <w:sz w:val="24"/>
              </w:rPr>
              <w:t>银监会令</w:t>
            </w:r>
            <w:r>
              <w:rPr>
                <w:rFonts w:hint="eastAsia" w:ascii="仿宋_GB2312"/>
                <w:sz w:val="24"/>
              </w:rPr>
              <w:t>〔2014〕3</w:t>
            </w:r>
            <w:r>
              <w:rPr>
                <w:rFonts w:ascii="仿宋_GB2312"/>
                <w:sz w:val="24"/>
              </w:rPr>
              <w:t>号</w:t>
            </w:r>
          </w:p>
        </w:tc>
      </w:tr>
      <w:tr w14:paraId="55BAA7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18" w:type="dxa"/>
          </w:tcPr>
          <w:p w14:paraId="6BF550EF">
            <w:pPr>
              <w:spacing w:before="31" w:beforeLines="10" w:after="31" w:afterLines="10" w:line="440" w:lineRule="atLeast"/>
              <w:rPr>
                <w:rFonts w:ascii="仿宋_GB2312"/>
                <w:sz w:val="24"/>
              </w:rPr>
            </w:pPr>
            <w:r>
              <w:rPr>
                <w:rFonts w:hint="eastAsia" w:ascii="仿宋_GB2312"/>
                <w:sz w:val="24"/>
              </w:rPr>
              <w:t>汽车金融公司</w:t>
            </w:r>
          </w:p>
        </w:tc>
        <w:tc>
          <w:tcPr>
            <w:tcW w:w="2092" w:type="dxa"/>
          </w:tcPr>
          <w:p w14:paraId="239AB6DB">
            <w:pPr>
              <w:spacing w:before="31" w:beforeLines="10" w:after="31" w:afterLines="10" w:line="440" w:lineRule="atLeast"/>
              <w:rPr>
                <w:rFonts w:ascii="仿宋_GB2312"/>
                <w:sz w:val="24"/>
              </w:rPr>
            </w:pPr>
            <w:r>
              <w:rPr>
                <w:rFonts w:hint="eastAsia" w:ascii="仿宋_GB2312"/>
                <w:sz w:val="24"/>
              </w:rPr>
              <w:t>资本充足率、核心资本充足率、自用固定资产/资本净额</w:t>
            </w:r>
          </w:p>
        </w:tc>
        <w:tc>
          <w:tcPr>
            <w:tcW w:w="3402" w:type="dxa"/>
          </w:tcPr>
          <w:p w14:paraId="1C4912BD">
            <w:pPr>
              <w:spacing w:before="31" w:beforeLines="10" w:after="31" w:afterLines="10" w:line="440" w:lineRule="atLeast"/>
              <w:rPr>
                <w:rFonts w:ascii="仿宋_GB2312"/>
                <w:sz w:val="24"/>
              </w:rPr>
            </w:pPr>
            <w:r>
              <w:rPr>
                <w:rFonts w:hint="eastAsia" w:ascii="仿宋_GB2312"/>
                <w:sz w:val="24"/>
              </w:rPr>
              <w:t>《汽车金融公司管理办法》</w:t>
            </w:r>
          </w:p>
        </w:tc>
        <w:tc>
          <w:tcPr>
            <w:tcW w:w="2268" w:type="dxa"/>
          </w:tcPr>
          <w:p w14:paraId="370F3A13">
            <w:pPr>
              <w:spacing w:before="31" w:beforeLines="10" w:after="31" w:afterLines="10" w:line="440" w:lineRule="atLeast"/>
              <w:rPr>
                <w:rFonts w:ascii="仿宋_GB2312"/>
                <w:sz w:val="24"/>
              </w:rPr>
            </w:pPr>
            <w:r>
              <w:rPr>
                <w:rFonts w:ascii="仿宋_GB2312"/>
                <w:sz w:val="24"/>
              </w:rPr>
              <w:t>银监会令</w:t>
            </w:r>
            <w:r>
              <w:rPr>
                <w:rFonts w:hint="eastAsia" w:ascii="仿宋_GB2312"/>
                <w:sz w:val="24"/>
              </w:rPr>
              <w:t>〔2008〕1</w:t>
            </w:r>
            <w:r>
              <w:rPr>
                <w:rFonts w:ascii="仿宋_GB2312"/>
                <w:sz w:val="24"/>
              </w:rPr>
              <w:t>号</w:t>
            </w:r>
          </w:p>
        </w:tc>
      </w:tr>
      <w:tr w14:paraId="1E3C0E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18" w:type="dxa"/>
          </w:tcPr>
          <w:p w14:paraId="52C6988B">
            <w:pPr>
              <w:spacing w:before="31" w:beforeLines="10" w:after="31" w:afterLines="10" w:line="440" w:lineRule="atLeast"/>
              <w:rPr>
                <w:rFonts w:ascii="仿宋_GB2312"/>
                <w:sz w:val="24"/>
              </w:rPr>
            </w:pPr>
            <w:r>
              <w:rPr>
                <w:rFonts w:hint="eastAsia" w:ascii="仿宋_GB2312"/>
                <w:sz w:val="24"/>
              </w:rPr>
              <w:t>消费金融公司</w:t>
            </w:r>
          </w:p>
        </w:tc>
        <w:tc>
          <w:tcPr>
            <w:tcW w:w="2092" w:type="dxa"/>
          </w:tcPr>
          <w:p w14:paraId="0BFCA7F6">
            <w:pPr>
              <w:spacing w:before="31" w:beforeLines="10" w:after="31" w:afterLines="10" w:line="440" w:lineRule="atLeast"/>
              <w:rPr>
                <w:rFonts w:ascii="仿宋_GB2312"/>
                <w:sz w:val="24"/>
              </w:rPr>
            </w:pPr>
            <w:r>
              <w:rPr>
                <w:rFonts w:hint="eastAsia" w:ascii="仿宋_GB2312"/>
                <w:sz w:val="24"/>
              </w:rPr>
              <w:t>资本充足率、同业拆入资金比例、资产损失准备充足率、投资余额/资本总额</w:t>
            </w:r>
          </w:p>
        </w:tc>
        <w:tc>
          <w:tcPr>
            <w:tcW w:w="3402" w:type="dxa"/>
          </w:tcPr>
          <w:p w14:paraId="5E176F26">
            <w:pPr>
              <w:spacing w:before="31" w:beforeLines="10" w:after="31" w:afterLines="10" w:line="440" w:lineRule="atLeast"/>
              <w:rPr>
                <w:rFonts w:ascii="仿宋_GB2312"/>
                <w:sz w:val="24"/>
              </w:rPr>
            </w:pPr>
            <w:r>
              <w:rPr>
                <w:rFonts w:hint="eastAsia" w:ascii="仿宋_GB2312"/>
                <w:sz w:val="24"/>
              </w:rPr>
              <w:t>《消费金融公司试点管理办法》</w:t>
            </w:r>
          </w:p>
        </w:tc>
        <w:tc>
          <w:tcPr>
            <w:tcW w:w="2268" w:type="dxa"/>
          </w:tcPr>
          <w:p w14:paraId="55107213">
            <w:pPr>
              <w:spacing w:before="31" w:beforeLines="10" w:after="31" w:afterLines="10" w:line="440" w:lineRule="atLeast"/>
              <w:rPr>
                <w:rFonts w:ascii="仿宋_GB2312"/>
                <w:sz w:val="24"/>
              </w:rPr>
            </w:pPr>
            <w:r>
              <w:rPr>
                <w:rFonts w:ascii="仿宋_GB2312"/>
                <w:sz w:val="24"/>
              </w:rPr>
              <w:t>银监会令</w:t>
            </w:r>
            <w:r>
              <w:rPr>
                <w:rFonts w:hint="eastAsia" w:ascii="仿宋_GB2312"/>
                <w:sz w:val="24"/>
              </w:rPr>
              <w:t>〔2013〕2</w:t>
            </w:r>
            <w:r>
              <w:rPr>
                <w:rFonts w:ascii="仿宋_GB2312"/>
                <w:sz w:val="24"/>
              </w:rPr>
              <w:t>号</w:t>
            </w:r>
          </w:p>
        </w:tc>
      </w:tr>
      <w:tr w14:paraId="2CC519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18" w:type="dxa"/>
          </w:tcPr>
          <w:p w14:paraId="5E98BB16">
            <w:pPr>
              <w:spacing w:before="31" w:beforeLines="10" w:after="31" w:afterLines="10" w:line="440" w:lineRule="atLeast"/>
              <w:rPr>
                <w:rFonts w:ascii="仿宋_GB2312"/>
                <w:sz w:val="24"/>
              </w:rPr>
            </w:pPr>
            <w:r>
              <w:rPr>
                <w:rFonts w:hint="eastAsia" w:ascii="仿宋_GB2312"/>
                <w:sz w:val="24"/>
              </w:rPr>
              <w:t>期货公司</w:t>
            </w:r>
          </w:p>
        </w:tc>
        <w:tc>
          <w:tcPr>
            <w:tcW w:w="2092" w:type="dxa"/>
          </w:tcPr>
          <w:p w14:paraId="68E46A81">
            <w:pPr>
              <w:spacing w:before="31" w:beforeLines="10" w:after="31" w:afterLines="10" w:line="440" w:lineRule="atLeast"/>
              <w:rPr>
                <w:rFonts w:ascii="仿宋_GB2312"/>
                <w:sz w:val="24"/>
              </w:rPr>
            </w:pPr>
            <w:r>
              <w:rPr>
                <w:rFonts w:hint="eastAsia" w:ascii="仿宋_GB2312"/>
                <w:sz w:val="24"/>
              </w:rPr>
              <w:t>净资本、净资本/风险资本准备、净资本/净资产、流动资产/流动负债、负债/净资产</w:t>
            </w:r>
          </w:p>
        </w:tc>
        <w:tc>
          <w:tcPr>
            <w:tcW w:w="3402" w:type="dxa"/>
          </w:tcPr>
          <w:p w14:paraId="32493905">
            <w:pPr>
              <w:spacing w:before="31" w:beforeLines="10" w:after="31" w:afterLines="10" w:line="440" w:lineRule="atLeast"/>
              <w:rPr>
                <w:rFonts w:ascii="仿宋_GB2312"/>
                <w:sz w:val="24"/>
              </w:rPr>
            </w:pPr>
            <w:r>
              <w:rPr>
                <w:rFonts w:hint="eastAsia" w:ascii="仿宋_GB2312"/>
                <w:sz w:val="24"/>
              </w:rPr>
              <w:t>《关于修改〈</w:t>
            </w:r>
            <w:r>
              <w:fldChar w:fldCharType="begin"/>
            </w:r>
            <w:r>
              <w:instrText xml:space="preserve"> HYPERLINK "http://futures.hexun.com/" \t "_blank" </w:instrText>
            </w:r>
            <w:r>
              <w:fldChar w:fldCharType="separate"/>
            </w:r>
            <w:r>
              <w:rPr>
                <w:rFonts w:hint="eastAsia" w:ascii="仿宋_GB2312"/>
                <w:sz w:val="24"/>
              </w:rPr>
              <w:t>期货</w:t>
            </w:r>
            <w:r>
              <w:rPr>
                <w:rFonts w:hint="eastAsia" w:ascii="仿宋_GB2312"/>
                <w:sz w:val="24"/>
              </w:rPr>
              <w:fldChar w:fldCharType="end"/>
            </w:r>
            <w:r>
              <w:rPr>
                <w:rFonts w:hint="eastAsia" w:ascii="仿宋_GB2312"/>
                <w:sz w:val="24"/>
              </w:rPr>
              <w:t>公司风险监管指标管理试行办法〉的决定》修订）</w:t>
            </w:r>
          </w:p>
        </w:tc>
        <w:tc>
          <w:tcPr>
            <w:tcW w:w="2268" w:type="dxa"/>
          </w:tcPr>
          <w:p w14:paraId="50F446DB">
            <w:pPr>
              <w:spacing w:before="31" w:beforeLines="10" w:after="31" w:afterLines="10" w:line="440" w:lineRule="atLeast"/>
              <w:rPr>
                <w:sz w:val="24"/>
              </w:rPr>
            </w:pPr>
            <w:r>
              <w:fldChar w:fldCharType="begin"/>
            </w:r>
            <w:r>
              <w:instrText xml:space="preserve"> HYPERLINK "http://gov.hexun.com/csrc/index.html" \t "_blank" </w:instrText>
            </w:r>
            <w:r>
              <w:fldChar w:fldCharType="separate"/>
            </w:r>
            <w:r>
              <w:rPr>
                <w:rFonts w:hint="eastAsia" w:ascii="仿宋_GB2312"/>
                <w:sz w:val="24"/>
              </w:rPr>
              <w:t>证监会</w:t>
            </w:r>
            <w:r>
              <w:rPr>
                <w:rFonts w:hint="eastAsia" w:ascii="仿宋_GB2312"/>
                <w:sz w:val="24"/>
              </w:rPr>
              <w:fldChar w:fldCharType="end"/>
            </w:r>
            <w:r>
              <w:rPr>
                <w:rFonts w:hint="eastAsia" w:ascii="仿宋_GB2312"/>
                <w:sz w:val="24"/>
              </w:rPr>
              <w:t>公告〔2013〕12号</w:t>
            </w:r>
          </w:p>
        </w:tc>
      </w:tr>
    </w:tbl>
    <w:p w14:paraId="63DE6205">
      <w:pPr>
        <w:spacing w:line="440" w:lineRule="atLeast"/>
        <w:rPr>
          <w:rFonts w:ascii="华文中宋" w:hAnsi="华文中宋" w:eastAsia="华文中宋"/>
          <w:spacing w:val="-2"/>
          <w:sz w:val="44"/>
          <w:szCs w:val="44"/>
        </w:rPr>
      </w:pPr>
      <w:r>
        <w:br w:type="page"/>
      </w:r>
      <w:bookmarkStart w:id="215" w:name="_Toc332433906"/>
    </w:p>
    <w:p w14:paraId="103E7DBD">
      <w:pPr>
        <w:pStyle w:val="5"/>
        <w:spacing w:line="440" w:lineRule="atLeast"/>
        <w:jc w:val="center"/>
        <w:rPr>
          <w:rFonts w:ascii="宋体" w:hAnsi="宋体" w:eastAsia="宋体" w:cs="宋体"/>
        </w:rPr>
      </w:pPr>
      <w:bookmarkStart w:id="216" w:name="_Toc8154"/>
      <w:r>
        <w:rPr>
          <w:rFonts w:hint="eastAsia" w:ascii="宋体" w:hAnsi="宋体" w:eastAsia="宋体" w:cs="宋体"/>
        </w:rPr>
        <w:t>资产评估专家指引</w:t>
      </w:r>
      <w:bookmarkEnd w:id="215"/>
      <w:bookmarkStart w:id="217" w:name="_Toc380146019"/>
      <w:r>
        <w:rPr>
          <w:rFonts w:hint="eastAsia" w:ascii="宋体" w:hAnsi="宋体" w:eastAsia="宋体" w:cs="宋体"/>
        </w:rPr>
        <w:t>第2号——金融企业首次公开发行上市资产评估方法选用</w:t>
      </w:r>
      <w:bookmarkEnd w:id="216"/>
    </w:p>
    <w:p w14:paraId="3D55E63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本专家指引是一种专家建议。评估机构执行资产评估业务，可以参照本专家指引，也可以根据具体情况采用其他适当的做法。中国资产评估协会将根据业务发展，对本专家指引进行更新。</w:t>
      </w:r>
    </w:p>
    <w:p w14:paraId="1DD3064D">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第一章　适用范围</w:t>
      </w:r>
    </w:p>
    <w:p w14:paraId="689D32C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根据《金融企业国有资产评估监督管理暂行办法》（财政部令第47号）的规定,金融企业经批准拟在境内或者境外上市的经济行为涉及资产评估的，资产评估项目实行核准。为进一步提高金融企业首次公开发行上市资产评估方法选用的合理性，中国资产评估协会组织制定了本专家指引。金融企业到境外首次公开发行上市，还需考虑上市地是否存在特殊的证券监管要求，并采用符合其规定的做法。</w:t>
      </w:r>
    </w:p>
    <w:p w14:paraId="0EC70BFA">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第二章　影响评估方法选用的基本因素</w:t>
      </w:r>
    </w:p>
    <w:p w14:paraId="2BB748C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评估金融企业首次公开发行上市项目，需要根据评估对象、评估目的、价值类型、资料收集情况等相关条件，分析收益法、市场法和成本法（资产基础法）三种资产评估基本方法的适用性，恰当选择一种或者多种资产评估基本方法。同时，需要充分考虑金融企业首次公开发行上市评估业务的特点及其对评估方法运用的影响。</w:t>
      </w:r>
    </w:p>
    <w:p w14:paraId="2BE2197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一、评估对象</w:t>
      </w:r>
      <w:bookmarkEnd w:id="217"/>
    </w:p>
    <w:p w14:paraId="1ACE7F7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金融企业首次公开发行上市是指金融企业首次向社会公众公开发行证券，且随后该证券可以到证券交易所挂牌交易。金融企业首次公开发行上市实质是拟上市企业在一个特殊时点进行增资扩股，因此，评估对象是金融企业股东全部权益。</w:t>
      </w:r>
    </w:p>
    <w:p w14:paraId="502CD809">
      <w:pPr>
        <w:shd w:val="clear" w:color="auto" w:fill="FFFFFF"/>
        <w:spacing w:line="440" w:lineRule="atLeast"/>
        <w:ind w:firstLine="480" w:firstLineChars="200"/>
        <w:rPr>
          <w:rFonts w:ascii="宋体" w:hAnsi="宋体" w:eastAsia="宋体" w:cs="宋体"/>
          <w:color w:val="000000"/>
          <w:kern w:val="0"/>
          <w:sz w:val="24"/>
          <w:shd w:val="clear" w:color="auto" w:fill="FFFFFF"/>
        </w:rPr>
      </w:pPr>
      <w:bookmarkStart w:id="218" w:name="_Toc380146020"/>
      <w:r>
        <w:rPr>
          <w:rFonts w:hint="eastAsia" w:ascii="宋体" w:hAnsi="宋体" w:eastAsia="宋体" w:cs="宋体"/>
          <w:color w:val="000000"/>
          <w:kern w:val="0"/>
          <w:sz w:val="24"/>
          <w:shd w:val="clear" w:color="auto" w:fill="FFFFFF"/>
        </w:rPr>
        <w:t>二、评估目的</w:t>
      </w:r>
      <w:bookmarkEnd w:id="218"/>
    </w:p>
    <w:p w14:paraId="3ACA99C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根据金融企业首次公开发行上市评估的需求分析及资产评估的功能定位，评估报告的作用是在拟上市企业进行新股询价和定价过程中，对企业的股东权益价值发表专业意见。因此，金融企业首次公开发行上市资产评估目的可以披露为：对拟首次公开发行上市企业在评估基准日的股东全部权益进行评估，为国有出资人进行相关决策提供股东全部权益市场价值的参考依据，同时也可为发行人及其股东在新股定价和选择发行窗口期的过程中了解股东全部权益市场价值提供参考。</w:t>
      </w:r>
    </w:p>
    <w:p w14:paraId="1721003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关于金融企业首次公开发行上市评估目的，在评估实务中存在一些误解，本专家指引澄清如下：</w:t>
      </w:r>
    </w:p>
    <w:p w14:paraId="68EBD41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（一）评估目的不能等同于定价</w:t>
      </w:r>
    </w:p>
    <w:p w14:paraId="10FD7EC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所谓定价就是确定新股发行价格或确定新老股本对价水平。价格与价值既相联系又相区别，是两个不能等同的概念。由于价格的影响因素很多，所以资产评估提供的价值结论只是定价过程中需要考虑的主要因素之一，评估结论不应当被认为是对评估对象可实现价格的保证。</w:t>
      </w:r>
    </w:p>
    <w:p w14:paraId="19B0224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评估结论可以为定价提供股东全部权益的市场价值的参考依据，但评估结论不一定等同于交易价格，即金融企业首次公开发行上市资产评估目的不是为了直接形成定价结论。</w:t>
      </w:r>
    </w:p>
    <w:p w14:paraId="5A5D9F0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（二）评估目的不是为了确定发行底价</w:t>
      </w:r>
    </w:p>
    <w:p w14:paraId="4082A1B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在股票市场整体股价水平长期偏离并低于股票价值的情况下，发行价格通常会低于股东全部权益的市场价值，即评估结论可能高于股票发行价格，此时，评估结论显然不可能成为发行底价。</w:t>
      </w:r>
    </w:p>
    <w:p w14:paraId="011EC5F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反之，在股票市场整体股价水平长期偏离并高于股票价值的情况下，发行价格可能显著高于股东全部权益的市场价值，此时评估结论虽然可以成为发行底价，但是对政府监管部门来说，这样的底价无法起到防止国有资产流失的目的，对发行人及其股东来说，这样的底价对股票发行的参考意义也不大。</w:t>
      </w:r>
    </w:p>
    <w:p w14:paraId="656BBBC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所以，金融企业首次公开发行上市资产评估目的不是用于确定发行底价。</w:t>
      </w:r>
    </w:p>
    <w:p w14:paraId="7DE118B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（三）公众投资者不是评估报告当然的使用者</w:t>
      </w:r>
    </w:p>
    <w:p w14:paraId="4DEFF4E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评估报告使用者包括委托方、业务约定书中约定的其他评估报告使用者和国家法律、法规规定的评估报告使用者。证券监督管理部门没有强制要求金融企业首次公开发行上市过程中必须进行资产评估。公众投资者一般不会成为业务约定书中约定的报告使用者，也没有相关的法律、法规规定公众投资者是法律、法规规定的评估报告使用者。其他阅读评估报告的第三方不能由于使用了该报告的结论产生损失而对资产评估师进行起诉。</w:t>
      </w:r>
    </w:p>
    <w:p w14:paraId="72C890B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三、价值类型</w:t>
      </w:r>
    </w:p>
    <w:p w14:paraId="53B1E76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以持续经营为假设前提的金融企业价值评估，适用的价值类型主要是市场价值和投资价值。市场价值是指自愿买方和自愿卖方在各自理性行事且未受任何强迫的情况下，评估对象在评估基准日进行正常公平交易的价值估计数额。投资价值是指评估对象对于具有明确投资目标的特定投资者或者某一类投资者所具有的价值估计数额，亦称特定投资者价值。</w:t>
      </w:r>
    </w:p>
    <w:p w14:paraId="5E516CE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投资价值适用于具有明确投资目标的特定投资者或者某一类投资者，市场价值广泛适用于市场上一般投资者。考虑到金融企业首次公开发行上市的评估报告使用者虽然是出资人、发行人及其股东，但发行对象一般涉及公众投资者，因此，一般情况下不适宜选用投资价值。</w:t>
      </w:r>
    </w:p>
    <w:p w14:paraId="08EE495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关于金融企业首次公开发行上市评估的价值类型，在评估实务中存在一些误解，本专家指引澄清如下：</w:t>
      </w:r>
    </w:p>
    <w:p w14:paraId="754FBC1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内在价值不是资产评估准则规范的价值类型。有观点认为金融企业首次公开发行上市的价值类型是内在价值。根据国内外现有的评估准则，资产评估的价值类型中没有这种提法。内在价值的提出，参考了投资银行的专业术语。投资银行将收益法估值结果界定为内在价值，将市场法评估结论界定为市场价值，这样理解价值类型与评估方法之间的关系，与资产评估准则相关表述不相符。因此，不建议采用内在价值的提法。</w:t>
      </w:r>
    </w:p>
    <w:p w14:paraId="5469FF6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即使考虑了首次公开发行上市募集资金的影响，价值类型仍然可能是市场价值。有观点认为考虑首次公开发行上市募集资金影响就是投资价值。在市场价值的范畴内考虑首次公开发行上市募集资金影响，实质是对资本规模及结构的假设，并未涉及到价值类型的变更。</w:t>
      </w:r>
    </w:p>
    <w:p w14:paraId="3C141DE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四、评估条件</w:t>
      </w:r>
    </w:p>
    <w:p w14:paraId="39D4041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金融企业首次公开发行上市评估资料收集情况等相关条件，需要重点关注发行窗口的要求。</w:t>
      </w:r>
    </w:p>
    <w:p w14:paraId="34604A5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（一）评估资料收集情况</w:t>
      </w:r>
    </w:p>
    <w:p w14:paraId="0C16A34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金融企业首次公开发行上市评估需要收集的资料较多，选择评估方法时需要考虑时间的紧迫性。采用资产基础法评估需要企业配合填报大量评估明细表，资料收集时间比较长，一般难以满足首次公开发行上市的时间需求。采用收益法和市场法评估时，收集资料的时间相对较短，有利于评估工作的推进。</w:t>
      </w:r>
    </w:p>
    <w:p w14:paraId="503E0D9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（二）评估结论的有效期</w:t>
      </w:r>
    </w:p>
    <w:p w14:paraId="3B4FAB2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有观点认为如果在首次公开发行上市过程中采用市场法评估，由于发行窗口的存在，会在客观上缩短评估结论的有效期。如果从评估基准日至发行日之间股价波动较大，可能需要调整评估基准日重新评估。但是，也有观点认为如果评估结论的价值类型为市场价值，即使可比企业股票交易价格出现较大波动，评估结论也不应在短时间内出现较大变化。</w:t>
      </w:r>
    </w:p>
    <w:p w14:paraId="381D01A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综合以上两种观点，本专家指引建议资产评估师在采用市场法评估首次公开发行上市项目时，一定要关注所选择的可比上市公司股票交易价格的代表性和合理性。另外，用于定价目的的股票发行价格估计数，通常只在发行窗口期内有参考意义，但是，金融企业首次公开发行上市评估报告提供的评估结论不是股票发行价格，而是股东权益的市场价值，因此，评估结论有效期不需要做出特殊规定。</w:t>
      </w:r>
    </w:p>
    <w:p w14:paraId="6203F202">
      <w:pPr>
        <w:shd w:val="clear" w:color="auto" w:fill="FFFFFF"/>
        <w:spacing w:line="440" w:lineRule="atLeast"/>
        <w:ind w:firstLine="480" w:firstLineChars="200"/>
        <w:rPr>
          <w:rFonts w:ascii="宋体" w:hAnsi="宋体" w:eastAsia="宋体" w:cs="宋体"/>
          <w:color w:val="000000"/>
          <w:kern w:val="0"/>
          <w:sz w:val="24"/>
          <w:shd w:val="clear" w:color="auto" w:fill="FFFFFF"/>
        </w:rPr>
      </w:pPr>
      <w:bookmarkStart w:id="219" w:name="_Toc380146024"/>
      <w:r>
        <w:rPr>
          <w:rFonts w:hint="eastAsia" w:ascii="宋体" w:hAnsi="宋体" w:eastAsia="宋体" w:cs="宋体"/>
          <w:color w:val="000000"/>
          <w:kern w:val="0"/>
          <w:sz w:val="24"/>
          <w:shd w:val="clear" w:color="auto" w:fill="FFFFFF"/>
        </w:rPr>
        <w:t>五、</w:t>
      </w:r>
      <w:bookmarkEnd w:id="219"/>
      <w:r>
        <w:rPr>
          <w:rFonts w:hint="eastAsia" w:ascii="宋体" w:hAnsi="宋体" w:eastAsia="宋体" w:cs="宋体"/>
          <w:color w:val="000000"/>
          <w:kern w:val="0"/>
          <w:sz w:val="24"/>
          <w:shd w:val="clear" w:color="auto" w:fill="FFFFFF"/>
        </w:rPr>
        <w:t>评估假设</w:t>
      </w:r>
    </w:p>
    <w:p w14:paraId="6882ADE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金融企业首次公开发行上市资产评估项目中的评估假设，需要重点关注募集资金的处理方式。</w:t>
      </w:r>
    </w:p>
    <w:p w14:paraId="7BF72CE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（一）收益法</w:t>
      </w:r>
    </w:p>
    <w:p w14:paraId="1ACE7F7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首次公开发行上市都伴随着资金募集的经济行为。金融企业首次公开发行上市募集资金的用途主要有两类，其一是补充资本金以满足资本监管要求；其二是在没有资本监管压力的情况下进行扩大再生产。</w:t>
      </w:r>
    </w:p>
    <w:p w14:paraId="64AEFB4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1.评估实务中的传统做法</w:t>
      </w:r>
    </w:p>
    <w:p w14:paraId="2AB8927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在金融企业非首次公开发行上市评估项目中，一般不考虑没有明确投资计划和筹资渠道的扩大再生产，但是为了满足持续经营的假设，都要按照最低资本要求，以增资扩股或发行次级债等方式考虑必要的新增资本投入。</w:t>
      </w:r>
    </w:p>
    <w:p w14:paraId="427627A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2.评估实务中的不同观点</w:t>
      </w:r>
    </w:p>
    <w:p w14:paraId="079E209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有观点认为，金融企业首次公开发行上市能够获得大规模的募集资金是这种经济行为的一个特点，也是一种机会价值，如果评估时不考虑募集资金带来的有利影响，则体现不出首次公开发行上市与其他经济行为的区别，会低估股东权益价值。</w:t>
      </w:r>
    </w:p>
    <w:p w14:paraId="3768797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也有观点认为，其他经济行为也可能使企业获得新的股本金，但评估时通常也没有考虑经济行为实现后新股本的贡献。况且，企业首次公开发行上市募集资金存在不确定因素，比如是否能够成功上市，是否能够按照预期价格和发行规模募集到资金，在评估时还无法确定，如果考虑募集资金的影响，一是在操作上有一定难度，进而会影响到评估结论的准确性，二是与其他经济行为的评估项目相比，会因为做出了不同的假设而导致股东权益价值高估。因此，关于追加资本的投入，需要比照金融企业非首次公开发行上市评估项目的处理办法，即只考虑满足最低资本要求的新增资本投入。</w:t>
      </w:r>
    </w:p>
    <w:p w14:paraId="0107EA6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3.本专家指引给出的建议</w:t>
      </w:r>
    </w:p>
    <w:p w14:paraId="53CD2CC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（1）委托方对评估目的的理解和对评估报告的用途决定评估假设的设定。</w:t>
      </w:r>
    </w:p>
    <w:p w14:paraId="4D19819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如果委托方要求遵循金融企业评估一贯的假设原则，则在金融企业首次公开发行上市评估项目中不需要考虑募集资金的影响。</w:t>
      </w:r>
    </w:p>
    <w:p w14:paraId="5148D98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如果委托方要求评估和定价所遵循的假设前提要保持一致，则需要在金融企业首次公开发行上市评估项目中考虑募集资金的影响。因为股票发行前拟上市公司已经公开了募集资金的预计规模和用途，股票发行价格中已经包含了对募集资金的相关预期。如果评估报告使用者需要在考虑了募集资金影响的相同前提下对比评估结论和定价结果的异同，则评估报告需要满足评估报告使用者的需求。</w:t>
      </w:r>
    </w:p>
    <w:p w14:paraId="1F2D4E2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（2）当考虑募集资金的影响时，需要注意的事项有：</w:t>
      </w:r>
    </w:p>
    <w:p w14:paraId="223D1FF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fldChar w:fldCharType="begin"/>
      </w:r>
      <w:r>
        <w:rPr>
          <w:rFonts w:hint="eastAsia" w:ascii="宋体" w:hAnsi="宋体" w:eastAsia="宋体" w:cs="宋体"/>
          <w:color w:val="000000"/>
          <w:kern w:val="0"/>
          <w:sz w:val="24"/>
          <w:shd w:val="clear" w:color="auto" w:fill="FFFFFF"/>
        </w:rPr>
        <w:instrText xml:space="preserve">= 1 \* GB3</w:instrText>
      </w:r>
      <w:r>
        <w:rPr>
          <w:rFonts w:hint="eastAsia" w:ascii="宋体" w:hAnsi="宋体" w:eastAsia="宋体" w:cs="宋体"/>
          <w:color w:val="000000"/>
          <w:kern w:val="0"/>
          <w:sz w:val="24"/>
          <w:shd w:val="clear" w:color="auto" w:fill="FFFFFF"/>
        </w:rPr>
        <w:fldChar w:fldCharType="separate"/>
      </w:r>
      <w:r>
        <w:rPr>
          <w:rFonts w:hint="eastAsia" w:ascii="宋体" w:hAnsi="宋体" w:eastAsia="宋体" w:cs="宋体"/>
          <w:color w:val="000000"/>
          <w:kern w:val="0"/>
          <w:sz w:val="24"/>
          <w:shd w:val="clear" w:color="auto" w:fill="FFFFFF"/>
        </w:rPr>
        <w:t>①</w:t>
      </w:r>
      <w:r>
        <w:rPr>
          <w:rFonts w:hint="eastAsia" w:ascii="宋体" w:hAnsi="宋体" w:eastAsia="宋体" w:cs="宋体"/>
          <w:color w:val="000000"/>
          <w:kern w:val="0"/>
          <w:sz w:val="24"/>
          <w:shd w:val="clear" w:color="auto" w:fill="FFFFFF"/>
        </w:rPr>
        <w:fldChar w:fldCharType="end"/>
      </w:r>
      <w:r>
        <w:rPr>
          <w:rFonts w:hint="eastAsia" w:ascii="宋体" w:hAnsi="宋体" w:eastAsia="宋体" w:cs="宋体"/>
          <w:color w:val="000000"/>
          <w:kern w:val="0"/>
          <w:sz w:val="24"/>
          <w:shd w:val="clear" w:color="auto" w:fill="FFFFFF"/>
        </w:rPr>
        <w:t>在评估假设中明确披露已经考虑了募集资金的影响；</w:t>
      </w:r>
    </w:p>
    <w:p w14:paraId="3378090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fldChar w:fldCharType="begin"/>
      </w:r>
      <w:r>
        <w:rPr>
          <w:rFonts w:hint="eastAsia" w:ascii="宋体" w:hAnsi="宋体" w:eastAsia="宋体" w:cs="宋体"/>
          <w:color w:val="000000"/>
          <w:kern w:val="0"/>
          <w:sz w:val="24"/>
          <w:shd w:val="clear" w:color="auto" w:fill="FFFFFF"/>
        </w:rPr>
        <w:instrText xml:space="preserve">= 2 \* GB3</w:instrText>
      </w:r>
      <w:r>
        <w:rPr>
          <w:rFonts w:hint="eastAsia" w:ascii="宋体" w:hAnsi="宋体" w:eastAsia="宋体" w:cs="宋体"/>
          <w:color w:val="000000"/>
          <w:kern w:val="0"/>
          <w:sz w:val="24"/>
          <w:shd w:val="clear" w:color="auto" w:fill="FFFFFF"/>
        </w:rPr>
        <w:fldChar w:fldCharType="separate"/>
      </w:r>
      <w:r>
        <w:rPr>
          <w:rFonts w:hint="eastAsia" w:ascii="宋体" w:hAnsi="宋体" w:eastAsia="宋体" w:cs="宋体"/>
          <w:color w:val="000000"/>
          <w:kern w:val="0"/>
          <w:sz w:val="24"/>
          <w:shd w:val="clear" w:color="auto" w:fill="FFFFFF"/>
        </w:rPr>
        <w:t>②</w:t>
      </w:r>
      <w:r>
        <w:rPr>
          <w:rFonts w:hint="eastAsia" w:ascii="宋体" w:hAnsi="宋体" w:eastAsia="宋体" w:cs="宋体"/>
          <w:color w:val="000000"/>
          <w:kern w:val="0"/>
          <w:sz w:val="24"/>
          <w:shd w:val="clear" w:color="auto" w:fill="FFFFFF"/>
        </w:rPr>
        <w:fldChar w:fldCharType="end"/>
      </w:r>
      <w:r>
        <w:rPr>
          <w:rFonts w:hint="eastAsia" w:ascii="宋体" w:hAnsi="宋体" w:eastAsia="宋体" w:cs="宋体"/>
          <w:color w:val="000000"/>
          <w:kern w:val="0"/>
          <w:sz w:val="24"/>
          <w:shd w:val="clear" w:color="auto" w:fill="FFFFFF"/>
        </w:rPr>
        <w:t>在评估报告中明确披露关于募集资金的规模和到位时间的假设结论和依据；</w:t>
      </w:r>
    </w:p>
    <w:p w14:paraId="19EAD5D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fldChar w:fldCharType="begin"/>
      </w:r>
      <w:r>
        <w:rPr>
          <w:rFonts w:hint="eastAsia" w:ascii="宋体" w:hAnsi="宋体" w:eastAsia="宋体" w:cs="宋体"/>
          <w:color w:val="000000"/>
          <w:kern w:val="0"/>
          <w:sz w:val="24"/>
          <w:shd w:val="clear" w:color="auto" w:fill="FFFFFF"/>
        </w:rPr>
        <w:instrText xml:space="preserve">= 3 \* GB3</w:instrText>
      </w:r>
      <w:r>
        <w:rPr>
          <w:rFonts w:hint="eastAsia" w:ascii="宋体" w:hAnsi="宋体" w:eastAsia="宋体" w:cs="宋体"/>
          <w:color w:val="000000"/>
          <w:kern w:val="0"/>
          <w:sz w:val="24"/>
          <w:shd w:val="clear" w:color="auto" w:fill="FFFFFF"/>
        </w:rPr>
        <w:fldChar w:fldCharType="separate"/>
      </w:r>
      <w:r>
        <w:rPr>
          <w:rFonts w:hint="eastAsia" w:ascii="宋体" w:hAnsi="宋体" w:eastAsia="宋体" w:cs="宋体"/>
          <w:color w:val="000000"/>
          <w:kern w:val="0"/>
          <w:sz w:val="24"/>
          <w:shd w:val="clear" w:color="auto" w:fill="FFFFFF"/>
        </w:rPr>
        <w:t>③</w:t>
      </w:r>
      <w:r>
        <w:rPr>
          <w:rFonts w:hint="eastAsia" w:ascii="宋体" w:hAnsi="宋体" w:eastAsia="宋体" w:cs="宋体"/>
          <w:color w:val="000000"/>
          <w:kern w:val="0"/>
          <w:sz w:val="24"/>
          <w:shd w:val="clear" w:color="auto" w:fill="FFFFFF"/>
        </w:rPr>
        <w:fldChar w:fldCharType="end"/>
      </w:r>
      <w:r>
        <w:rPr>
          <w:rFonts w:hint="eastAsia" w:ascii="宋体" w:hAnsi="宋体" w:eastAsia="宋体" w:cs="宋体"/>
          <w:color w:val="000000"/>
          <w:kern w:val="0"/>
          <w:sz w:val="24"/>
          <w:shd w:val="clear" w:color="auto" w:fill="FFFFFF"/>
        </w:rPr>
        <w:t>在计算评估基准日股东权益价值时，如果收益预测考虑了募集资金的贡献，则还需将募集资金以资本性支出、营运资金追加额或净资本追加额等形式进行扣除；</w:t>
      </w:r>
    </w:p>
    <w:p w14:paraId="5E380DA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fldChar w:fldCharType="begin"/>
      </w:r>
      <w:r>
        <w:rPr>
          <w:rFonts w:hint="eastAsia" w:ascii="宋体" w:hAnsi="宋体" w:eastAsia="宋体" w:cs="宋体"/>
          <w:color w:val="000000"/>
          <w:kern w:val="0"/>
          <w:sz w:val="24"/>
          <w:shd w:val="clear" w:color="auto" w:fill="FFFFFF"/>
        </w:rPr>
        <w:instrText xml:space="preserve">= 4 \* GB3</w:instrText>
      </w:r>
      <w:r>
        <w:rPr>
          <w:rFonts w:hint="eastAsia" w:ascii="宋体" w:hAnsi="宋体" w:eastAsia="宋体" w:cs="宋体"/>
          <w:color w:val="000000"/>
          <w:kern w:val="0"/>
          <w:sz w:val="24"/>
          <w:shd w:val="clear" w:color="auto" w:fill="FFFFFF"/>
        </w:rPr>
        <w:fldChar w:fldCharType="separate"/>
      </w:r>
      <w:r>
        <w:rPr>
          <w:rFonts w:hint="eastAsia" w:ascii="宋体" w:hAnsi="宋体" w:eastAsia="宋体" w:cs="宋体"/>
          <w:color w:val="000000"/>
          <w:kern w:val="0"/>
          <w:sz w:val="24"/>
          <w:shd w:val="clear" w:color="auto" w:fill="FFFFFF"/>
        </w:rPr>
        <w:t>④</w:t>
      </w:r>
      <w:r>
        <w:rPr>
          <w:rFonts w:hint="eastAsia" w:ascii="宋体" w:hAnsi="宋体" w:eastAsia="宋体" w:cs="宋体"/>
          <w:color w:val="000000"/>
          <w:kern w:val="0"/>
          <w:sz w:val="24"/>
          <w:shd w:val="clear" w:color="auto" w:fill="FFFFFF"/>
        </w:rPr>
        <w:fldChar w:fldCharType="end"/>
      </w:r>
      <w:r>
        <w:rPr>
          <w:rFonts w:hint="eastAsia" w:ascii="宋体" w:hAnsi="宋体" w:eastAsia="宋体" w:cs="宋体"/>
          <w:color w:val="000000"/>
          <w:kern w:val="0"/>
          <w:sz w:val="24"/>
          <w:shd w:val="clear" w:color="auto" w:fill="FFFFFF"/>
        </w:rPr>
        <w:t>每股评估值与发行价格并不必然相等。募集资金的规模一方面取决于发行股数，另一方面取决于每股发行价格。在预期募集资金规模不变的前提下，发行股数的调整会使每股发行价格也发生相应变化。因此，比较每股评估值与发行价格时，需要关注两者采用的股票发行数量是否一致。</w:t>
      </w:r>
    </w:p>
    <w:p w14:paraId="58A6B09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例：某银行首次公开发行上市评估报告中，对股票发行的假设如下：</w:t>
      </w:r>
    </w:p>
    <w:p w14:paraId="29E0D41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Ⅰ）股票发行前，根据被评估单位及其股东与全国社会保障基金理事会（以下简称“社保基金”）×年×月×日签署的股份认购协议，社保基金出资认购被评估单位发行的人民币普通股100亿股，每股面值人民币1元，出资后社保基金持有被评估单位3.70%的股份，原股东持有被评估单位的股份比例均为48.15%，本次评估假设发行前被评估单位的股权结构以此协议的约定为准；</w:t>
      </w:r>
    </w:p>
    <w:p w14:paraId="33CE8B2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（Ⅱ）被评估单位假设发行新股共计548亿股，其中：A股公众持股数256亿股、持股比例为7.873%，H股公众持股数为292亿股，持股比例为8.998%，原股东和社保基金持股数不变，持股比例分别为40.025%、40.025%、3.079%；</w:t>
      </w:r>
    </w:p>
    <w:p w14:paraId="32B1AE9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（Ⅲ）被评估单位预测期首次公开发行股票的募集资金金额是根据被评估单位拟发行新股股数，并假定按照本次评估结论进行定价而确定的。</w:t>
      </w:r>
    </w:p>
    <w:p w14:paraId="46114A7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该银行首次公开发行上市评估报告中对股本的预测结果相应如下：</w:t>
      </w:r>
    </w:p>
    <w:p w14:paraId="5560C8D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被评估单位在评估基准日共有股本2600亿股。预计×年×月，被评估单位通过首次公开发行人民币普通股A股和H股共计548亿股,向社保基金定向发行100亿股,共计融资152.5亿元。截止×年末共有股本3248亿股，预计以后年度其股本不再发生变化。</w:t>
      </w:r>
    </w:p>
    <w:p w14:paraId="24C72C9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（二）市场法</w:t>
      </w:r>
    </w:p>
    <w:p w14:paraId="361AABA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如果考虑募集资金的影响，采用市场法评估时需要关注价值比率的计算口径，以发行后股份数量和考虑了募集资金的贡献来计算每股指标。</w:t>
      </w:r>
    </w:p>
    <w:p w14:paraId="76D920F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比如，在净资产相同的情况下，资本市场计算拟上市公司每股净资产有两种不同口径可供选择，其一是不考虑新股发行计算的发行前每股净资产，其二是考虑了新股发行计算的发行后每股净资产，两者在数值上可能不同。例：某银行首次公开发行股票上市招股说明书披露的发行前每股净资产为人民币1.43元，发行后每股净资产为人民币1.52元，按发行前每股净资产计算的发行市净率为1.88倍，按发行后每股净资产计算发行市净率为1.76倍。评估价值比率如果选用了市净率，需要以拟上市公司发行后每股净资产为基数计算评估值，同时，在选取可比企业时，资本规模的选择标准需要以考虑了募集资金的规模为准。</w:t>
      </w:r>
    </w:p>
    <w:p w14:paraId="2A583FB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同样的原因，在收益相同的情况下，由于增发新股使得分摊到每一股的利润相应减少，所以发行后每股收益被摊薄了，数值小于前者。因此，根据发行前每股收益与发行后每股收益计算的发行市盈率也不同。评估价值比率如果选用了市盈率，需要以拟上市公司发行后每股收益为基数计算评估值，同时每股收益需要以考虑了募集资金贡献后的预测收益为准。</w:t>
      </w:r>
    </w:p>
    <w:p w14:paraId="2B4C13A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例：某银行首次公开发行上市评估报告中，采用动态市净率进行评估，评估基准日净资产规模调整如下：</w:t>
      </w:r>
    </w:p>
    <w:p w14:paraId="343537C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被评估单位合并报表归属于母公司所有者权益在评估基准日为342,819百万元，股份总数为260,000百万股，假设次年4月社保增资15,250百万元，持股数量10,000百万股，次年7月公开发行股份募集资金净额为134,836百万元，预计被评估单位次年合并报表归属于母公司所有者的净利润为80,587百万元。假设当年净利润的30.98%用于支付股利，则期末归属于母公司所有者的权益为548,526百万元，每股净资产BPS为1.7440元。</w:t>
      </w:r>
    </w:p>
    <w:p w14:paraId="5A0EC76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BPS=</w:t>
      </w:r>
      <w:r>
        <w:rPr>
          <w:rFonts w:hint="eastAsia" w:ascii="宋体" w:hAnsi="宋体" w:eastAsia="宋体" w:cs="宋体"/>
          <w:color w:val="000000"/>
          <w:kern w:val="0"/>
          <w:sz w:val="24"/>
          <w:shd w:val="clear" w:color="auto" w:fill="FFFFFF"/>
        </w:rPr>
        <w:object>
          <v:shape id="_x0000_i1031" o:spt="75" type="#_x0000_t75" style="height:50.3pt;width:160pt;" o:ole="t" filled="f" o:preferrelative="t" stroked="f" coordsize="21600,21600">
            <v:path/>
            <v:fill on="f" focussize="0,0"/>
            <v:stroke on="f" joinstyle="miter"/>
            <v:imagedata r:id="rId55" o:title=""/>
            <o:lock v:ext="edit" aspectratio="t"/>
            <w10:wrap type="none"/>
            <w10:anchorlock/>
          </v:shape>
          <o:OLEObject Type="Embed" ProgID="Equation.3" ShapeID="_x0000_i1031" DrawAspect="Content" ObjectID="_1468075731" r:id="rId54">
            <o:LockedField>false</o:LockedField>
          </o:OLEObject>
        </w:object>
      </w:r>
    </w:p>
    <w:p w14:paraId="3202A92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经计算，被评估单位动态市净率PB为1.77，则每股评估值为：P=1.7440×1.77=3.09元。</w:t>
      </w:r>
    </w:p>
    <w:p w14:paraId="0411DFE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被评估单位在评估基准日股份总数为260,000百万股，则股东权益评估值为：3.09元/股×260,000百万股=803,400百万元。</w:t>
      </w:r>
    </w:p>
    <w:p w14:paraId="452B169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（三）资产基础法</w:t>
      </w:r>
    </w:p>
    <w:p w14:paraId="0621437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采用资产基础法通常无法考虑募集资金的影响。</w:t>
      </w:r>
    </w:p>
    <w:p w14:paraId="3E8E365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考虑到市场法和收益法可以也需要考虑募集资金的影响，而资产基础法无法考虑募集资金的影响，如果资产基础法与其他两种方法并存就会存在评估假设不一致的情形。因此，从这个角度看资产基础法通常不适用于金融企业首次公开发行上市评估。</w:t>
      </w:r>
    </w:p>
    <w:p w14:paraId="44D2D56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六、评估结论形式</w:t>
      </w:r>
    </w:p>
    <w:p w14:paraId="3524735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企业首次公开发行股票上市前指定发售价格一般采用区间的形式。考虑到金融企业首次公开发行上市评估结论可以作为发行定价的主要参考指标之一，因此，金融企业首次公开发行上市的评估结论也适宜以区间值形式反映，同时可以通过综合判断不同方法评估结论的相互关系或采用概率分析等方法在区间之内确定一个最大可能值。</w:t>
      </w:r>
    </w:p>
    <w:p w14:paraId="54BA042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例：在某资产管理公司首次公开发行股票上市评估项目中（注：该项目没有考虑募集资金的影响，因此每股净资产以发行前股本数计算。），评估机构采用收益法得到的股东全部权益价值为6,542,076.40万元人民币，折合每股2.17元人民币；采用市场法得到的股东全部权益价值区间为6,056,354.99-7,004,709.18万元人民币，折合每股2.01元-2.32元人民币。该评估报告选定收益法评估结果作为最终评估结论。</w:t>
      </w:r>
    </w:p>
    <w:p w14:paraId="1C78342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据了解，后来该只股票在香港公开发售获161.13倍的高倍认购，其发售价定为指定发售价区间的最高价3.58港元/股，按当时汇率折合2.80元人民币。考虑到评估结论与发售价之间的紧密关系，以及评估过程中或多或少地存在不确定性因素的影响，最终的评估结论也适宜采用区间形式。</w:t>
      </w:r>
    </w:p>
    <w:p w14:paraId="3F208941">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第三章　评估方法的选用</w:t>
      </w:r>
    </w:p>
    <w:p w14:paraId="672DE35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金融企业的类别很多，本专家指引以当前评估实务中最有代表性的银行、证券和保险公司为例，分析收益法、市场法和资产基础法三种基本评估方法在金融企业首次公开发行上市评估中的适用性。</w:t>
      </w:r>
    </w:p>
    <w:p w14:paraId="3ECAF3F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一、收益法的适用性分析及选择建议</w:t>
      </w:r>
    </w:p>
    <w:p w14:paraId="5A8509F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（一）评估方法对评估目的的满足度</w:t>
      </w:r>
    </w:p>
    <w:p w14:paraId="642E2A7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从评估方法与评估目的的契合度来看，收益法适用于金融企业首次公开发行上市评估项目。</w:t>
      </w:r>
    </w:p>
    <w:p w14:paraId="0887DDB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股票市场上成熟的投资者非常关注企业上市后的盈利水平。收益法通过将预期收益进行折现来反映评估对象价值，即企业未来的盈利能力和风险程度是决定评估值高低的关键参数。收益法评估思路符合经济学的投资原理，符合金融企业首次公开发行上市的评估需要。</w:t>
      </w:r>
    </w:p>
    <w:p w14:paraId="5669A99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金融企业业务经营具有严格的行业监管规定，净资本、业务种类和规模等风险控制指标都有具体的量化标准，同时，金融企业的资产构成不同于工商企业，客户资源、经营网络、商誉等无形资产在企业价值创造过程中发挥着重要的作用。收益法不仅要求盈利预测当中的各项资产、负债和收益水平符合金融企业行业监管要求，同时能够充分体现金融行业所特有的无形资产的贡献，符合金融企业首次公开发行上市的评估需要。</w:t>
      </w:r>
    </w:p>
    <w:p w14:paraId="232E965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3.采用收益法评估金融企业首次公开发行上市股权价值，可以灵活考虑募集资金的影响。当未来盈利预测考虑了募集资金的影响时，评估结论能较好地满足首次公开发行上市经济行为的特殊需要。</w:t>
      </w:r>
    </w:p>
    <w:p w14:paraId="7043C55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（二）评估方法使用前提条件的满足度</w:t>
      </w:r>
    </w:p>
    <w:p w14:paraId="7156D70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从评估方法的使用前提条件来看，金融企业首次公开发行上市评估项目通常能够满足收益法的要求。</w:t>
      </w:r>
    </w:p>
    <w:p w14:paraId="3BC940F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收益法是一种比较成熟的评估方法。在我国，收益法的评估模型不仅为广大投资者所了解和接受，评估参数的确定也具备相应的市场基础，同时，在以往的金融企业首次公开发行上市评估项目中，收益法也得到了广泛运用。</w:t>
      </w:r>
    </w:p>
    <w:p w14:paraId="375BFE2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2.对于拟上市公司而言，大多具有3年以上的连续经营业绩，所以被评估企业能够提供比较完整的关于企业历史经营情况的资料。</w:t>
      </w:r>
    </w:p>
    <w:p w14:paraId="664112E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在企业首次公开发行股票上市申报材料中，需要披露经审计的相关经营和财务数据，同时向投资者充分展示和解释未来收益预测的情况，以及拟募集资金的规模和用途等，这些资料也是收益法评估需要收集的资料。因此，资本市场对拟上市公司信息披露的要求，有利于提高收益法评估所需资料的可靠性。</w:t>
      </w:r>
    </w:p>
    <w:p w14:paraId="1A965FB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4.金融企业业务经营报告等专项材料有助于评估机构判断企业未来收益和风险水平。为了满足行业监管要求，金融企业会定期向政府监管部门提供相关业务经营数据。比如，人寿保险公司每年向中国保监会报送</w:t>
      </w:r>
      <w:r>
        <w:fldChar w:fldCharType="begin"/>
      </w:r>
      <w:r>
        <w:instrText xml:space="preserve"> HYPERLINK "javascript:gotoAct(491057,%200)" </w:instrText>
      </w:r>
      <w:r>
        <w:fldChar w:fldCharType="separate"/>
      </w:r>
      <w:r>
        <w:rPr>
          <w:rFonts w:hint="eastAsia" w:ascii="宋体" w:hAnsi="宋体" w:eastAsia="宋体" w:cs="宋体"/>
          <w:color w:val="000000"/>
          <w:kern w:val="0"/>
          <w:sz w:val="24"/>
          <w:shd w:val="clear" w:color="auto" w:fill="FFFFFF"/>
        </w:rPr>
        <w:t>《精算报告》</w:t>
      </w:r>
      <w:r>
        <w:rPr>
          <w:rFonts w:hint="eastAsia" w:ascii="宋体" w:hAnsi="宋体" w:eastAsia="宋体" w:cs="宋体"/>
          <w:color w:val="000000"/>
          <w:kern w:val="0"/>
          <w:sz w:val="24"/>
          <w:shd w:val="clear" w:color="auto" w:fill="FFFFFF"/>
        </w:rPr>
        <w:fldChar w:fldCharType="end"/>
      </w:r>
      <w:r>
        <w:rPr>
          <w:rFonts w:hint="eastAsia" w:ascii="宋体" w:hAnsi="宋体" w:eastAsia="宋体" w:cs="宋体"/>
          <w:color w:val="000000"/>
          <w:kern w:val="0"/>
          <w:sz w:val="24"/>
          <w:shd w:val="clear" w:color="auto" w:fill="FFFFFF"/>
        </w:rPr>
        <w:t>，对公司现有业务、新业务、偿付能力、风险揭示、内含价值等方面进行专项说明。保险公司收益预测一般通过精算技术由精算软件模拟进行，各项精算假设一般均有经验丰富的精算师通过企业历史经验数据并结合行业监管指标得出。通过精算手段得出的盈利预测结果，考虑了保险业务收入与支出的长期性与不平衡性，比较精确地计算了在一定假设条件下公司业务的价值，可以为收益法评估提供有益参考。</w:t>
      </w:r>
    </w:p>
    <w:p w14:paraId="7D02769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总之，在金融企业首次公开发行上市评估项目中，收益法具备很强的适用性，可以广泛运用。</w:t>
      </w:r>
    </w:p>
    <w:p w14:paraId="6B50BBD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二、市场法的适用性分析及选择建议</w:t>
      </w:r>
    </w:p>
    <w:p w14:paraId="3CA5178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（一）评估方法对评估目的的满足度</w:t>
      </w:r>
    </w:p>
    <w:p w14:paraId="01DA2C4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从评估方法与评估目的的契合度来看，市场法适用于金融企业首次公开发行上市评估项目。</w:t>
      </w:r>
    </w:p>
    <w:p w14:paraId="302E3AC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企业选择首次公开发行股票上市的时机很重要，并且金融企业首次公开发行上市资产评估与股票发行定价之间有着紧密联系。市场法通过参照可比上市公司或可比交易案例近期市场交易价格水平来确定评估对象的价值，评估途径简单、直观，评估结果最贴近市场。因此，市场法评估思路符合金融企业首次公开发行上市的评估需要。</w:t>
      </w:r>
    </w:p>
    <w:p w14:paraId="02BCCE0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2.市场法将企业作为一个整体进行评估，所选择的可比上市公司股票交易价格或可比案例股权交易价格已经体现了金融企业无形资产的贡献。</w:t>
      </w:r>
    </w:p>
    <w:p w14:paraId="3A10116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（二）评估方法使用前提条件的满足度</w:t>
      </w:r>
    </w:p>
    <w:p w14:paraId="74F185A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从评估方法的使用前提条件来看，金融企业首次公开发行上市评估项目能否选用市场法，还需区分不同细分行业、具体评估方法区别考虑。</w:t>
      </w:r>
    </w:p>
    <w:p w14:paraId="32C49E5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市场法是市场经济发达国家进行企业价值评估最常用的方法，但是市场法在我国的运用相对比较晚，不同评估机构对可比性的判断标准、价值比率的选择和差异调整方法等关键事项的理解和处理方法尚未统一，在一定程度上影响了市场法的推广。比如，在评估保险公司时，由于价值比率一般为静态指标，很难对被评估企业与可比公司在不同阶段的保费结构、保单持续时间、偿付能力等经营特点和风险差异做出调整，使得市场法评估结果具有较强的主观性。另外，关于缺乏流动性折扣、控制权溢价或缺乏控制权折价的理论研究和实务操作也没有达成共识，标准的缺失与数据的不统一将直接影响市场法评估结论的可靠性。</w:t>
      </w:r>
    </w:p>
    <w:p w14:paraId="44128E9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2.采用市场法的基本前提是有一个比较发达的资本市场。我国证券市场虽然经历了20多年的发展，已经取得了长足进步，但目前关于我国资本市场的有效性的争议，还是在一定程度上影响了市场法的推广。</w:t>
      </w:r>
    </w:p>
    <w:p w14:paraId="36F5C05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近年来，在假设资本市场有效的前提下，企业价值评估项目中市场法的运用案例逐渐增多。由于上市公司股价及经营情况等相关信息资料公开，数据较容易获取，可以优先考虑采用上市公司比较法进行评估。根据中国证监会2014年4季度上市公司行业分类结果，我国A股市场共有金融类上市公司45家，其中，银行16家，证券公司21家，保险公司4家，信托等其他金融公司4家。一般认为目前银行、证券公司的评估可以选用上市公司比较法，而保险公司、信托公司由于现在的对比企业数量偏少，特别是不同保险公司之间在资产规模和业务构成等方面可能存在较大差异，所以不建议现阶段采用上市公司比较法。随着产权交易市场的不断发展，金融企业并购案例的逐步增加，在可以获取足够的交易信息的前提下，也可以尝试交易案例比较法。比如，目前评估行业对基金公司的评估多采用交易案例比较法。</w:t>
      </w:r>
    </w:p>
    <w:p w14:paraId="3E7D1A2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总之，在金融企业首次公开发行上市评估项目中，需要结合被评估企业所在行业的市场交易情况，有针对性地考虑市场法的适用性。在我国现阶段，一般而言，银行、证券公司已经具备采用上市公司比较法的运用条件，在其他细分行业，市场法一般适宜作为一种辅助方法。</w:t>
      </w:r>
    </w:p>
    <w:p w14:paraId="573DFFC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三、资产基础法的适用性分析及选择建议</w:t>
      </w:r>
    </w:p>
    <w:p w14:paraId="4367E4B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（一）评估方法对评估目的的满足度</w:t>
      </w:r>
    </w:p>
    <w:p w14:paraId="71791D6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从评估方法与评估目的的契合度来看，资产基础法通常不适用于金融企业首次公开发行上市评估项目。</w:t>
      </w:r>
    </w:p>
    <w:p w14:paraId="786FBA8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资产基础法按照企业重建的思路，通过将构成企业的各种要素资产的评估值直接加总，再扣减负债后求得企业整体价值。如果只是以企业资产负债表为基础，对企业的各项资产、负债进行评估后汇总得到净资产价值，容易忽略企业的整体获利能力，无法体现金融企业的商业模式和经营特点对企业价值的影响，也较难反映对金融企业收益具有决定作用的客户资源、经营网络、品牌信誉等无形资产价值，难以满足首次公开发行上市资产评估的需求。比如，在评估保险公司企业价值时，由于保险公司主要通过两类业务获取收益，一是在保险公司购买索赔权的客户所支付的投保费，二是保险公司利用“浮存金”进行投资所产生的收益。保险行业的特点及特有的商业模式使得保险公司的价值不能简单地由各单项资产的价值扣除负债后的净值反映，除了账外客户资源、经营网络、商誉等无形资产价值容易漏评外，保险合同的权益及其带来的充沛的现金流量资源也是保险公司价值的重要体现。因此，对保险公司企业价值进行评估不适用资产基础法。即便对重要的无形资产单独进行评估，也多采用收益途径，其实质与采用收益法评估企业整体价值是一致的。在已经使用了收益法进行企业整体价值评估的报告中，这么操作会显得冗赘。</w:t>
      </w:r>
    </w:p>
    <w:p w14:paraId="6785D27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（二）评估方法使用前提条件的满足度</w:t>
      </w:r>
    </w:p>
    <w:p w14:paraId="5ECCD91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从评估方法的使用前提条件来看，金融企业首次公开发行上市评估项目通常在时间上难以满足资产基础法的要求。</w:t>
      </w:r>
    </w:p>
    <w:p w14:paraId="3907B26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企业首次公开发行上市评估一般需要在企业获得初步发行许可至实际询价期间完成，时间紧迫。如果采用资产基础法，除了审计工作必须按时完成，资产评估也会因为金融企业分支机构网点多而难以按时完成资料收集、现场勘查等必要的评估程序。</w:t>
      </w:r>
    </w:p>
    <w:p w14:paraId="070BB9F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由此可见，资产基础法不适用于金融企业首次公开发行上市评估项目。</w:t>
      </w:r>
    </w:p>
    <w:p w14:paraId="43C238C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四、评估方法运用建议</w:t>
      </w:r>
    </w:p>
    <w:p w14:paraId="42E2745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在运用收益法和市场法评估金融企业首次公开发行上市评估项目时，除了要遵循金融企业一般企业价值评估业务中的技术规范，还要考虑企业首次公开发行上市评估业务的特点。本专家指引结合企业首次公开发行上市评估业务的特点，在评估方法运用方面提出如下建议：</w:t>
      </w:r>
    </w:p>
    <w:p w14:paraId="44F373F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（一）关注金融企业生命周期对企业价值的影响</w:t>
      </w:r>
    </w:p>
    <w:p w14:paraId="46306BF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金融企业在发展过程中都会伴有融资，不同的行业会有不同的融资模式，而且融资模式会随着企业的发展发生变化。美国注册会计师协会指出，企业在不同的发展阶段形成不同的价值，并且这些阶段的价值并不是线性排列的。按照企业产品研发进度、收入规模、利润或现金流量水平，以及融资方式等特征，可以将企业生命周期依次划分为六个阶段，其中对于准备首次公开发行上市的企业而言，一般处于第四、第五、第六发展阶段（《Valuation of Privately-Held-Company Equity Securities Issued as Compensation》）。在这三个阶段中使用收益法评估企业价值，需考虑评估参数的相互关系。比如，处于第六阶段的首次公开发行上市的企业，已经有了既定的财务历史数据，现金流的预测可以基于既定的财务历史数据，预测结果的可靠性往往高于早期阶段。第六阶段的折现率也往往低于第五阶段和第四阶段的折现率。根据上述原理，以国内银行业为例，四大国有银行和全国性股份制银行上市时一般处于稳定的第六阶段中后期，而城商行往往是处于第五阶段后期或第六阶段早期，在估值确定权益资本成本时，需要充分考虑不同银行处于不同生命周期的区别。</w:t>
      </w:r>
    </w:p>
    <w:p w14:paraId="5BC72ED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美国注册会计师协会还对比了企业首次公开发售前后企业的权益资本成本。首次公开发售往往会降低企业的资本成本从而提高企业价值。首次公开发售前，私人所有企业的权益资本成本往往在20%-35%；相反，对于新上市公司来说其权益资本成本范围在15%-25%。在其他条件相同的情况下，权益资本成本下降，提高了企业价值，并且从一个方面解释了企业的首次公开发行价格通常明显高于在首次公开发行上市之前少数股权的每股价值。</w:t>
      </w:r>
    </w:p>
    <w:p w14:paraId="79CCD8B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由此可见，企业的发展阶段也会影响到评估方法、主要参数的选择。因此，在金融企业首次公开发行上市评估过程中，需要关注金融企业的生命周期对企业价值评估的影响。</w:t>
      </w:r>
    </w:p>
    <w:p w14:paraId="41B9E8F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（二）关注不同经济行为对流动性折扣的影响</w:t>
      </w:r>
    </w:p>
    <w:p w14:paraId="7CEA3C2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金融企业首次公开发行上市过程中，被评估企业处于一个非常特殊的时点。随着上市进程的不断推进，拟上市企业的流动性会产生较大变化。一般认为上市公司的股权具有较高的流动性，而非上市公司的股权缺乏流动性。在金融企业首次公开发行上市评估基准日，被评估企业属于拟上市企业，其股权的流动性正好处于非上市公司与上市公司之间，并且还处于不断变化的过程之中。因此，金融企业首次公开发行上市评估需要恰当反映流动性变化对企业价值的影响。</w:t>
      </w:r>
    </w:p>
    <w:p w14:paraId="1E24135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国有金融企业首次公开发行上市的历程通常包括“三步曲”，即企业改制、引进战略投资者和上市三个阶段，每个阶段对应一个经济行为，对应一个评估目的。在评估实践中，针对这三个评估目的分别出具的评估报告，应反映出流动性折扣的差异。考虑到改制、引进战略投资者和上市的时间顺序，以及投资者对被评估企业股权流动性的预期越来越强，首次公开发行上市评估报告估算的流动性折扣通常低于改制、引进战略投资者两个评估报告的水平。</w:t>
      </w:r>
    </w:p>
    <w:p w14:paraId="5A1A6AD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（三）关注企业公开发行上市地对企业价值的影响</w:t>
      </w:r>
    </w:p>
    <w:p w14:paraId="0E5E64C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有观点认为，金融企业首次公开发行上市如果选择不同的股票市场，则企业价值评估也会得到不同的结论。本专家指引建议结合市场价值的定义，以及评估方法运用过程中参数的选取条件等因素，综合判断上市地对评估结论的影响。</w:t>
      </w:r>
    </w:p>
    <w:p w14:paraId="03FC40C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从理论上看，由于金融企业首次公开发行上市评估的价值类型适宜选择市场价值，而市场价值代表的是一个在评估基准日可使评估对象进行正常公平交易的市场，是自愿买方和自愿卖方在各自理性行事且未受任何强迫的情况下选择的市场，因此，为确定评估参数而选取的参照市场需首先要满足价值类型的基本要求。从评估实务上看，为确定评估参数而选取的参照市场主要有两种选择，一是拟上市地的资本市场，二是经营所在地的资本市场。一般情况下，建议优先选择拟上市所在地的资本市场数据确定评估参数。如果在拟上市所在地的资本市场找不到合适的可比企业，在满足评估方法基本适用条件的情况下也可以考虑使用经营所在地的资本市场上的可比企业，同时注意是否存在调整事项。比如，采用上市公司比较法确定流动性折扣时，如果所选取的可比公司所在上市地与被评估企业拟上市地不同，则需要按照拟上市地资本市场的股权流动性水平对参照市场的相关数据结果进行必要的调整。</w:t>
      </w:r>
    </w:p>
    <w:p w14:paraId="103DBC3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br w:type="page"/>
      </w:r>
    </w:p>
    <w:p w14:paraId="308C15B6">
      <w:pPr>
        <w:pStyle w:val="5"/>
        <w:spacing w:line="440" w:lineRule="atLeast"/>
        <w:jc w:val="center"/>
        <w:rPr>
          <w:rFonts w:ascii="宋体" w:hAnsi="宋体" w:eastAsia="宋体" w:cs="宋体"/>
        </w:rPr>
      </w:pPr>
      <w:bookmarkStart w:id="220" w:name="_Toc15222"/>
      <w:r>
        <w:rPr>
          <w:rFonts w:hint="eastAsia" w:ascii="宋体" w:hAnsi="宋体" w:eastAsia="宋体" w:cs="宋体"/>
        </w:rPr>
        <w:t>资产评估专家指引第3号——金融企业收益法评估模型与参数确定</w:t>
      </w:r>
      <w:bookmarkEnd w:id="220"/>
    </w:p>
    <w:p w14:paraId="498A8A0E">
      <w:pPr>
        <w:shd w:val="clear" w:color="auto" w:fill="FFFFFF"/>
        <w:spacing w:line="440" w:lineRule="atLeast"/>
        <w:ind w:firstLine="480" w:firstLineChars="200"/>
        <w:rPr>
          <w:rFonts w:ascii="宋体" w:hAnsi="宋体" w:eastAsia="宋体" w:cs="宋体"/>
          <w:color w:val="000000"/>
          <w:kern w:val="0"/>
          <w:sz w:val="24"/>
          <w:shd w:val="clear" w:color="auto" w:fill="FFFFFF"/>
          <w:lang w:val="zh-TW"/>
        </w:rPr>
      </w:pPr>
      <w:r>
        <w:rPr>
          <w:rFonts w:hint="eastAsia" w:ascii="宋体" w:hAnsi="宋体" w:eastAsia="宋体" w:cs="宋体"/>
          <w:color w:val="000000"/>
          <w:kern w:val="0"/>
          <w:sz w:val="24"/>
          <w:shd w:val="clear" w:color="auto" w:fill="FFFFFF"/>
          <w:lang w:val="zh-TW"/>
        </w:rPr>
        <w:t>本专家指引是一种专家建议。评估机构执行资产评估业务，可以参照本专家指引，也可以根据具体情况采用其他适当的做法。中国资产评估协会将根据业务发展，对本专家指引进行更新。</w:t>
      </w:r>
    </w:p>
    <w:p w14:paraId="6EEEF95F">
      <w:pPr>
        <w:shd w:val="clear" w:color="auto" w:fill="FFFFFF"/>
        <w:spacing w:line="440" w:lineRule="atLeast"/>
        <w:ind w:firstLine="482" w:firstLineChars="200"/>
        <w:rPr>
          <w:rFonts w:ascii="宋体" w:hAnsi="宋体" w:eastAsia="宋体" w:cs="宋体"/>
          <w:b/>
          <w:sz w:val="24"/>
        </w:rPr>
      </w:pPr>
      <w:r>
        <w:rPr>
          <w:rFonts w:hint="eastAsia" w:ascii="宋体" w:hAnsi="宋体" w:eastAsia="宋体" w:cs="宋体"/>
          <w:b/>
          <w:sz w:val="24"/>
        </w:rPr>
        <w:t>一、引言</w:t>
      </w:r>
    </w:p>
    <w:p w14:paraId="2B4F821C">
      <w:pPr>
        <w:shd w:val="clear" w:color="auto" w:fill="FFFFFF"/>
        <w:spacing w:line="440" w:lineRule="atLeast"/>
        <w:ind w:firstLine="482"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b/>
          <w:color w:val="000000"/>
          <w:kern w:val="0"/>
          <w:sz w:val="24"/>
          <w:shd w:val="clear" w:color="auto" w:fill="FFFFFF"/>
          <w:lang w:val="zh-TW"/>
        </w:rPr>
        <w:t>第一条</w:t>
      </w:r>
      <w:r>
        <w:rPr>
          <w:rFonts w:hint="eastAsia" w:ascii="宋体" w:hAnsi="宋体" w:eastAsia="宋体" w:cs="宋体"/>
          <w:color w:val="000000"/>
          <w:kern w:val="0"/>
          <w:sz w:val="24"/>
          <w:shd w:val="clear" w:color="auto" w:fill="FFFFFF"/>
          <w:lang w:val="zh-TW"/>
        </w:rPr>
        <w:t>　</w:t>
      </w:r>
      <w:r>
        <w:rPr>
          <w:rFonts w:hint="eastAsia" w:ascii="宋体" w:hAnsi="宋体" w:eastAsia="宋体" w:cs="宋体"/>
          <w:color w:val="000000"/>
          <w:kern w:val="0"/>
          <w:sz w:val="24"/>
          <w:shd w:val="clear" w:color="auto" w:fill="FFFFFF"/>
          <w:lang w:val="zh-TW" w:eastAsia="zh-TW"/>
        </w:rPr>
        <w:t>为指导评估机构运用收益法对金融企业进行评估，中国资产评估协会组织制定了本</w:t>
      </w:r>
      <w:r>
        <w:rPr>
          <w:rFonts w:hint="eastAsia" w:ascii="宋体" w:hAnsi="宋体" w:eastAsia="宋体" w:cs="宋体"/>
          <w:color w:val="000000"/>
          <w:kern w:val="0"/>
          <w:sz w:val="24"/>
          <w:shd w:val="clear" w:color="auto" w:fill="FFFFFF"/>
          <w:lang w:val="zh-TW"/>
        </w:rPr>
        <w:t>专家指引</w:t>
      </w:r>
      <w:r>
        <w:rPr>
          <w:rFonts w:hint="eastAsia" w:ascii="宋体" w:hAnsi="宋体" w:eastAsia="宋体" w:cs="宋体"/>
          <w:color w:val="000000"/>
          <w:kern w:val="0"/>
          <w:sz w:val="24"/>
          <w:shd w:val="clear" w:color="auto" w:fill="FFFFFF"/>
          <w:lang w:val="zh-TW" w:eastAsia="zh-TW"/>
        </w:rPr>
        <w:t>。</w:t>
      </w:r>
    </w:p>
    <w:p w14:paraId="7DFAD182">
      <w:pPr>
        <w:shd w:val="clear" w:color="auto" w:fill="FFFFFF"/>
        <w:spacing w:line="440" w:lineRule="atLeast"/>
        <w:ind w:firstLine="482"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b/>
          <w:color w:val="000000"/>
          <w:kern w:val="0"/>
          <w:sz w:val="24"/>
          <w:shd w:val="clear" w:color="auto" w:fill="FFFFFF"/>
          <w:lang w:val="zh-TW"/>
        </w:rPr>
        <w:t>第二条</w:t>
      </w:r>
      <w:r>
        <w:rPr>
          <w:rFonts w:hint="eastAsia" w:ascii="宋体" w:hAnsi="宋体" w:eastAsia="宋体" w:cs="宋体"/>
          <w:color w:val="000000"/>
          <w:kern w:val="0"/>
          <w:sz w:val="24"/>
          <w:shd w:val="clear" w:color="auto" w:fill="FFFFFF"/>
          <w:lang w:val="zh-TW"/>
        </w:rPr>
        <w:t>　资产评估师</w:t>
      </w:r>
      <w:r>
        <w:rPr>
          <w:rFonts w:hint="eastAsia" w:ascii="宋体" w:hAnsi="宋体" w:eastAsia="宋体" w:cs="宋体"/>
          <w:color w:val="000000"/>
          <w:kern w:val="0"/>
          <w:sz w:val="24"/>
          <w:shd w:val="clear" w:color="auto" w:fill="FFFFFF"/>
          <w:lang w:val="zh-TW" w:eastAsia="zh-TW"/>
        </w:rPr>
        <w:t>应知晓不同类型的金融企业</w:t>
      </w:r>
      <w:r>
        <w:rPr>
          <w:rFonts w:hint="eastAsia" w:ascii="宋体" w:hAnsi="宋体" w:eastAsia="宋体" w:cs="宋体"/>
          <w:color w:val="000000"/>
          <w:kern w:val="0"/>
          <w:sz w:val="24"/>
          <w:shd w:val="clear" w:color="auto" w:fill="FFFFFF"/>
          <w:lang w:val="zh-TW"/>
        </w:rPr>
        <w:t>有</w:t>
      </w:r>
      <w:r>
        <w:rPr>
          <w:rFonts w:hint="eastAsia" w:ascii="宋体" w:hAnsi="宋体" w:eastAsia="宋体" w:cs="宋体"/>
          <w:color w:val="000000"/>
          <w:kern w:val="0"/>
          <w:sz w:val="24"/>
          <w:shd w:val="clear" w:color="auto" w:fill="FFFFFF"/>
          <w:lang w:val="zh-TW" w:eastAsia="zh-TW"/>
        </w:rPr>
        <w:t>各自的业务模式，收益法评估中应据此选取适当的评估模型和参数。</w:t>
      </w:r>
    </w:p>
    <w:p w14:paraId="57C7955B">
      <w:pPr>
        <w:shd w:val="clear" w:color="auto" w:fill="FFFFFF"/>
        <w:spacing w:line="440" w:lineRule="atLeast"/>
        <w:ind w:firstLine="482"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b/>
          <w:color w:val="000000"/>
          <w:kern w:val="0"/>
          <w:sz w:val="24"/>
          <w:shd w:val="clear" w:color="auto" w:fill="FFFFFF"/>
          <w:lang w:val="zh-TW"/>
        </w:rPr>
        <w:t>第三条</w:t>
      </w:r>
      <w:r>
        <w:rPr>
          <w:rFonts w:hint="eastAsia" w:ascii="宋体" w:hAnsi="宋体" w:eastAsia="宋体" w:cs="宋体"/>
          <w:color w:val="000000"/>
          <w:kern w:val="0"/>
          <w:sz w:val="24"/>
          <w:shd w:val="clear" w:color="auto" w:fill="FFFFFF"/>
          <w:lang w:val="zh-TW"/>
        </w:rPr>
        <w:t>　</w:t>
      </w:r>
      <w:r>
        <w:rPr>
          <w:rFonts w:hint="eastAsia" w:ascii="宋体" w:hAnsi="宋体" w:eastAsia="宋体" w:cs="宋体"/>
          <w:color w:val="000000"/>
          <w:kern w:val="0"/>
          <w:sz w:val="24"/>
          <w:shd w:val="clear" w:color="auto" w:fill="FFFFFF"/>
          <w:lang w:val="zh-TW" w:eastAsia="zh-TW"/>
        </w:rPr>
        <w:t>金融企业是特许经营行业，行政监管严格，</w:t>
      </w:r>
      <w:r>
        <w:rPr>
          <w:rFonts w:hint="eastAsia" w:ascii="宋体" w:hAnsi="宋体" w:eastAsia="宋体" w:cs="宋体"/>
          <w:color w:val="000000"/>
          <w:kern w:val="0"/>
          <w:sz w:val="24"/>
          <w:shd w:val="clear" w:color="auto" w:fill="FFFFFF"/>
          <w:lang w:val="zh-TW"/>
        </w:rPr>
        <w:t>资产评估师</w:t>
      </w:r>
      <w:r>
        <w:rPr>
          <w:rFonts w:hint="eastAsia" w:ascii="宋体" w:hAnsi="宋体" w:eastAsia="宋体" w:cs="宋体"/>
          <w:color w:val="000000"/>
          <w:kern w:val="0"/>
          <w:sz w:val="24"/>
          <w:shd w:val="clear" w:color="auto" w:fill="FFFFFF"/>
          <w:lang w:val="zh-TW" w:eastAsia="zh-TW"/>
        </w:rPr>
        <w:t>在收益法评估模型和参数确定时应适当考虑监管指标的要求</w:t>
      </w:r>
      <w:r>
        <w:rPr>
          <w:rFonts w:hint="eastAsia" w:ascii="宋体" w:hAnsi="宋体" w:eastAsia="宋体" w:cs="宋体"/>
          <w:color w:val="000000"/>
          <w:kern w:val="0"/>
          <w:sz w:val="24"/>
          <w:shd w:val="clear" w:color="auto" w:fill="FFFFFF"/>
          <w:lang w:val="zh-TW"/>
        </w:rPr>
        <w:t>。</w:t>
      </w:r>
    </w:p>
    <w:p w14:paraId="2A194C90">
      <w:pPr>
        <w:shd w:val="clear" w:color="auto" w:fill="FFFFFF"/>
        <w:spacing w:line="440" w:lineRule="atLeast"/>
        <w:ind w:firstLine="482" w:firstLineChars="200"/>
        <w:rPr>
          <w:rFonts w:ascii="宋体" w:hAnsi="宋体" w:eastAsia="宋体" w:cs="宋体"/>
          <w:b/>
          <w:sz w:val="24"/>
          <w:lang w:val="zh-TW" w:eastAsia="zh-TW"/>
        </w:rPr>
      </w:pPr>
      <w:r>
        <w:rPr>
          <w:rFonts w:hint="eastAsia" w:ascii="宋体" w:hAnsi="宋体" w:eastAsia="宋体" w:cs="宋体"/>
          <w:b/>
          <w:sz w:val="24"/>
          <w:lang w:val="zh-TW" w:eastAsia="zh-TW"/>
        </w:rPr>
        <w:t>二、评估模型</w:t>
      </w:r>
    </w:p>
    <w:p w14:paraId="1D725408">
      <w:pPr>
        <w:shd w:val="clear" w:color="auto" w:fill="FFFFFF"/>
        <w:spacing w:line="440" w:lineRule="atLeast"/>
        <w:ind w:firstLine="482" w:firstLineChars="200"/>
        <w:rPr>
          <w:rFonts w:ascii="宋体" w:hAnsi="宋体" w:eastAsia="宋体" w:cs="宋体"/>
          <w:color w:val="000000"/>
          <w:kern w:val="0"/>
          <w:sz w:val="24"/>
          <w:shd w:val="clear" w:color="auto" w:fill="FFFFFF"/>
          <w:lang w:val="zh-TW"/>
        </w:rPr>
      </w:pPr>
      <w:r>
        <w:rPr>
          <w:rFonts w:hint="eastAsia" w:ascii="宋体" w:hAnsi="宋体" w:eastAsia="宋体" w:cs="宋体"/>
          <w:b/>
          <w:color w:val="000000"/>
          <w:kern w:val="0"/>
          <w:sz w:val="24"/>
          <w:shd w:val="clear" w:color="auto" w:fill="FFFFFF"/>
          <w:lang w:val="zh-TW"/>
        </w:rPr>
        <w:t>第四条</w:t>
      </w:r>
      <w:r>
        <w:rPr>
          <w:rFonts w:hint="eastAsia" w:ascii="宋体" w:hAnsi="宋体" w:eastAsia="宋体" w:cs="宋体"/>
          <w:color w:val="000000"/>
          <w:kern w:val="0"/>
          <w:sz w:val="24"/>
          <w:shd w:val="clear" w:color="auto" w:fill="FFFFFF"/>
          <w:lang w:val="zh-TW"/>
        </w:rPr>
        <w:t>　资产评估师</w:t>
      </w:r>
      <w:r>
        <w:rPr>
          <w:rFonts w:hint="eastAsia" w:ascii="宋体" w:hAnsi="宋体" w:eastAsia="宋体" w:cs="宋体"/>
          <w:color w:val="000000"/>
          <w:kern w:val="0"/>
          <w:sz w:val="24"/>
          <w:shd w:val="clear" w:color="auto" w:fill="FFFFFF"/>
          <w:lang w:val="zh-TW" w:eastAsia="zh-TW"/>
        </w:rPr>
        <w:t>在确定金融企业收益法评估模型与参数</w:t>
      </w:r>
      <w:r>
        <w:rPr>
          <w:rFonts w:hint="eastAsia" w:ascii="宋体" w:hAnsi="宋体" w:eastAsia="宋体" w:cs="宋体"/>
          <w:color w:val="000000"/>
          <w:kern w:val="0"/>
          <w:sz w:val="24"/>
          <w:shd w:val="clear" w:color="auto" w:fill="FFFFFF"/>
          <w:lang w:val="zh-TW"/>
        </w:rPr>
        <w:t>时</w:t>
      </w:r>
      <w:r>
        <w:rPr>
          <w:rFonts w:hint="eastAsia" w:ascii="宋体" w:hAnsi="宋体" w:eastAsia="宋体" w:cs="宋体"/>
          <w:color w:val="000000"/>
          <w:kern w:val="0"/>
          <w:sz w:val="24"/>
          <w:shd w:val="clear" w:color="auto" w:fill="FFFFFF"/>
          <w:lang w:val="zh-TW" w:eastAsia="zh-TW"/>
        </w:rPr>
        <w:t>，应区分控股性产权变动业务和非控股性产权变动业务。</w:t>
      </w:r>
    </w:p>
    <w:p w14:paraId="3E946CBE">
      <w:pPr>
        <w:shd w:val="clear" w:color="auto" w:fill="FFFFFF"/>
        <w:spacing w:line="440" w:lineRule="atLeast"/>
        <w:ind w:firstLine="482" w:firstLineChars="200"/>
        <w:rPr>
          <w:rFonts w:ascii="宋体" w:hAnsi="宋体" w:eastAsia="宋体" w:cs="宋体"/>
          <w:color w:val="000000"/>
          <w:kern w:val="0"/>
          <w:sz w:val="24"/>
          <w:shd w:val="clear" w:color="auto" w:fill="FFFFFF"/>
          <w:lang w:val="zh-TW"/>
        </w:rPr>
      </w:pPr>
      <w:r>
        <w:rPr>
          <w:rFonts w:hint="eastAsia" w:ascii="宋体" w:hAnsi="宋体" w:eastAsia="宋体" w:cs="宋体"/>
          <w:b/>
          <w:color w:val="000000"/>
          <w:kern w:val="0"/>
          <w:sz w:val="24"/>
          <w:shd w:val="clear" w:color="auto" w:fill="FFFFFF"/>
          <w:lang w:val="zh-TW"/>
        </w:rPr>
        <w:t>第五条</w:t>
      </w:r>
      <w:r>
        <w:rPr>
          <w:rFonts w:hint="eastAsia" w:ascii="宋体" w:hAnsi="宋体" w:eastAsia="宋体" w:cs="宋体"/>
          <w:color w:val="000000"/>
          <w:kern w:val="0"/>
          <w:sz w:val="24"/>
          <w:shd w:val="clear" w:color="auto" w:fill="FFFFFF"/>
          <w:lang w:val="zh-TW"/>
        </w:rPr>
        <w:t>　</w:t>
      </w:r>
      <w:r>
        <w:rPr>
          <w:rFonts w:hint="eastAsia" w:ascii="宋体" w:hAnsi="宋体" w:eastAsia="宋体" w:cs="宋体"/>
          <w:color w:val="000000"/>
          <w:kern w:val="0"/>
          <w:sz w:val="24"/>
          <w:shd w:val="clear" w:color="auto" w:fill="FFFFFF"/>
          <w:lang w:val="zh-TW" w:eastAsia="zh-TW"/>
        </w:rPr>
        <w:t>在金融企业控股性产权变动业务中，金融企业收益法评估可以采用股权自由现金流折现模型，如</w:t>
      </w:r>
      <w:r>
        <w:rPr>
          <w:rFonts w:hint="eastAsia" w:ascii="宋体" w:hAnsi="宋体" w:eastAsia="宋体" w:cs="宋体"/>
          <w:color w:val="000000"/>
          <w:kern w:val="0"/>
          <w:sz w:val="24"/>
          <w:shd w:val="clear" w:color="auto" w:fill="FFFFFF"/>
          <w:lang w:val="zh-TW"/>
        </w:rPr>
        <w:t>，</w:t>
      </w:r>
      <w:r>
        <w:rPr>
          <w:rFonts w:hint="eastAsia" w:ascii="宋体" w:hAnsi="宋体" w:eastAsia="宋体" w:cs="宋体"/>
          <w:color w:val="000000"/>
          <w:kern w:val="0"/>
          <w:sz w:val="24"/>
          <w:shd w:val="clear" w:color="auto" w:fill="FFFFFF"/>
          <w:lang w:val="zh-TW" w:eastAsia="zh-TW"/>
        </w:rPr>
        <w:t>银行</w:t>
      </w:r>
      <w:r>
        <w:rPr>
          <w:rFonts w:hint="eastAsia" w:ascii="宋体" w:hAnsi="宋体" w:eastAsia="宋体" w:cs="宋体"/>
          <w:color w:val="000000"/>
          <w:kern w:val="0"/>
          <w:sz w:val="24"/>
          <w:shd w:val="clear" w:color="auto" w:fill="FFFFFF"/>
          <w:lang w:val="zh-TW"/>
        </w:rPr>
        <w:t>、</w:t>
      </w:r>
      <w:r>
        <w:rPr>
          <w:rFonts w:hint="eastAsia" w:ascii="宋体" w:hAnsi="宋体" w:eastAsia="宋体" w:cs="宋体"/>
          <w:color w:val="000000"/>
          <w:kern w:val="0"/>
          <w:sz w:val="24"/>
          <w:shd w:val="clear" w:color="auto" w:fill="FFFFFF"/>
          <w:lang w:val="zh-TW" w:eastAsia="zh-TW"/>
        </w:rPr>
        <w:t>保险公司</w:t>
      </w:r>
      <w:r>
        <w:rPr>
          <w:rFonts w:hint="eastAsia" w:ascii="宋体" w:hAnsi="宋体" w:eastAsia="宋体" w:cs="宋体"/>
          <w:color w:val="000000"/>
          <w:kern w:val="0"/>
          <w:sz w:val="24"/>
          <w:shd w:val="clear" w:color="auto" w:fill="FFFFFF"/>
          <w:lang w:val="zh-TW"/>
        </w:rPr>
        <w:t>、</w:t>
      </w:r>
      <w:r>
        <w:rPr>
          <w:rFonts w:hint="eastAsia" w:ascii="宋体" w:hAnsi="宋体" w:eastAsia="宋体" w:cs="宋体"/>
          <w:color w:val="000000"/>
          <w:kern w:val="0"/>
          <w:sz w:val="24"/>
          <w:shd w:val="clear" w:color="auto" w:fill="FFFFFF"/>
          <w:lang w:val="zh-TW" w:eastAsia="zh-TW"/>
        </w:rPr>
        <w:t>证券公司等</w:t>
      </w:r>
      <w:r>
        <w:rPr>
          <w:rFonts w:hint="eastAsia" w:ascii="宋体" w:hAnsi="宋体" w:eastAsia="宋体" w:cs="宋体"/>
          <w:color w:val="000000"/>
          <w:kern w:val="0"/>
          <w:sz w:val="24"/>
          <w:shd w:val="clear" w:color="auto" w:fill="FFFFFF"/>
          <w:lang w:val="zh-TW"/>
        </w:rPr>
        <w:t>，</w:t>
      </w:r>
      <w:r>
        <w:rPr>
          <w:rFonts w:hint="eastAsia" w:ascii="宋体" w:hAnsi="宋体" w:eastAsia="宋体" w:cs="宋体"/>
          <w:color w:val="000000"/>
          <w:kern w:val="0"/>
          <w:sz w:val="24"/>
          <w:shd w:val="clear" w:color="auto" w:fill="FFFFFF"/>
          <w:lang w:val="zh-TW" w:eastAsia="zh-TW"/>
        </w:rPr>
        <w:t>也可以采用企业自由现金流折现模型</w:t>
      </w:r>
      <w:r>
        <w:rPr>
          <w:rFonts w:hint="eastAsia" w:ascii="宋体" w:hAnsi="宋体" w:eastAsia="宋体" w:cs="宋体"/>
          <w:color w:val="000000"/>
          <w:kern w:val="0"/>
          <w:sz w:val="24"/>
          <w:shd w:val="clear" w:color="auto" w:fill="FFFFFF"/>
          <w:lang w:val="zh-TW"/>
        </w:rPr>
        <w:t>，如金融租赁公司等。</w:t>
      </w:r>
      <w:r>
        <w:rPr>
          <w:rFonts w:hint="eastAsia" w:ascii="宋体" w:hAnsi="宋体" w:eastAsia="宋体" w:cs="宋体"/>
          <w:color w:val="000000"/>
          <w:kern w:val="0"/>
          <w:sz w:val="24"/>
          <w:shd w:val="clear" w:color="auto" w:fill="FFFFFF"/>
          <w:lang w:val="zh-TW" w:eastAsia="zh-TW"/>
        </w:rPr>
        <w:t>其中</w:t>
      </w:r>
      <w:r>
        <w:rPr>
          <w:rFonts w:hint="eastAsia" w:ascii="宋体" w:hAnsi="宋体" w:eastAsia="宋体" w:cs="宋体"/>
          <w:color w:val="000000"/>
          <w:kern w:val="0"/>
          <w:sz w:val="24"/>
          <w:shd w:val="clear" w:color="auto" w:fill="FFFFFF"/>
          <w:lang w:val="zh-TW"/>
        </w:rPr>
        <w:t>：</w:t>
      </w:r>
    </w:p>
    <w:p w14:paraId="37A517C4">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股权自由现金流量的计算可以参照如下公式：</w:t>
      </w:r>
    </w:p>
    <w:p w14:paraId="7C03D9B8">
      <w:pPr>
        <w:shd w:val="clear" w:color="auto" w:fill="FFFFFF"/>
        <w:spacing w:line="440" w:lineRule="atLeast"/>
        <w:ind w:firstLine="480" w:firstLineChars="200"/>
        <w:rPr>
          <w:rFonts w:ascii="宋体" w:hAnsi="宋体" w:eastAsia="宋体" w:cs="宋体"/>
          <w:color w:val="000000"/>
          <w:kern w:val="0"/>
          <w:sz w:val="24"/>
          <w:shd w:val="clear" w:color="auto" w:fill="FFFFFF"/>
          <w:lang w:val="zh-TW"/>
        </w:rPr>
      </w:pPr>
      <w:r>
        <w:rPr>
          <w:rFonts w:hint="eastAsia" w:ascii="宋体" w:hAnsi="宋体" w:eastAsia="宋体" w:cs="宋体"/>
          <w:color w:val="000000"/>
          <w:kern w:val="0"/>
          <w:sz w:val="24"/>
          <w:shd w:val="clear" w:color="auto" w:fill="FFFFFF"/>
          <w:lang w:val="zh-TW" w:eastAsia="zh-TW"/>
        </w:rPr>
        <w:t>股权自由现金流量=净利润-权益增加额+其他综合</w:t>
      </w:r>
      <w:r>
        <w:rPr>
          <w:rFonts w:hint="eastAsia" w:ascii="宋体" w:hAnsi="宋体" w:eastAsia="宋体" w:cs="宋体"/>
          <w:color w:val="000000"/>
          <w:kern w:val="0"/>
          <w:sz w:val="24"/>
          <w:shd w:val="clear" w:color="auto" w:fill="FFFFFF"/>
          <w:lang w:val="zh-TW"/>
        </w:rPr>
        <w:t>收益</w:t>
      </w:r>
    </w:p>
    <w:p w14:paraId="30CD1888">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净利润是由企业的收入减去支出决定的；</w:t>
      </w:r>
    </w:p>
    <w:p w14:paraId="42293777">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权益增加额与资本性支出和</w:t>
      </w:r>
      <w:r>
        <w:rPr>
          <w:rFonts w:hint="eastAsia" w:ascii="宋体" w:hAnsi="宋体" w:eastAsia="宋体" w:cs="宋体"/>
          <w:color w:val="000000"/>
          <w:kern w:val="0"/>
          <w:sz w:val="24"/>
          <w:shd w:val="clear" w:color="auto" w:fill="FFFFFF"/>
          <w:lang w:val="zh-TW"/>
        </w:rPr>
        <w:t>净流动资金增加额</w:t>
      </w:r>
      <w:r>
        <w:rPr>
          <w:rFonts w:hint="eastAsia" w:ascii="宋体" w:hAnsi="宋体" w:eastAsia="宋体" w:cs="宋体"/>
          <w:color w:val="000000"/>
          <w:kern w:val="0"/>
          <w:sz w:val="24"/>
          <w:shd w:val="clear" w:color="auto" w:fill="FFFFFF"/>
          <w:lang w:val="zh-TW" w:eastAsia="zh-TW"/>
        </w:rPr>
        <w:t>之间存在差异，概念不应混同。</w:t>
      </w:r>
    </w:p>
    <w:p w14:paraId="5F021CD9">
      <w:pPr>
        <w:shd w:val="clear" w:color="auto" w:fill="FFFFFF"/>
        <w:spacing w:line="440" w:lineRule="atLeast"/>
        <w:ind w:firstLine="480" w:firstLineChars="200"/>
        <w:rPr>
          <w:rFonts w:ascii="宋体" w:hAnsi="宋体" w:eastAsia="宋体" w:cs="宋体"/>
          <w:color w:val="000000"/>
          <w:kern w:val="0"/>
          <w:sz w:val="24"/>
          <w:shd w:val="clear" w:color="auto" w:fill="FFFFFF"/>
          <w:lang w:val="zh-TW"/>
        </w:rPr>
      </w:pPr>
      <w:r>
        <w:rPr>
          <w:rFonts w:hint="eastAsia" w:ascii="宋体" w:hAnsi="宋体" w:eastAsia="宋体" w:cs="宋体"/>
          <w:color w:val="000000"/>
          <w:kern w:val="0"/>
          <w:sz w:val="24"/>
          <w:shd w:val="clear" w:color="auto" w:fill="FFFFFF"/>
          <w:lang w:val="zh-TW" w:eastAsia="zh-TW"/>
        </w:rPr>
        <w:t>权益增加额应通过所有者权益科目的变化进行预测。</w:t>
      </w:r>
    </w:p>
    <w:p w14:paraId="5E07FFFD">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rPr>
        <w:t>其他综合收益，是指企业根据《企业会计准</w:t>
      </w:r>
      <w:r>
        <w:rPr>
          <w:rFonts w:hint="eastAsia" w:ascii="宋体" w:hAnsi="宋体" w:eastAsia="宋体" w:cs="宋体"/>
          <w:color w:val="000000"/>
          <w:kern w:val="0"/>
          <w:sz w:val="24"/>
          <w:shd w:val="clear" w:color="auto" w:fill="FFFFFF"/>
          <w:lang w:val="zh-TW" w:eastAsia="zh-TW"/>
        </w:rPr>
        <w:t>则</w:t>
      </w:r>
      <w:r>
        <w:rPr>
          <w:rFonts w:hint="eastAsia" w:ascii="宋体" w:hAnsi="宋体" w:eastAsia="宋体" w:cs="宋体"/>
          <w:color w:val="000000"/>
          <w:kern w:val="0"/>
          <w:sz w:val="24"/>
          <w:shd w:val="clear" w:color="auto" w:fill="FFFFFF"/>
          <w:lang w:val="zh-TW"/>
        </w:rPr>
        <w:t>第30号——财务报表列报》的要求，列示在利润表中的其他综合收益，是指根据其他会计准则规定未在当期损益中确认的各项利得和损失（《企业会计准则第30号——财务报表列报》第33条</w:t>
      </w:r>
      <w:r>
        <w:rPr>
          <w:rFonts w:hint="eastAsia" w:ascii="宋体" w:hAnsi="宋体" w:eastAsia="宋体" w:cs="宋体"/>
          <w:color w:val="000000"/>
          <w:kern w:val="0"/>
          <w:sz w:val="24"/>
          <w:shd w:val="clear" w:color="auto" w:fill="FFFFFF"/>
          <w:lang w:val="zh-TW" w:eastAsia="zh-TW"/>
        </w:rPr>
        <w:t>。）。</w:t>
      </w:r>
    </w:p>
    <w:p w14:paraId="5A3EF362">
      <w:pPr>
        <w:shd w:val="clear" w:color="auto" w:fill="FFFFFF"/>
        <w:spacing w:line="440" w:lineRule="atLeast"/>
        <w:ind w:firstLine="480" w:firstLineChars="200"/>
        <w:rPr>
          <w:rFonts w:ascii="宋体" w:hAnsi="宋体" w:eastAsia="宋体" w:cs="宋体"/>
          <w:color w:val="000000"/>
          <w:kern w:val="0"/>
          <w:sz w:val="24"/>
          <w:shd w:val="clear" w:color="auto" w:fill="FFFFFF"/>
          <w:lang w:val="zh-TW"/>
        </w:rPr>
      </w:pPr>
      <w:r>
        <w:rPr>
          <w:rFonts w:hint="eastAsia" w:ascii="宋体" w:hAnsi="宋体" w:eastAsia="宋体" w:cs="宋体"/>
          <w:color w:val="000000"/>
          <w:kern w:val="0"/>
          <w:sz w:val="24"/>
          <w:shd w:val="clear" w:color="auto" w:fill="FFFFFF"/>
          <w:lang w:val="zh-TW"/>
        </w:rPr>
        <w:t>企业自由现金流量的计算公式可以参照如下公式：</w:t>
      </w:r>
    </w:p>
    <w:p w14:paraId="25BB1E09">
      <w:pPr>
        <w:shd w:val="clear" w:color="auto" w:fill="FFFFFF"/>
        <w:spacing w:line="440" w:lineRule="atLeast"/>
        <w:ind w:firstLine="480" w:firstLineChars="200"/>
        <w:rPr>
          <w:rFonts w:ascii="宋体" w:hAnsi="宋体" w:eastAsia="宋体" w:cs="宋体"/>
          <w:color w:val="000000"/>
          <w:kern w:val="0"/>
          <w:sz w:val="24"/>
          <w:shd w:val="clear" w:color="auto" w:fill="FFFFFF"/>
          <w:lang w:val="zh-TW"/>
        </w:rPr>
      </w:pPr>
      <w:r>
        <w:rPr>
          <w:rFonts w:hint="eastAsia" w:ascii="宋体" w:hAnsi="宋体" w:eastAsia="宋体" w:cs="宋体"/>
          <w:color w:val="000000"/>
          <w:kern w:val="0"/>
          <w:sz w:val="24"/>
          <w:shd w:val="clear" w:color="auto" w:fill="FFFFFF"/>
          <w:lang w:val="zh-TW"/>
        </w:rPr>
        <w:t>企业自由现金流量=息前税后净利润+折旧、摊销-资本性支出-净流动资金增加额</w:t>
      </w:r>
    </w:p>
    <w:p w14:paraId="63EC9E8A">
      <w:pPr>
        <w:shd w:val="clear" w:color="auto" w:fill="FFFFFF"/>
        <w:spacing w:line="440" w:lineRule="atLeast"/>
        <w:ind w:firstLine="480" w:firstLineChars="200"/>
        <w:rPr>
          <w:rFonts w:ascii="宋体" w:hAnsi="宋体" w:eastAsia="宋体" w:cs="宋体"/>
          <w:color w:val="000000"/>
          <w:kern w:val="0"/>
          <w:sz w:val="24"/>
          <w:shd w:val="clear" w:color="auto" w:fill="FFFFFF"/>
          <w:lang w:val="zh-TW"/>
        </w:rPr>
      </w:pPr>
      <w:r>
        <w:rPr>
          <w:rFonts w:hint="eastAsia" w:ascii="宋体" w:hAnsi="宋体" w:eastAsia="宋体" w:cs="宋体"/>
          <w:color w:val="000000"/>
          <w:kern w:val="0"/>
          <w:sz w:val="24"/>
          <w:shd w:val="clear" w:color="auto" w:fill="FFFFFF"/>
          <w:lang w:val="zh-TW"/>
        </w:rPr>
        <w:t>资本性支出是指企业用来购买、改善、扩张固定资产等用途的支出；</w:t>
      </w:r>
    </w:p>
    <w:p w14:paraId="30364F6A">
      <w:pPr>
        <w:shd w:val="clear" w:color="auto" w:fill="FFFFFF"/>
        <w:spacing w:line="440" w:lineRule="atLeast"/>
        <w:ind w:firstLine="480" w:firstLineChars="200"/>
        <w:rPr>
          <w:rFonts w:ascii="宋体" w:hAnsi="宋体" w:eastAsia="宋体" w:cs="宋体"/>
          <w:color w:val="000000"/>
          <w:kern w:val="0"/>
          <w:sz w:val="24"/>
          <w:shd w:val="clear" w:color="auto" w:fill="FFFFFF"/>
          <w:lang w:val="zh-TW"/>
        </w:rPr>
      </w:pPr>
      <w:r>
        <w:rPr>
          <w:rFonts w:hint="eastAsia" w:ascii="宋体" w:hAnsi="宋体" w:eastAsia="宋体" w:cs="宋体"/>
          <w:color w:val="000000"/>
          <w:kern w:val="0"/>
          <w:sz w:val="24"/>
          <w:shd w:val="clear" w:color="auto" w:fill="FFFFFF"/>
          <w:lang w:val="zh-TW"/>
        </w:rPr>
        <w:t>净流动资金增加额是指为营运准备的现金，一般定义为流动资产减去流动负债。</w:t>
      </w:r>
    </w:p>
    <w:p w14:paraId="4EAF6803">
      <w:pPr>
        <w:shd w:val="clear" w:color="auto" w:fill="FFFFFF"/>
        <w:spacing w:line="440" w:lineRule="atLeast"/>
        <w:ind w:firstLine="482"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b/>
          <w:color w:val="000000"/>
          <w:kern w:val="0"/>
          <w:sz w:val="24"/>
          <w:shd w:val="clear" w:color="auto" w:fill="FFFFFF"/>
          <w:lang w:val="zh-TW"/>
        </w:rPr>
        <w:t>第六条</w:t>
      </w:r>
      <w:r>
        <w:rPr>
          <w:rFonts w:hint="eastAsia" w:ascii="宋体" w:hAnsi="宋体" w:eastAsia="宋体" w:cs="宋体"/>
          <w:color w:val="000000"/>
          <w:kern w:val="0"/>
          <w:sz w:val="24"/>
          <w:shd w:val="clear" w:color="auto" w:fill="FFFFFF"/>
          <w:lang w:val="zh-TW"/>
        </w:rPr>
        <w:t>　</w:t>
      </w:r>
      <w:r>
        <w:rPr>
          <w:rFonts w:hint="eastAsia" w:ascii="宋体" w:hAnsi="宋体" w:eastAsia="宋体" w:cs="宋体"/>
          <w:color w:val="000000"/>
          <w:kern w:val="0"/>
          <w:sz w:val="24"/>
          <w:shd w:val="clear" w:color="auto" w:fill="FFFFFF"/>
          <w:lang w:val="zh-TW" w:eastAsia="zh-TW"/>
        </w:rPr>
        <w:t>根据评估对象的周期</w:t>
      </w:r>
      <w:r>
        <w:rPr>
          <w:rFonts w:hint="eastAsia" w:ascii="宋体" w:hAnsi="宋体" w:eastAsia="宋体" w:cs="宋体"/>
          <w:color w:val="000000"/>
          <w:kern w:val="0"/>
          <w:sz w:val="24"/>
          <w:shd w:val="clear" w:color="auto" w:fill="FFFFFF"/>
          <w:lang w:val="zh-TW"/>
        </w:rPr>
        <w:t>性</w:t>
      </w:r>
      <w:r>
        <w:rPr>
          <w:rFonts w:hint="eastAsia" w:ascii="宋体" w:hAnsi="宋体" w:eastAsia="宋体" w:cs="宋体"/>
          <w:color w:val="000000"/>
          <w:kern w:val="0"/>
          <w:sz w:val="24"/>
          <w:shd w:val="clear" w:color="auto" w:fill="FFFFFF"/>
          <w:lang w:val="zh-TW" w:eastAsia="zh-TW"/>
        </w:rPr>
        <w:t>特点，采用两阶段</w:t>
      </w:r>
      <w:r>
        <w:rPr>
          <w:rFonts w:hint="eastAsia" w:ascii="宋体" w:hAnsi="宋体" w:eastAsia="宋体" w:cs="宋体"/>
          <w:color w:val="000000"/>
          <w:kern w:val="0"/>
          <w:sz w:val="24"/>
          <w:shd w:val="clear" w:color="auto" w:fill="FFFFFF"/>
          <w:lang w:val="zh-TW"/>
        </w:rPr>
        <w:t>、</w:t>
      </w:r>
      <w:r>
        <w:rPr>
          <w:rFonts w:hint="eastAsia" w:ascii="宋体" w:hAnsi="宋体" w:eastAsia="宋体" w:cs="宋体"/>
          <w:color w:val="000000"/>
          <w:kern w:val="0"/>
          <w:sz w:val="24"/>
          <w:shd w:val="clear" w:color="auto" w:fill="FFFFFF"/>
          <w:lang w:val="zh-TW" w:eastAsia="zh-TW"/>
        </w:rPr>
        <w:t>三阶段或其他评估模型，报告中应说明采用模型的理由。</w:t>
      </w:r>
    </w:p>
    <w:p w14:paraId="13293F81">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可以通过长期监测并计算利润波动幅度的变异系数来判断行业的周期性，进而客观、科学地预测企业未来的收益和风险。</w:t>
      </w:r>
    </w:p>
    <w:p w14:paraId="4F294770">
      <w:pPr>
        <w:shd w:val="clear" w:color="auto" w:fill="FFFFFF"/>
        <w:spacing w:line="440" w:lineRule="atLeast"/>
        <w:ind w:firstLine="482"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b/>
          <w:color w:val="000000"/>
          <w:kern w:val="0"/>
          <w:sz w:val="24"/>
          <w:shd w:val="clear" w:color="auto" w:fill="FFFFFF"/>
          <w:lang w:val="zh-TW"/>
        </w:rPr>
        <w:t>第七条</w:t>
      </w:r>
      <w:r>
        <w:rPr>
          <w:rFonts w:hint="eastAsia" w:ascii="宋体" w:hAnsi="宋体" w:eastAsia="宋体" w:cs="宋体"/>
          <w:color w:val="000000"/>
          <w:kern w:val="0"/>
          <w:sz w:val="24"/>
          <w:shd w:val="clear" w:color="auto" w:fill="FFFFFF"/>
          <w:lang w:val="zh-TW"/>
        </w:rPr>
        <w:t>　</w:t>
      </w:r>
      <w:r>
        <w:rPr>
          <w:rFonts w:hint="eastAsia" w:ascii="宋体" w:hAnsi="宋体" w:eastAsia="宋体" w:cs="宋体"/>
          <w:color w:val="000000"/>
          <w:kern w:val="0"/>
          <w:sz w:val="24"/>
          <w:shd w:val="clear" w:color="auto" w:fill="FFFFFF"/>
          <w:lang w:val="zh-TW" w:eastAsia="zh-TW"/>
        </w:rPr>
        <w:t>企业持续经营中，待企业达到正常稳定经营后，评估模型可以考虑永续期间的价值，永续模型可以采用永续不增长模型或永续增长模型。若采用永续增长模型，则应在折现率中适当体现</w:t>
      </w:r>
      <w:r>
        <w:rPr>
          <w:rFonts w:hint="eastAsia" w:ascii="宋体" w:hAnsi="宋体" w:eastAsia="宋体" w:cs="宋体"/>
          <w:color w:val="000000"/>
          <w:kern w:val="0"/>
          <w:sz w:val="24"/>
          <w:shd w:val="clear" w:color="auto" w:fill="FFFFFF"/>
          <w:lang w:val="zh-TW"/>
        </w:rPr>
        <w:t>永续</w:t>
      </w:r>
      <w:r>
        <w:rPr>
          <w:rFonts w:hint="eastAsia" w:ascii="宋体" w:hAnsi="宋体" w:eastAsia="宋体" w:cs="宋体"/>
          <w:color w:val="000000"/>
          <w:kern w:val="0"/>
          <w:sz w:val="24"/>
          <w:shd w:val="clear" w:color="auto" w:fill="FFFFFF"/>
          <w:lang w:val="zh-TW" w:eastAsia="zh-TW"/>
        </w:rPr>
        <w:t>增长的要求。</w:t>
      </w:r>
    </w:p>
    <w:p w14:paraId="1ECB9E09">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在采用永续增长模型中，增长率应根据企业的留存收益率和股利分配率合理确定。</w:t>
      </w:r>
    </w:p>
    <w:p w14:paraId="51BE8392">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在永续增长阶段通常不考虑通货膨胀率。</w:t>
      </w:r>
    </w:p>
    <w:p w14:paraId="66D0F8F2">
      <w:pPr>
        <w:shd w:val="clear" w:color="auto" w:fill="FFFFFF"/>
        <w:spacing w:line="440" w:lineRule="atLeast"/>
        <w:ind w:firstLine="482" w:firstLineChars="200"/>
        <w:rPr>
          <w:rFonts w:ascii="宋体" w:hAnsi="宋体" w:eastAsia="宋体" w:cs="宋体"/>
          <w:color w:val="000000"/>
          <w:kern w:val="0"/>
          <w:sz w:val="24"/>
          <w:shd w:val="clear" w:color="auto" w:fill="FFFFFF"/>
          <w:lang w:val="zh-TW"/>
        </w:rPr>
      </w:pPr>
      <w:r>
        <w:rPr>
          <w:rFonts w:hint="eastAsia" w:ascii="宋体" w:hAnsi="宋体" w:eastAsia="宋体" w:cs="宋体"/>
          <w:b/>
          <w:color w:val="000000"/>
          <w:kern w:val="0"/>
          <w:sz w:val="24"/>
          <w:shd w:val="clear" w:color="auto" w:fill="FFFFFF"/>
          <w:lang w:val="zh-TW"/>
        </w:rPr>
        <w:t>第八条</w:t>
      </w:r>
      <w:r>
        <w:rPr>
          <w:rFonts w:hint="eastAsia" w:ascii="宋体" w:hAnsi="宋体" w:eastAsia="宋体" w:cs="宋体"/>
          <w:color w:val="000000"/>
          <w:kern w:val="0"/>
          <w:sz w:val="24"/>
          <w:shd w:val="clear" w:color="auto" w:fill="FFFFFF"/>
          <w:lang w:val="zh-TW"/>
        </w:rPr>
        <w:t>　</w:t>
      </w:r>
      <w:r>
        <w:rPr>
          <w:rFonts w:hint="eastAsia" w:ascii="宋体" w:hAnsi="宋体" w:eastAsia="宋体" w:cs="宋体"/>
          <w:color w:val="000000"/>
          <w:kern w:val="0"/>
          <w:sz w:val="24"/>
          <w:shd w:val="clear" w:color="auto" w:fill="FFFFFF"/>
          <w:lang w:val="zh-TW" w:eastAsia="zh-TW"/>
        </w:rPr>
        <w:t>金融企业非控股性产权变动业务中，可以采用股利折现模型</w:t>
      </w:r>
      <w:r>
        <w:rPr>
          <w:rFonts w:hint="eastAsia" w:ascii="宋体" w:hAnsi="宋体" w:eastAsia="宋体" w:cs="宋体"/>
          <w:color w:val="000000"/>
          <w:kern w:val="0"/>
          <w:sz w:val="24"/>
          <w:shd w:val="clear" w:color="auto" w:fill="FFFFFF"/>
          <w:lang w:val="zh-TW"/>
        </w:rPr>
        <w:t>。</w:t>
      </w:r>
    </w:p>
    <w:p w14:paraId="5C0B5F75">
      <w:pPr>
        <w:shd w:val="clear" w:color="auto" w:fill="FFFFFF"/>
        <w:spacing w:line="440" w:lineRule="atLeast"/>
        <w:ind w:firstLine="480" w:firstLineChars="200"/>
        <w:rPr>
          <w:rFonts w:ascii="宋体" w:hAnsi="宋体" w:eastAsia="宋体" w:cs="宋体"/>
          <w:color w:val="000000"/>
          <w:kern w:val="0"/>
          <w:sz w:val="24"/>
          <w:shd w:val="clear" w:color="auto" w:fill="FFFFFF"/>
          <w:lang w:val="zh-TW"/>
        </w:rPr>
      </w:pPr>
      <w:r>
        <w:rPr>
          <w:rFonts w:hint="eastAsia" w:ascii="宋体" w:hAnsi="宋体" w:eastAsia="宋体" w:cs="宋体"/>
          <w:color w:val="000000"/>
          <w:kern w:val="0"/>
          <w:sz w:val="24"/>
          <w:shd w:val="clear" w:color="auto" w:fill="FFFFFF"/>
          <w:lang w:val="zh-TW" w:eastAsia="zh-TW"/>
        </w:rPr>
        <w:t>股利折现模型亦可以采用增长模式，增长率应根据企业的留存收益率和股利分配率合理确定。</w:t>
      </w:r>
    </w:p>
    <w:p w14:paraId="3F3ED673">
      <w:pPr>
        <w:shd w:val="clear" w:color="auto" w:fill="FFFFFF"/>
        <w:spacing w:line="440" w:lineRule="atLeast"/>
        <w:ind w:firstLine="482" w:firstLineChars="200"/>
        <w:rPr>
          <w:rFonts w:ascii="宋体" w:hAnsi="宋体" w:eastAsia="宋体" w:cs="宋体"/>
          <w:b/>
          <w:sz w:val="24"/>
          <w:lang w:val="zh-TW" w:eastAsia="zh-TW"/>
        </w:rPr>
      </w:pPr>
      <w:r>
        <w:rPr>
          <w:rFonts w:hint="eastAsia" w:ascii="宋体" w:hAnsi="宋体" w:eastAsia="宋体" w:cs="宋体"/>
          <w:b/>
          <w:sz w:val="24"/>
          <w:lang w:val="zh-TW" w:eastAsia="zh-TW"/>
        </w:rPr>
        <w:t>三、金融企业收入等项目的预测思路</w:t>
      </w:r>
    </w:p>
    <w:p w14:paraId="7DF7B01E">
      <w:pPr>
        <w:shd w:val="clear" w:color="auto" w:fill="FFFFFF"/>
        <w:spacing w:line="440" w:lineRule="atLeast"/>
        <w:ind w:firstLine="482"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b/>
          <w:color w:val="000000"/>
          <w:kern w:val="0"/>
          <w:sz w:val="24"/>
          <w:shd w:val="clear" w:color="auto" w:fill="FFFFFF"/>
          <w:lang w:val="zh-TW"/>
        </w:rPr>
        <w:t>第九条</w:t>
      </w:r>
      <w:r>
        <w:rPr>
          <w:rFonts w:hint="eastAsia" w:ascii="宋体" w:hAnsi="宋体" w:eastAsia="宋体" w:cs="宋体"/>
          <w:color w:val="000000"/>
          <w:kern w:val="0"/>
          <w:sz w:val="24"/>
          <w:shd w:val="clear" w:color="auto" w:fill="FFFFFF"/>
          <w:lang w:val="zh-TW"/>
        </w:rPr>
        <w:t>　</w:t>
      </w:r>
      <w:r>
        <w:rPr>
          <w:rFonts w:hint="eastAsia" w:ascii="宋体" w:hAnsi="宋体" w:eastAsia="宋体" w:cs="宋体"/>
          <w:color w:val="000000"/>
          <w:kern w:val="0"/>
          <w:sz w:val="24"/>
          <w:shd w:val="clear" w:color="auto" w:fill="FFFFFF"/>
          <w:lang w:val="zh-TW" w:eastAsia="zh-TW"/>
        </w:rPr>
        <w:t>金融企业收益法评估中，宜按照先预测资产负债表</w:t>
      </w:r>
      <w:r>
        <w:rPr>
          <w:rFonts w:hint="eastAsia" w:ascii="宋体" w:hAnsi="宋体" w:eastAsia="宋体" w:cs="宋体"/>
          <w:color w:val="000000"/>
          <w:kern w:val="0"/>
          <w:sz w:val="24"/>
          <w:shd w:val="clear" w:color="auto" w:fill="FFFFFF"/>
          <w:lang w:val="zh-TW"/>
        </w:rPr>
        <w:t>，</w:t>
      </w:r>
      <w:r>
        <w:rPr>
          <w:rFonts w:hint="eastAsia" w:ascii="宋体" w:hAnsi="宋体" w:eastAsia="宋体" w:cs="宋体"/>
          <w:color w:val="000000"/>
          <w:kern w:val="0"/>
          <w:sz w:val="24"/>
          <w:shd w:val="clear" w:color="auto" w:fill="FFFFFF"/>
          <w:lang w:val="zh-TW" w:eastAsia="zh-TW"/>
        </w:rPr>
        <w:t>根据负债情况</w:t>
      </w:r>
      <w:r>
        <w:rPr>
          <w:rFonts w:hint="eastAsia" w:ascii="宋体" w:hAnsi="宋体" w:eastAsia="宋体" w:cs="宋体"/>
          <w:color w:val="000000"/>
          <w:kern w:val="0"/>
          <w:sz w:val="24"/>
          <w:shd w:val="clear" w:color="auto" w:fill="FFFFFF"/>
          <w:lang w:val="zh-TW"/>
        </w:rPr>
        <w:t>（</w:t>
      </w:r>
      <w:r>
        <w:rPr>
          <w:rFonts w:hint="eastAsia" w:ascii="宋体" w:hAnsi="宋体" w:eastAsia="宋体" w:cs="宋体"/>
          <w:color w:val="000000"/>
          <w:kern w:val="0"/>
          <w:sz w:val="24"/>
          <w:shd w:val="clear" w:color="auto" w:fill="FFFFFF"/>
          <w:lang w:val="zh-TW" w:eastAsia="zh-TW"/>
        </w:rPr>
        <w:t>资金来源</w:t>
      </w:r>
      <w:r>
        <w:rPr>
          <w:rFonts w:hint="eastAsia" w:ascii="宋体" w:hAnsi="宋体" w:eastAsia="宋体" w:cs="宋体"/>
          <w:color w:val="000000"/>
          <w:kern w:val="0"/>
          <w:sz w:val="24"/>
          <w:shd w:val="clear" w:color="auto" w:fill="FFFFFF"/>
          <w:lang w:val="zh-TW"/>
        </w:rPr>
        <w:t>）安排</w:t>
      </w:r>
      <w:r>
        <w:rPr>
          <w:rFonts w:hint="eastAsia" w:ascii="宋体" w:hAnsi="宋体" w:eastAsia="宋体" w:cs="宋体"/>
          <w:color w:val="000000"/>
          <w:kern w:val="0"/>
          <w:sz w:val="24"/>
          <w:shd w:val="clear" w:color="auto" w:fill="FFFFFF"/>
          <w:lang w:val="zh-TW" w:eastAsia="zh-TW"/>
        </w:rPr>
        <w:t>资金使用</w:t>
      </w:r>
      <w:r>
        <w:rPr>
          <w:rFonts w:hint="eastAsia" w:ascii="宋体" w:hAnsi="宋体" w:eastAsia="宋体" w:cs="宋体"/>
          <w:color w:val="000000"/>
          <w:kern w:val="0"/>
          <w:sz w:val="24"/>
          <w:shd w:val="clear" w:color="auto" w:fill="FFFFFF"/>
          <w:lang w:val="zh-TW"/>
        </w:rPr>
        <w:t>，</w:t>
      </w:r>
      <w:r>
        <w:rPr>
          <w:rFonts w:hint="eastAsia" w:ascii="宋体" w:hAnsi="宋体" w:eastAsia="宋体" w:cs="宋体"/>
          <w:color w:val="000000"/>
          <w:kern w:val="0"/>
          <w:sz w:val="24"/>
          <w:shd w:val="clear" w:color="auto" w:fill="FFFFFF"/>
          <w:lang w:val="zh-TW" w:eastAsia="zh-TW"/>
        </w:rPr>
        <w:t>然后根据资产配置</w:t>
      </w:r>
      <w:r>
        <w:rPr>
          <w:rFonts w:hint="eastAsia" w:ascii="宋体" w:hAnsi="宋体" w:eastAsia="宋体" w:cs="宋体"/>
          <w:color w:val="000000"/>
          <w:kern w:val="0"/>
          <w:sz w:val="24"/>
          <w:shd w:val="clear" w:color="auto" w:fill="FFFFFF"/>
          <w:lang w:val="zh-TW"/>
        </w:rPr>
        <w:t>预测</w:t>
      </w:r>
      <w:r>
        <w:rPr>
          <w:rFonts w:hint="eastAsia" w:ascii="宋体" w:hAnsi="宋体" w:eastAsia="宋体" w:cs="宋体"/>
          <w:color w:val="000000"/>
          <w:kern w:val="0"/>
          <w:sz w:val="24"/>
          <w:shd w:val="clear" w:color="auto" w:fill="FFFFFF"/>
          <w:lang w:val="zh-TW" w:eastAsia="zh-TW"/>
        </w:rPr>
        <w:t>资金产出即企业收益</w:t>
      </w:r>
      <w:r>
        <w:rPr>
          <w:rFonts w:hint="eastAsia" w:ascii="宋体" w:hAnsi="宋体" w:eastAsia="宋体" w:cs="宋体"/>
          <w:color w:val="000000"/>
          <w:kern w:val="0"/>
          <w:sz w:val="24"/>
          <w:shd w:val="clear" w:color="auto" w:fill="FFFFFF"/>
          <w:lang w:val="zh-TW"/>
        </w:rPr>
        <w:t>和</w:t>
      </w:r>
      <w:r>
        <w:rPr>
          <w:rFonts w:hint="eastAsia" w:ascii="宋体" w:hAnsi="宋体" w:eastAsia="宋体" w:cs="宋体"/>
          <w:color w:val="000000"/>
          <w:kern w:val="0"/>
          <w:sz w:val="24"/>
          <w:shd w:val="clear" w:color="auto" w:fill="FFFFFF"/>
          <w:lang w:val="zh-TW" w:eastAsia="zh-TW"/>
        </w:rPr>
        <w:t>资金耗费，具体操作是：先预测未来的资产负债表</w:t>
      </w:r>
      <w:r>
        <w:rPr>
          <w:rFonts w:hint="eastAsia" w:ascii="宋体" w:hAnsi="宋体" w:eastAsia="宋体" w:cs="宋体"/>
          <w:color w:val="000000"/>
          <w:kern w:val="0"/>
          <w:sz w:val="24"/>
          <w:shd w:val="clear" w:color="auto" w:fill="FFFFFF"/>
          <w:lang w:val="zh-TW"/>
        </w:rPr>
        <w:t>（参见案例一）</w:t>
      </w:r>
      <w:r>
        <w:rPr>
          <w:rFonts w:hint="eastAsia" w:ascii="宋体" w:hAnsi="宋体" w:eastAsia="宋体" w:cs="宋体"/>
          <w:color w:val="000000"/>
          <w:kern w:val="0"/>
          <w:sz w:val="24"/>
          <w:shd w:val="clear" w:color="auto" w:fill="FFFFFF"/>
          <w:lang w:val="zh-TW" w:eastAsia="zh-TW"/>
        </w:rPr>
        <w:t>，再根据资产配置情况预测收益、成本和费用，同时应编制所有者权益变动表</w:t>
      </w:r>
      <w:r>
        <w:rPr>
          <w:rFonts w:hint="eastAsia" w:ascii="宋体" w:hAnsi="宋体" w:eastAsia="宋体" w:cs="宋体"/>
          <w:color w:val="000000"/>
          <w:kern w:val="0"/>
          <w:sz w:val="24"/>
          <w:shd w:val="clear" w:color="auto" w:fill="FFFFFF"/>
          <w:lang w:val="zh-TW"/>
        </w:rPr>
        <w:t>（参见案例二）</w:t>
      </w:r>
      <w:r>
        <w:rPr>
          <w:rFonts w:hint="eastAsia" w:ascii="宋体" w:hAnsi="宋体" w:eastAsia="宋体" w:cs="宋体"/>
          <w:color w:val="000000"/>
          <w:kern w:val="0"/>
          <w:sz w:val="24"/>
          <w:shd w:val="clear" w:color="auto" w:fill="FFFFFF"/>
          <w:lang w:val="zh-TW" w:eastAsia="zh-TW"/>
        </w:rPr>
        <w:t>。</w:t>
      </w:r>
    </w:p>
    <w:p w14:paraId="2B5E1766">
      <w:pPr>
        <w:shd w:val="clear" w:color="auto" w:fill="FFFFFF"/>
        <w:spacing w:line="440" w:lineRule="atLeast"/>
        <w:ind w:firstLine="482"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b/>
          <w:color w:val="000000"/>
          <w:kern w:val="0"/>
          <w:sz w:val="24"/>
          <w:shd w:val="clear" w:color="auto" w:fill="FFFFFF"/>
          <w:lang w:val="zh-TW"/>
        </w:rPr>
        <w:t>第十条</w:t>
      </w:r>
      <w:r>
        <w:rPr>
          <w:rFonts w:hint="eastAsia" w:ascii="宋体" w:hAnsi="宋体" w:eastAsia="宋体" w:cs="宋体"/>
          <w:color w:val="000000"/>
          <w:kern w:val="0"/>
          <w:sz w:val="24"/>
          <w:shd w:val="clear" w:color="auto" w:fill="FFFFFF"/>
          <w:lang w:val="zh-TW"/>
        </w:rPr>
        <w:t>　</w:t>
      </w:r>
      <w:r>
        <w:rPr>
          <w:rFonts w:hint="eastAsia" w:ascii="宋体" w:hAnsi="宋体" w:eastAsia="宋体" w:cs="宋体"/>
          <w:color w:val="000000"/>
          <w:kern w:val="0"/>
          <w:sz w:val="24"/>
          <w:shd w:val="clear" w:color="auto" w:fill="FFFFFF"/>
          <w:lang w:val="zh-TW" w:eastAsia="zh-TW"/>
        </w:rPr>
        <w:t>收入预测中应根据企业的业务类型，细分收入构成项目，其中：</w:t>
      </w:r>
    </w:p>
    <w:p w14:paraId="148AA28F">
      <w:pPr>
        <w:shd w:val="clear" w:color="auto" w:fill="FFFFFF"/>
        <w:spacing w:line="440" w:lineRule="atLeast"/>
        <w:ind w:firstLine="480" w:firstLineChars="200"/>
        <w:rPr>
          <w:rFonts w:ascii="宋体" w:hAnsi="宋体" w:eastAsia="宋体" w:cs="宋体"/>
          <w:color w:val="000000"/>
          <w:kern w:val="0"/>
          <w:sz w:val="24"/>
          <w:shd w:val="clear" w:color="auto" w:fill="FFFFFF"/>
          <w:lang w:val="zh-TW"/>
        </w:rPr>
      </w:pPr>
      <w:r>
        <w:rPr>
          <w:rFonts w:hint="eastAsia" w:ascii="宋体" w:hAnsi="宋体" w:eastAsia="宋体" w:cs="宋体"/>
          <w:color w:val="000000"/>
          <w:kern w:val="0"/>
          <w:sz w:val="24"/>
          <w:shd w:val="clear" w:color="auto" w:fill="FFFFFF"/>
          <w:lang w:val="zh-TW"/>
        </w:rPr>
        <w:t>（一）</w:t>
      </w:r>
      <w:r>
        <w:rPr>
          <w:rFonts w:hint="eastAsia" w:ascii="宋体" w:hAnsi="宋体" w:eastAsia="宋体" w:cs="宋体"/>
          <w:color w:val="000000"/>
          <w:kern w:val="0"/>
          <w:sz w:val="24"/>
          <w:shd w:val="clear" w:color="auto" w:fill="FFFFFF"/>
          <w:lang w:val="zh-TW" w:eastAsia="zh-TW"/>
        </w:rPr>
        <w:t>银行收入包括利息收入、手续费收入、投资收益和其他业务收入等</w:t>
      </w:r>
      <w:r>
        <w:rPr>
          <w:rFonts w:hint="eastAsia" w:ascii="宋体" w:hAnsi="宋体" w:eastAsia="宋体" w:cs="宋体"/>
          <w:color w:val="000000"/>
          <w:kern w:val="0"/>
          <w:sz w:val="24"/>
          <w:shd w:val="clear" w:color="auto" w:fill="FFFFFF"/>
          <w:lang w:val="zh-TW"/>
        </w:rPr>
        <w:t>。</w:t>
      </w:r>
    </w:p>
    <w:p w14:paraId="04650938">
      <w:pPr>
        <w:shd w:val="clear" w:color="auto" w:fill="FFFFFF"/>
        <w:spacing w:line="440" w:lineRule="atLeast"/>
        <w:ind w:firstLine="480" w:firstLineChars="200"/>
        <w:rPr>
          <w:rFonts w:ascii="宋体" w:hAnsi="宋体" w:eastAsia="宋体" w:cs="宋体"/>
          <w:color w:val="000000"/>
          <w:kern w:val="0"/>
          <w:sz w:val="24"/>
          <w:shd w:val="clear" w:color="auto" w:fill="FFFFFF"/>
          <w:lang w:val="zh-TW"/>
        </w:rPr>
      </w:pPr>
      <w:r>
        <w:rPr>
          <w:rFonts w:hint="eastAsia" w:ascii="宋体" w:hAnsi="宋体" w:eastAsia="宋体" w:cs="宋体"/>
          <w:color w:val="000000"/>
          <w:kern w:val="0"/>
          <w:sz w:val="24"/>
          <w:shd w:val="clear" w:color="auto" w:fill="FFFFFF"/>
          <w:lang w:val="zh-TW" w:eastAsia="zh-TW"/>
        </w:rPr>
        <w:t>利息收入和支出预测中宜根据银行的贷款结构和确定的利率标准计算</w:t>
      </w:r>
      <w:r>
        <w:rPr>
          <w:rFonts w:hint="eastAsia" w:ascii="宋体" w:hAnsi="宋体" w:eastAsia="宋体" w:cs="宋体"/>
          <w:color w:val="000000"/>
          <w:kern w:val="0"/>
          <w:sz w:val="24"/>
          <w:shd w:val="clear" w:color="auto" w:fill="FFFFFF"/>
          <w:lang w:val="zh-TW"/>
        </w:rPr>
        <w:t>利息</w:t>
      </w:r>
      <w:r>
        <w:rPr>
          <w:rFonts w:hint="eastAsia" w:ascii="宋体" w:hAnsi="宋体" w:eastAsia="宋体" w:cs="宋体"/>
          <w:color w:val="000000"/>
          <w:kern w:val="0"/>
          <w:sz w:val="24"/>
          <w:shd w:val="clear" w:color="auto" w:fill="FFFFFF"/>
          <w:lang w:val="zh-TW" w:eastAsia="zh-TW"/>
        </w:rPr>
        <w:t>收入和利息支出</w:t>
      </w:r>
      <w:r>
        <w:rPr>
          <w:rFonts w:hint="eastAsia" w:ascii="宋体" w:hAnsi="宋体" w:eastAsia="宋体" w:cs="宋体"/>
          <w:color w:val="000000"/>
          <w:kern w:val="0"/>
          <w:sz w:val="24"/>
          <w:shd w:val="clear" w:color="auto" w:fill="FFFFFF"/>
          <w:lang w:val="zh-TW"/>
        </w:rPr>
        <w:t>，</w:t>
      </w:r>
      <w:r>
        <w:rPr>
          <w:rFonts w:hint="eastAsia" w:ascii="宋体" w:hAnsi="宋体" w:eastAsia="宋体" w:cs="宋体"/>
          <w:color w:val="000000"/>
          <w:kern w:val="0"/>
          <w:sz w:val="24"/>
          <w:shd w:val="clear" w:color="auto" w:fill="FFFFFF"/>
          <w:lang w:val="zh-TW" w:eastAsia="zh-TW"/>
        </w:rPr>
        <w:t>应特别关注评估基准日后到评估报告出具日之间利率调整事项</w:t>
      </w:r>
      <w:r>
        <w:rPr>
          <w:rFonts w:hint="eastAsia" w:ascii="宋体" w:hAnsi="宋体" w:eastAsia="宋体" w:cs="宋体"/>
          <w:color w:val="000000"/>
          <w:kern w:val="0"/>
          <w:sz w:val="24"/>
          <w:shd w:val="clear" w:color="auto" w:fill="FFFFFF"/>
          <w:lang w:val="zh-TW"/>
        </w:rPr>
        <w:t>，</w:t>
      </w:r>
      <w:r>
        <w:rPr>
          <w:rFonts w:hint="eastAsia" w:ascii="宋体" w:hAnsi="宋体" w:eastAsia="宋体" w:cs="宋体"/>
          <w:color w:val="000000"/>
          <w:kern w:val="0"/>
          <w:sz w:val="24"/>
          <w:shd w:val="clear" w:color="auto" w:fill="FFFFFF"/>
          <w:lang w:val="zh-TW" w:eastAsia="zh-TW"/>
        </w:rPr>
        <w:t>并酌情考虑该调整事项对未来预测期</w:t>
      </w:r>
      <w:r>
        <w:rPr>
          <w:rFonts w:hint="eastAsia" w:ascii="宋体" w:hAnsi="宋体" w:eastAsia="宋体" w:cs="宋体"/>
          <w:color w:val="000000"/>
          <w:kern w:val="0"/>
          <w:sz w:val="24"/>
          <w:shd w:val="clear" w:color="auto" w:fill="FFFFFF"/>
          <w:lang w:val="zh-TW"/>
        </w:rPr>
        <w:t>的</w:t>
      </w:r>
      <w:r>
        <w:rPr>
          <w:rFonts w:hint="eastAsia" w:ascii="宋体" w:hAnsi="宋体" w:eastAsia="宋体" w:cs="宋体"/>
          <w:color w:val="000000"/>
          <w:kern w:val="0"/>
          <w:sz w:val="24"/>
          <w:shd w:val="clear" w:color="auto" w:fill="FFFFFF"/>
          <w:lang w:val="zh-TW" w:eastAsia="zh-TW"/>
        </w:rPr>
        <w:t>影响</w:t>
      </w:r>
      <w:r>
        <w:rPr>
          <w:rFonts w:hint="eastAsia" w:ascii="宋体" w:hAnsi="宋体" w:eastAsia="宋体" w:cs="宋体"/>
          <w:color w:val="000000"/>
          <w:kern w:val="0"/>
          <w:sz w:val="24"/>
          <w:shd w:val="clear" w:color="auto" w:fill="FFFFFF"/>
          <w:lang w:val="zh-TW"/>
        </w:rPr>
        <w:t>；</w:t>
      </w:r>
    </w:p>
    <w:p w14:paraId="782B509D">
      <w:pPr>
        <w:shd w:val="clear" w:color="auto" w:fill="FFFFFF"/>
        <w:spacing w:line="440" w:lineRule="atLeast"/>
        <w:ind w:firstLine="480" w:firstLineChars="200"/>
        <w:rPr>
          <w:rFonts w:ascii="宋体" w:hAnsi="宋体" w:eastAsia="宋体" w:cs="宋体"/>
          <w:color w:val="000000"/>
          <w:kern w:val="0"/>
          <w:sz w:val="24"/>
          <w:shd w:val="clear" w:color="auto" w:fill="FFFFFF"/>
          <w:lang w:val="zh-TW"/>
        </w:rPr>
      </w:pPr>
      <w:r>
        <w:rPr>
          <w:rFonts w:hint="eastAsia" w:ascii="宋体" w:hAnsi="宋体" w:eastAsia="宋体" w:cs="宋体"/>
          <w:color w:val="000000"/>
          <w:kern w:val="0"/>
          <w:sz w:val="24"/>
          <w:shd w:val="clear" w:color="auto" w:fill="FFFFFF"/>
          <w:lang w:val="zh-TW"/>
        </w:rPr>
        <w:t>手续费收入应根据银行提供服务的项目类型和收费标准以及客户数量综合确定（参见案例三）。</w:t>
      </w:r>
    </w:p>
    <w:p w14:paraId="65CAD93D">
      <w:pPr>
        <w:shd w:val="clear" w:color="auto" w:fill="FFFFFF"/>
        <w:spacing w:line="440" w:lineRule="atLeast"/>
        <w:ind w:firstLine="480" w:firstLineChars="200"/>
        <w:rPr>
          <w:rFonts w:ascii="宋体" w:hAnsi="宋体" w:eastAsia="宋体" w:cs="宋体"/>
          <w:color w:val="000000"/>
          <w:kern w:val="0"/>
          <w:sz w:val="24"/>
          <w:shd w:val="clear" w:color="auto" w:fill="FFFFFF"/>
          <w:lang w:val="zh-TW"/>
        </w:rPr>
      </w:pPr>
      <w:r>
        <w:rPr>
          <w:rFonts w:hint="eastAsia" w:ascii="宋体" w:hAnsi="宋体" w:eastAsia="宋体" w:cs="宋体"/>
          <w:color w:val="000000"/>
          <w:kern w:val="0"/>
          <w:sz w:val="24"/>
          <w:shd w:val="clear" w:color="auto" w:fill="FFFFFF"/>
          <w:lang w:val="zh-TW"/>
        </w:rPr>
        <w:t>（二）</w:t>
      </w:r>
      <w:r>
        <w:rPr>
          <w:rFonts w:hint="eastAsia" w:ascii="宋体" w:hAnsi="宋体" w:eastAsia="宋体" w:cs="宋体"/>
          <w:color w:val="000000"/>
          <w:kern w:val="0"/>
          <w:sz w:val="24"/>
          <w:shd w:val="clear" w:color="auto" w:fill="FFFFFF"/>
          <w:lang w:val="zh-TW" w:eastAsia="zh-TW"/>
        </w:rPr>
        <w:t>证券公司收入包括手续费及佣金收入、证券承销业务收入、代理买卖证券业务收入、利息收入、投资收益及其他业务收入等</w:t>
      </w:r>
      <w:r>
        <w:rPr>
          <w:rFonts w:hint="eastAsia" w:ascii="宋体" w:hAnsi="宋体" w:eastAsia="宋体" w:cs="宋体"/>
          <w:color w:val="000000"/>
          <w:kern w:val="0"/>
          <w:sz w:val="24"/>
          <w:shd w:val="clear" w:color="auto" w:fill="FFFFFF"/>
          <w:lang w:val="zh-TW"/>
        </w:rPr>
        <w:t>。</w:t>
      </w:r>
    </w:p>
    <w:p w14:paraId="190C97AF">
      <w:pPr>
        <w:shd w:val="clear" w:color="auto" w:fill="FFFFFF"/>
        <w:spacing w:line="440" w:lineRule="atLeast"/>
        <w:ind w:firstLine="480" w:firstLineChars="200"/>
        <w:rPr>
          <w:rFonts w:ascii="宋体" w:hAnsi="宋体" w:eastAsia="宋体" w:cs="宋体"/>
          <w:color w:val="000000"/>
          <w:kern w:val="0"/>
          <w:sz w:val="24"/>
          <w:shd w:val="clear" w:color="auto" w:fill="FFFFFF"/>
          <w:lang w:val="zh-TW"/>
        </w:rPr>
      </w:pPr>
      <w:r>
        <w:rPr>
          <w:rFonts w:hint="eastAsia" w:ascii="宋体" w:hAnsi="宋体" w:eastAsia="宋体" w:cs="宋体"/>
          <w:color w:val="000000"/>
          <w:kern w:val="0"/>
          <w:sz w:val="24"/>
          <w:shd w:val="clear" w:color="auto" w:fill="FFFFFF"/>
          <w:lang w:val="zh-TW"/>
        </w:rPr>
        <w:t>手续费及佣金收入主要来源于证券公司的经纪业务，预测中应考虑企业的佣金费率和客户数量以及市场交易量等综合测算（参见案例四）；</w:t>
      </w:r>
    </w:p>
    <w:p w14:paraId="24966EC1">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证券承销收入应根据证券公司的投资银行客户数量</w:t>
      </w:r>
      <w:r>
        <w:rPr>
          <w:rFonts w:hint="eastAsia" w:ascii="宋体" w:hAnsi="宋体" w:eastAsia="宋体" w:cs="宋体"/>
          <w:color w:val="000000"/>
          <w:kern w:val="0"/>
          <w:sz w:val="24"/>
          <w:shd w:val="clear" w:color="auto" w:fill="FFFFFF"/>
          <w:lang w:val="zh-TW"/>
        </w:rPr>
        <w:t>、</w:t>
      </w:r>
      <w:r>
        <w:rPr>
          <w:rFonts w:hint="eastAsia" w:ascii="宋体" w:hAnsi="宋体" w:eastAsia="宋体" w:cs="宋体"/>
          <w:color w:val="000000"/>
          <w:kern w:val="0"/>
          <w:sz w:val="24"/>
          <w:shd w:val="clear" w:color="auto" w:fill="FFFFFF"/>
          <w:lang w:val="zh-TW" w:eastAsia="zh-TW"/>
        </w:rPr>
        <w:t>承销费率</w:t>
      </w:r>
      <w:r>
        <w:rPr>
          <w:rFonts w:hint="eastAsia" w:ascii="宋体" w:hAnsi="宋体" w:eastAsia="宋体" w:cs="宋体"/>
          <w:color w:val="000000"/>
          <w:kern w:val="0"/>
          <w:sz w:val="24"/>
          <w:shd w:val="clear" w:color="auto" w:fill="FFFFFF"/>
          <w:lang w:val="zh-TW"/>
        </w:rPr>
        <w:t>，按照权责发生制预测。</w:t>
      </w:r>
    </w:p>
    <w:p w14:paraId="28409BAB">
      <w:pPr>
        <w:shd w:val="clear" w:color="auto" w:fill="FFFFFF"/>
        <w:spacing w:line="440" w:lineRule="atLeast"/>
        <w:ind w:firstLine="480" w:firstLineChars="200"/>
        <w:rPr>
          <w:rFonts w:ascii="宋体" w:hAnsi="宋体" w:eastAsia="宋体" w:cs="宋体"/>
          <w:color w:val="000000"/>
          <w:kern w:val="0"/>
          <w:sz w:val="24"/>
          <w:shd w:val="clear" w:color="auto" w:fill="FFFFFF"/>
          <w:lang w:val="zh-TW"/>
        </w:rPr>
      </w:pPr>
      <w:r>
        <w:rPr>
          <w:rFonts w:hint="eastAsia" w:ascii="宋体" w:hAnsi="宋体" w:eastAsia="宋体" w:cs="宋体"/>
          <w:color w:val="000000"/>
          <w:kern w:val="0"/>
          <w:sz w:val="24"/>
          <w:shd w:val="clear" w:color="auto" w:fill="FFFFFF"/>
          <w:lang w:val="zh-TW"/>
        </w:rPr>
        <w:t>（三）保险</w:t>
      </w:r>
      <w:r>
        <w:rPr>
          <w:rFonts w:hint="eastAsia" w:ascii="宋体" w:hAnsi="宋体" w:eastAsia="宋体" w:cs="宋体"/>
          <w:color w:val="000000"/>
          <w:kern w:val="0"/>
          <w:sz w:val="24"/>
          <w:shd w:val="clear" w:color="auto" w:fill="FFFFFF"/>
          <w:lang w:val="zh-TW" w:eastAsia="zh-TW"/>
        </w:rPr>
        <w:t>公司收入包括已赚保费、分出保费、提取未到期责任准备金、投资收益和其他业务收入等</w:t>
      </w:r>
      <w:r>
        <w:rPr>
          <w:rFonts w:hint="eastAsia" w:ascii="宋体" w:hAnsi="宋体" w:eastAsia="宋体" w:cs="宋体"/>
          <w:color w:val="000000"/>
          <w:kern w:val="0"/>
          <w:sz w:val="24"/>
          <w:shd w:val="clear" w:color="auto" w:fill="FFFFFF"/>
          <w:lang w:val="zh-TW"/>
        </w:rPr>
        <w:t>。</w:t>
      </w:r>
    </w:p>
    <w:p w14:paraId="5B19C79C">
      <w:pPr>
        <w:shd w:val="clear" w:color="auto" w:fill="FFFFFF"/>
        <w:spacing w:line="440" w:lineRule="atLeast"/>
        <w:ind w:firstLine="480" w:firstLineChars="200"/>
        <w:rPr>
          <w:rFonts w:ascii="宋体" w:hAnsi="宋体" w:eastAsia="宋体" w:cs="宋体"/>
          <w:color w:val="000000"/>
          <w:kern w:val="0"/>
          <w:sz w:val="24"/>
          <w:shd w:val="clear" w:color="auto" w:fill="FFFFFF"/>
          <w:lang w:val="zh-TW"/>
        </w:rPr>
      </w:pPr>
      <w:r>
        <w:rPr>
          <w:rFonts w:hint="eastAsia" w:ascii="宋体" w:hAnsi="宋体" w:eastAsia="宋体" w:cs="宋体"/>
          <w:color w:val="000000"/>
          <w:kern w:val="0"/>
          <w:sz w:val="24"/>
          <w:shd w:val="clear" w:color="auto" w:fill="FFFFFF"/>
          <w:lang w:val="zh-TW"/>
        </w:rPr>
        <w:t>已赚保费=保险业务收入</w:t>
      </w:r>
      <w:r>
        <w:rPr>
          <w:rFonts w:hint="eastAsia" w:ascii="宋体" w:hAnsi="宋体" w:eastAsia="宋体" w:cs="宋体"/>
          <w:color w:val="000000"/>
          <w:kern w:val="0"/>
          <w:sz w:val="24"/>
          <w:shd w:val="clear" w:color="auto" w:fill="FFFFFF"/>
        </w:rPr>
        <w:t>-</w:t>
      </w:r>
      <w:r>
        <w:rPr>
          <w:rFonts w:hint="eastAsia" w:ascii="宋体" w:hAnsi="宋体" w:eastAsia="宋体" w:cs="宋体"/>
          <w:color w:val="000000"/>
          <w:kern w:val="0"/>
          <w:sz w:val="24"/>
          <w:shd w:val="clear" w:color="auto" w:fill="FFFFFF"/>
          <w:lang w:val="zh-TW"/>
        </w:rPr>
        <w:t>分出保费-提取未到期责任准备金</w:t>
      </w:r>
    </w:p>
    <w:p w14:paraId="596B8080">
      <w:pPr>
        <w:shd w:val="clear" w:color="auto" w:fill="FFFFFF"/>
        <w:spacing w:line="440" w:lineRule="atLeast"/>
        <w:ind w:firstLine="480" w:firstLineChars="200"/>
        <w:rPr>
          <w:rFonts w:ascii="宋体" w:hAnsi="宋体" w:eastAsia="宋体" w:cs="宋体"/>
          <w:color w:val="000000"/>
          <w:kern w:val="0"/>
          <w:sz w:val="24"/>
          <w:shd w:val="clear" w:color="auto" w:fill="FFFFFF"/>
          <w:lang w:val="zh-TW"/>
        </w:rPr>
      </w:pPr>
      <w:r>
        <w:rPr>
          <w:rFonts w:hint="eastAsia" w:ascii="宋体" w:hAnsi="宋体" w:eastAsia="宋体" w:cs="宋体"/>
          <w:color w:val="000000"/>
          <w:kern w:val="0"/>
          <w:sz w:val="24"/>
          <w:shd w:val="clear" w:color="auto" w:fill="FFFFFF"/>
          <w:lang w:val="zh-TW"/>
        </w:rPr>
        <w:t>其中：保险业务收入由新业务期缴保费收入、新业务趸缴保费收入、续年期缴保费收入构成。新业务期缴/趸缴保费收入</w:t>
      </w:r>
      <w:r>
        <w:rPr>
          <w:rFonts w:hint="eastAsia" w:ascii="宋体" w:hAnsi="宋体" w:eastAsia="宋体" w:cs="宋体"/>
          <w:color w:val="000000"/>
          <w:kern w:val="0"/>
          <w:sz w:val="24"/>
          <w:shd w:val="clear" w:color="auto" w:fill="FFFFFF"/>
          <w:lang w:val="zh-TW" w:eastAsia="zh-TW"/>
        </w:rPr>
        <w:t>根据国民经济的整体发展和保险深度的加强，对未来市场进行预测，得出不同产品的保险业务收入</w:t>
      </w:r>
      <w:r>
        <w:rPr>
          <w:rFonts w:hint="eastAsia" w:ascii="宋体" w:hAnsi="宋体" w:eastAsia="宋体" w:cs="宋体"/>
          <w:color w:val="000000"/>
          <w:kern w:val="0"/>
          <w:sz w:val="24"/>
          <w:shd w:val="clear" w:color="auto" w:fill="FFFFFF"/>
          <w:lang w:val="zh-TW"/>
        </w:rPr>
        <w:t>，</w:t>
      </w:r>
      <w:r>
        <w:rPr>
          <w:rFonts w:hint="eastAsia" w:ascii="宋体" w:hAnsi="宋体" w:eastAsia="宋体" w:cs="宋体"/>
          <w:color w:val="000000"/>
          <w:kern w:val="0"/>
          <w:sz w:val="24"/>
          <w:shd w:val="clear" w:color="auto" w:fill="FFFFFF"/>
          <w:lang w:val="zh-TW" w:eastAsia="zh-TW"/>
        </w:rPr>
        <w:t>也</w:t>
      </w:r>
      <w:r>
        <w:rPr>
          <w:rFonts w:hint="eastAsia" w:ascii="宋体" w:hAnsi="宋体" w:eastAsia="宋体" w:cs="宋体"/>
          <w:color w:val="000000"/>
          <w:kern w:val="0"/>
          <w:sz w:val="24"/>
          <w:shd w:val="clear" w:color="auto" w:fill="FFFFFF"/>
          <w:lang w:val="zh-TW"/>
        </w:rPr>
        <w:t>可以根据保险公司的渠道销售能力，通过对年化新业务保费（ANP）增长率进行预测；续年期缴的保费收入可以根据基准日有效保单在未来产生的保费收入进行预测。</w:t>
      </w:r>
    </w:p>
    <w:p w14:paraId="1DCAF1BF">
      <w:pPr>
        <w:shd w:val="clear" w:color="auto" w:fill="FFFFFF"/>
        <w:spacing w:line="440" w:lineRule="atLeast"/>
        <w:ind w:firstLine="480" w:firstLineChars="200"/>
        <w:rPr>
          <w:rFonts w:ascii="宋体" w:hAnsi="宋体" w:eastAsia="宋体" w:cs="宋体"/>
          <w:color w:val="000000"/>
          <w:kern w:val="0"/>
          <w:sz w:val="24"/>
          <w:shd w:val="clear" w:color="auto" w:fill="FFFFFF"/>
          <w:lang w:val="zh-TW"/>
        </w:rPr>
      </w:pPr>
      <w:r>
        <w:rPr>
          <w:rFonts w:hint="eastAsia" w:ascii="宋体" w:hAnsi="宋体" w:eastAsia="宋体" w:cs="宋体"/>
          <w:color w:val="000000"/>
          <w:kern w:val="0"/>
          <w:sz w:val="24"/>
          <w:shd w:val="clear" w:color="auto" w:fill="FFFFFF"/>
          <w:lang w:val="zh-TW"/>
        </w:rPr>
        <w:t>分出保费是保险公司为了控制风险、提高偿付能力充足率，将部分风险向再保险公司分出而产生的。根据保险公司对分出保费的核算方法，选择比例计算分出保费或者非比例计算分出保费。</w:t>
      </w:r>
    </w:p>
    <w:p w14:paraId="2305BE45">
      <w:pPr>
        <w:shd w:val="clear" w:color="auto" w:fill="FFFFFF"/>
        <w:spacing w:line="440" w:lineRule="atLeast"/>
        <w:ind w:firstLine="480" w:firstLineChars="200"/>
        <w:rPr>
          <w:rFonts w:ascii="宋体" w:hAnsi="宋体" w:eastAsia="宋体" w:cs="宋体"/>
          <w:color w:val="000000"/>
          <w:kern w:val="0"/>
          <w:sz w:val="24"/>
          <w:shd w:val="clear" w:color="auto" w:fill="FFFFFF"/>
          <w:lang w:val="zh-TW"/>
        </w:rPr>
      </w:pPr>
      <w:r>
        <w:rPr>
          <w:rFonts w:hint="eastAsia" w:ascii="宋体" w:hAnsi="宋体" w:eastAsia="宋体" w:cs="宋体"/>
          <w:color w:val="000000"/>
          <w:kern w:val="0"/>
          <w:sz w:val="24"/>
          <w:shd w:val="clear" w:color="auto" w:fill="FFFFFF"/>
          <w:lang w:val="zh-TW"/>
        </w:rPr>
        <w:t>未到期责任准备金是指公司一年以内的财产险、意外伤害险、健康险业务按规定从本期保险责任尚未到期，应属于下一年度的部分保险费中提取出来形成的准备金。　</w:t>
      </w:r>
    </w:p>
    <w:p w14:paraId="364546E4">
      <w:pPr>
        <w:shd w:val="clear" w:color="auto" w:fill="FFFFFF"/>
        <w:spacing w:line="440" w:lineRule="atLeast"/>
        <w:ind w:firstLine="480" w:firstLineChars="200"/>
        <w:rPr>
          <w:rFonts w:ascii="宋体" w:hAnsi="宋体" w:eastAsia="宋体" w:cs="宋体"/>
          <w:color w:val="000000"/>
          <w:kern w:val="0"/>
          <w:sz w:val="24"/>
          <w:shd w:val="clear" w:color="auto" w:fill="FFFFFF"/>
          <w:lang w:val="zh-TW"/>
        </w:rPr>
      </w:pPr>
      <w:r>
        <w:rPr>
          <w:rFonts w:hint="eastAsia" w:ascii="宋体" w:hAnsi="宋体" w:eastAsia="宋体" w:cs="宋体"/>
          <w:color w:val="000000"/>
          <w:kern w:val="0"/>
          <w:sz w:val="24"/>
          <w:shd w:val="clear" w:color="auto" w:fill="FFFFFF"/>
          <w:lang w:val="zh-TW" w:eastAsia="zh-TW"/>
        </w:rPr>
        <w:t>寿险公司准备金的预测除根据现行的监管文件预测外，可以借助于保险公司的精算软件</w:t>
      </w:r>
      <w:r>
        <w:rPr>
          <w:rFonts w:hint="eastAsia" w:ascii="宋体" w:hAnsi="宋体" w:eastAsia="宋体" w:cs="宋体"/>
          <w:color w:val="000000"/>
          <w:kern w:val="0"/>
          <w:sz w:val="24"/>
          <w:shd w:val="clear" w:color="auto" w:fill="FFFFFF"/>
          <w:lang w:val="zh-TW"/>
        </w:rPr>
        <w:t>（参见案例五）。</w:t>
      </w:r>
    </w:p>
    <w:p w14:paraId="612A3DA5">
      <w:pPr>
        <w:shd w:val="clear" w:color="auto" w:fill="FFFFFF"/>
        <w:spacing w:line="440" w:lineRule="atLeast"/>
        <w:ind w:firstLine="480" w:firstLineChars="200"/>
        <w:rPr>
          <w:rFonts w:ascii="宋体" w:hAnsi="宋体" w:eastAsia="宋体" w:cs="宋体"/>
          <w:color w:val="000000"/>
          <w:kern w:val="0"/>
          <w:sz w:val="24"/>
          <w:shd w:val="clear" w:color="auto" w:fill="FFFFFF"/>
          <w:lang w:val="zh-TW"/>
        </w:rPr>
      </w:pPr>
      <w:r>
        <w:rPr>
          <w:rFonts w:hint="eastAsia" w:ascii="宋体" w:hAnsi="宋体" w:eastAsia="宋体" w:cs="宋体"/>
          <w:color w:val="000000"/>
          <w:kern w:val="0"/>
          <w:sz w:val="24"/>
          <w:shd w:val="clear" w:color="auto" w:fill="FFFFFF"/>
          <w:lang w:val="zh-TW"/>
        </w:rPr>
        <w:t>（四）</w:t>
      </w:r>
      <w:r>
        <w:rPr>
          <w:rFonts w:hint="eastAsia" w:ascii="宋体" w:hAnsi="宋体" w:eastAsia="宋体" w:cs="宋体"/>
          <w:color w:val="000000"/>
          <w:kern w:val="0"/>
          <w:sz w:val="24"/>
          <w:shd w:val="clear" w:color="auto" w:fill="FFFFFF"/>
          <w:lang w:val="zh-TW" w:eastAsia="zh-TW"/>
        </w:rPr>
        <w:t>信托公司收入包括手续费及佣金收入、投资收益和其他业务收入等。</w:t>
      </w:r>
    </w:p>
    <w:p w14:paraId="7E105DE7">
      <w:pPr>
        <w:shd w:val="clear" w:color="auto" w:fill="FFFFFF"/>
        <w:spacing w:line="440" w:lineRule="atLeast"/>
        <w:ind w:firstLine="480" w:firstLineChars="200"/>
        <w:rPr>
          <w:rFonts w:ascii="宋体" w:hAnsi="宋体" w:eastAsia="宋体" w:cs="宋体"/>
          <w:color w:val="000000"/>
          <w:kern w:val="0"/>
          <w:sz w:val="24"/>
          <w:shd w:val="clear" w:color="auto" w:fill="FFFFFF"/>
          <w:lang w:val="zh-TW"/>
        </w:rPr>
      </w:pPr>
      <w:r>
        <w:rPr>
          <w:rFonts w:hint="eastAsia" w:ascii="宋体" w:hAnsi="宋体" w:eastAsia="宋体" w:cs="宋体"/>
          <w:color w:val="000000"/>
          <w:kern w:val="0"/>
          <w:sz w:val="24"/>
          <w:shd w:val="clear" w:color="auto" w:fill="FFFFFF"/>
          <w:lang w:val="zh-TW" w:eastAsia="zh-TW"/>
        </w:rPr>
        <w:t>手续费及佣金收入应根据信托公司在信托业务</w:t>
      </w:r>
      <w:r>
        <w:rPr>
          <w:rFonts w:hint="eastAsia" w:ascii="宋体" w:hAnsi="宋体" w:eastAsia="宋体" w:cs="宋体"/>
          <w:color w:val="000000"/>
          <w:kern w:val="0"/>
          <w:sz w:val="24"/>
          <w:shd w:val="clear" w:color="auto" w:fill="FFFFFF"/>
          <w:lang w:val="zh-TW"/>
        </w:rPr>
        <w:t>中</w:t>
      </w:r>
      <w:r>
        <w:rPr>
          <w:rFonts w:hint="eastAsia" w:ascii="宋体" w:hAnsi="宋体" w:eastAsia="宋体" w:cs="宋体"/>
          <w:color w:val="000000"/>
          <w:kern w:val="0"/>
          <w:sz w:val="24"/>
          <w:shd w:val="clear" w:color="auto" w:fill="FFFFFF"/>
          <w:lang w:val="zh-TW" w:eastAsia="zh-TW"/>
        </w:rPr>
        <w:t>发挥的作用</w:t>
      </w:r>
      <w:r>
        <w:rPr>
          <w:rFonts w:hint="eastAsia" w:ascii="宋体" w:hAnsi="宋体" w:eastAsia="宋体" w:cs="宋体"/>
          <w:color w:val="000000"/>
          <w:kern w:val="0"/>
          <w:sz w:val="24"/>
          <w:shd w:val="clear" w:color="auto" w:fill="FFFFFF"/>
          <w:lang w:val="zh-TW"/>
        </w:rPr>
        <w:t>、</w:t>
      </w:r>
      <w:r>
        <w:rPr>
          <w:rFonts w:hint="eastAsia" w:ascii="宋体" w:hAnsi="宋体" w:eastAsia="宋体" w:cs="宋体"/>
          <w:color w:val="000000"/>
          <w:kern w:val="0"/>
          <w:sz w:val="24"/>
          <w:shd w:val="clear" w:color="auto" w:fill="FFFFFF"/>
          <w:lang w:val="zh-TW" w:eastAsia="zh-TW"/>
        </w:rPr>
        <w:t>提供的服务和信托产品的创新能力等综合判断</w:t>
      </w:r>
      <w:r>
        <w:rPr>
          <w:rFonts w:hint="eastAsia" w:ascii="宋体" w:hAnsi="宋体" w:eastAsia="宋体" w:cs="宋体"/>
          <w:color w:val="000000"/>
          <w:kern w:val="0"/>
          <w:sz w:val="24"/>
          <w:shd w:val="clear" w:color="auto" w:fill="FFFFFF"/>
          <w:lang w:val="zh-TW"/>
        </w:rPr>
        <w:t>，宜</w:t>
      </w:r>
      <w:r>
        <w:rPr>
          <w:rFonts w:hint="eastAsia" w:ascii="宋体" w:hAnsi="宋体" w:eastAsia="宋体" w:cs="宋体"/>
          <w:color w:val="000000"/>
          <w:kern w:val="0"/>
          <w:sz w:val="24"/>
          <w:shd w:val="clear" w:color="auto" w:fill="FFFFFF"/>
          <w:lang w:val="zh-TW" w:eastAsia="zh-TW"/>
        </w:rPr>
        <w:t>通过合理预测信托资产规模和信托手续费费率，其中信托手续费率宜采用评估对象本身的费率</w:t>
      </w:r>
      <w:r>
        <w:rPr>
          <w:rFonts w:hint="eastAsia" w:ascii="宋体" w:hAnsi="宋体" w:eastAsia="宋体" w:cs="宋体"/>
          <w:color w:val="000000"/>
          <w:kern w:val="0"/>
          <w:sz w:val="24"/>
          <w:shd w:val="clear" w:color="auto" w:fill="FFFFFF"/>
          <w:lang w:val="zh-TW"/>
        </w:rPr>
        <w:t>（参见案例六）。</w:t>
      </w:r>
    </w:p>
    <w:p w14:paraId="75051C7D">
      <w:pPr>
        <w:shd w:val="clear" w:color="auto" w:fill="FFFFFF"/>
        <w:spacing w:line="440" w:lineRule="atLeast"/>
        <w:ind w:firstLine="482" w:firstLineChars="200"/>
        <w:rPr>
          <w:rFonts w:ascii="宋体" w:hAnsi="宋体" w:eastAsia="宋体" w:cs="宋体"/>
          <w:color w:val="000000"/>
          <w:kern w:val="0"/>
          <w:sz w:val="24"/>
          <w:shd w:val="clear" w:color="auto" w:fill="FFFFFF"/>
          <w:lang w:val="zh-TW"/>
        </w:rPr>
      </w:pPr>
      <w:r>
        <w:rPr>
          <w:rFonts w:hint="eastAsia" w:ascii="宋体" w:hAnsi="宋体" w:eastAsia="宋体" w:cs="宋体"/>
          <w:b/>
          <w:color w:val="000000"/>
          <w:kern w:val="0"/>
          <w:sz w:val="24"/>
          <w:shd w:val="clear" w:color="auto" w:fill="FFFFFF"/>
          <w:lang w:val="zh-TW"/>
        </w:rPr>
        <w:t>第十一条</w:t>
      </w:r>
      <w:r>
        <w:rPr>
          <w:rFonts w:hint="eastAsia" w:ascii="宋体" w:hAnsi="宋体" w:eastAsia="宋体" w:cs="宋体"/>
          <w:color w:val="000000"/>
          <w:kern w:val="0"/>
          <w:sz w:val="24"/>
          <w:shd w:val="clear" w:color="auto" w:fill="FFFFFF"/>
          <w:lang w:val="zh-TW"/>
        </w:rPr>
        <w:t>　</w:t>
      </w:r>
      <w:r>
        <w:rPr>
          <w:rFonts w:hint="eastAsia" w:ascii="宋体" w:hAnsi="宋体" w:eastAsia="宋体" w:cs="宋体"/>
          <w:color w:val="000000"/>
          <w:kern w:val="0"/>
          <w:sz w:val="24"/>
          <w:shd w:val="clear" w:color="auto" w:fill="FFFFFF"/>
          <w:lang w:val="zh-TW" w:eastAsia="zh-TW"/>
        </w:rPr>
        <w:t>金融企业的投资收益的预测宜根据资产配置规模和期望报酬率合理预测，其中投资收益的期望报酬率应注意与折现率中采用的股东期望报酬率之间的匹配关系。</w:t>
      </w:r>
    </w:p>
    <w:p w14:paraId="4A434DC5">
      <w:pPr>
        <w:shd w:val="clear" w:color="auto" w:fill="FFFFFF"/>
        <w:spacing w:line="440" w:lineRule="atLeast"/>
        <w:ind w:firstLine="482"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b/>
          <w:color w:val="000000"/>
          <w:kern w:val="0"/>
          <w:sz w:val="24"/>
          <w:shd w:val="clear" w:color="auto" w:fill="FFFFFF"/>
          <w:lang w:val="zh-TW"/>
        </w:rPr>
        <w:t>第十二条</w:t>
      </w:r>
      <w:r>
        <w:rPr>
          <w:rFonts w:hint="eastAsia" w:ascii="宋体" w:hAnsi="宋体" w:eastAsia="宋体" w:cs="宋体"/>
          <w:color w:val="000000"/>
          <w:kern w:val="0"/>
          <w:sz w:val="24"/>
          <w:shd w:val="clear" w:color="auto" w:fill="FFFFFF"/>
          <w:lang w:val="zh-TW"/>
        </w:rPr>
        <w:t>　</w:t>
      </w:r>
      <w:r>
        <w:rPr>
          <w:rFonts w:hint="eastAsia" w:ascii="宋体" w:hAnsi="宋体" w:eastAsia="宋体" w:cs="宋体"/>
          <w:color w:val="000000"/>
          <w:kern w:val="0"/>
          <w:sz w:val="24"/>
          <w:shd w:val="clear" w:color="auto" w:fill="FFFFFF"/>
          <w:lang w:val="zh-TW" w:eastAsia="zh-TW"/>
        </w:rPr>
        <w:t>金融企业的营业费用预测中，应考虑随着营业收入带来的费用必然增长。</w:t>
      </w:r>
    </w:p>
    <w:p w14:paraId="1822C532">
      <w:pPr>
        <w:shd w:val="clear" w:color="auto" w:fill="FFFFFF"/>
        <w:spacing w:line="440" w:lineRule="atLeast"/>
        <w:ind w:firstLine="480" w:firstLineChars="200"/>
        <w:rPr>
          <w:rFonts w:ascii="宋体" w:hAnsi="宋体" w:eastAsia="宋体" w:cs="宋体"/>
          <w:color w:val="000000"/>
          <w:kern w:val="0"/>
          <w:sz w:val="24"/>
          <w:shd w:val="clear" w:color="auto" w:fill="FFFFFF"/>
          <w:lang w:val="zh-TW"/>
        </w:rPr>
      </w:pPr>
      <w:r>
        <w:rPr>
          <w:rFonts w:hint="eastAsia" w:ascii="宋体" w:hAnsi="宋体" w:eastAsia="宋体" w:cs="宋体"/>
          <w:color w:val="000000"/>
          <w:kern w:val="0"/>
          <w:sz w:val="24"/>
          <w:shd w:val="clear" w:color="auto" w:fill="FFFFFF"/>
          <w:lang w:val="zh-TW" w:eastAsia="zh-TW"/>
        </w:rPr>
        <w:t>在费用预测中，可以根据企业的核算特点，分别固定性费用和变动性费用测算，其中人员费用应注意到人员数量与人均工资薪酬的匹配。同时应知悉同行业的平均水平。</w:t>
      </w:r>
      <w:r>
        <w:rPr>
          <w:rFonts w:hint="eastAsia" w:ascii="宋体" w:hAnsi="宋体" w:eastAsia="宋体" w:cs="宋体"/>
          <w:color w:val="000000"/>
          <w:kern w:val="0"/>
          <w:sz w:val="24"/>
          <w:shd w:val="clear" w:color="auto" w:fill="FFFFFF"/>
          <w:lang w:val="zh-TW"/>
        </w:rPr>
        <w:t>（参见案例七）</w:t>
      </w:r>
    </w:p>
    <w:p w14:paraId="3BF5F4E9">
      <w:pPr>
        <w:shd w:val="clear" w:color="auto" w:fill="FFFFFF"/>
        <w:spacing w:line="440" w:lineRule="atLeast"/>
        <w:ind w:firstLine="482" w:firstLineChars="200"/>
        <w:rPr>
          <w:rFonts w:ascii="宋体" w:hAnsi="宋体" w:eastAsia="宋体" w:cs="宋体"/>
          <w:color w:val="000000"/>
          <w:kern w:val="0"/>
          <w:sz w:val="24"/>
          <w:shd w:val="clear" w:color="auto" w:fill="FFFFFF"/>
          <w:lang w:val="zh-TW"/>
        </w:rPr>
      </w:pPr>
      <w:r>
        <w:rPr>
          <w:rFonts w:hint="eastAsia" w:ascii="宋体" w:hAnsi="宋体" w:eastAsia="宋体" w:cs="宋体"/>
          <w:b/>
          <w:color w:val="000000"/>
          <w:kern w:val="0"/>
          <w:sz w:val="24"/>
          <w:shd w:val="clear" w:color="auto" w:fill="FFFFFF"/>
          <w:lang w:val="zh-TW"/>
        </w:rPr>
        <w:t>第十三条</w:t>
      </w:r>
      <w:r>
        <w:rPr>
          <w:rFonts w:hint="eastAsia" w:ascii="宋体" w:hAnsi="宋体" w:eastAsia="宋体" w:cs="宋体"/>
          <w:color w:val="000000"/>
          <w:kern w:val="0"/>
          <w:sz w:val="24"/>
          <w:shd w:val="clear" w:color="auto" w:fill="FFFFFF"/>
          <w:lang w:val="zh-TW"/>
        </w:rPr>
        <w:t>　</w:t>
      </w:r>
      <w:r>
        <w:rPr>
          <w:rFonts w:hint="eastAsia" w:ascii="宋体" w:hAnsi="宋体" w:eastAsia="宋体" w:cs="宋体"/>
          <w:color w:val="000000"/>
          <w:kern w:val="0"/>
          <w:sz w:val="24"/>
          <w:shd w:val="clear" w:color="auto" w:fill="FFFFFF"/>
          <w:lang w:val="zh-TW" w:eastAsia="zh-TW"/>
        </w:rPr>
        <w:t>金融企业的资本性支出科目的预测应根据行业监管的要求逐年测算，特别注意监管中对于净资本的要求。如：根据银行业监督管理部门对银行的资本充足率的要求，预测银行的资本、净资本，并转化为净资产，体现在预测的资产负债表中。</w:t>
      </w:r>
    </w:p>
    <w:p w14:paraId="0D98D1A4">
      <w:pPr>
        <w:shd w:val="clear" w:color="auto" w:fill="FFFFFF"/>
        <w:spacing w:line="440" w:lineRule="atLeast"/>
        <w:ind w:firstLine="482"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b/>
          <w:color w:val="000000"/>
          <w:kern w:val="0"/>
          <w:sz w:val="24"/>
          <w:shd w:val="clear" w:color="auto" w:fill="FFFFFF"/>
          <w:lang w:val="zh-TW"/>
        </w:rPr>
        <w:t>第十四条</w:t>
      </w:r>
      <w:r>
        <w:rPr>
          <w:rFonts w:hint="eastAsia" w:ascii="宋体" w:hAnsi="宋体" w:eastAsia="宋体" w:cs="宋体"/>
          <w:color w:val="000000"/>
          <w:kern w:val="0"/>
          <w:sz w:val="24"/>
          <w:shd w:val="clear" w:color="auto" w:fill="FFFFFF"/>
          <w:lang w:val="zh-TW"/>
        </w:rPr>
        <w:t>　</w:t>
      </w:r>
      <w:r>
        <w:rPr>
          <w:rFonts w:hint="eastAsia" w:ascii="宋体" w:hAnsi="宋体" w:eastAsia="宋体" w:cs="宋体"/>
          <w:color w:val="000000"/>
          <w:kern w:val="0"/>
          <w:sz w:val="24"/>
          <w:shd w:val="clear" w:color="auto" w:fill="FFFFFF"/>
          <w:lang w:val="zh-TW" w:eastAsia="zh-TW"/>
        </w:rPr>
        <w:t>在金融控股公司的评估中，有两种思路可供选择。</w:t>
      </w:r>
    </w:p>
    <w:p w14:paraId="2245F09B">
      <w:pPr>
        <w:shd w:val="clear" w:color="auto" w:fill="FFFFFF"/>
        <w:spacing w:line="440" w:lineRule="atLeast"/>
        <w:ind w:firstLine="480" w:firstLineChars="200"/>
        <w:rPr>
          <w:rFonts w:ascii="宋体" w:hAnsi="宋体" w:eastAsia="宋体" w:cs="宋体"/>
          <w:color w:val="000000"/>
          <w:kern w:val="0"/>
          <w:sz w:val="24"/>
          <w:shd w:val="clear" w:color="auto" w:fill="FFFFFF"/>
          <w:lang w:val="zh-TW"/>
        </w:rPr>
      </w:pPr>
      <w:r>
        <w:rPr>
          <w:rFonts w:hint="eastAsia" w:ascii="宋体" w:hAnsi="宋体" w:eastAsia="宋体" w:cs="宋体"/>
          <w:color w:val="000000"/>
          <w:kern w:val="0"/>
          <w:sz w:val="24"/>
          <w:shd w:val="clear" w:color="auto" w:fill="FFFFFF"/>
          <w:lang w:val="zh-TW"/>
        </w:rPr>
        <w:t>第一种思路：以母公司报表为基础评估金融控股公司价值</w:t>
      </w:r>
    </w:p>
    <w:p w14:paraId="1B2A52AD">
      <w:pPr>
        <w:shd w:val="clear" w:color="auto" w:fill="FFFFFF"/>
        <w:spacing w:line="440" w:lineRule="atLeast"/>
        <w:ind w:firstLine="480" w:firstLineChars="200"/>
        <w:rPr>
          <w:rFonts w:ascii="宋体" w:hAnsi="宋体" w:eastAsia="宋体" w:cs="宋体"/>
          <w:color w:val="000000"/>
          <w:kern w:val="0"/>
          <w:sz w:val="24"/>
          <w:shd w:val="clear" w:color="auto" w:fill="FFFFFF"/>
          <w:lang w:val="zh-TW"/>
        </w:rPr>
      </w:pPr>
      <w:r>
        <w:rPr>
          <w:rFonts w:hint="eastAsia" w:ascii="宋体" w:hAnsi="宋体" w:eastAsia="宋体" w:cs="宋体"/>
          <w:color w:val="000000"/>
          <w:kern w:val="0"/>
          <w:sz w:val="24"/>
          <w:shd w:val="clear" w:color="auto" w:fill="FFFFFF"/>
          <w:lang w:val="zh-TW"/>
        </w:rPr>
        <w:t>在这种模式下，金融控股公司总部为管理性总部，为费用中心，发挥控股内部资源配置的作用。各子公司在总部的管理下根据业务范围独立经营，在收益法评估中，可以对金融控股企业母公司及各长投板块分别采用相应的收益法评估模型进行评估，将各长投板块评估值作为溢余资产加回。</w:t>
      </w:r>
    </w:p>
    <w:p w14:paraId="17FEF9F1">
      <w:pPr>
        <w:shd w:val="clear" w:color="auto" w:fill="FFFFFF"/>
        <w:spacing w:line="440" w:lineRule="atLeast"/>
        <w:ind w:firstLine="480" w:firstLineChars="200"/>
        <w:rPr>
          <w:rFonts w:ascii="宋体" w:hAnsi="宋体" w:eastAsia="宋体" w:cs="宋体"/>
          <w:color w:val="000000"/>
          <w:kern w:val="0"/>
          <w:sz w:val="24"/>
          <w:shd w:val="clear" w:color="auto" w:fill="FFFFFF"/>
          <w:lang w:val="zh-TW"/>
        </w:rPr>
      </w:pPr>
      <w:r>
        <w:rPr>
          <w:rFonts w:hint="eastAsia" w:ascii="宋体" w:hAnsi="宋体" w:eastAsia="宋体" w:cs="宋体"/>
          <w:color w:val="000000"/>
          <w:kern w:val="0"/>
          <w:sz w:val="24"/>
          <w:shd w:val="clear" w:color="auto" w:fill="FFFFFF"/>
          <w:lang w:val="zh-TW"/>
        </w:rPr>
        <w:t>各长投板块评估模型的参数确定参照以上相关内容介绍的方法进行。不同之处在于金融控股公司母公司的折现率，可参照各个板块所在行业上市公司的风险系数结合板块权重进行设定。权重的确定通常根据收入或者利润比重进行测算，不应以资产作为权重确定的依据。</w:t>
      </w:r>
    </w:p>
    <w:p w14:paraId="0FF9E4E5">
      <w:pPr>
        <w:shd w:val="clear" w:color="auto" w:fill="FFFFFF"/>
        <w:spacing w:line="440" w:lineRule="atLeast"/>
        <w:ind w:firstLine="480" w:firstLineChars="200"/>
        <w:rPr>
          <w:rFonts w:ascii="宋体" w:hAnsi="宋体" w:eastAsia="宋体" w:cs="宋体"/>
          <w:color w:val="000000"/>
          <w:kern w:val="0"/>
          <w:sz w:val="24"/>
          <w:shd w:val="clear" w:color="auto" w:fill="FFFFFF"/>
          <w:lang w:val="zh-TW"/>
        </w:rPr>
      </w:pPr>
      <w:r>
        <w:rPr>
          <w:rFonts w:hint="eastAsia" w:ascii="宋体" w:hAnsi="宋体" w:eastAsia="宋体" w:cs="宋体"/>
          <w:color w:val="000000"/>
          <w:kern w:val="0"/>
          <w:sz w:val="24"/>
          <w:shd w:val="clear" w:color="auto" w:fill="FFFFFF"/>
          <w:lang w:val="zh-TW"/>
        </w:rPr>
        <w:t>这种评估思路的优点是途径清晰，无需考虑剔除少数股东权益；缺点是金融控股企业各板块间的协同效应未能在估值中得到有效反映。</w:t>
      </w:r>
    </w:p>
    <w:p w14:paraId="44EC00C9">
      <w:pPr>
        <w:shd w:val="clear" w:color="auto" w:fill="FFFFFF"/>
        <w:spacing w:line="440" w:lineRule="atLeast"/>
        <w:ind w:firstLine="480" w:firstLineChars="200"/>
        <w:rPr>
          <w:rFonts w:ascii="宋体" w:hAnsi="宋体" w:eastAsia="宋体" w:cs="宋体"/>
          <w:color w:val="000000"/>
          <w:kern w:val="0"/>
          <w:sz w:val="24"/>
          <w:shd w:val="clear" w:color="auto" w:fill="FFFFFF"/>
          <w:lang w:val="zh-TW"/>
        </w:rPr>
      </w:pPr>
      <w:r>
        <w:rPr>
          <w:rFonts w:hint="eastAsia" w:ascii="宋体" w:hAnsi="宋体" w:eastAsia="宋体" w:cs="宋体"/>
          <w:color w:val="000000"/>
          <w:kern w:val="0"/>
          <w:sz w:val="24"/>
          <w:shd w:val="clear" w:color="auto" w:fill="FFFFFF"/>
          <w:lang w:val="zh-TW"/>
        </w:rPr>
        <w:t>第二种思路：以合并会计报表和分部报告为基础评估金融控股公司价值</w:t>
      </w:r>
    </w:p>
    <w:p w14:paraId="4E8015C6">
      <w:pPr>
        <w:shd w:val="clear" w:color="auto" w:fill="FFFFFF"/>
        <w:spacing w:line="440" w:lineRule="atLeast"/>
        <w:ind w:firstLine="480" w:firstLineChars="200"/>
        <w:rPr>
          <w:rFonts w:ascii="宋体" w:hAnsi="宋体" w:eastAsia="宋体" w:cs="宋体"/>
          <w:color w:val="000000"/>
          <w:kern w:val="0"/>
          <w:sz w:val="24"/>
          <w:shd w:val="clear" w:color="auto" w:fill="FFFFFF"/>
          <w:lang w:val="zh-TW"/>
        </w:rPr>
      </w:pPr>
      <w:r>
        <w:rPr>
          <w:rFonts w:hint="eastAsia" w:ascii="宋体" w:hAnsi="宋体" w:eastAsia="宋体" w:cs="宋体"/>
          <w:color w:val="000000"/>
          <w:kern w:val="0"/>
          <w:sz w:val="24"/>
          <w:shd w:val="clear" w:color="auto" w:fill="FFFFFF"/>
          <w:lang w:val="zh-TW"/>
        </w:rPr>
        <w:t>这种思路以金融控股企业合并利润表，分析合并口径的收入和成本构成，一般以合并审计报告中披露的分部报告信息作为预测基础，对各个板块业务类型逐一了解、分析，确定各个业务的收入和成本。这个过程和第一种思路中的途径近似。</w:t>
      </w:r>
    </w:p>
    <w:p w14:paraId="4E9FF0C3">
      <w:pPr>
        <w:shd w:val="clear" w:color="auto" w:fill="FFFFFF"/>
        <w:spacing w:line="440" w:lineRule="atLeast"/>
        <w:ind w:firstLine="480" w:firstLineChars="200"/>
        <w:rPr>
          <w:rFonts w:ascii="宋体" w:hAnsi="宋体" w:eastAsia="宋体" w:cs="宋体"/>
          <w:color w:val="000000"/>
          <w:kern w:val="0"/>
          <w:sz w:val="24"/>
          <w:shd w:val="clear" w:color="auto" w:fill="FFFFFF"/>
          <w:lang w:val="zh-TW"/>
        </w:rPr>
      </w:pPr>
      <w:r>
        <w:rPr>
          <w:rFonts w:hint="eastAsia" w:ascii="宋体" w:hAnsi="宋体" w:eastAsia="宋体" w:cs="宋体"/>
          <w:color w:val="000000"/>
          <w:kern w:val="0"/>
          <w:sz w:val="24"/>
          <w:shd w:val="clear" w:color="auto" w:fill="FFFFFF"/>
          <w:lang w:val="zh-TW"/>
        </w:rPr>
        <w:t>在管理费用和营业费用的预测中，需要就金融控股公司整体测算，考虑各个板块之间的协同性。</w:t>
      </w:r>
    </w:p>
    <w:p w14:paraId="30642B53">
      <w:pPr>
        <w:shd w:val="clear" w:color="auto" w:fill="FFFFFF"/>
        <w:spacing w:line="440" w:lineRule="atLeast"/>
        <w:ind w:firstLine="480" w:firstLineChars="200"/>
        <w:rPr>
          <w:rFonts w:ascii="宋体" w:hAnsi="宋体" w:eastAsia="宋体" w:cs="宋体"/>
          <w:color w:val="000000"/>
          <w:kern w:val="0"/>
          <w:sz w:val="24"/>
          <w:shd w:val="clear" w:color="auto" w:fill="FFFFFF"/>
          <w:lang w:val="zh-TW"/>
        </w:rPr>
      </w:pPr>
      <w:r>
        <w:rPr>
          <w:rFonts w:hint="eastAsia" w:ascii="宋体" w:hAnsi="宋体" w:eastAsia="宋体" w:cs="宋体"/>
          <w:color w:val="000000"/>
          <w:kern w:val="0"/>
          <w:sz w:val="24"/>
          <w:shd w:val="clear" w:color="auto" w:fill="FFFFFF"/>
          <w:lang w:val="zh-TW"/>
        </w:rPr>
        <w:t>这种评估思路的优点是能够在估值中反映板块间的协同效应。但是这种思路在操作中对于合并层面的所得税预测和少数股东损益的预测较为复杂。</w:t>
      </w:r>
    </w:p>
    <w:p w14:paraId="1AE487E5">
      <w:pPr>
        <w:shd w:val="clear" w:color="auto" w:fill="FFFFFF"/>
        <w:spacing w:line="440" w:lineRule="atLeast"/>
        <w:ind w:firstLine="480" w:firstLineChars="200"/>
        <w:rPr>
          <w:rFonts w:ascii="宋体" w:hAnsi="宋体" w:eastAsia="宋体" w:cs="宋体"/>
          <w:color w:val="000000"/>
          <w:kern w:val="0"/>
          <w:sz w:val="24"/>
          <w:shd w:val="clear" w:color="auto" w:fill="FFFFFF"/>
          <w:lang w:val="zh-TW"/>
        </w:rPr>
      </w:pPr>
      <w:r>
        <w:rPr>
          <w:rFonts w:hint="eastAsia" w:ascii="宋体" w:hAnsi="宋体" w:eastAsia="宋体" w:cs="宋体"/>
          <w:color w:val="000000"/>
          <w:kern w:val="0"/>
          <w:sz w:val="24"/>
          <w:shd w:val="clear" w:color="auto" w:fill="FFFFFF"/>
          <w:lang w:val="zh-TW"/>
        </w:rPr>
        <w:t>我国目前的所得税政策在很大程度上出现了与会计准则趋同的趋势，会计政策与所得税政策之间的时间性差异在会计准则下基本得到了解决，永久性差异未能得到解决，但是永久性差异对价值评估而言，比重较小，可以忽略不计。</w:t>
      </w:r>
    </w:p>
    <w:p w14:paraId="6A0D0175">
      <w:pPr>
        <w:shd w:val="clear" w:color="auto" w:fill="FFFFFF"/>
        <w:spacing w:line="440" w:lineRule="atLeast"/>
        <w:ind w:firstLine="480" w:firstLineChars="200"/>
        <w:rPr>
          <w:rFonts w:ascii="宋体" w:hAnsi="宋体" w:eastAsia="宋体" w:cs="宋体"/>
          <w:color w:val="000000"/>
          <w:kern w:val="0"/>
          <w:sz w:val="24"/>
          <w:shd w:val="clear" w:color="auto" w:fill="FFFFFF"/>
          <w:lang w:val="zh-TW"/>
        </w:rPr>
      </w:pPr>
      <w:r>
        <w:rPr>
          <w:rFonts w:hint="eastAsia" w:ascii="宋体" w:hAnsi="宋体" w:eastAsia="宋体" w:cs="宋体"/>
          <w:color w:val="000000"/>
          <w:kern w:val="0"/>
          <w:sz w:val="24"/>
          <w:shd w:val="clear" w:color="auto" w:fill="FFFFFF"/>
          <w:lang w:val="zh-TW"/>
        </w:rPr>
        <w:t>少数股东损益是按照各个子公司的公司章程规定，对利润分配形成的结果，由于金融控股公司对各专业公司持股比例可能存在差异，少数股东损益可以根据各公司盈利状况单独确定，加总确定少数股东损益，也可以假设股利分配政策与评估基准日一致，采取评估基准日少数股东损益与净利润的比例进行简化处理，也可以采取其他适当的方式评估。</w:t>
      </w:r>
    </w:p>
    <w:p w14:paraId="07F9157B">
      <w:pPr>
        <w:shd w:val="clear" w:color="auto" w:fill="FFFFFF"/>
        <w:spacing w:line="440" w:lineRule="atLeast"/>
        <w:ind w:firstLine="482" w:firstLineChars="200"/>
        <w:rPr>
          <w:rFonts w:ascii="宋体" w:hAnsi="宋体" w:eastAsia="宋体" w:cs="宋体"/>
          <w:b/>
          <w:sz w:val="24"/>
          <w:lang w:val="zh-TW"/>
        </w:rPr>
      </w:pPr>
      <w:r>
        <w:rPr>
          <w:rFonts w:hint="eastAsia" w:ascii="宋体" w:hAnsi="宋体" w:eastAsia="宋体" w:cs="宋体"/>
          <w:b/>
          <w:sz w:val="24"/>
          <w:lang w:val="zh-TW"/>
        </w:rPr>
        <w:t>四、折现率</w:t>
      </w:r>
    </w:p>
    <w:p w14:paraId="590D71C2">
      <w:pPr>
        <w:shd w:val="clear" w:color="auto" w:fill="FFFFFF"/>
        <w:spacing w:line="440" w:lineRule="atLeast"/>
        <w:ind w:firstLine="482"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b/>
          <w:color w:val="000000"/>
          <w:kern w:val="0"/>
          <w:sz w:val="24"/>
          <w:shd w:val="clear" w:color="auto" w:fill="FFFFFF"/>
          <w:lang w:val="zh-TW"/>
        </w:rPr>
        <w:t>第十五条</w:t>
      </w:r>
      <w:r>
        <w:rPr>
          <w:rFonts w:hint="eastAsia" w:ascii="宋体" w:hAnsi="宋体" w:eastAsia="宋体" w:cs="宋体"/>
          <w:color w:val="000000"/>
          <w:kern w:val="0"/>
          <w:sz w:val="24"/>
          <w:shd w:val="clear" w:color="auto" w:fill="FFFFFF"/>
          <w:lang w:val="zh-TW"/>
        </w:rPr>
        <w:t>　</w:t>
      </w:r>
      <w:r>
        <w:rPr>
          <w:rFonts w:hint="eastAsia" w:ascii="宋体" w:hAnsi="宋体" w:eastAsia="宋体" w:cs="宋体"/>
          <w:color w:val="000000"/>
          <w:kern w:val="0"/>
          <w:sz w:val="24"/>
          <w:shd w:val="clear" w:color="auto" w:fill="FFFFFF"/>
          <w:lang w:val="zh-TW" w:eastAsia="zh-TW"/>
        </w:rPr>
        <w:t>在股权自由现金流量折现模型中</w:t>
      </w:r>
      <w:r>
        <w:rPr>
          <w:rFonts w:hint="eastAsia" w:ascii="宋体" w:hAnsi="宋体" w:eastAsia="宋体" w:cs="宋体"/>
          <w:color w:val="000000"/>
          <w:kern w:val="0"/>
          <w:sz w:val="24"/>
          <w:shd w:val="clear" w:color="auto" w:fill="FFFFFF"/>
          <w:lang w:val="zh-TW"/>
        </w:rPr>
        <w:t>，可以</w:t>
      </w:r>
      <w:r>
        <w:rPr>
          <w:rFonts w:hint="eastAsia" w:ascii="宋体" w:hAnsi="宋体" w:eastAsia="宋体" w:cs="宋体"/>
          <w:color w:val="000000"/>
          <w:kern w:val="0"/>
          <w:sz w:val="24"/>
          <w:shd w:val="clear" w:color="auto" w:fill="FFFFFF"/>
          <w:lang w:val="zh-TW" w:eastAsia="zh-TW"/>
        </w:rPr>
        <w:t>采用资本资产定价模型（CAPM）等确定折现率。</w:t>
      </w:r>
    </w:p>
    <w:p w14:paraId="10B7991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object>
          <v:shape id="_x0000_i1032" o:spt="75" type="#_x0000_t75" style="height:18.85pt;width:129.15pt;" o:ole="t" filled="f" o:preferrelative="t" stroked="f" coordsize="21600,21600">
            <v:path/>
            <v:fill on="f" focussize="0,0"/>
            <v:stroke on="f" joinstyle="miter"/>
            <v:imagedata r:id="rId57" o:title=""/>
            <o:lock v:ext="edit" aspectratio="t"/>
            <w10:wrap type="none"/>
            <w10:anchorlock/>
          </v:shape>
          <o:OLEObject Type="Embed" ProgID="Equation.3" ShapeID="_x0000_i1032" DrawAspect="Content" ObjectID="_1468075732" r:id="rId56">
            <o:LockedField>false</o:LockedField>
          </o:OLEObject>
        </w:object>
      </w:r>
    </w:p>
    <w:p w14:paraId="63CCD5B1">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t>式中：</w:t>
      </w:r>
    </w:p>
    <w:p w14:paraId="7C6127C7">
      <w:pPr>
        <w:shd w:val="clear" w:color="auto" w:fill="FFFFFF"/>
        <w:spacing w:line="440" w:lineRule="atLeast"/>
        <w:ind w:firstLine="476" w:firstLineChars="200"/>
        <w:rPr>
          <w:rFonts w:ascii="宋体" w:hAnsi="宋体" w:eastAsia="宋体" w:cs="宋体"/>
          <w:color w:val="000000"/>
          <w:kern w:val="0"/>
          <w:sz w:val="24"/>
          <w:shd w:val="clear" w:color="auto" w:fill="FFFFFF"/>
          <w:lang w:val="zh-TW" w:eastAsia="zh-TW"/>
        </w:rPr>
      </w:pPr>
      <w:r>
        <w:rPr>
          <w:rFonts w:hint="eastAsia" w:ascii="仿宋" w:hAnsi="仿宋" w:eastAsia="仿宋" w:cs="仿宋"/>
          <w:spacing w:val="-1"/>
          <w:sz w:val="24"/>
          <w:lang w:val="zh-TW" w:eastAsia="zh-TW"/>
        </w:rPr>
        <w:t>r</w:t>
      </w:r>
      <w:r>
        <w:rPr>
          <w:rFonts w:hint="eastAsia" w:ascii="仿宋" w:hAnsi="仿宋" w:eastAsia="仿宋" w:cs="仿宋"/>
          <w:spacing w:val="-1"/>
          <w:sz w:val="24"/>
          <w:vertAlign w:val="subscript"/>
          <w:lang w:val="zh-TW" w:eastAsia="zh-TW"/>
        </w:rPr>
        <w:t>f</w:t>
      </w:r>
      <w:r>
        <w:rPr>
          <w:rFonts w:hint="eastAsia" w:ascii="宋体" w:hAnsi="宋体" w:eastAsia="宋体" w:cs="宋体"/>
          <w:color w:val="000000"/>
          <w:kern w:val="0"/>
          <w:sz w:val="24"/>
          <w:shd w:val="clear" w:color="auto" w:fill="FFFFFF"/>
          <w:lang w:val="zh-TW" w:eastAsia="zh-TW"/>
        </w:rPr>
        <w:t>：无风险报酬率；</w:t>
      </w:r>
    </w:p>
    <w:p w14:paraId="23A2C686">
      <w:pPr>
        <w:shd w:val="clear" w:color="auto" w:fill="FFFFFF"/>
        <w:spacing w:line="440" w:lineRule="atLeast"/>
        <w:ind w:firstLine="476" w:firstLineChars="200"/>
        <w:rPr>
          <w:rFonts w:ascii="宋体" w:hAnsi="宋体" w:eastAsia="宋体" w:cs="宋体"/>
          <w:color w:val="000000"/>
          <w:kern w:val="0"/>
          <w:sz w:val="24"/>
          <w:shd w:val="clear" w:color="auto" w:fill="FFFFFF"/>
          <w:lang w:val="zh-TW" w:eastAsia="zh-TW"/>
        </w:rPr>
      </w:pPr>
      <w:r>
        <w:rPr>
          <w:rFonts w:hint="eastAsia" w:ascii="仿宋" w:hAnsi="仿宋" w:eastAsia="仿宋" w:cs="仿宋"/>
          <w:spacing w:val="-1"/>
          <w:sz w:val="24"/>
          <w:lang w:val="zh-TW" w:eastAsia="zh-TW"/>
        </w:rPr>
        <w:t>r</w:t>
      </w:r>
      <w:r>
        <w:rPr>
          <w:rFonts w:hint="eastAsia" w:ascii="仿宋" w:hAnsi="仿宋" w:eastAsia="仿宋" w:cs="仿宋"/>
          <w:spacing w:val="-1"/>
          <w:sz w:val="24"/>
          <w:vertAlign w:val="subscript"/>
          <w:lang w:val="zh-TW" w:eastAsia="zh-TW"/>
        </w:rPr>
        <w:t>f</w:t>
      </w:r>
      <w:r>
        <w:rPr>
          <w:rFonts w:hint="eastAsia" w:ascii="宋体" w:hAnsi="宋体" w:eastAsia="宋体" w:cs="宋体"/>
          <w:color w:val="000000"/>
          <w:kern w:val="0"/>
          <w:sz w:val="24"/>
          <w:shd w:val="clear" w:color="auto" w:fill="FFFFFF"/>
          <w:lang w:val="zh-TW" w:eastAsia="zh-TW"/>
        </w:rPr>
        <w:t>：市场期望报酬率；</w:t>
      </w:r>
    </w:p>
    <w:p w14:paraId="5C099587">
      <w:pPr>
        <w:shd w:val="clear" w:color="auto" w:fill="FFFFFF"/>
        <w:spacing w:line="440" w:lineRule="atLeast"/>
        <w:ind w:firstLine="476" w:firstLineChars="200"/>
        <w:rPr>
          <w:rFonts w:ascii="宋体" w:hAnsi="宋体" w:eastAsia="宋体" w:cs="宋体"/>
          <w:color w:val="000000"/>
          <w:kern w:val="0"/>
          <w:sz w:val="24"/>
          <w:shd w:val="clear" w:color="auto" w:fill="FFFFFF"/>
          <w:lang w:val="zh-TW"/>
        </w:rPr>
      </w:pPr>
      <w:r>
        <w:rPr>
          <w:rFonts w:hint="eastAsia" w:ascii="仿宋" w:hAnsi="仿宋" w:eastAsia="仿宋" w:cs="仿宋"/>
          <w:spacing w:val="-1"/>
          <w:sz w:val="24"/>
          <w:lang w:val="zh-TW" w:eastAsia="zh-TW"/>
        </w:rPr>
        <w:t>β</w:t>
      </w:r>
      <w:r>
        <w:rPr>
          <w:rFonts w:hint="eastAsia" w:ascii="仿宋" w:hAnsi="仿宋" w:eastAsia="仿宋" w:cs="仿宋"/>
          <w:spacing w:val="-1"/>
          <w:sz w:val="24"/>
          <w:vertAlign w:val="subscript"/>
          <w:lang w:val="zh-TW" w:eastAsia="zh-TW"/>
        </w:rPr>
        <w:t>e</w:t>
      </w:r>
      <w:r>
        <w:rPr>
          <w:rFonts w:hint="eastAsia" w:ascii="宋体" w:hAnsi="宋体" w:eastAsia="宋体" w:cs="宋体"/>
          <w:color w:val="000000"/>
          <w:kern w:val="0"/>
          <w:sz w:val="24"/>
          <w:shd w:val="clear" w:color="auto" w:fill="FFFFFF"/>
          <w:lang w:val="zh-TW" w:eastAsia="zh-TW"/>
        </w:rPr>
        <w:t>：评估对象权益资本的预期市场风险系数；</w:t>
      </w:r>
    </w:p>
    <w:p w14:paraId="5C84FAFB">
      <w:pPr>
        <w:shd w:val="clear" w:color="auto" w:fill="FFFFFF"/>
        <w:spacing w:line="440" w:lineRule="atLeast"/>
        <w:ind w:firstLine="476" w:firstLineChars="200"/>
        <w:rPr>
          <w:rFonts w:ascii="宋体" w:hAnsi="宋体" w:eastAsia="宋体" w:cs="宋体"/>
          <w:color w:val="000000"/>
          <w:kern w:val="0"/>
          <w:sz w:val="24"/>
          <w:shd w:val="clear" w:color="auto" w:fill="FFFFFF"/>
          <w:lang w:val="zh-TW"/>
        </w:rPr>
      </w:pPr>
      <w:r>
        <w:rPr>
          <w:rFonts w:hint="eastAsia" w:ascii="仿宋" w:hAnsi="仿宋" w:eastAsia="仿宋" w:cs="仿宋"/>
          <w:spacing w:val="-1"/>
          <w:sz w:val="24"/>
          <w:lang w:val="zh-TW" w:eastAsia="zh-TW"/>
        </w:rPr>
        <w:t>r</w:t>
      </w:r>
      <w:r>
        <w:rPr>
          <w:rFonts w:hint="eastAsia" w:ascii="仿宋" w:hAnsi="仿宋" w:eastAsia="仿宋" w:cs="仿宋"/>
          <w:spacing w:val="-1"/>
          <w:sz w:val="24"/>
          <w:vertAlign w:val="subscript"/>
          <w:lang w:val="zh-TW" w:eastAsia="zh-TW"/>
        </w:rPr>
        <w:t>m</w:t>
      </w:r>
      <w:r>
        <w:rPr>
          <w:rFonts w:hint="eastAsia" w:ascii="仿宋" w:hAnsi="仿宋" w:eastAsia="仿宋" w:cs="仿宋"/>
          <w:spacing w:val="-1"/>
          <w:sz w:val="24"/>
          <w:vertAlign w:val="subscript"/>
          <w:lang w:val="zh-TW"/>
        </w:rPr>
        <w:t>-</w:t>
      </w:r>
      <w:r>
        <w:rPr>
          <w:rFonts w:hint="eastAsia" w:ascii="仿宋" w:hAnsi="仿宋" w:eastAsia="仿宋" w:cs="仿宋"/>
          <w:spacing w:val="-1"/>
          <w:sz w:val="24"/>
          <w:lang w:val="zh-TW" w:eastAsia="zh-TW"/>
        </w:rPr>
        <w:t xml:space="preserve"> r</w:t>
      </w:r>
      <w:r>
        <w:rPr>
          <w:rFonts w:hint="eastAsia" w:ascii="仿宋" w:hAnsi="仿宋" w:eastAsia="仿宋" w:cs="仿宋"/>
          <w:spacing w:val="-1"/>
          <w:sz w:val="24"/>
          <w:vertAlign w:val="subscript"/>
          <w:lang w:val="zh-TW" w:eastAsia="zh-TW"/>
        </w:rPr>
        <w:t>f</w:t>
      </w:r>
      <w:r>
        <w:rPr>
          <w:rFonts w:hint="eastAsia" w:ascii="宋体" w:hAnsi="宋体" w:eastAsia="宋体" w:cs="宋体"/>
          <w:color w:val="000000"/>
          <w:kern w:val="0"/>
          <w:sz w:val="24"/>
          <w:shd w:val="clear" w:color="auto" w:fill="FFFFFF"/>
          <w:lang w:val="zh-TW"/>
        </w:rPr>
        <w:t>：</w:t>
      </w:r>
      <w:r>
        <w:rPr>
          <w:rFonts w:hint="eastAsia" w:ascii="宋体" w:hAnsi="宋体" w:eastAsia="宋体" w:cs="宋体"/>
          <w:color w:val="000000"/>
          <w:kern w:val="0"/>
          <w:sz w:val="24"/>
          <w:shd w:val="clear" w:color="auto" w:fill="FFFFFF"/>
          <w:lang w:val="zh-TW" w:eastAsia="zh-TW"/>
        </w:rPr>
        <w:t>股权风险溢价</w:t>
      </w:r>
      <w:r>
        <w:rPr>
          <w:rFonts w:hint="eastAsia" w:ascii="宋体" w:hAnsi="宋体" w:eastAsia="宋体" w:cs="宋体"/>
          <w:color w:val="000000"/>
          <w:kern w:val="0"/>
          <w:sz w:val="24"/>
          <w:shd w:val="clear" w:color="auto" w:fill="FFFFFF"/>
          <w:lang w:val="zh-TW"/>
        </w:rPr>
        <w:t>；</w:t>
      </w:r>
    </w:p>
    <w:p w14:paraId="55A0E12C">
      <w:pPr>
        <w:shd w:val="clear" w:color="auto" w:fill="FFFFFF"/>
        <w:spacing w:line="440" w:lineRule="atLeast"/>
        <w:ind w:firstLine="476" w:firstLineChars="200"/>
        <w:rPr>
          <w:rFonts w:ascii="宋体" w:hAnsi="宋体" w:eastAsia="宋体" w:cs="宋体"/>
          <w:color w:val="000000"/>
          <w:kern w:val="0"/>
          <w:sz w:val="24"/>
          <w:shd w:val="clear" w:color="auto" w:fill="FFFFFF"/>
          <w:lang w:val="zh-TW"/>
        </w:rPr>
      </w:pPr>
      <w:r>
        <w:rPr>
          <w:rFonts w:hint="eastAsia" w:ascii="仿宋" w:hAnsi="仿宋" w:eastAsia="仿宋" w:cs="仿宋"/>
          <w:spacing w:val="-1"/>
          <w:sz w:val="24"/>
          <w:lang w:val="zh-TW" w:eastAsia="zh-TW"/>
        </w:rPr>
        <w:t>ε</w:t>
      </w:r>
      <w:r>
        <w:rPr>
          <w:rFonts w:hint="eastAsia" w:ascii="宋体" w:hAnsi="宋体" w:eastAsia="宋体" w:cs="宋体"/>
          <w:color w:val="000000"/>
          <w:kern w:val="0"/>
          <w:sz w:val="24"/>
          <w:shd w:val="clear" w:color="auto" w:fill="FFFFFF"/>
          <w:lang w:val="zh-TW" w:eastAsia="zh-TW"/>
        </w:rPr>
        <w:t>：评估对象特</w:t>
      </w:r>
      <w:r>
        <w:rPr>
          <w:rFonts w:hint="eastAsia" w:ascii="宋体" w:hAnsi="宋体" w:eastAsia="宋体" w:cs="宋体"/>
          <w:color w:val="000000"/>
          <w:kern w:val="0"/>
          <w:sz w:val="24"/>
          <w:shd w:val="clear" w:color="auto" w:fill="FFFFFF"/>
          <w:lang w:val="zh-TW"/>
        </w:rPr>
        <w:t>有</w:t>
      </w:r>
      <w:r>
        <w:rPr>
          <w:rFonts w:hint="eastAsia" w:ascii="宋体" w:hAnsi="宋体" w:eastAsia="宋体" w:cs="宋体"/>
          <w:color w:val="000000"/>
          <w:kern w:val="0"/>
          <w:sz w:val="24"/>
          <w:shd w:val="clear" w:color="auto" w:fill="FFFFFF"/>
          <w:lang w:val="zh-TW" w:eastAsia="zh-TW"/>
        </w:rPr>
        <w:t>风险调整系数。</w:t>
      </w:r>
    </w:p>
    <w:p w14:paraId="7DC77DF8">
      <w:pPr>
        <w:shd w:val="clear" w:color="auto" w:fill="FFFFFF"/>
        <w:spacing w:line="440" w:lineRule="atLeast"/>
        <w:ind w:firstLine="482" w:firstLineChars="200"/>
        <w:rPr>
          <w:rFonts w:ascii="宋体" w:hAnsi="宋体" w:eastAsia="宋体" w:cs="宋体"/>
          <w:color w:val="000000"/>
          <w:kern w:val="0"/>
          <w:sz w:val="24"/>
          <w:shd w:val="clear" w:color="auto" w:fill="FFFFFF"/>
          <w:lang w:val="zh-TW"/>
        </w:rPr>
      </w:pPr>
      <w:r>
        <w:rPr>
          <w:rFonts w:hint="eastAsia" w:ascii="宋体" w:hAnsi="宋体" w:eastAsia="宋体" w:cs="宋体"/>
          <w:b/>
          <w:color w:val="000000"/>
          <w:kern w:val="0"/>
          <w:sz w:val="24"/>
          <w:shd w:val="clear" w:color="auto" w:fill="FFFFFF"/>
          <w:lang w:val="zh-TW"/>
        </w:rPr>
        <w:t>第十六条</w:t>
      </w:r>
      <w:r>
        <w:rPr>
          <w:rFonts w:hint="eastAsia" w:ascii="宋体" w:hAnsi="宋体" w:eastAsia="宋体" w:cs="宋体"/>
          <w:color w:val="000000"/>
          <w:kern w:val="0"/>
          <w:sz w:val="24"/>
          <w:shd w:val="clear" w:color="auto" w:fill="FFFFFF"/>
          <w:lang w:val="zh-TW"/>
        </w:rPr>
        <w:t>　</w:t>
      </w:r>
      <w:r>
        <w:rPr>
          <w:rFonts w:hint="eastAsia" w:ascii="宋体" w:hAnsi="宋体" w:eastAsia="宋体" w:cs="宋体"/>
          <w:color w:val="000000"/>
          <w:kern w:val="0"/>
          <w:sz w:val="24"/>
          <w:shd w:val="clear" w:color="auto" w:fill="FFFFFF"/>
          <w:lang w:val="zh-TW" w:eastAsia="zh-TW"/>
        </w:rPr>
        <w:t>无风险报酬率应选择在距离评估基准日有效期在</w:t>
      </w:r>
      <w:r>
        <w:rPr>
          <w:rFonts w:hint="eastAsia" w:ascii="宋体" w:hAnsi="宋体" w:eastAsia="宋体" w:cs="宋体"/>
          <w:color w:val="000000"/>
          <w:kern w:val="0"/>
          <w:sz w:val="24"/>
          <w:shd w:val="clear" w:color="auto" w:fill="FFFFFF"/>
          <w:lang w:val="zh-TW"/>
        </w:rPr>
        <w:t>10年以上或者5年以上的国债到期收益率。</w:t>
      </w:r>
    </w:p>
    <w:p w14:paraId="7A25A40F">
      <w:pPr>
        <w:shd w:val="clear" w:color="auto" w:fill="FFFFFF"/>
        <w:spacing w:line="440" w:lineRule="atLeast"/>
        <w:ind w:firstLine="482"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b/>
          <w:color w:val="000000"/>
          <w:kern w:val="0"/>
          <w:sz w:val="24"/>
          <w:shd w:val="clear" w:color="auto" w:fill="FFFFFF"/>
          <w:lang w:val="zh-TW"/>
        </w:rPr>
        <w:t>第十七条</w:t>
      </w:r>
      <w:r>
        <w:rPr>
          <w:rFonts w:hint="eastAsia" w:ascii="宋体" w:hAnsi="宋体" w:eastAsia="宋体" w:cs="宋体"/>
          <w:color w:val="000000"/>
          <w:kern w:val="0"/>
          <w:sz w:val="24"/>
          <w:shd w:val="clear" w:color="auto" w:fill="FFFFFF"/>
          <w:lang w:val="zh-TW"/>
        </w:rPr>
        <w:t>　</w:t>
      </w:r>
      <w:r>
        <w:rPr>
          <w:rFonts w:hint="eastAsia" w:ascii="宋体" w:hAnsi="宋体" w:eastAsia="宋体" w:cs="宋体"/>
          <w:color w:val="000000"/>
          <w:kern w:val="0"/>
          <w:sz w:val="24"/>
          <w:shd w:val="clear" w:color="auto" w:fill="FFFFFF"/>
          <w:lang w:val="zh-TW" w:eastAsia="zh-TW"/>
        </w:rPr>
        <w:t>金融企业折现率中的贝塔值计算应注意基准日和未来预测期资本结构的影响，银行、证券、信托和保险公司多采用无杠杆贝塔，多元金融可以使用有杠杆贝塔值。</w:t>
      </w:r>
    </w:p>
    <w:p w14:paraId="31020EDE">
      <w:pPr>
        <w:shd w:val="clear" w:color="auto" w:fill="FFFFFF"/>
        <w:spacing w:line="440" w:lineRule="atLeast"/>
        <w:ind w:firstLine="480" w:firstLineChars="200"/>
        <w:rPr>
          <w:rFonts w:ascii="宋体" w:hAnsi="宋体" w:eastAsia="宋体" w:cs="宋体"/>
          <w:color w:val="000000"/>
          <w:kern w:val="0"/>
          <w:sz w:val="24"/>
          <w:shd w:val="clear" w:color="auto" w:fill="FFFFFF"/>
          <w:lang w:val="zh-TW"/>
        </w:rPr>
      </w:pPr>
      <w:r>
        <w:rPr>
          <w:rFonts w:hint="eastAsia" w:ascii="宋体" w:hAnsi="宋体" w:eastAsia="宋体" w:cs="宋体"/>
          <w:color w:val="000000"/>
          <w:kern w:val="0"/>
          <w:sz w:val="24"/>
          <w:shd w:val="clear" w:color="auto" w:fill="FFFFFF"/>
          <w:lang w:val="zh-TW" w:eastAsia="zh-TW"/>
        </w:rPr>
        <w:t>贝塔值计算应注意三个变量的选择</w:t>
      </w:r>
      <w:r>
        <w:rPr>
          <w:rFonts w:hint="eastAsia" w:ascii="宋体" w:hAnsi="宋体" w:eastAsia="宋体" w:cs="宋体"/>
          <w:color w:val="000000"/>
          <w:kern w:val="0"/>
          <w:sz w:val="24"/>
          <w:shd w:val="clear" w:color="auto" w:fill="FFFFFF"/>
          <w:lang w:val="zh-TW"/>
        </w:rPr>
        <w:t>：</w:t>
      </w:r>
    </w:p>
    <w:p w14:paraId="40E0F2BA">
      <w:pPr>
        <w:shd w:val="clear" w:color="auto" w:fill="FFFFFF"/>
        <w:spacing w:line="440" w:lineRule="atLeast"/>
        <w:ind w:firstLine="480" w:firstLineChars="200"/>
        <w:rPr>
          <w:rFonts w:ascii="宋体" w:hAnsi="宋体" w:eastAsia="宋体" w:cs="宋体"/>
          <w:color w:val="000000"/>
          <w:kern w:val="0"/>
          <w:sz w:val="24"/>
          <w:shd w:val="clear" w:color="auto" w:fill="FFFFFF"/>
          <w:lang w:val="zh-TW"/>
        </w:rPr>
      </w:pPr>
      <w:r>
        <w:rPr>
          <w:rFonts w:hint="eastAsia" w:ascii="宋体" w:hAnsi="宋体" w:eastAsia="宋体" w:cs="宋体"/>
          <w:color w:val="000000"/>
          <w:kern w:val="0"/>
          <w:sz w:val="24"/>
          <w:shd w:val="clear" w:color="auto" w:fill="FFFFFF"/>
          <w:lang w:val="zh-TW" w:eastAsia="zh-TW"/>
        </w:rPr>
        <w:t>作为市场近似的指数的选择</w:t>
      </w:r>
      <w:r>
        <w:rPr>
          <w:rFonts w:hint="eastAsia" w:ascii="宋体" w:hAnsi="宋体" w:eastAsia="宋体" w:cs="宋体"/>
          <w:color w:val="000000"/>
          <w:kern w:val="0"/>
          <w:sz w:val="24"/>
          <w:shd w:val="clear" w:color="auto" w:fill="FFFFFF"/>
          <w:lang w:val="zh-TW"/>
        </w:rPr>
        <w:t>：</w:t>
      </w:r>
      <w:r>
        <w:rPr>
          <w:rFonts w:hint="eastAsia" w:ascii="宋体" w:hAnsi="宋体" w:eastAsia="宋体" w:cs="宋体"/>
          <w:color w:val="000000"/>
          <w:kern w:val="0"/>
          <w:sz w:val="24"/>
          <w:shd w:val="clear" w:color="auto" w:fill="FFFFFF"/>
          <w:lang w:val="zh-TW" w:eastAsia="zh-TW"/>
        </w:rPr>
        <w:t>可以选取上证指数</w:t>
      </w:r>
      <w:r>
        <w:rPr>
          <w:rFonts w:hint="eastAsia" w:ascii="宋体" w:hAnsi="宋体" w:eastAsia="宋体" w:cs="宋体"/>
          <w:color w:val="000000"/>
          <w:kern w:val="0"/>
          <w:sz w:val="24"/>
          <w:shd w:val="clear" w:color="auto" w:fill="FFFFFF"/>
          <w:lang w:val="zh-TW"/>
        </w:rPr>
        <w:t>、</w:t>
      </w:r>
      <w:r>
        <w:rPr>
          <w:rFonts w:hint="eastAsia" w:ascii="宋体" w:hAnsi="宋体" w:eastAsia="宋体" w:cs="宋体"/>
          <w:color w:val="000000"/>
          <w:kern w:val="0"/>
          <w:sz w:val="24"/>
          <w:shd w:val="clear" w:color="auto" w:fill="FFFFFF"/>
          <w:lang w:val="zh-TW" w:eastAsia="zh-TW"/>
        </w:rPr>
        <w:t>深证成指</w:t>
      </w:r>
      <w:r>
        <w:rPr>
          <w:rFonts w:hint="eastAsia" w:ascii="宋体" w:hAnsi="宋体" w:eastAsia="宋体" w:cs="宋体"/>
          <w:color w:val="000000"/>
          <w:kern w:val="0"/>
          <w:sz w:val="24"/>
          <w:shd w:val="clear" w:color="auto" w:fill="FFFFFF"/>
          <w:lang w:val="zh-TW"/>
        </w:rPr>
        <w:t>、</w:t>
      </w:r>
      <w:r>
        <w:rPr>
          <w:rFonts w:hint="eastAsia" w:ascii="宋体" w:hAnsi="宋体" w:eastAsia="宋体" w:cs="宋体"/>
          <w:color w:val="000000"/>
          <w:kern w:val="0"/>
          <w:sz w:val="24"/>
          <w:shd w:val="clear" w:color="auto" w:fill="FFFFFF"/>
          <w:lang w:val="zh-TW" w:eastAsia="zh-TW"/>
        </w:rPr>
        <w:t>沪深</w:t>
      </w:r>
      <w:r>
        <w:rPr>
          <w:rFonts w:hint="eastAsia" w:ascii="宋体" w:hAnsi="宋体" w:eastAsia="宋体" w:cs="宋体"/>
          <w:color w:val="000000"/>
          <w:kern w:val="0"/>
          <w:sz w:val="24"/>
          <w:shd w:val="clear" w:color="auto" w:fill="FFFFFF"/>
          <w:lang w:val="zh-TW"/>
        </w:rPr>
        <w:t>300等指数；</w:t>
      </w:r>
    </w:p>
    <w:p w14:paraId="40D34439">
      <w:pPr>
        <w:shd w:val="clear" w:color="auto" w:fill="FFFFFF"/>
        <w:spacing w:line="440" w:lineRule="atLeast"/>
        <w:ind w:firstLine="480" w:firstLineChars="200"/>
        <w:rPr>
          <w:rFonts w:ascii="宋体" w:hAnsi="宋体" w:eastAsia="宋体" w:cs="宋体"/>
          <w:color w:val="000000"/>
          <w:kern w:val="0"/>
          <w:sz w:val="24"/>
          <w:shd w:val="clear" w:color="auto" w:fill="FFFFFF"/>
          <w:lang w:val="zh-TW"/>
        </w:rPr>
      </w:pPr>
      <w:r>
        <w:rPr>
          <w:rFonts w:hint="eastAsia" w:ascii="宋体" w:hAnsi="宋体" w:eastAsia="宋体" w:cs="宋体"/>
          <w:color w:val="000000"/>
          <w:kern w:val="0"/>
          <w:sz w:val="24"/>
          <w:shd w:val="clear" w:color="auto" w:fill="FFFFFF"/>
          <w:lang w:val="zh-TW" w:eastAsia="zh-TW"/>
        </w:rPr>
        <w:t>计算历史回报率的时间长度</w:t>
      </w:r>
      <w:r>
        <w:rPr>
          <w:rFonts w:hint="eastAsia" w:ascii="宋体" w:hAnsi="宋体" w:eastAsia="宋体" w:cs="宋体"/>
          <w:color w:val="000000"/>
          <w:kern w:val="0"/>
          <w:sz w:val="24"/>
          <w:shd w:val="clear" w:color="auto" w:fill="FFFFFF"/>
          <w:lang w:val="zh-TW"/>
        </w:rPr>
        <w:t>：</w:t>
      </w:r>
      <w:r>
        <w:rPr>
          <w:rFonts w:hint="eastAsia" w:ascii="宋体" w:hAnsi="宋体" w:eastAsia="宋体" w:cs="宋体"/>
          <w:color w:val="000000"/>
          <w:kern w:val="0"/>
          <w:sz w:val="24"/>
          <w:shd w:val="clear" w:color="auto" w:fill="FFFFFF"/>
          <w:lang w:val="zh-TW" w:eastAsia="zh-TW"/>
        </w:rPr>
        <w:t>一般</w:t>
      </w:r>
      <w:r>
        <w:rPr>
          <w:rFonts w:hint="eastAsia" w:ascii="宋体" w:hAnsi="宋体" w:eastAsia="宋体" w:cs="宋体"/>
          <w:color w:val="000000"/>
          <w:kern w:val="0"/>
          <w:sz w:val="24"/>
          <w:shd w:val="clear" w:color="auto" w:fill="FFFFFF"/>
          <w:lang w:val="zh-TW"/>
        </w:rPr>
        <w:t>5年是最常见的用于外推的历史期间；</w:t>
      </w:r>
    </w:p>
    <w:p w14:paraId="27486005">
      <w:pPr>
        <w:shd w:val="clear" w:color="auto" w:fill="FFFFFF"/>
        <w:spacing w:line="440" w:lineRule="atLeast"/>
        <w:ind w:firstLine="480" w:firstLineChars="200"/>
        <w:rPr>
          <w:rFonts w:ascii="宋体" w:hAnsi="宋体" w:eastAsia="宋体" w:cs="宋体"/>
          <w:color w:val="000000"/>
          <w:kern w:val="0"/>
          <w:sz w:val="24"/>
          <w:shd w:val="clear" w:color="auto" w:fill="FFFFFF"/>
          <w:lang w:val="zh-TW"/>
        </w:rPr>
      </w:pPr>
      <w:r>
        <w:rPr>
          <w:rFonts w:hint="eastAsia" w:ascii="宋体" w:hAnsi="宋体" w:eastAsia="宋体" w:cs="宋体"/>
          <w:color w:val="000000"/>
          <w:kern w:val="0"/>
          <w:sz w:val="24"/>
          <w:shd w:val="clear" w:color="auto" w:fill="FFFFFF"/>
          <w:lang w:val="zh-TW"/>
        </w:rPr>
        <w:t>回报率计算的周期：公开交易证券和市场回报的计量平度可以是每日、每周、每月、每季或者每年为基础。月度和周是使用频率较高的回报率计算周期。</w:t>
      </w:r>
    </w:p>
    <w:p w14:paraId="403E8692">
      <w:pPr>
        <w:shd w:val="clear" w:color="auto" w:fill="FFFFFF"/>
        <w:spacing w:line="440" w:lineRule="atLeast"/>
        <w:ind w:firstLine="482" w:firstLineChars="200"/>
        <w:rPr>
          <w:rFonts w:ascii="宋体" w:hAnsi="宋体" w:eastAsia="宋体" w:cs="宋体"/>
          <w:color w:val="000000"/>
          <w:kern w:val="0"/>
          <w:sz w:val="24"/>
          <w:shd w:val="clear" w:color="auto" w:fill="FFFFFF"/>
          <w:lang w:val="zh-TW"/>
        </w:rPr>
      </w:pPr>
      <w:r>
        <w:rPr>
          <w:rFonts w:hint="eastAsia" w:ascii="宋体" w:hAnsi="宋体" w:eastAsia="宋体" w:cs="宋体"/>
          <w:b/>
          <w:color w:val="000000"/>
          <w:kern w:val="0"/>
          <w:sz w:val="24"/>
          <w:shd w:val="clear" w:color="auto" w:fill="FFFFFF"/>
          <w:lang w:val="zh-TW"/>
        </w:rPr>
        <w:t>第十八条</w:t>
      </w:r>
      <w:r>
        <w:rPr>
          <w:rFonts w:hint="eastAsia" w:ascii="宋体" w:hAnsi="宋体" w:eastAsia="宋体" w:cs="宋体"/>
          <w:color w:val="000000"/>
          <w:kern w:val="0"/>
          <w:sz w:val="24"/>
          <w:shd w:val="clear" w:color="auto" w:fill="FFFFFF"/>
          <w:lang w:val="zh-TW"/>
        </w:rPr>
        <w:t>　股权风险溢价可以通过市场期望报酬率与无风险利率的差值来确定，也可以直接计算股权风险溢价。</w:t>
      </w:r>
    </w:p>
    <w:p w14:paraId="5522DB31">
      <w:pPr>
        <w:shd w:val="clear" w:color="auto" w:fill="FFFFFF"/>
        <w:spacing w:line="440" w:lineRule="atLeast"/>
        <w:ind w:firstLine="480" w:firstLineChars="200"/>
        <w:rPr>
          <w:rFonts w:ascii="宋体" w:hAnsi="宋体" w:eastAsia="宋体" w:cs="宋体"/>
          <w:color w:val="000000"/>
          <w:kern w:val="0"/>
          <w:sz w:val="24"/>
          <w:shd w:val="clear" w:color="auto" w:fill="FFFFFF"/>
          <w:lang w:val="zh-TW"/>
        </w:rPr>
      </w:pPr>
      <w:r>
        <w:rPr>
          <w:rFonts w:hint="eastAsia" w:ascii="宋体" w:hAnsi="宋体" w:eastAsia="宋体" w:cs="宋体"/>
          <w:color w:val="000000"/>
          <w:kern w:val="0"/>
          <w:sz w:val="24"/>
          <w:shd w:val="clear" w:color="auto" w:fill="FFFFFF"/>
          <w:lang w:val="zh-TW"/>
        </w:rPr>
        <w:t>股权风险溢价是在评估基准日无直接可观察市场报价时的一种预期，能够通过参考历史数据观测已实现的历史风险溢价，当这种风险溢价有偏差时，应进行适当调整。</w:t>
      </w:r>
    </w:p>
    <w:p w14:paraId="052C3C68">
      <w:pPr>
        <w:shd w:val="clear" w:color="auto" w:fill="FFFFFF"/>
        <w:spacing w:line="440" w:lineRule="atLeast"/>
        <w:ind w:firstLine="482" w:firstLineChars="200"/>
        <w:rPr>
          <w:rFonts w:ascii="宋体" w:hAnsi="宋体" w:eastAsia="宋体" w:cs="宋体"/>
          <w:color w:val="000000"/>
          <w:kern w:val="0"/>
          <w:sz w:val="24"/>
          <w:shd w:val="clear" w:color="auto" w:fill="FFFFFF"/>
          <w:lang w:val="zh-TW"/>
        </w:rPr>
      </w:pPr>
      <w:r>
        <w:rPr>
          <w:rFonts w:hint="eastAsia" w:ascii="宋体" w:hAnsi="宋体" w:eastAsia="宋体" w:cs="宋体"/>
          <w:b/>
          <w:color w:val="000000"/>
          <w:kern w:val="0"/>
          <w:sz w:val="24"/>
          <w:shd w:val="clear" w:color="auto" w:fill="FFFFFF"/>
          <w:lang w:val="zh-TW"/>
        </w:rPr>
        <w:t>第十九条</w:t>
      </w:r>
      <w:r>
        <w:rPr>
          <w:rFonts w:hint="eastAsia" w:ascii="宋体" w:hAnsi="宋体" w:eastAsia="宋体" w:cs="宋体"/>
          <w:color w:val="000000"/>
          <w:kern w:val="0"/>
          <w:sz w:val="24"/>
          <w:shd w:val="clear" w:color="auto" w:fill="FFFFFF"/>
          <w:lang w:val="zh-TW"/>
        </w:rPr>
        <w:t>　　特有风险系数反映评估对象在行业内竞争地位、公司特性等因素，说明评估对象与计算股权风险溢价的可比公司之间存在着差异。</w:t>
      </w:r>
    </w:p>
    <w:p w14:paraId="23459D97">
      <w:pPr>
        <w:shd w:val="clear" w:color="auto" w:fill="FFFFFF"/>
        <w:spacing w:line="440" w:lineRule="atLeast"/>
        <w:ind w:firstLine="482" w:firstLineChars="200"/>
        <w:rPr>
          <w:rFonts w:ascii="宋体" w:hAnsi="宋体" w:eastAsia="宋体" w:cs="宋体"/>
          <w:color w:val="000000"/>
          <w:kern w:val="0"/>
          <w:sz w:val="24"/>
          <w:shd w:val="clear" w:color="auto" w:fill="FFFFFF"/>
          <w:lang w:val="zh-TW"/>
        </w:rPr>
      </w:pPr>
      <w:r>
        <w:rPr>
          <w:rFonts w:hint="eastAsia" w:ascii="宋体" w:hAnsi="宋体" w:eastAsia="宋体" w:cs="宋体"/>
          <w:b/>
          <w:color w:val="000000"/>
          <w:kern w:val="0"/>
          <w:sz w:val="24"/>
          <w:shd w:val="clear" w:color="auto" w:fill="FFFFFF"/>
          <w:lang w:val="zh-TW"/>
        </w:rPr>
        <w:t>第二十条</w:t>
      </w:r>
      <w:r>
        <w:rPr>
          <w:rFonts w:hint="eastAsia" w:ascii="宋体" w:hAnsi="宋体" w:eastAsia="宋体" w:cs="宋体"/>
          <w:color w:val="000000"/>
          <w:kern w:val="0"/>
          <w:sz w:val="24"/>
          <w:shd w:val="clear" w:color="auto" w:fill="FFFFFF"/>
          <w:lang w:val="zh-TW"/>
        </w:rPr>
        <w:t>　</w:t>
      </w:r>
      <w:r>
        <w:rPr>
          <w:rFonts w:hint="eastAsia" w:ascii="宋体" w:hAnsi="宋体" w:eastAsia="宋体" w:cs="宋体"/>
          <w:color w:val="000000"/>
          <w:kern w:val="0"/>
          <w:sz w:val="24"/>
          <w:shd w:val="clear" w:color="auto" w:fill="FFFFFF"/>
          <w:lang w:val="zh-TW" w:eastAsia="zh-TW"/>
        </w:rPr>
        <w:t>在企业</w:t>
      </w:r>
      <w:r>
        <w:rPr>
          <w:rFonts w:hint="eastAsia" w:ascii="宋体" w:hAnsi="宋体" w:eastAsia="宋体" w:cs="宋体"/>
          <w:color w:val="000000"/>
          <w:kern w:val="0"/>
          <w:sz w:val="24"/>
          <w:shd w:val="clear" w:color="auto" w:fill="FFFFFF"/>
          <w:lang w:val="zh-TW"/>
        </w:rPr>
        <w:t>自由</w:t>
      </w:r>
      <w:r>
        <w:rPr>
          <w:rFonts w:hint="eastAsia" w:ascii="宋体" w:hAnsi="宋体" w:eastAsia="宋体" w:cs="宋体"/>
          <w:color w:val="000000"/>
          <w:kern w:val="0"/>
          <w:sz w:val="24"/>
          <w:shd w:val="clear" w:color="auto" w:fill="FFFFFF"/>
          <w:lang w:val="zh-TW" w:eastAsia="zh-TW"/>
        </w:rPr>
        <w:t>现金流量折现模型中，折现率应采取</w:t>
      </w:r>
      <w:r>
        <w:rPr>
          <w:rFonts w:hint="eastAsia" w:ascii="宋体" w:hAnsi="宋体" w:eastAsia="宋体" w:cs="宋体"/>
          <w:color w:val="000000"/>
          <w:kern w:val="0"/>
          <w:sz w:val="24"/>
          <w:shd w:val="clear" w:color="auto" w:fill="FFFFFF"/>
          <w:lang w:val="zh-TW"/>
        </w:rPr>
        <w:t>加权平均资本成本</w:t>
      </w:r>
      <w:r>
        <w:rPr>
          <w:rFonts w:hint="eastAsia" w:ascii="宋体" w:hAnsi="宋体" w:eastAsia="宋体" w:cs="宋体"/>
          <w:color w:val="000000"/>
          <w:kern w:val="0"/>
          <w:sz w:val="24"/>
          <w:shd w:val="clear" w:color="auto" w:fill="FFFFFF"/>
          <w:lang w:val="zh-TW" w:eastAsia="zh-TW"/>
        </w:rPr>
        <w:t>模型</w:t>
      </w:r>
      <w:r>
        <w:rPr>
          <w:rFonts w:hint="eastAsia" w:ascii="宋体" w:hAnsi="宋体" w:eastAsia="宋体" w:cs="宋体"/>
          <w:color w:val="000000"/>
          <w:kern w:val="0"/>
          <w:sz w:val="24"/>
          <w:shd w:val="clear" w:color="auto" w:fill="FFFFFF"/>
          <w:lang w:val="zh-TW"/>
        </w:rPr>
        <w:t>（WACC）</w:t>
      </w:r>
      <w:r>
        <w:rPr>
          <w:rFonts w:hint="eastAsia" w:ascii="宋体" w:hAnsi="宋体" w:eastAsia="宋体" w:cs="宋体"/>
          <w:color w:val="000000"/>
          <w:kern w:val="0"/>
          <w:sz w:val="24"/>
          <w:shd w:val="clear" w:color="auto" w:fill="FFFFFF"/>
          <w:lang w:val="zh-TW" w:eastAsia="zh-TW"/>
        </w:rPr>
        <w:t>确定</w:t>
      </w:r>
      <w:r>
        <w:rPr>
          <w:rFonts w:hint="eastAsia" w:ascii="宋体" w:hAnsi="宋体" w:eastAsia="宋体" w:cs="宋体"/>
          <w:color w:val="000000"/>
          <w:kern w:val="0"/>
          <w:sz w:val="24"/>
          <w:shd w:val="clear" w:color="auto" w:fill="FFFFFF"/>
          <w:lang w:val="zh-TW"/>
        </w:rPr>
        <w:t>。</w:t>
      </w:r>
      <w:r>
        <w:rPr>
          <w:rFonts w:hint="eastAsia" w:ascii="宋体" w:hAnsi="宋体" w:eastAsia="宋体" w:cs="宋体"/>
          <w:color w:val="000000"/>
          <w:kern w:val="0"/>
          <w:sz w:val="24"/>
          <w:shd w:val="clear" w:color="auto" w:fill="FFFFFF"/>
          <w:lang w:val="zh-TW" w:eastAsia="zh-TW"/>
        </w:rPr>
        <w:t>其中</w:t>
      </w:r>
      <w:r>
        <w:rPr>
          <w:rFonts w:hint="eastAsia" w:ascii="宋体" w:hAnsi="宋体" w:eastAsia="宋体" w:cs="宋体"/>
          <w:color w:val="000000"/>
          <w:kern w:val="0"/>
          <w:sz w:val="24"/>
          <w:shd w:val="clear" w:color="auto" w:fill="FFFFFF"/>
          <w:lang w:val="zh-TW"/>
        </w:rPr>
        <w:t>：</w:t>
      </w:r>
    </w:p>
    <w:p w14:paraId="55DF134E">
      <w:pPr>
        <w:shd w:val="clear" w:color="auto" w:fill="FFFFFF"/>
        <w:spacing w:line="440" w:lineRule="atLeast"/>
        <w:ind w:firstLine="480" w:firstLineChars="200"/>
        <w:rPr>
          <w:rFonts w:ascii="宋体" w:hAnsi="宋体" w:eastAsia="宋体" w:cs="宋体"/>
          <w:color w:val="000000"/>
          <w:kern w:val="0"/>
          <w:sz w:val="24"/>
          <w:shd w:val="clear" w:color="auto" w:fill="FFFFFF"/>
          <w:lang w:val="zh-TW"/>
        </w:rPr>
      </w:pPr>
      <w:r>
        <w:rPr>
          <w:rFonts w:hint="eastAsia" w:ascii="宋体" w:hAnsi="宋体" w:eastAsia="宋体" w:cs="宋体"/>
          <w:color w:val="000000"/>
          <w:kern w:val="0"/>
          <w:sz w:val="24"/>
          <w:shd w:val="clear" w:color="auto" w:fill="FFFFFF"/>
          <w:lang w:val="zh-TW" w:eastAsia="zh-TW"/>
        </w:rPr>
        <w:t>企业的资本结构宜根据预测期的资本结构动态确定</w:t>
      </w:r>
      <w:r>
        <w:rPr>
          <w:rFonts w:hint="eastAsia" w:ascii="宋体" w:hAnsi="宋体" w:eastAsia="宋体" w:cs="宋体"/>
          <w:color w:val="000000"/>
          <w:kern w:val="0"/>
          <w:sz w:val="24"/>
          <w:shd w:val="clear" w:color="auto" w:fill="FFFFFF"/>
          <w:lang w:val="zh-TW"/>
        </w:rPr>
        <w:t>；债务资本与权益资本的比例应以债务资本和权益资本的市场价值为基础。</w:t>
      </w:r>
    </w:p>
    <w:p w14:paraId="2DC950BC">
      <w:pPr>
        <w:shd w:val="clear" w:color="auto" w:fill="FFFFFF"/>
        <w:spacing w:line="440" w:lineRule="atLeast"/>
        <w:ind w:firstLine="482" w:firstLineChars="200"/>
        <w:rPr>
          <w:rFonts w:ascii="宋体" w:hAnsi="宋体" w:eastAsia="宋体" w:cs="宋体"/>
          <w:color w:val="000000"/>
          <w:kern w:val="0"/>
          <w:sz w:val="24"/>
          <w:shd w:val="clear" w:color="auto" w:fill="FFFFFF"/>
          <w:lang w:val="zh-TW"/>
        </w:rPr>
      </w:pPr>
      <w:r>
        <w:rPr>
          <w:rFonts w:hint="eastAsia" w:ascii="宋体" w:hAnsi="宋体" w:eastAsia="宋体" w:cs="宋体"/>
          <w:b/>
          <w:color w:val="000000"/>
          <w:kern w:val="0"/>
          <w:sz w:val="24"/>
          <w:shd w:val="clear" w:color="auto" w:fill="FFFFFF"/>
          <w:lang w:val="zh-TW"/>
        </w:rPr>
        <w:t>第二十一条</w:t>
      </w:r>
      <w:r>
        <w:rPr>
          <w:rFonts w:hint="eastAsia" w:ascii="宋体" w:hAnsi="宋体" w:eastAsia="宋体" w:cs="宋体"/>
          <w:color w:val="000000"/>
          <w:kern w:val="0"/>
          <w:sz w:val="24"/>
          <w:shd w:val="clear" w:color="auto" w:fill="FFFFFF"/>
          <w:lang w:val="zh-TW"/>
        </w:rPr>
        <w:t>　采用加权平均资本成本</w:t>
      </w:r>
      <w:r>
        <w:rPr>
          <w:rFonts w:hint="eastAsia" w:ascii="宋体" w:hAnsi="宋体" w:eastAsia="宋体" w:cs="宋体"/>
          <w:color w:val="000000"/>
          <w:kern w:val="0"/>
          <w:sz w:val="24"/>
          <w:shd w:val="clear" w:color="auto" w:fill="FFFFFF"/>
          <w:lang w:val="zh-TW" w:eastAsia="zh-TW"/>
        </w:rPr>
        <w:t>模型</w:t>
      </w:r>
      <w:r>
        <w:rPr>
          <w:rFonts w:hint="eastAsia" w:ascii="宋体" w:hAnsi="宋体" w:eastAsia="宋体" w:cs="宋体"/>
          <w:color w:val="000000"/>
          <w:kern w:val="0"/>
          <w:sz w:val="24"/>
          <w:shd w:val="clear" w:color="auto" w:fill="FFFFFF"/>
          <w:lang w:val="zh-TW"/>
        </w:rPr>
        <w:t>（WACC）确定的折现率在数值上通常应小于采取资本资产定价模型（CAPM）确定的折现率。</w:t>
      </w:r>
    </w:p>
    <w:p w14:paraId="1E9033D2">
      <w:pPr>
        <w:shd w:val="clear" w:color="auto" w:fill="FFFFFF"/>
        <w:spacing w:line="440" w:lineRule="atLeast"/>
        <w:ind w:firstLine="482" w:firstLineChars="200"/>
        <w:rPr>
          <w:rFonts w:ascii="宋体" w:hAnsi="宋体" w:eastAsia="宋体" w:cs="宋体"/>
          <w:b/>
          <w:sz w:val="24"/>
          <w:lang w:val="zh-TW" w:eastAsia="zh-TW"/>
        </w:rPr>
      </w:pPr>
      <w:r>
        <w:rPr>
          <w:rFonts w:hint="eastAsia" w:ascii="宋体" w:hAnsi="宋体" w:eastAsia="宋体" w:cs="宋体"/>
          <w:b/>
          <w:sz w:val="24"/>
          <w:lang w:val="zh-TW" w:eastAsia="zh-TW"/>
        </w:rPr>
        <w:t>五、评估报告的注意事项</w:t>
      </w:r>
    </w:p>
    <w:p w14:paraId="6992FD25">
      <w:pPr>
        <w:shd w:val="clear" w:color="auto" w:fill="FFFFFF"/>
        <w:spacing w:line="440" w:lineRule="atLeast"/>
        <w:ind w:firstLine="482" w:firstLineChars="200"/>
        <w:rPr>
          <w:rFonts w:ascii="宋体" w:hAnsi="宋体" w:eastAsia="宋体" w:cs="宋体"/>
          <w:color w:val="000000"/>
          <w:kern w:val="0"/>
          <w:sz w:val="24"/>
          <w:shd w:val="clear" w:color="auto" w:fill="FFFFFF"/>
          <w:lang w:val="zh-TW"/>
        </w:rPr>
      </w:pPr>
      <w:r>
        <w:rPr>
          <w:rFonts w:hint="eastAsia" w:ascii="宋体" w:hAnsi="宋体" w:eastAsia="宋体" w:cs="宋体"/>
          <w:b/>
          <w:color w:val="000000"/>
          <w:kern w:val="0"/>
          <w:sz w:val="24"/>
          <w:shd w:val="clear" w:color="auto" w:fill="FFFFFF"/>
          <w:lang w:val="zh-TW"/>
        </w:rPr>
        <w:t>第二十二条</w:t>
      </w:r>
      <w:r>
        <w:rPr>
          <w:rFonts w:hint="eastAsia" w:ascii="宋体" w:hAnsi="宋体" w:eastAsia="宋体" w:cs="宋体"/>
          <w:color w:val="000000"/>
          <w:kern w:val="0"/>
          <w:sz w:val="24"/>
          <w:shd w:val="clear" w:color="auto" w:fill="FFFFFF"/>
          <w:lang w:val="zh-TW"/>
        </w:rPr>
        <w:t>　</w:t>
      </w:r>
      <w:r>
        <w:rPr>
          <w:rFonts w:hint="eastAsia" w:ascii="宋体" w:hAnsi="宋体" w:eastAsia="宋体" w:cs="宋体"/>
          <w:color w:val="000000"/>
          <w:kern w:val="0"/>
          <w:sz w:val="24"/>
          <w:shd w:val="clear" w:color="auto" w:fill="FFFFFF"/>
          <w:lang w:val="zh-TW" w:eastAsia="zh-TW"/>
        </w:rPr>
        <w:t>金融企业的收益法评估结论可以采取区间值或者确定值形式。</w:t>
      </w:r>
    </w:p>
    <w:p w14:paraId="35175EC9">
      <w:pPr>
        <w:shd w:val="clear" w:color="auto" w:fill="FFFFFF"/>
        <w:spacing w:line="440" w:lineRule="atLeast"/>
        <w:ind w:firstLine="480" w:firstLineChars="200"/>
        <w:rPr>
          <w:rFonts w:ascii="宋体" w:hAnsi="宋体" w:eastAsia="宋体" w:cs="宋体"/>
          <w:color w:val="000000"/>
          <w:kern w:val="0"/>
          <w:sz w:val="24"/>
          <w:shd w:val="clear" w:color="auto" w:fill="FFFFFF"/>
          <w:lang w:val="zh-TW"/>
        </w:rPr>
      </w:pPr>
      <w:r>
        <w:rPr>
          <w:rFonts w:hint="eastAsia" w:ascii="宋体" w:hAnsi="宋体" w:eastAsia="宋体" w:cs="宋体"/>
          <w:color w:val="000000"/>
          <w:kern w:val="0"/>
          <w:sz w:val="24"/>
          <w:shd w:val="clear" w:color="auto" w:fill="FFFFFF"/>
          <w:lang w:val="zh-TW" w:eastAsia="zh-TW"/>
        </w:rPr>
        <w:t>在采取区间值形式的时候</w:t>
      </w:r>
      <w:r>
        <w:rPr>
          <w:rFonts w:hint="eastAsia" w:ascii="宋体" w:hAnsi="宋体" w:eastAsia="宋体" w:cs="宋体"/>
          <w:color w:val="000000"/>
          <w:kern w:val="0"/>
          <w:sz w:val="24"/>
          <w:shd w:val="clear" w:color="auto" w:fill="FFFFFF"/>
          <w:lang w:val="zh-TW"/>
        </w:rPr>
        <w:t>，</w:t>
      </w:r>
      <w:r>
        <w:rPr>
          <w:rFonts w:hint="eastAsia" w:ascii="宋体" w:hAnsi="宋体" w:eastAsia="宋体" w:cs="宋体"/>
          <w:color w:val="000000"/>
          <w:kern w:val="0"/>
          <w:sz w:val="24"/>
          <w:shd w:val="clear" w:color="auto" w:fill="FFFFFF"/>
          <w:lang w:val="zh-TW" w:eastAsia="zh-TW"/>
        </w:rPr>
        <w:t>区间值的确定应该是对影响评估结果的主要参数</w:t>
      </w:r>
      <w:r>
        <w:rPr>
          <w:rFonts w:hint="eastAsia" w:ascii="宋体" w:hAnsi="宋体" w:eastAsia="宋体" w:cs="宋体"/>
          <w:color w:val="000000"/>
          <w:kern w:val="0"/>
          <w:sz w:val="24"/>
          <w:shd w:val="clear" w:color="auto" w:fill="FFFFFF"/>
          <w:lang w:val="zh-TW"/>
        </w:rPr>
        <w:t>，</w:t>
      </w:r>
      <w:r>
        <w:rPr>
          <w:rFonts w:hint="eastAsia" w:ascii="宋体" w:hAnsi="宋体" w:eastAsia="宋体" w:cs="宋体"/>
          <w:color w:val="000000"/>
          <w:kern w:val="0"/>
          <w:sz w:val="24"/>
          <w:shd w:val="clear" w:color="auto" w:fill="FFFFFF"/>
          <w:lang w:val="zh-TW" w:eastAsia="zh-TW"/>
        </w:rPr>
        <w:t>如收入增长率</w:t>
      </w:r>
      <w:r>
        <w:rPr>
          <w:rFonts w:hint="eastAsia" w:ascii="宋体" w:hAnsi="宋体" w:eastAsia="宋体" w:cs="宋体"/>
          <w:color w:val="000000"/>
          <w:kern w:val="0"/>
          <w:sz w:val="24"/>
          <w:shd w:val="clear" w:color="auto" w:fill="FFFFFF"/>
          <w:lang w:val="zh-TW"/>
        </w:rPr>
        <w:t>、</w:t>
      </w:r>
      <w:r>
        <w:rPr>
          <w:rFonts w:hint="eastAsia" w:ascii="宋体" w:hAnsi="宋体" w:eastAsia="宋体" w:cs="宋体"/>
          <w:color w:val="000000"/>
          <w:kern w:val="0"/>
          <w:sz w:val="24"/>
          <w:shd w:val="clear" w:color="auto" w:fill="FFFFFF"/>
          <w:lang w:val="zh-TW" w:eastAsia="zh-TW"/>
        </w:rPr>
        <w:t>折现率</w:t>
      </w:r>
      <w:r>
        <w:rPr>
          <w:rFonts w:hint="eastAsia" w:ascii="宋体" w:hAnsi="宋体" w:eastAsia="宋体" w:cs="宋体"/>
          <w:color w:val="000000"/>
          <w:kern w:val="0"/>
          <w:sz w:val="24"/>
          <w:shd w:val="clear" w:color="auto" w:fill="FFFFFF"/>
          <w:lang w:val="zh-TW"/>
        </w:rPr>
        <w:t>、永续增长率等参数做敏感性分析的基础上形成。敏感性分析可以根据评估对象特点按照参数每变化0.5个单位，如折现率增加或减少0.5%进行分析。</w:t>
      </w:r>
    </w:p>
    <w:p w14:paraId="4BFE9C66">
      <w:pPr>
        <w:shd w:val="clear" w:color="auto" w:fill="FFFFFF"/>
        <w:spacing w:line="440" w:lineRule="atLeast"/>
        <w:ind w:firstLine="482"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b/>
          <w:color w:val="000000"/>
          <w:kern w:val="0"/>
          <w:sz w:val="24"/>
          <w:shd w:val="clear" w:color="auto" w:fill="FFFFFF"/>
          <w:lang w:val="zh-TW"/>
        </w:rPr>
        <w:t>第二十三条</w:t>
      </w:r>
      <w:r>
        <w:rPr>
          <w:rFonts w:hint="eastAsia" w:ascii="宋体" w:hAnsi="宋体" w:eastAsia="宋体" w:cs="宋体"/>
          <w:color w:val="000000"/>
          <w:kern w:val="0"/>
          <w:sz w:val="24"/>
          <w:shd w:val="clear" w:color="auto" w:fill="FFFFFF"/>
          <w:lang w:val="zh-TW"/>
        </w:rPr>
        <w:t>　</w:t>
      </w:r>
      <w:r>
        <w:rPr>
          <w:rFonts w:hint="eastAsia" w:ascii="宋体" w:hAnsi="宋体" w:eastAsia="宋体" w:cs="宋体"/>
          <w:color w:val="000000"/>
          <w:kern w:val="0"/>
          <w:sz w:val="24"/>
          <w:shd w:val="clear" w:color="auto" w:fill="FFFFFF"/>
          <w:lang w:val="zh-TW" w:eastAsia="zh-TW"/>
        </w:rPr>
        <w:t>在金融</w:t>
      </w:r>
      <w:r>
        <w:rPr>
          <w:rFonts w:hint="eastAsia" w:ascii="宋体" w:hAnsi="宋体" w:eastAsia="宋体" w:cs="宋体"/>
          <w:color w:val="000000"/>
          <w:kern w:val="0"/>
          <w:sz w:val="24"/>
          <w:shd w:val="clear" w:color="auto" w:fill="FFFFFF"/>
          <w:lang w:val="zh-TW"/>
        </w:rPr>
        <w:t>企业</w:t>
      </w:r>
      <w:r>
        <w:rPr>
          <w:rFonts w:hint="eastAsia" w:ascii="宋体" w:hAnsi="宋体" w:eastAsia="宋体" w:cs="宋体"/>
          <w:color w:val="000000"/>
          <w:kern w:val="0"/>
          <w:sz w:val="24"/>
          <w:shd w:val="clear" w:color="auto" w:fill="FFFFFF"/>
          <w:lang w:val="zh-TW" w:eastAsia="zh-TW"/>
        </w:rPr>
        <w:t>收益法评估报告中应披露评估假设和预测基准，如：银行的不良率，资本充足率，存贷比等指标；保险公司的费用率，投资收益品种和投资收益率等指标。</w:t>
      </w:r>
    </w:p>
    <w:p w14:paraId="68F371B2">
      <w:pPr>
        <w:shd w:val="clear" w:color="auto" w:fill="FFFFFF"/>
        <w:spacing w:line="440" w:lineRule="atLeast"/>
        <w:ind w:firstLine="482" w:firstLineChars="200"/>
        <w:rPr>
          <w:rFonts w:ascii="宋体" w:hAnsi="宋体" w:eastAsia="宋体" w:cs="宋体"/>
          <w:color w:val="000000"/>
          <w:kern w:val="0"/>
          <w:sz w:val="24"/>
          <w:shd w:val="clear" w:color="auto" w:fill="FFFFFF"/>
          <w:lang w:val="zh-TW"/>
        </w:rPr>
      </w:pPr>
      <w:r>
        <w:rPr>
          <w:rFonts w:hint="eastAsia" w:ascii="宋体" w:hAnsi="宋体" w:eastAsia="宋体" w:cs="宋体"/>
          <w:b/>
          <w:color w:val="000000"/>
          <w:kern w:val="0"/>
          <w:sz w:val="24"/>
          <w:shd w:val="clear" w:color="auto" w:fill="FFFFFF"/>
          <w:lang w:val="zh-TW"/>
        </w:rPr>
        <w:t>第二十四条</w:t>
      </w:r>
      <w:r>
        <w:rPr>
          <w:rFonts w:hint="eastAsia" w:ascii="宋体" w:hAnsi="宋体" w:eastAsia="宋体" w:cs="宋体"/>
          <w:color w:val="000000"/>
          <w:kern w:val="0"/>
          <w:sz w:val="24"/>
          <w:shd w:val="clear" w:color="auto" w:fill="FFFFFF"/>
          <w:lang w:val="zh-TW"/>
        </w:rPr>
        <w:t>　</w:t>
      </w:r>
      <w:r>
        <w:rPr>
          <w:rFonts w:hint="eastAsia" w:ascii="宋体" w:hAnsi="宋体" w:eastAsia="宋体" w:cs="宋体"/>
          <w:color w:val="000000"/>
          <w:kern w:val="0"/>
          <w:sz w:val="24"/>
          <w:shd w:val="clear" w:color="auto" w:fill="FFFFFF"/>
          <w:lang w:val="zh-TW" w:eastAsia="zh-TW"/>
        </w:rPr>
        <w:t>评估结论是否考虑了具有控制权溢价或者缺乏控制权折价，或快速变现对评估对象价值影响的，应当披露控制权溢价或缺乏控制权折价数值的测算过程及确定依据，并对相关差异进行分析说明</w:t>
      </w:r>
      <w:r>
        <w:rPr>
          <w:rFonts w:hint="eastAsia" w:ascii="宋体" w:hAnsi="宋体" w:eastAsia="宋体" w:cs="宋体"/>
          <w:color w:val="000000"/>
          <w:kern w:val="0"/>
          <w:sz w:val="24"/>
          <w:shd w:val="clear" w:color="auto" w:fill="FFFFFF"/>
          <w:lang w:val="zh-TW"/>
        </w:rPr>
        <w:t>。</w:t>
      </w:r>
    </w:p>
    <w:p w14:paraId="2125F633">
      <w:pPr>
        <w:shd w:val="clear" w:color="auto" w:fill="FFFFFF"/>
        <w:spacing w:line="440" w:lineRule="atLeast"/>
        <w:ind w:firstLine="482" w:firstLineChars="200"/>
        <w:rPr>
          <w:rFonts w:ascii="宋体" w:hAnsi="宋体" w:eastAsia="宋体" w:cs="宋体"/>
          <w:color w:val="000000"/>
          <w:kern w:val="0"/>
          <w:sz w:val="24"/>
          <w:shd w:val="clear" w:color="auto" w:fill="FFFFFF"/>
          <w:lang w:val="zh-TW"/>
        </w:rPr>
      </w:pPr>
      <w:r>
        <w:rPr>
          <w:rFonts w:hint="eastAsia" w:ascii="宋体" w:hAnsi="宋体" w:eastAsia="宋体" w:cs="宋体"/>
          <w:b/>
          <w:color w:val="000000"/>
          <w:kern w:val="0"/>
          <w:sz w:val="24"/>
          <w:shd w:val="clear" w:color="auto" w:fill="FFFFFF"/>
          <w:lang w:val="zh-TW"/>
        </w:rPr>
        <w:t>第二十五条</w:t>
      </w:r>
      <w:r>
        <w:rPr>
          <w:rFonts w:hint="eastAsia" w:ascii="宋体" w:hAnsi="宋体" w:eastAsia="宋体" w:cs="宋体"/>
          <w:color w:val="000000"/>
          <w:kern w:val="0"/>
          <w:sz w:val="24"/>
          <w:shd w:val="clear" w:color="auto" w:fill="FFFFFF"/>
          <w:lang w:val="zh-TW"/>
        </w:rPr>
        <w:t>　</w:t>
      </w:r>
      <w:r>
        <w:rPr>
          <w:rFonts w:hint="eastAsia" w:ascii="宋体" w:hAnsi="宋体" w:eastAsia="宋体" w:cs="宋体"/>
          <w:color w:val="000000"/>
          <w:kern w:val="0"/>
          <w:sz w:val="24"/>
          <w:shd w:val="clear" w:color="auto" w:fill="FFFFFF"/>
          <w:lang w:val="zh-TW" w:eastAsia="zh-TW"/>
        </w:rPr>
        <w:t>评估报告中应就未来收益预测是否考虑了通货膨胀的影响给予适当说明。</w:t>
      </w:r>
    </w:p>
    <w:p w14:paraId="09FCAC5D">
      <w:pPr>
        <w:shd w:val="clear" w:color="auto" w:fill="FFFFFF"/>
        <w:spacing w:line="440" w:lineRule="atLeast"/>
        <w:ind w:firstLine="480" w:firstLineChars="200"/>
        <w:rPr>
          <w:rFonts w:ascii="宋体" w:hAnsi="宋体" w:eastAsia="宋体" w:cs="宋体"/>
          <w:color w:val="000000"/>
          <w:kern w:val="0"/>
          <w:sz w:val="24"/>
          <w:shd w:val="clear" w:color="auto" w:fill="FFFFFF"/>
          <w:lang w:val="zh-TW"/>
        </w:rPr>
      </w:pPr>
      <w:r>
        <w:rPr>
          <w:rFonts w:hint="eastAsia" w:ascii="宋体" w:hAnsi="宋体" w:eastAsia="宋体" w:cs="宋体"/>
          <w:color w:val="000000"/>
          <w:kern w:val="0"/>
          <w:sz w:val="24"/>
          <w:shd w:val="clear" w:color="auto" w:fill="FFFFFF"/>
          <w:lang w:val="zh-TW"/>
        </w:rPr>
        <w:t>附：案例</w:t>
      </w:r>
    </w:p>
    <w:p w14:paraId="1903BFCE">
      <w:pPr>
        <w:shd w:val="clear" w:color="auto" w:fill="FFFFFF"/>
        <w:spacing w:line="440" w:lineRule="atLeast"/>
        <w:ind w:firstLine="480" w:firstLineChars="200"/>
        <w:rPr>
          <w:rFonts w:ascii="宋体" w:hAnsi="宋体" w:eastAsia="宋体" w:cs="宋体"/>
          <w:color w:val="000000"/>
          <w:kern w:val="0"/>
          <w:sz w:val="24"/>
          <w:shd w:val="clear" w:color="auto" w:fill="FFFFFF"/>
          <w:lang w:val="zh-TW" w:eastAsia="zh-TW"/>
        </w:rPr>
      </w:pPr>
      <w:r>
        <w:rPr>
          <w:rFonts w:hint="eastAsia" w:ascii="宋体" w:hAnsi="宋体" w:eastAsia="宋体" w:cs="宋体"/>
          <w:color w:val="000000"/>
          <w:kern w:val="0"/>
          <w:sz w:val="24"/>
          <w:shd w:val="clear" w:color="auto" w:fill="FFFFFF"/>
          <w:lang w:val="zh-TW" w:eastAsia="zh-TW"/>
        </w:rPr>
        <w:br w:type="page"/>
      </w:r>
    </w:p>
    <w:p w14:paraId="4ECE6888">
      <w:pPr>
        <w:spacing w:line="440" w:lineRule="atLeast"/>
        <w:rPr>
          <w:rFonts w:ascii="宋体" w:hAnsi="宋体" w:eastAsia="宋体" w:cs="宋体"/>
          <w:bCs/>
          <w:sz w:val="24"/>
          <w:lang w:val="zh-TW"/>
        </w:rPr>
      </w:pPr>
      <w:r>
        <w:rPr>
          <w:rFonts w:hint="eastAsia" w:ascii="宋体" w:hAnsi="宋体" w:eastAsia="宋体" w:cs="宋体"/>
          <w:bCs/>
          <w:sz w:val="24"/>
          <w:lang w:val="zh-TW"/>
        </w:rPr>
        <w:t>附：</w:t>
      </w:r>
    </w:p>
    <w:p w14:paraId="583651A5">
      <w:pPr>
        <w:shd w:val="clear" w:color="auto" w:fill="FFFFFF"/>
        <w:spacing w:line="440" w:lineRule="atLeast"/>
        <w:jc w:val="center"/>
        <w:rPr>
          <w:rFonts w:ascii="宋体" w:hAnsi="宋体" w:eastAsia="宋体" w:cs="宋体"/>
          <w:b/>
          <w:bCs/>
          <w:color w:val="000000"/>
          <w:kern w:val="0"/>
          <w:sz w:val="32"/>
          <w:szCs w:val="32"/>
          <w:shd w:val="clear" w:color="auto" w:fill="FFFFFF"/>
          <w:lang w:val="zh-TW"/>
        </w:rPr>
      </w:pPr>
      <w:r>
        <w:rPr>
          <w:rFonts w:hint="eastAsia" w:ascii="宋体" w:hAnsi="宋体" w:eastAsia="宋体" w:cs="宋体"/>
          <w:b/>
          <w:bCs/>
          <w:color w:val="000000"/>
          <w:kern w:val="0"/>
          <w:sz w:val="32"/>
          <w:szCs w:val="32"/>
          <w:shd w:val="clear" w:color="auto" w:fill="FFFFFF"/>
          <w:lang w:val="zh-TW"/>
        </w:rPr>
        <w:t>案例</w:t>
      </w:r>
    </w:p>
    <w:p w14:paraId="59D90746">
      <w:pPr>
        <w:shd w:val="clear" w:color="auto" w:fill="FFFFFF"/>
        <w:spacing w:line="440" w:lineRule="atLeast"/>
        <w:ind w:firstLine="482" w:firstLineChars="200"/>
        <w:rPr>
          <w:rFonts w:ascii="宋体" w:hAnsi="宋体" w:eastAsia="宋体" w:cs="宋体"/>
          <w:b/>
          <w:bCs/>
          <w:color w:val="000000"/>
          <w:kern w:val="0"/>
          <w:sz w:val="24"/>
          <w:shd w:val="clear" w:color="auto" w:fill="FFFFFF"/>
          <w:lang w:val="zh-TW" w:eastAsia="zh-TW"/>
        </w:rPr>
      </w:pPr>
      <w:r>
        <w:rPr>
          <w:rFonts w:hint="eastAsia" w:ascii="宋体" w:hAnsi="宋体" w:eastAsia="宋体" w:cs="宋体"/>
          <w:b/>
          <w:bCs/>
          <w:color w:val="000000"/>
          <w:kern w:val="0"/>
          <w:sz w:val="24"/>
          <w:shd w:val="clear" w:color="auto" w:fill="FFFFFF"/>
          <w:lang w:val="zh-TW" w:eastAsia="zh-TW"/>
        </w:rPr>
        <w:t>案例一：银行的资产负债表预测</w:t>
      </w:r>
    </w:p>
    <w:p w14:paraId="54550AE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从银行企业的盈利模式可以看出，存款是银行企业的利润来源，因此采用收益法评估时，首先对银行存款进行预测，进而根据存贷比率、存款准备金率对资产进行预测，然后根据各项生息资产和付息负债的收益率或付息率对损益表进行预测，最后对权益表和现金流表进行预测。</w:t>
      </w:r>
    </w:p>
    <w:p w14:paraId="16C4FC7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以xx银行为例对其资产负债表进行预测。</w:t>
      </w:r>
    </w:p>
    <w:p w14:paraId="631822A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1．从存款入手</w:t>
      </w:r>
    </w:p>
    <w:p w14:paraId="56F401E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存款是银行利润的来源，包括吸收公众存款和同业及其他金融机构存放款项。</w:t>
      </w:r>
    </w:p>
    <w:p w14:paraId="09F8FED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（1）吸收公众存款预测</w:t>
      </w:r>
    </w:p>
    <w:p w14:paraId="50639CB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xx银行20x3年存款平均余额为人民币149,795,300.00万元，较20x2年平均余额增加人民币21,467,800.00万元，增幅16.73%。根据国民经济发展趋势、国内银行业存款发展趋势、银行存款吸收计划、银行企业的市场份额等预测xx银行企业存款未来的规模。</w:t>
      </w:r>
    </w:p>
    <w:p w14:paraId="38917342">
      <w:pPr>
        <w:spacing w:line="440" w:lineRule="atLeast"/>
        <w:jc w:val="center"/>
        <w:rPr>
          <w:rFonts w:ascii="仿宋" w:hAnsi="仿宋" w:eastAsia="仿宋" w:cs="仿宋"/>
          <w:kern w:val="0"/>
          <w:sz w:val="24"/>
        </w:rPr>
      </w:pPr>
      <w:r>
        <w:rPr>
          <w:rFonts w:hint="eastAsia" w:ascii="仿宋" w:hAnsi="仿宋" w:eastAsia="仿宋" w:cs="仿宋"/>
          <w:kern w:val="0"/>
          <w:sz w:val="24"/>
        </w:rPr>
        <w:t>吸收存款规模预测表</w:t>
      </w:r>
    </w:p>
    <w:p w14:paraId="55D07FAC">
      <w:pPr>
        <w:spacing w:line="440" w:lineRule="atLeast"/>
        <w:ind w:firstLine="480" w:firstLineChars="200"/>
        <w:jc w:val="right"/>
        <w:rPr>
          <w:rFonts w:ascii="仿宋" w:hAnsi="仿宋" w:eastAsia="仿宋" w:cs="仿宋"/>
          <w:sz w:val="24"/>
        </w:rPr>
      </w:pPr>
      <w:r>
        <w:rPr>
          <w:rFonts w:hint="eastAsia" w:ascii="仿宋" w:hAnsi="仿宋" w:eastAsia="仿宋" w:cs="仿宋"/>
          <w:sz w:val="24"/>
        </w:rPr>
        <w:t>金额单位：人民币万元</w:t>
      </w:r>
    </w:p>
    <w:tbl>
      <w:tblPr>
        <w:tblStyle w:val="24"/>
        <w:tblW w:w="8522" w:type="dxa"/>
        <w:tblInd w:w="0" w:type="dxa"/>
        <w:tblLayout w:type="fixed"/>
        <w:tblCellMar>
          <w:top w:w="0" w:type="dxa"/>
          <w:left w:w="108" w:type="dxa"/>
          <w:bottom w:w="0" w:type="dxa"/>
          <w:right w:w="108" w:type="dxa"/>
        </w:tblCellMar>
      </w:tblPr>
      <w:tblGrid>
        <w:gridCol w:w="1615"/>
        <w:gridCol w:w="1382"/>
        <w:gridCol w:w="1382"/>
        <w:gridCol w:w="1382"/>
        <w:gridCol w:w="1382"/>
        <w:gridCol w:w="1379"/>
      </w:tblGrid>
      <w:tr w14:paraId="5C8A86D3">
        <w:tblPrEx>
          <w:tblCellMar>
            <w:top w:w="0" w:type="dxa"/>
            <w:left w:w="108" w:type="dxa"/>
            <w:bottom w:w="0" w:type="dxa"/>
            <w:right w:w="108" w:type="dxa"/>
          </w:tblCellMar>
        </w:tblPrEx>
        <w:trPr>
          <w:trHeight w:val="285" w:hRule="atLeast"/>
        </w:trPr>
        <w:tc>
          <w:tcPr>
            <w:tcW w:w="1615" w:type="dxa"/>
            <w:tcBorders>
              <w:top w:val="single" w:color="auto" w:sz="8" w:space="0"/>
              <w:left w:val="single" w:color="auto" w:sz="8" w:space="0"/>
              <w:bottom w:val="single" w:color="auto" w:sz="4" w:space="0"/>
              <w:right w:val="single" w:color="auto" w:sz="4" w:space="0"/>
            </w:tcBorders>
            <w:vAlign w:val="center"/>
          </w:tcPr>
          <w:p w14:paraId="4C4484DA">
            <w:pPr>
              <w:spacing w:line="440" w:lineRule="atLeast"/>
              <w:jc w:val="center"/>
              <w:rPr>
                <w:rFonts w:ascii="仿宋" w:hAnsi="仿宋" w:eastAsia="仿宋" w:cs="仿宋"/>
                <w:b/>
                <w:bCs/>
                <w:kern w:val="0"/>
                <w:sz w:val="24"/>
              </w:rPr>
            </w:pPr>
            <w:r>
              <w:rPr>
                <w:rFonts w:hint="eastAsia" w:ascii="仿宋" w:hAnsi="仿宋" w:eastAsia="仿宋" w:cs="仿宋"/>
                <w:b/>
                <w:bCs/>
                <w:kern w:val="0"/>
                <w:sz w:val="24"/>
              </w:rPr>
              <w:t>项目</w:t>
            </w:r>
          </w:p>
        </w:tc>
        <w:tc>
          <w:tcPr>
            <w:tcW w:w="1382" w:type="dxa"/>
            <w:tcBorders>
              <w:top w:val="single" w:color="auto" w:sz="4" w:space="0"/>
              <w:left w:val="nil"/>
              <w:bottom w:val="single" w:color="auto" w:sz="4" w:space="0"/>
              <w:right w:val="single" w:color="auto" w:sz="4" w:space="0"/>
            </w:tcBorders>
            <w:vAlign w:val="center"/>
          </w:tcPr>
          <w:p w14:paraId="20503D3B">
            <w:pPr>
              <w:spacing w:line="440" w:lineRule="atLeast"/>
              <w:jc w:val="center"/>
              <w:rPr>
                <w:rFonts w:ascii="仿宋" w:hAnsi="仿宋" w:eastAsia="仿宋" w:cs="仿宋"/>
                <w:b/>
                <w:kern w:val="0"/>
                <w:sz w:val="24"/>
              </w:rPr>
            </w:pPr>
            <w:r>
              <w:rPr>
                <w:rFonts w:hint="eastAsia" w:ascii="仿宋" w:hAnsi="仿宋" w:eastAsia="仿宋" w:cs="仿宋"/>
                <w:b/>
                <w:kern w:val="0"/>
                <w:sz w:val="24"/>
              </w:rPr>
              <w:t>20x4年</w:t>
            </w:r>
          </w:p>
        </w:tc>
        <w:tc>
          <w:tcPr>
            <w:tcW w:w="1382" w:type="dxa"/>
            <w:tcBorders>
              <w:top w:val="single" w:color="auto" w:sz="4" w:space="0"/>
              <w:left w:val="nil"/>
              <w:bottom w:val="single" w:color="auto" w:sz="4" w:space="0"/>
              <w:right w:val="single" w:color="auto" w:sz="4" w:space="0"/>
            </w:tcBorders>
            <w:vAlign w:val="center"/>
          </w:tcPr>
          <w:p w14:paraId="09723E7C">
            <w:pPr>
              <w:spacing w:line="440" w:lineRule="atLeast"/>
              <w:jc w:val="center"/>
              <w:rPr>
                <w:rFonts w:ascii="仿宋" w:hAnsi="仿宋" w:eastAsia="仿宋" w:cs="仿宋"/>
                <w:b/>
                <w:kern w:val="0"/>
                <w:sz w:val="24"/>
              </w:rPr>
            </w:pPr>
            <w:r>
              <w:rPr>
                <w:rFonts w:hint="eastAsia" w:ascii="仿宋" w:hAnsi="仿宋" w:eastAsia="仿宋" w:cs="仿宋"/>
                <w:b/>
                <w:kern w:val="0"/>
                <w:sz w:val="24"/>
              </w:rPr>
              <w:t>20x5年</w:t>
            </w:r>
          </w:p>
        </w:tc>
        <w:tc>
          <w:tcPr>
            <w:tcW w:w="1382" w:type="dxa"/>
            <w:tcBorders>
              <w:top w:val="single" w:color="auto" w:sz="4" w:space="0"/>
              <w:left w:val="nil"/>
              <w:bottom w:val="single" w:color="auto" w:sz="4" w:space="0"/>
              <w:right w:val="single" w:color="auto" w:sz="4" w:space="0"/>
            </w:tcBorders>
            <w:vAlign w:val="center"/>
          </w:tcPr>
          <w:p w14:paraId="5325B38A">
            <w:pPr>
              <w:spacing w:line="440" w:lineRule="atLeast"/>
              <w:jc w:val="center"/>
              <w:rPr>
                <w:rFonts w:ascii="仿宋" w:hAnsi="仿宋" w:eastAsia="仿宋" w:cs="仿宋"/>
                <w:b/>
                <w:kern w:val="0"/>
                <w:sz w:val="24"/>
              </w:rPr>
            </w:pPr>
            <w:r>
              <w:rPr>
                <w:rFonts w:hint="eastAsia" w:ascii="仿宋" w:hAnsi="仿宋" w:eastAsia="仿宋" w:cs="仿宋"/>
                <w:b/>
                <w:kern w:val="0"/>
                <w:sz w:val="24"/>
              </w:rPr>
              <w:t>20x6年</w:t>
            </w:r>
          </w:p>
        </w:tc>
        <w:tc>
          <w:tcPr>
            <w:tcW w:w="1382" w:type="dxa"/>
            <w:tcBorders>
              <w:top w:val="single" w:color="auto" w:sz="4" w:space="0"/>
              <w:left w:val="nil"/>
              <w:bottom w:val="single" w:color="auto" w:sz="4" w:space="0"/>
              <w:right w:val="single" w:color="auto" w:sz="4" w:space="0"/>
            </w:tcBorders>
            <w:vAlign w:val="center"/>
          </w:tcPr>
          <w:p w14:paraId="236054A1">
            <w:pPr>
              <w:spacing w:line="440" w:lineRule="atLeast"/>
              <w:jc w:val="center"/>
              <w:rPr>
                <w:rFonts w:ascii="仿宋" w:hAnsi="仿宋" w:eastAsia="仿宋" w:cs="仿宋"/>
                <w:b/>
                <w:kern w:val="0"/>
                <w:sz w:val="24"/>
              </w:rPr>
            </w:pPr>
            <w:r>
              <w:rPr>
                <w:rFonts w:hint="eastAsia" w:ascii="仿宋" w:hAnsi="仿宋" w:eastAsia="仿宋" w:cs="仿宋"/>
                <w:b/>
                <w:kern w:val="0"/>
                <w:sz w:val="24"/>
              </w:rPr>
              <w:t>20x7年</w:t>
            </w:r>
          </w:p>
        </w:tc>
        <w:tc>
          <w:tcPr>
            <w:tcW w:w="1379" w:type="dxa"/>
            <w:tcBorders>
              <w:top w:val="single" w:color="auto" w:sz="4" w:space="0"/>
              <w:left w:val="nil"/>
              <w:bottom w:val="single" w:color="auto" w:sz="4" w:space="0"/>
              <w:right w:val="single" w:color="auto" w:sz="4" w:space="0"/>
            </w:tcBorders>
            <w:vAlign w:val="center"/>
          </w:tcPr>
          <w:p w14:paraId="0D55D7B2">
            <w:pPr>
              <w:spacing w:line="440" w:lineRule="atLeast"/>
              <w:jc w:val="center"/>
              <w:rPr>
                <w:rFonts w:ascii="仿宋" w:hAnsi="仿宋" w:eastAsia="仿宋" w:cs="仿宋"/>
                <w:b/>
                <w:kern w:val="0"/>
                <w:sz w:val="24"/>
              </w:rPr>
            </w:pPr>
            <w:r>
              <w:rPr>
                <w:rFonts w:hint="eastAsia" w:ascii="仿宋" w:hAnsi="仿宋" w:eastAsia="仿宋" w:cs="仿宋"/>
                <w:b/>
                <w:kern w:val="0"/>
                <w:sz w:val="24"/>
              </w:rPr>
              <w:t>20x8年</w:t>
            </w:r>
          </w:p>
        </w:tc>
      </w:tr>
      <w:tr w14:paraId="17AE0889">
        <w:tblPrEx>
          <w:tblCellMar>
            <w:top w:w="0" w:type="dxa"/>
            <w:left w:w="108" w:type="dxa"/>
            <w:bottom w:w="0" w:type="dxa"/>
            <w:right w:w="108" w:type="dxa"/>
          </w:tblCellMar>
        </w:tblPrEx>
        <w:trPr>
          <w:trHeight w:val="285" w:hRule="atLeast"/>
        </w:trPr>
        <w:tc>
          <w:tcPr>
            <w:tcW w:w="1615" w:type="dxa"/>
            <w:tcBorders>
              <w:top w:val="single" w:color="auto" w:sz="4" w:space="0"/>
              <w:left w:val="single" w:color="auto" w:sz="8" w:space="0"/>
              <w:bottom w:val="single" w:color="auto" w:sz="4" w:space="0"/>
              <w:right w:val="single" w:color="auto" w:sz="4" w:space="0"/>
            </w:tcBorders>
            <w:vAlign w:val="center"/>
          </w:tcPr>
          <w:p w14:paraId="6864B98A">
            <w:pPr>
              <w:spacing w:line="440" w:lineRule="atLeast"/>
              <w:jc w:val="center"/>
              <w:rPr>
                <w:rFonts w:ascii="仿宋" w:hAnsi="仿宋" w:eastAsia="仿宋" w:cs="仿宋"/>
                <w:bCs/>
                <w:kern w:val="0"/>
                <w:sz w:val="24"/>
              </w:rPr>
            </w:pPr>
            <w:r>
              <w:rPr>
                <w:rFonts w:hint="eastAsia" w:ascii="仿宋" w:hAnsi="仿宋" w:eastAsia="仿宋" w:cs="仿宋"/>
                <w:bCs/>
                <w:kern w:val="0"/>
                <w:sz w:val="24"/>
              </w:rPr>
              <w:t>存款期末规模</w:t>
            </w:r>
          </w:p>
        </w:tc>
        <w:tc>
          <w:tcPr>
            <w:tcW w:w="1382" w:type="dxa"/>
            <w:tcBorders>
              <w:top w:val="nil"/>
              <w:left w:val="nil"/>
              <w:bottom w:val="single" w:color="auto" w:sz="4" w:space="0"/>
              <w:right w:val="single" w:color="auto" w:sz="4" w:space="0"/>
            </w:tcBorders>
            <w:vAlign w:val="center"/>
          </w:tcPr>
          <w:p w14:paraId="4F521F45">
            <w:pPr>
              <w:spacing w:line="440" w:lineRule="atLeast"/>
              <w:jc w:val="right"/>
              <w:rPr>
                <w:rFonts w:ascii="仿宋" w:hAnsi="仿宋" w:eastAsia="仿宋" w:cs="仿宋"/>
                <w:kern w:val="0"/>
                <w:sz w:val="24"/>
              </w:rPr>
            </w:pPr>
            <w:r>
              <w:rPr>
                <w:rFonts w:hint="eastAsia" w:ascii="仿宋" w:hAnsi="仿宋" w:eastAsia="仿宋" w:cs="仿宋"/>
                <w:kern w:val="0"/>
                <w:sz w:val="24"/>
              </w:rPr>
              <w:t>176,480,100.00</w:t>
            </w:r>
          </w:p>
        </w:tc>
        <w:tc>
          <w:tcPr>
            <w:tcW w:w="1382" w:type="dxa"/>
            <w:tcBorders>
              <w:top w:val="nil"/>
              <w:left w:val="nil"/>
              <w:bottom w:val="single" w:color="auto" w:sz="4" w:space="0"/>
              <w:right w:val="single" w:color="auto" w:sz="4" w:space="0"/>
            </w:tcBorders>
            <w:vAlign w:val="center"/>
          </w:tcPr>
          <w:p w14:paraId="2927B8BA">
            <w:pPr>
              <w:spacing w:line="440" w:lineRule="atLeast"/>
              <w:jc w:val="right"/>
              <w:rPr>
                <w:rFonts w:ascii="仿宋" w:hAnsi="仿宋" w:eastAsia="仿宋" w:cs="仿宋"/>
                <w:kern w:val="0"/>
                <w:sz w:val="24"/>
              </w:rPr>
            </w:pPr>
            <w:r>
              <w:rPr>
                <w:rFonts w:hint="eastAsia" w:ascii="仿宋" w:hAnsi="仿宋" w:eastAsia="仿宋" w:cs="仿宋"/>
                <w:kern w:val="0"/>
                <w:sz w:val="24"/>
              </w:rPr>
              <w:t>194,128,100.00</w:t>
            </w:r>
          </w:p>
        </w:tc>
        <w:tc>
          <w:tcPr>
            <w:tcW w:w="1382" w:type="dxa"/>
            <w:tcBorders>
              <w:top w:val="nil"/>
              <w:left w:val="nil"/>
              <w:bottom w:val="single" w:color="auto" w:sz="4" w:space="0"/>
              <w:right w:val="single" w:color="auto" w:sz="4" w:space="0"/>
            </w:tcBorders>
            <w:vAlign w:val="center"/>
          </w:tcPr>
          <w:p w14:paraId="6DCF3F0F">
            <w:pPr>
              <w:spacing w:line="440" w:lineRule="atLeast"/>
              <w:jc w:val="right"/>
              <w:rPr>
                <w:rFonts w:ascii="仿宋" w:hAnsi="仿宋" w:eastAsia="仿宋" w:cs="仿宋"/>
                <w:kern w:val="0"/>
                <w:sz w:val="24"/>
              </w:rPr>
            </w:pPr>
            <w:r>
              <w:rPr>
                <w:rFonts w:hint="eastAsia" w:ascii="仿宋" w:hAnsi="仿宋" w:eastAsia="仿宋" w:cs="仿宋"/>
                <w:kern w:val="0"/>
                <w:sz w:val="24"/>
              </w:rPr>
              <w:t>213,540,900.00</w:t>
            </w:r>
          </w:p>
        </w:tc>
        <w:tc>
          <w:tcPr>
            <w:tcW w:w="1382" w:type="dxa"/>
            <w:tcBorders>
              <w:top w:val="nil"/>
              <w:left w:val="nil"/>
              <w:bottom w:val="single" w:color="auto" w:sz="4" w:space="0"/>
              <w:right w:val="single" w:color="auto" w:sz="4" w:space="0"/>
            </w:tcBorders>
            <w:vAlign w:val="center"/>
          </w:tcPr>
          <w:p w14:paraId="6EF35996">
            <w:pPr>
              <w:spacing w:line="440" w:lineRule="atLeast"/>
              <w:jc w:val="right"/>
              <w:rPr>
                <w:rFonts w:ascii="仿宋" w:hAnsi="仿宋" w:eastAsia="仿宋" w:cs="仿宋"/>
                <w:kern w:val="0"/>
                <w:sz w:val="24"/>
              </w:rPr>
            </w:pPr>
            <w:r>
              <w:rPr>
                <w:rFonts w:hint="eastAsia" w:ascii="仿宋" w:hAnsi="仿宋" w:eastAsia="仿宋" w:cs="仿宋"/>
                <w:kern w:val="0"/>
                <w:sz w:val="24"/>
              </w:rPr>
              <w:t>232,759,600.00</w:t>
            </w:r>
          </w:p>
        </w:tc>
        <w:tc>
          <w:tcPr>
            <w:tcW w:w="1379" w:type="dxa"/>
            <w:tcBorders>
              <w:top w:val="nil"/>
              <w:left w:val="nil"/>
              <w:bottom w:val="single" w:color="auto" w:sz="4" w:space="0"/>
              <w:right w:val="single" w:color="auto" w:sz="4" w:space="0"/>
            </w:tcBorders>
            <w:vAlign w:val="center"/>
          </w:tcPr>
          <w:p w14:paraId="7B60012B">
            <w:pPr>
              <w:spacing w:line="440" w:lineRule="atLeast"/>
              <w:jc w:val="right"/>
              <w:rPr>
                <w:rFonts w:ascii="仿宋" w:hAnsi="仿宋" w:eastAsia="仿宋" w:cs="仿宋"/>
                <w:kern w:val="0"/>
                <w:sz w:val="24"/>
              </w:rPr>
            </w:pPr>
            <w:r>
              <w:rPr>
                <w:rFonts w:hint="eastAsia" w:ascii="仿宋" w:hAnsi="仿宋" w:eastAsia="仿宋" w:cs="仿宋"/>
                <w:kern w:val="0"/>
                <w:sz w:val="24"/>
              </w:rPr>
              <w:t>251,380,400.00</w:t>
            </w:r>
          </w:p>
        </w:tc>
      </w:tr>
    </w:tbl>
    <w:p w14:paraId="5DD7253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（2）同业及其他金融机构存放款项预测</w:t>
      </w:r>
    </w:p>
    <w:p w14:paraId="1D6C56E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根据银行企业历史和基准日的向其他银行和政府借款、同业存放款项水平，及银行企业未来计划预测其向其他银行和政府借款、同业存放款项水平。根据xx银行过去三年历史数据分析，同业存入及拆入款日均余额约占付息负债总额的30%。出于维持流动性需要，预计以后年度同业存入及拆入款占付息负债的比例仍将维持在此水平上。</w:t>
      </w:r>
    </w:p>
    <w:p w14:paraId="41659715">
      <w:pPr>
        <w:spacing w:line="440" w:lineRule="atLeast"/>
        <w:jc w:val="center"/>
        <w:rPr>
          <w:rFonts w:ascii="仿宋" w:hAnsi="仿宋" w:eastAsia="仿宋" w:cs="仿宋"/>
          <w:kern w:val="0"/>
          <w:sz w:val="24"/>
        </w:rPr>
      </w:pPr>
      <w:r>
        <w:rPr>
          <w:rFonts w:hint="eastAsia" w:ascii="仿宋" w:hAnsi="仿宋" w:eastAsia="仿宋" w:cs="仿宋"/>
          <w:kern w:val="0"/>
          <w:sz w:val="24"/>
        </w:rPr>
        <w:t>同业拆借规模预测表</w:t>
      </w:r>
    </w:p>
    <w:p w14:paraId="2CA23779">
      <w:pPr>
        <w:spacing w:line="440" w:lineRule="atLeast"/>
        <w:ind w:firstLine="480" w:firstLineChars="200"/>
        <w:jc w:val="right"/>
        <w:rPr>
          <w:rFonts w:ascii="仿宋" w:hAnsi="仿宋" w:eastAsia="仿宋" w:cs="仿宋"/>
          <w:sz w:val="24"/>
        </w:rPr>
      </w:pPr>
      <w:r>
        <w:rPr>
          <w:rFonts w:hint="eastAsia" w:ascii="仿宋" w:hAnsi="仿宋" w:eastAsia="仿宋" w:cs="仿宋"/>
          <w:sz w:val="24"/>
        </w:rPr>
        <w:t>金额单位：人民币万元</w:t>
      </w:r>
    </w:p>
    <w:tbl>
      <w:tblPr>
        <w:tblStyle w:val="2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6"/>
        <w:gridCol w:w="1339"/>
        <w:gridCol w:w="1340"/>
        <w:gridCol w:w="1340"/>
        <w:gridCol w:w="1340"/>
        <w:gridCol w:w="1437"/>
      </w:tblGrid>
      <w:tr w14:paraId="20330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726" w:type="dxa"/>
            <w:vAlign w:val="center"/>
          </w:tcPr>
          <w:p w14:paraId="17E4833D">
            <w:pPr>
              <w:spacing w:line="440" w:lineRule="atLeast"/>
              <w:jc w:val="center"/>
              <w:rPr>
                <w:rFonts w:ascii="仿宋" w:hAnsi="仿宋" w:eastAsia="仿宋" w:cs="仿宋"/>
                <w:b/>
                <w:kern w:val="0"/>
                <w:sz w:val="24"/>
              </w:rPr>
            </w:pPr>
            <w:r>
              <w:rPr>
                <w:rFonts w:hint="eastAsia" w:ascii="仿宋" w:hAnsi="仿宋" w:eastAsia="仿宋" w:cs="仿宋"/>
                <w:b/>
                <w:kern w:val="0"/>
                <w:sz w:val="24"/>
              </w:rPr>
              <w:t>项目</w:t>
            </w:r>
          </w:p>
        </w:tc>
        <w:tc>
          <w:tcPr>
            <w:tcW w:w="1339" w:type="dxa"/>
            <w:vAlign w:val="center"/>
          </w:tcPr>
          <w:p w14:paraId="5F07EF03">
            <w:pPr>
              <w:spacing w:line="440" w:lineRule="atLeast"/>
              <w:jc w:val="center"/>
              <w:rPr>
                <w:rFonts w:ascii="仿宋" w:hAnsi="仿宋" w:eastAsia="仿宋" w:cs="仿宋"/>
                <w:b/>
                <w:bCs/>
                <w:sz w:val="24"/>
              </w:rPr>
            </w:pPr>
            <w:r>
              <w:rPr>
                <w:rFonts w:hint="eastAsia" w:ascii="仿宋" w:hAnsi="仿宋" w:eastAsia="仿宋" w:cs="仿宋"/>
                <w:b/>
                <w:bCs/>
                <w:sz w:val="24"/>
              </w:rPr>
              <w:t>20x4年</w:t>
            </w:r>
          </w:p>
        </w:tc>
        <w:tc>
          <w:tcPr>
            <w:tcW w:w="1340" w:type="dxa"/>
            <w:vAlign w:val="center"/>
          </w:tcPr>
          <w:p w14:paraId="096A3C95">
            <w:pPr>
              <w:spacing w:line="440" w:lineRule="atLeast"/>
              <w:jc w:val="center"/>
              <w:rPr>
                <w:rFonts w:ascii="仿宋" w:hAnsi="仿宋" w:eastAsia="仿宋" w:cs="仿宋"/>
                <w:b/>
                <w:bCs/>
                <w:sz w:val="24"/>
              </w:rPr>
            </w:pPr>
            <w:r>
              <w:rPr>
                <w:rFonts w:hint="eastAsia" w:ascii="仿宋" w:hAnsi="仿宋" w:eastAsia="仿宋" w:cs="仿宋"/>
                <w:b/>
                <w:bCs/>
                <w:sz w:val="24"/>
              </w:rPr>
              <w:t>20x5年</w:t>
            </w:r>
          </w:p>
        </w:tc>
        <w:tc>
          <w:tcPr>
            <w:tcW w:w="1340" w:type="dxa"/>
            <w:vAlign w:val="center"/>
          </w:tcPr>
          <w:p w14:paraId="191960DD">
            <w:pPr>
              <w:spacing w:line="440" w:lineRule="atLeast"/>
              <w:jc w:val="center"/>
              <w:rPr>
                <w:rFonts w:ascii="仿宋" w:hAnsi="仿宋" w:eastAsia="仿宋" w:cs="仿宋"/>
                <w:b/>
                <w:bCs/>
                <w:sz w:val="24"/>
              </w:rPr>
            </w:pPr>
            <w:r>
              <w:rPr>
                <w:rFonts w:hint="eastAsia" w:ascii="仿宋" w:hAnsi="仿宋" w:eastAsia="仿宋" w:cs="仿宋"/>
                <w:b/>
                <w:bCs/>
                <w:sz w:val="24"/>
              </w:rPr>
              <w:t>20x6年</w:t>
            </w:r>
          </w:p>
        </w:tc>
        <w:tc>
          <w:tcPr>
            <w:tcW w:w="1340" w:type="dxa"/>
            <w:vAlign w:val="center"/>
          </w:tcPr>
          <w:p w14:paraId="1244EE31">
            <w:pPr>
              <w:spacing w:line="440" w:lineRule="atLeast"/>
              <w:jc w:val="center"/>
              <w:rPr>
                <w:rFonts w:ascii="仿宋" w:hAnsi="仿宋" w:eastAsia="仿宋" w:cs="仿宋"/>
                <w:b/>
                <w:bCs/>
                <w:sz w:val="24"/>
              </w:rPr>
            </w:pPr>
            <w:r>
              <w:rPr>
                <w:rFonts w:hint="eastAsia" w:ascii="仿宋" w:hAnsi="仿宋" w:eastAsia="仿宋" w:cs="仿宋"/>
                <w:b/>
                <w:bCs/>
                <w:sz w:val="24"/>
              </w:rPr>
              <w:t>20x7年</w:t>
            </w:r>
          </w:p>
        </w:tc>
        <w:tc>
          <w:tcPr>
            <w:tcW w:w="1437" w:type="dxa"/>
            <w:vAlign w:val="center"/>
          </w:tcPr>
          <w:p w14:paraId="5BB943D1">
            <w:pPr>
              <w:spacing w:line="440" w:lineRule="atLeast"/>
              <w:jc w:val="center"/>
              <w:rPr>
                <w:rFonts w:ascii="仿宋" w:hAnsi="仿宋" w:eastAsia="仿宋" w:cs="仿宋"/>
                <w:b/>
                <w:bCs/>
                <w:sz w:val="24"/>
              </w:rPr>
            </w:pPr>
            <w:r>
              <w:rPr>
                <w:rFonts w:hint="eastAsia" w:ascii="仿宋" w:hAnsi="仿宋" w:eastAsia="仿宋" w:cs="仿宋"/>
                <w:b/>
                <w:bCs/>
                <w:sz w:val="24"/>
              </w:rPr>
              <w:t>20x8年</w:t>
            </w:r>
          </w:p>
        </w:tc>
      </w:tr>
      <w:tr w14:paraId="0FABA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726" w:type="dxa"/>
            <w:vAlign w:val="center"/>
          </w:tcPr>
          <w:p w14:paraId="43E3FD01">
            <w:pPr>
              <w:spacing w:line="440" w:lineRule="atLeast"/>
              <w:jc w:val="center"/>
              <w:rPr>
                <w:rFonts w:ascii="仿宋" w:hAnsi="仿宋" w:eastAsia="仿宋" w:cs="仿宋"/>
                <w:sz w:val="24"/>
              </w:rPr>
            </w:pPr>
            <w:r>
              <w:rPr>
                <w:rFonts w:hint="eastAsia" w:ascii="仿宋" w:hAnsi="仿宋" w:eastAsia="仿宋" w:cs="仿宋"/>
                <w:sz w:val="24"/>
              </w:rPr>
              <w:t>同业拆借</w:t>
            </w:r>
          </w:p>
          <w:p w14:paraId="2DED45E9">
            <w:pPr>
              <w:spacing w:line="440" w:lineRule="atLeast"/>
              <w:jc w:val="center"/>
              <w:rPr>
                <w:rFonts w:ascii="仿宋" w:hAnsi="仿宋" w:eastAsia="仿宋" w:cs="仿宋"/>
                <w:sz w:val="24"/>
              </w:rPr>
            </w:pPr>
            <w:r>
              <w:rPr>
                <w:rFonts w:hint="eastAsia" w:ascii="仿宋" w:hAnsi="仿宋" w:eastAsia="仿宋" w:cs="仿宋"/>
                <w:sz w:val="24"/>
              </w:rPr>
              <w:t>期末余额</w:t>
            </w:r>
          </w:p>
        </w:tc>
        <w:tc>
          <w:tcPr>
            <w:tcW w:w="1339" w:type="dxa"/>
            <w:vAlign w:val="center"/>
          </w:tcPr>
          <w:p w14:paraId="529F20F3">
            <w:pPr>
              <w:spacing w:line="440" w:lineRule="atLeast"/>
              <w:jc w:val="right"/>
              <w:rPr>
                <w:rFonts w:ascii="仿宋" w:hAnsi="仿宋" w:eastAsia="仿宋" w:cs="仿宋"/>
                <w:sz w:val="24"/>
              </w:rPr>
            </w:pPr>
            <w:r>
              <w:rPr>
                <w:rFonts w:hint="eastAsia" w:ascii="仿宋" w:hAnsi="仿宋" w:eastAsia="仿宋" w:cs="仿宋"/>
                <w:sz w:val="24"/>
              </w:rPr>
              <w:t>59,515,696.67</w:t>
            </w:r>
          </w:p>
        </w:tc>
        <w:tc>
          <w:tcPr>
            <w:tcW w:w="1340" w:type="dxa"/>
            <w:vAlign w:val="center"/>
          </w:tcPr>
          <w:p w14:paraId="4513F776">
            <w:pPr>
              <w:spacing w:line="440" w:lineRule="atLeast"/>
              <w:jc w:val="right"/>
              <w:rPr>
                <w:rFonts w:ascii="仿宋" w:hAnsi="仿宋" w:eastAsia="仿宋" w:cs="仿宋"/>
                <w:sz w:val="24"/>
              </w:rPr>
            </w:pPr>
            <w:r>
              <w:rPr>
                <w:rFonts w:hint="eastAsia" w:ascii="仿宋" w:hAnsi="仿宋" w:eastAsia="仿宋" w:cs="仿宋"/>
                <w:sz w:val="24"/>
              </w:rPr>
              <w:t>65,467,307.61</w:t>
            </w:r>
          </w:p>
        </w:tc>
        <w:tc>
          <w:tcPr>
            <w:tcW w:w="1340" w:type="dxa"/>
            <w:vAlign w:val="center"/>
          </w:tcPr>
          <w:p w14:paraId="02AB4B0D">
            <w:pPr>
              <w:spacing w:line="440" w:lineRule="atLeast"/>
              <w:jc w:val="right"/>
              <w:rPr>
                <w:rFonts w:ascii="仿宋" w:hAnsi="仿宋" w:eastAsia="仿宋" w:cs="仿宋"/>
                <w:sz w:val="24"/>
              </w:rPr>
            </w:pPr>
            <w:r>
              <w:rPr>
                <w:rFonts w:hint="eastAsia" w:ascii="仿宋" w:hAnsi="仿宋" w:eastAsia="仿宋" w:cs="仿宋"/>
                <w:sz w:val="24"/>
              </w:rPr>
              <w:t>72,014,054.89</w:t>
            </w:r>
          </w:p>
        </w:tc>
        <w:tc>
          <w:tcPr>
            <w:tcW w:w="1340" w:type="dxa"/>
            <w:vAlign w:val="center"/>
          </w:tcPr>
          <w:p w14:paraId="0DAFB752">
            <w:pPr>
              <w:spacing w:line="440" w:lineRule="atLeast"/>
              <w:jc w:val="right"/>
              <w:rPr>
                <w:rFonts w:ascii="仿宋" w:hAnsi="仿宋" w:eastAsia="仿宋" w:cs="仿宋"/>
                <w:sz w:val="24"/>
              </w:rPr>
            </w:pPr>
            <w:r>
              <w:rPr>
                <w:rFonts w:hint="eastAsia" w:ascii="仿宋" w:hAnsi="仿宋" w:eastAsia="仿宋" w:cs="仿宋"/>
                <w:sz w:val="24"/>
              </w:rPr>
              <w:t>78,495,336.34</w:t>
            </w:r>
          </w:p>
        </w:tc>
        <w:tc>
          <w:tcPr>
            <w:tcW w:w="1437" w:type="dxa"/>
            <w:vAlign w:val="center"/>
          </w:tcPr>
          <w:p w14:paraId="34B92D11">
            <w:pPr>
              <w:spacing w:line="440" w:lineRule="atLeast"/>
              <w:jc w:val="right"/>
              <w:rPr>
                <w:rFonts w:ascii="仿宋" w:hAnsi="仿宋" w:eastAsia="仿宋" w:cs="仿宋"/>
                <w:sz w:val="24"/>
              </w:rPr>
            </w:pPr>
            <w:r>
              <w:rPr>
                <w:rFonts w:hint="eastAsia" w:ascii="仿宋" w:hAnsi="仿宋" w:eastAsia="仿宋" w:cs="仿宋"/>
                <w:sz w:val="24"/>
              </w:rPr>
              <w:t>84,774,936.83</w:t>
            </w:r>
          </w:p>
        </w:tc>
      </w:tr>
    </w:tbl>
    <w:p w14:paraId="6B59DAF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2．贷款规模预测</w:t>
      </w:r>
    </w:p>
    <w:p w14:paraId="119FA60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xx银行作为一家全国性的商业银行，具有良好的公司治理结构、国际化的管理团队和市场化的经营管理机制，自成立以来业务经营始终坚持市场化原则，以实现股东价值和银行价值提升为最终目标，具备强劲的内生增长动力。客户存款快速增长，从20y9年到20x3年复合增长率达到19.00%；贷款增速受到政策监管的影响，从20y9年到20x3年复合增长率达到16.00%。</w:t>
      </w:r>
    </w:p>
    <w:p w14:paraId="4660A67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xx银行20y9-20x3年的存贷比如下表所示，历年存贷比除了在20x2年有短暂的下降以外基本维持在70%以上的水平，在评估基准日存贷比为71.16%。</w:t>
      </w:r>
    </w:p>
    <w:tbl>
      <w:tblPr>
        <w:tblStyle w:val="24"/>
        <w:tblW w:w="4997" w:type="pct"/>
        <w:jc w:val="center"/>
        <w:tblLayout w:type="autofit"/>
        <w:tblCellMar>
          <w:top w:w="0" w:type="dxa"/>
          <w:left w:w="108" w:type="dxa"/>
          <w:bottom w:w="0" w:type="dxa"/>
          <w:right w:w="108" w:type="dxa"/>
        </w:tblCellMar>
      </w:tblPr>
      <w:tblGrid>
        <w:gridCol w:w="530"/>
        <w:gridCol w:w="1516"/>
        <w:gridCol w:w="1616"/>
        <w:gridCol w:w="1616"/>
        <w:gridCol w:w="1616"/>
        <w:gridCol w:w="1617"/>
      </w:tblGrid>
      <w:tr w14:paraId="66911528">
        <w:tblPrEx>
          <w:tblCellMar>
            <w:top w:w="0" w:type="dxa"/>
            <w:left w:w="108" w:type="dxa"/>
            <w:bottom w:w="0" w:type="dxa"/>
            <w:right w:w="108" w:type="dxa"/>
          </w:tblCellMar>
        </w:tblPrEx>
        <w:trPr>
          <w:trHeight w:val="285" w:hRule="atLeast"/>
          <w:jc w:val="center"/>
        </w:trPr>
        <w:tc>
          <w:tcPr>
            <w:tcW w:w="619" w:type="pct"/>
            <w:tcBorders>
              <w:top w:val="single" w:color="auto" w:sz="8" w:space="0"/>
              <w:left w:val="single" w:color="auto" w:sz="8" w:space="0"/>
              <w:bottom w:val="single" w:color="auto" w:sz="4" w:space="0"/>
              <w:right w:val="single" w:color="auto" w:sz="4" w:space="0"/>
            </w:tcBorders>
            <w:vAlign w:val="center"/>
          </w:tcPr>
          <w:p w14:paraId="1D0F1ADE">
            <w:pPr>
              <w:spacing w:line="440" w:lineRule="atLeast"/>
              <w:jc w:val="center"/>
              <w:rPr>
                <w:rFonts w:ascii="仿宋" w:hAnsi="仿宋" w:eastAsia="仿宋" w:cs="仿宋"/>
                <w:b/>
                <w:bCs/>
                <w:kern w:val="0"/>
                <w:sz w:val="24"/>
              </w:rPr>
            </w:pPr>
            <w:r>
              <w:rPr>
                <w:rFonts w:hint="eastAsia" w:ascii="仿宋" w:hAnsi="仿宋" w:eastAsia="仿宋" w:cs="仿宋"/>
                <w:b/>
                <w:bCs/>
                <w:kern w:val="0"/>
                <w:sz w:val="24"/>
              </w:rPr>
              <w:t>项目</w:t>
            </w:r>
          </w:p>
        </w:tc>
        <w:tc>
          <w:tcPr>
            <w:tcW w:w="827" w:type="pct"/>
            <w:tcBorders>
              <w:top w:val="single" w:color="auto" w:sz="4" w:space="0"/>
              <w:left w:val="nil"/>
              <w:bottom w:val="single" w:color="auto" w:sz="4" w:space="0"/>
              <w:right w:val="single" w:color="auto" w:sz="4" w:space="0"/>
            </w:tcBorders>
            <w:vAlign w:val="center"/>
          </w:tcPr>
          <w:p w14:paraId="66835154">
            <w:pPr>
              <w:spacing w:line="440" w:lineRule="atLeast"/>
              <w:jc w:val="center"/>
              <w:rPr>
                <w:rFonts w:ascii="仿宋" w:hAnsi="仿宋" w:eastAsia="仿宋" w:cs="仿宋"/>
                <w:b/>
                <w:kern w:val="0"/>
                <w:sz w:val="24"/>
              </w:rPr>
            </w:pPr>
            <w:r>
              <w:rPr>
                <w:rFonts w:hint="eastAsia" w:ascii="仿宋" w:hAnsi="仿宋" w:eastAsia="仿宋" w:cs="仿宋"/>
                <w:b/>
                <w:kern w:val="0"/>
                <w:sz w:val="24"/>
              </w:rPr>
              <w:t>20y9年</w:t>
            </w:r>
          </w:p>
        </w:tc>
        <w:tc>
          <w:tcPr>
            <w:tcW w:w="888" w:type="pct"/>
            <w:tcBorders>
              <w:top w:val="single" w:color="auto" w:sz="4" w:space="0"/>
              <w:left w:val="nil"/>
              <w:bottom w:val="single" w:color="auto" w:sz="4" w:space="0"/>
              <w:right w:val="single" w:color="auto" w:sz="4" w:space="0"/>
            </w:tcBorders>
            <w:vAlign w:val="center"/>
          </w:tcPr>
          <w:p w14:paraId="2196E78D">
            <w:pPr>
              <w:spacing w:line="440" w:lineRule="atLeast"/>
              <w:jc w:val="center"/>
              <w:rPr>
                <w:rFonts w:ascii="仿宋" w:hAnsi="仿宋" w:eastAsia="仿宋" w:cs="仿宋"/>
                <w:b/>
                <w:kern w:val="0"/>
                <w:sz w:val="24"/>
              </w:rPr>
            </w:pPr>
            <w:r>
              <w:rPr>
                <w:rFonts w:hint="eastAsia" w:ascii="仿宋" w:hAnsi="仿宋" w:eastAsia="仿宋" w:cs="仿宋"/>
                <w:b/>
                <w:kern w:val="0"/>
                <w:sz w:val="24"/>
              </w:rPr>
              <w:t>20x0年</w:t>
            </w:r>
          </w:p>
        </w:tc>
        <w:tc>
          <w:tcPr>
            <w:tcW w:w="888" w:type="pct"/>
            <w:tcBorders>
              <w:top w:val="single" w:color="auto" w:sz="4" w:space="0"/>
              <w:left w:val="nil"/>
              <w:bottom w:val="single" w:color="auto" w:sz="4" w:space="0"/>
              <w:right w:val="single" w:color="auto" w:sz="4" w:space="0"/>
            </w:tcBorders>
            <w:vAlign w:val="center"/>
          </w:tcPr>
          <w:p w14:paraId="083F35A5">
            <w:pPr>
              <w:spacing w:line="440" w:lineRule="atLeast"/>
              <w:jc w:val="center"/>
              <w:rPr>
                <w:rFonts w:ascii="仿宋" w:hAnsi="仿宋" w:eastAsia="仿宋" w:cs="仿宋"/>
                <w:b/>
                <w:kern w:val="0"/>
                <w:sz w:val="24"/>
              </w:rPr>
            </w:pPr>
            <w:r>
              <w:rPr>
                <w:rFonts w:hint="eastAsia" w:ascii="仿宋" w:hAnsi="仿宋" w:eastAsia="仿宋" w:cs="仿宋"/>
                <w:b/>
                <w:kern w:val="0"/>
                <w:sz w:val="24"/>
              </w:rPr>
              <w:t>20x1年</w:t>
            </w:r>
          </w:p>
        </w:tc>
        <w:tc>
          <w:tcPr>
            <w:tcW w:w="888" w:type="pct"/>
            <w:tcBorders>
              <w:top w:val="single" w:color="auto" w:sz="4" w:space="0"/>
              <w:left w:val="nil"/>
              <w:bottom w:val="single" w:color="auto" w:sz="4" w:space="0"/>
              <w:right w:val="single" w:color="auto" w:sz="4" w:space="0"/>
            </w:tcBorders>
            <w:vAlign w:val="center"/>
          </w:tcPr>
          <w:p w14:paraId="7CD0C765">
            <w:pPr>
              <w:spacing w:line="440" w:lineRule="atLeast"/>
              <w:jc w:val="center"/>
              <w:rPr>
                <w:rFonts w:ascii="仿宋" w:hAnsi="仿宋" w:eastAsia="仿宋" w:cs="仿宋"/>
                <w:b/>
                <w:kern w:val="0"/>
                <w:sz w:val="24"/>
              </w:rPr>
            </w:pPr>
            <w:r>
              <w:rPr>
                <w:rFonts w:hint="eastAsia" w:ascii="仿宋" w:hAnsi="仿宋" w:eastAsia="仿宋" w:cs="仿宋"/>
                <w:b/>
                <w:kern w:val="0"/>
                <w:sz w:val="24"/>
              </w:rPr>
              <w:t>20x2年</w:t>
            </w:r>
          </w:p>
        </w:tc>
        <w:tc>
          <w:tcPr>
            <w:tcW w:w="888" w:type="pct"/>
            <w:tcBorders>
              <w:top w:val="single" w:color="auto" w:sz="4" w:space="0"/>
              <w:left w:val="nil"/>
              <w:bottom w:val="single" w:color="auto" w:sz="4" w:space="0"/>
              <w:right w:val="single" w:color="auto" w:sz="4" w:space="0"/>
            </w:tcBorders>
            <w:vAlign w:val="center"/>
          </w:tcPr>
          <w:p w14:paraId="776E4B71">
            <w:pPr>
              <w:spacing w:line="440" w:lineRule="atLeast"/>
              <w:jc w:val="center"/>
              <w:rPr>
                <w:rFonts w:ascii="仿宋" w:hAnsi="仿宋" w:eastAsia="仿宋" w:cs="仿宋"/>
                <w:b/>
                <w:kern w:val="0"/>
                <w:sz w:val="24"/>
              </w:rPr>
            </w:pPr>
            <w:r>
              <w:rPr>
                <w:rFonts w:hint="eastAsia" w:ascii="仿宋" w:hAnsi="仿宋" w:eastAsia="仿宋" w:cs="仿宋"/>
                <w:b/>
                <w:kern w:val="0"/>
                <w:sz w:val="24"/>
              </w:rPr>
              <w:t>20x3年</w:t>
            </w:r>
          </w:p>
        </w:tc>
      </w:tr>
      <w:tr w14:paraId="65B0D245">
        <w:tblPrEx>
          <w:tblCellMar>
            <w:top w:w="0" w:type="dxa"/>
            <w:left w:w="108" w:type="dxa"/>
            <w:bottom w:w="0" w:type="dxa"/>
            <w:right w:w="108" w:type="dxa"/>
          </w:tblCellMar>
        </w:tblPrEx>
        <w:trPr>
          <w:trHeight w:val="285" w:hRule="atLeast"/>
          <w:jc w:val="center"/>
        </w:trPr>
        <w:tc>
          <w:tcPr>
            <w:tcW w:w="619" w:type="pct"/>
            <w:tcBorders>
              <w:top w:val="nil"/>
              <w:left w:val="single" w:color="auto" w:sz="8" w:space="0"/>
              <w:bottom w:val="single" w:color="auto" w:sz="4" w:space="0"/>
              <w:right w:val="single" w:color="auto" w:sz="4" w:space="0"/>
            </w:tcBorders>
            <w:vAlign w:val="center"/>
          </w:tcPr>
          <w:p w14:paraId="73EA1DF8">
            <w:pPr>
              <w:spacing w:line="440" w:lineRule="atLeast"/>
              <w:jc w:val="center"/>
              <w:rPr>
                <w:rFonts w:ascii="仿宋" w:hAnsi="仿宋" w:eastAsia="仿宋" w:cs="仿宋"/>
                <w:bCs/>
                <w:kern w:val="0"/>
                <w:sz w:val="24"/>
              </w:rPr>
            </w:pPr>
            <w:r>
              <w:rPr>
                <w:rFonts w:hint="eastAsia" w:ascii="仿宋" w:hAnsi="仿宋" w:eastAsia="仿宋" w:cs="仿宋"/>
                <w:bCs/>
                <w:kern w:val="0"/>
                <w:sz w:val="24"/>
              </w:rPr>
              <w:t>贷款余额</w:t>
            </w:r>
          </w:p>
        </w:tc>
        <w:tc>
          <w:tcPr>
            <w:tcW w:w="827" w:type="pct"/>
            <w:tcBorders>
              <w:top w:val="nil"/>
              <w:left w:val="nil"/>
              <w:bottom w:val="single" w:color="auto" w:sz="4" w:space="0"/>
              <w:right w:val="single" w:color="auto" w:sz="4" w:space="0"/>
            </w:tcBorders>
            <w:vAlign w:val="center"/>
          </w:tcPr>
          <w:p w14:paraId="3C5B07EE">
            <w:pPr>
              <w:spacing w:line="440" w:lineRule="atLeast"/>
              <w:jc w:val="right"/>
              <w:rPr>
                <w:rFonts w:ascii="仿宋" w:hAnsi="仿宋" w:eastAsia="仿宋" w:cs="仿宋"/>
                <w:kern w:val="0"/>
                <w:sz w:val="20"/>
                <w:szCs w:val="20"/>
              </w:rPr>
            </w:pPr>
            <w:r>
              <w:rPr>
                <w:rFonts w:hint="eastAsia" w:ascii="仿宋" w:hAnsi="仿宋" w:eastAsia="仿宋" w:cs="仿宋"/>
                <w:kern w:val="0"/>
                <w:sz w:val="20"/>
                <w:szCs w:val="20"/>
              </w:rPr>
              <w:t>63,211,533.40</w:t>
            </w:r>
          </w:p>
        </w:tc>
        <w:tc>
          <w:tcPr>
            <w:tcW w:w="888" w:type="pct"/>
            <w:tcBorders>
              <w:top w:val="nil"/>
              <w:left w:val="nil"/>
              <w:bottom w:val="single" w:color="auto" w:sz="4" w:space="0"/>
              <w:right w:val="single" w:color="auto" w:sz="4" w:space="0"/>
            </w:tcBorders>
            <w:vAlign w:val="center"/>
          </w:tcPr>
          <w:p w14:paraId="6DB2F0EB">
            <w:pPr>
              <w:spacing w:line="440" w:lineRule="atLeast"/>
              <w:jc w:val="right"/>
              <w:rPr>
                <w:rFonts w:ascii="仿宋" w:hAnsi="仿宋" w:eastAsia="仿宋" w:cs="仿宋"/>
                <w:kern w:val="0"/>
                <w:sz w:val="20"/>
                <w:szCs w:val="20"/>
              </w:rPr>
            </w:pPr>
            <w:r>
              <w:rPr>
                <w:rFonts w:hint="eastAsia" w:ascii="仿宋" w:hAnsi="仿宋" w:eastAsia="仿宋" w:cs="仿宋"/>
                <w:kern w:val="0"/>
                <w:sz w:val="20"/>
                <w:szCs w:val="20"/>
              </w:rPr>
              <w:t>76,046,315.60</w:t>
            </w:r>
          </w:p>
        </w:tc>
        <w:tc>
          <w:tcPr>
            <w:tcW w:w="888" w:type="pct"/>
            <w:tcBorders>
              <w:top w:val="nil"/>
              <w:left w:val="nil"/>
              <w:bottom w:val="single" w:color="auto" w:sz="4" w:space="0"/>
              <w:right w:val="single" w:color="auto" w:sz="4" w:space="0"/>
            </w:tcBorders>
            <w:vAlign w:val="center"/>
          </w:tcPr>
          <w:p w14:paraId="51FA2187">
            <w:pPr>
              <w:spacing w:line="440" w:lineRule="atLeast"/>
              <w:jc w:val="right"/>
              <w:rPr>
                <w:rFonts w:ascii="仿宋" w:hAnsi="仿宋" w:eastAsia="仿宋" w:cs="仿宋"/>
                <w:kern w:val="0"/>
                <w:sz w:val="20"/>
                <w:szCs w:val="20"/>
              </w:rPr>
            </w:pPr>
            <w:r>
              <w:rPr>
                <w:rFonts w:hint="eastAsia" w:ascii="仿宋" w:hAnsi="仿宋" w:eastAsia="仿宋" w:cs="仿宋"/>
                <w:kern w:val="0"/>
                <w:sz w:val="20"/>
                <w:szCs w:val="20"/>
              </w:rPr>
              <w:t>86,866,553.60</w:t>
            </w:r>
          </w:p>
        </w:tc>
        <w:tc>
          <w:tcPr>
            <w:tcW w:w="888" w:type="pct"/>
            <w:tcBorders>
              <w:top w:val="nil"/>
              <w:left w:val="nil"/>
              <w:bottom w:val="single" w:color="auto" w:sz="4" w:space="0"/>
              <w:right w:val="single" w:color="auto" w:sz="4" w:space="0"/>
            </w:tcBorders>
            <w:vAlign w:val="center"/>
          </w:tcPr>
          <w:p w14:paraId="2D3807D3">
            <w:pPr>
              <w:spacing w:line="440" w:lineRule="atLeast"/>
              <w:jc w:val="right"/>
              <w:rPr>
                <w:rFonts w:ascii="仿宋" w:hAnsi="仿宋" w:eastAsia="仿宋" w:cs="仿宋"/>
                <w:kern w:val="0"/>
                <w:sz w:val="20"/>
                <w:szCs w:val="20"/>
              </w:rPr>
            </w:pPr>
            <w:r>
              <w:rPr>
                <w:rFonts w:hint="eastAsia" w:ascii="仿宋" w:hAnsi="仿宋" w:eastAsia="仿宋" w:cs="仿宋"/>
                <w:kern w:val="0"/>
                <w:sz w:val="20"/>
                <w:szCs w:val="20"/>
              </w:rPr>
              <w:t>99,717,784.51</w:t>
            </w:r>
          </w:p>
        </w:tc>
        <w:tc>
          <w:tcPr>
            <w:tcW w:w="888" w:type="pct"/>
            <w:tcBorders>
              <w:top w:val="nil"/>
              <w:left w:val="nil"/>
              <w:bottom w:val="single" w:color="auto" w:sz="4" w:space="0"/>
              <w:right w:val="single" w:color="auto" w:sz="4" w:space="0"/>
            </w:tcBorders>
            <w:vAlign w:val="center"/>
          </w:tcPr>
          <w:p w14:paraId="7952246C">
            <w:pPr>
              <w:spacing w:line="440" w:lineRule="atLeast"/>
              <w:jc w:val="right"/>
              <w:rPr>
                <w:rFonts w:ascii="仿宋" w:hAnsi="仿宋" w:eastAsia="仿宋" w:cs="仿宋"/>
                <w:kern w:val="0"/>
                <w:sz w:val="20"/>
                <w:szCs w:val="20"/>
              </w:rPr>
            </w:pPr>
            <w:r>
              <w:rPr>
                <w:rFonts w:hint="eastAsia" w:ascii="仿宋" w:hAnsi="仿宋" w:eastAsia="仿宋" w:cs="仿宋"/>
                <w:kern w:val="0"/>
                <w:sz w:val="20"/>
                <w:szCs w:val="20"/>
              </w:rPr>
              <w:t>114,162,237.88</w:t>
            </w:r>
          </w:p>
        </w:tc>
      </w:tr>
      <w:tr w14:paraId="24AECA3A">
        <w:tblPrEx>
          <w:tblCellMar>
            <w:top w:w="0" w:type="dxa"/>
            <w:left w:w="108" w:type="dxa"/>
            <w:bottom w:w="0" w:type="dxa"/>
            <w:right w:w="108" w:type="dxa"/>
          </w:tblCellMar>
        </w:tblPrEx>
        <w:trPr>
          <w:trHeight w:val="285" w:hRule="atLeast"/>
          <w:jc w:val="center"/>
        </w:trPr>
        <w:tc>
          <w:tcPr>
            <w:tcW w:w="619" w:type="pct"/>
            <w:tcBorders>
              <w:top w:val="nil"/>
              <w:left w:val="single" w:color="auto" w:sz="8" w:space="0"/>
              <w:bottom w:val="single" w:color="auto" w:sz="4" w:space="0"/>
              <w:right w:val="single" w:color="auto" w:sz="4" w:space="0"/>
            </w:tcBorders>
            <w:vAlign w:val="center"/>
          </w:tcPr>
          <w:p w14:paraId="3BE56E9F">
            <w:pPr>
              <w:spacing w:line="440" w:lineRule="atLeast"/>
              <w:jc w:val="center"/>
              <w:rPr>
                <w:rFonts w:ascii="仿宋" w:hAnsi="仿宋" w:eastAsia="仿宋" w:cs="仿宋"/>
                <w:bCs/>
                <w:kern w:val="0"/>
                <w:sz w:val="24"/>
              </w:rPr>
            </w:pPr>
            <w:r>
              <w:rPr>
                <w:rFonts w:hint="eastAsia" w:ascii="仿宋" w:hAnsi="仿宋" w:eastAsia="仿宋" w:cs="仿宋"/>
                <w:bCs/>
                <w:kern w:val="0"/>
                <w:sz w:val="24"/>
              </w:rPr>
              <w:t>存款余额</w:t>
            </w:r>
          </w:p>
        </w:tc>
        <w:tc>
          <w:tcPr>
            <w:tcW w:w="827" w:type="pct"/>
            <w:tcBorders>
              <w:top w:val="nil"/>
              <w:left w:val="nil"/>
              <w:bottom w:val="single" w:color="auto" w:sz="4" w:space="0"/>
              <w:right w:val="single" w:color="auto" w:sz="4" w:space="0"/>
            </w:tcBorders>
            <w:vAlign w:val="center"/>
          </w:tcPr>
          <w:p w14:paraId="795C40F1">
            <w:pPr>
              <w:spacing w:line="440" w:lineRule="atLeast"/>
              <w:jc w:val="right"/>
              <w:rPr>
                <w:rFonts w:ascii="仿宋" w:hAnsi="仿宋" w:eastAsia="仿宋" w:cs="仿宋"/>
                <w:kern w:val="0"/>
                <w:sz w:val="20"/>
                <w:szCs w:val="20"/>
              </w:rPr>
            </w:pPr>
            <w:r>
              <w:rPr>
                <w:rFonts w:hint="eastAsia" w:ascii="仿宋" w:hAnsi="仿宋" w:eastAsia="仿宋" w:cs="仿宋"/>
                <w:kern w:val="0"/>
                <w:sz w:val="20"/>
                <w:szCs w:val="20"/>
              </w:rPr>
              <w:t>79,961,130.30</w:t>
            </w:r>
          </w:p>
        </w:tc>
        <w:tc>
          <w:tcPr>
            <w:tcW w:w="888" w:type="pct"/>
            <w:tcBorders>
              <w:top w:val="nil"/>
              <w:left w:val="nil"/>
              <w:bottom w:val="single" w:color="auto" w:sz="4" w:space="0"/>
              <w:right w:val="single" w:color="auto" w:sz="4" w:space="0"/>
            </w:tcBorders>
            <w:vAlign w:val="center"/>
          </w:tcPr>
          <w:p w14:paraId="487A7444">
            <w:pPr>
              <w:spacing w:line="440" w:lineRule="atLeast"/>
              <w:jc w:val="right"/>
              <w:rPr>
                <w:rFonts w:ascii="仿宋" w:hAnsi="仿宋" w:eastAsia="仿宋" w:cs="仿宋"/>
                <w:kern w:val="0"/>
                <w:sz w:val="20"/>
                <w:szCs w:val="20"/>
              </w:rPr>
            </w:pPr>
            <w:r>
              <w:rPr>
                <w:rFonts w:hint="eastAsia" w:ascii="仿宋" w:hAnsi="仿宋" w:eastAsia="仿宋" w:cs="仿宋"/>
                <w:kern w:val="0"/>
                <w:sz w:val="20"/>
                <w:szCs w:val="20"/>
              </w:rPr>
              <w:t>102,952,747.80</w:t>
            </w:r>
          </w:p>
        </w:tc>
        <w:tc>
          <w:tcPr>
            <w:tcW w:w="888" w:type="pct"/>
            <w:tcBorders>
              <w:top w:val="nil"/>
              <w:left w:val="nil"/>
              <w:bottom w:val="single" w:color="auto" w:sz="4" w:space="0"/>
              <w:right w:val="single" w:color="auto" w:sz="4" w:space="0"/>
            </w:tcBorders>
            <w:vAlign w:val="center"/>
          </w:tcPr>
          <w:p w14:paraId="75BDECC3">
            <w:pPr>
              <w:spacing w:line="440" w:lineRule="atLeast"/>
              <w:jc w:val="right"/>
              <w:rPr>
                <w:rFonts w:ascii="仿宋" w:hAnsi="仿宋" w:eastAsia="仿宋" w:cs="仿宋"/>
                <w:kern w:val="0"/>
                <w:sz w:val="20"/>
                <w:szCs w:val="20"/>
              </w:rPr>
            </w:pPr>
            <w:r>
              <w:rPr>
                <w:rFonts w:hint="eastAsia" w:ascii="仿宋" w:hAnsi="仿宋" w:eastAsia="仿宋" w:cs="仿宋"/>
                <w:kern w:val="0"/>
                <w:sz w:val="20"/>
                <w:szCs w:val="20"/>
              </w:rPr>
              <w:t>117,844,503.70</w:t>
            </w:r>
          </w:p>
        </w:tc>
        <w:tc>
          <w:tcPr>
            <w:tcW w:w="888" w:type="pct"/>
            <w:tcBorders>
              <w:top w:val="nil"/>
              <w:left w:val="nil"/>
              <w:bottom w:val="single" w:color="auto" w:sz="4" w:space="0"/>
              <w:right w:val="single" w:color="auto" w:sz="4" w:space="0"/>
            </w:tcBorders>
            <w:vAlign w:val="center"/>
          </w:tcPr>
          <w:p w14:paraId="1902F46F">
            <w:pPr>
              <w:spacing w:line="440" w:lineRule="atLeast"/>
              <w:jc w:val="right"/>
              <w:rPr>
                <w:rFonts w:ascii="仿宋" w:hAnsi="仿宋" w:eastAsia="仿宋" w:cs="仿宋"/>
                <w:kern w:val="0"/>
                <w:sz w:val="20"/>
                <w:szCs w:val="20"/>
              </w:rPr>
            </w:pPr>
            <w:r>
              <w:rPr>
                <w:rFonts w:hint="eastAsia" w:ascii="仿宋" w:hAnsi="仿宋" w:eastAsia="仿宋" w:cs="仿宋"/>
                <w:kern w:val="0"/>
                <w:sz w:val="20"/>
                <w:szCs w:val="20"/>
              </w:rPr>
              <w:t>142,653,327.66</w:t>
            </w:r>
          </w:p>
        </w:tc>
        <w:tc>
          <w:tcPr>
            <w:tcW w:w="888" w:type="pct"/>
            <w:tcBorders>
              <w:top w:val="nil"/>
              <w:left w:val="nil"/>
              <w:bottom w:val="single" w:color="auto" w:sz="4" w:space="0"/>
              <w:right w:val="single" w:color="auto" w:sz="4" w:space="0"/>
            </w:tcBorders>
            <w:vAlign w:val="center"/>
          </w:tcPr>
          <w:p w14:paraId="38DF5B0F">
            <w:pPr>
              <w:spacing w:line="440" w:lineRule="atLeast"/>
              <w:jc w:val="right"/>
              <w:rPr>
                <w:rFonts w:ascii="仿宋" w:hAnsi="仿宋" w:eastAsia="仿宋" w:cs="仿宋"/>
                <w:kern w:val="0"/>
                <w:sz w:val="20"/>
                <w:szCs w:val="20"/>
              </w:rPr>
            </w:pPr>
            <w:r>
              <w:rPr>
                <w:rFonts w:hint="eastAsia" w:ascii="仿宋" w:hAnsi="仿宋" w:eastAsia="仿宋" w:cs="仿宋"/>
                <w:kern w:val="0"/>
                <w:sz w:val="20"/>
                <w:szCs w:val="20"/>
              </w:rPr>
              <w:t>160,436,487.58</w:t>
            </w:r>
          </w:p>
        </w:tc>
      </w:tr>
      <w:tr w14:paraId="65180E45">
        <w:tblPrEx>
          <w:tblCellMar>
            <w:top w:w="0" w:type="dxa"/>
            <w:left w:w="108" w:type="dxa"/>
            <w:bottom w:w="0" w:type="dxa"/>
            <w:right w:w="108" w:type="dxa"/>
          </w:tblCellMar>
        </w:tblPrEx>
        <w:trPr>
          <w:trHeight w:val="285" w:hRule="atLeast"/>
          <w:jc w:val="center"/>
        </w:trPr>
        <w:tc>
          <w:tcPr>
            <w:tcW w:w="619" w:type="pct"/>
            <w:tcBorders>
              <w:top w:val="nil"/>
              <w:left w:val="single" w:color="auto" w:sz="8" w:space="0"/>
              <w:bottom w:val="single" w:color="auto" w:sz="4" w:space="0"/>
              <w:right w:val="single" w:color="auto" w:sz="4" w:space="0"/>
            </w:tcBorders>
            <w:vAlign w:val="center"/>
          </w:tcPr>
          <w:p w14:paraId="2E9C5ACA">
            <w:pPr>
              <w:spacing w:line="440" w:lineRule="atLeast"/>
              <w:jc w:val="center"/>
              <w:rPr>
                <w:rFonts w:ascii="仿宋" w:hAnsi="仿宋" w:eastAsia="仿宋" w:cs="仿宋"/>
                <w:bCs/>
                <w:kern w:val="0"/>
                <w:sz w:val="24"/>
              </w:rPr>
            </w:pPr>
            <w:r>
              <w:rPr>
                <w:rFonts w:hint="eastAsia" w:ascii="仿宋" w:hAnsi="仿宋" w:eastAsia="仿宋" w:cs="仿宋"/>
                <w:bCs/>
                <w:kern w:val="0"/>
                <w:sz w:val="24"/>
              </w:rPr>
              <w:t>存贷比</w:t>
            </w:r>
          </w:p>
        </w:tc>
        <w:tc>
          <w:tcPr>
            <w:tcW w:w="827" w:type="pct"/>
            <w:tcBorders>
              <w:top w:val="nil"/>
              <w:left w:val="nil"/>
              <w:bottom w:val="single" w:color="auto" w:sz="4" w:space="0"/>
              <w:right w:val="single" w:color="auto" w:sz="4" w:space="0"/>
            </w:tcBorders>
            <w:vAlign w:val="center"/>
          </w:tcPr>
          <w:p w14:paraId="0A2E834A">
            <w:pPr>
              <w:spacing w:line="440" w:lineRule="atLeast"/>
              <w:jc w:val="right"/>
              <w:rPr>
                <w:rFonts w:ascii="仿宋" w:hAnsi="仿宋" w:eastAsia="仿宋" w:cs="仿宋"/>
                <w:kern w:val="0"/>
                <w:sz w:val="20"/>
                <w:szCs w:val="20"/>
              </w:rPr>
            </w:pPr>
            <w:r>
              <w:rPr>
                <w:rFonts w:hint="eastAsia" w:ascii="仿宋" w:hAnsi="仿宋" w:eastAsia="仿宋" w:cs="仿宋"/>
                <w:kern w:val="0"/>
                <w:sz w:val="20"/>
                <w:szCs w:val="20"/>
              </w:rPr>
              <w:t>79.05%</w:t>
            </w:r>
          </w:p>
        </w:tc>
        <w:tc>
          <w:tcPr>
            <w:tcW w:w="888" w:type="pct"/>
            <w:tcBorders>
              <w:top w:val="nil"/>
              <w:left w:val="nil"/>
              <w:bottom w:val="single" w:color="auto" w:sz="4" w:space="0"/>
              <w:right w:val="single" w:color="auto" w:sz="4" w:space="0"/>
            </w:tcBorders>
            <w:vAlign w:val="center"/>
          </w:tcPr>
          <w:p w14:paraId="388369C2">
            <w:pPr>
              <w:spacing w:line="440" w:lineRule="atLeast"/>
              <w:jc w:val="right"/>
              <w:rPr>
                <w:rFonts w:ascii="仿宋" w:hAnsi="仿宋" w:eastAsia="仿宋" w:cs="仿宋"/>
                <w:kern w:val="0"/>
                <w:sz w:val="20"/>
                <w:szCs w:val="20"/>
              </w:rPr>
            </w:pPr>
            <w:r>
              <w:rPr>
                <w:rFonts w:hint="eastAsia" w:ascii="仿宋" w:hAnsi="仿宋" w:eastAsia="仿宋" w:cs="仿宋"/>
                <w:kern w:val="0"/>
                <w:sz w:val="20"/>
                <w:szCs w:val="20"/>
              </w:rPr>
              <w:t>73.87%</w:t>
            </w:r>
          </w:p>
        </w:tc>
        <w:tc>
          <w:tcPr>
            <w:tcW w:w="888" w:type="pct"/>
            <w:tcBorders>
              <w:top w:val="nil"/>
              <w:left w:val="nil"/>
              <w:bottom w:val="single" w:color="auto" w:sz="4" w:space="0"/>
              <w:right w:val="single" w:color="auto" w:sz="4" w:space="0"/>
            </w:tcBorders>
            <w:vAlign w:val="center"/>
          </w:tcPr>
          <w:p w14:paraId="311335A0">
            <w:pPr>
              <w:spacing w:line="440" w:lineRule="atLeast"/>
              <w:jc w:val="right"/>
              <w:rPr>
                <w:rFonts w:ascii="仿宋" w:hAnsi="仿宋" w:eastAsia="仿宋" w:cs="仿宋"/>
                <w:kern w:val="0"/>
                <w:sz w:val="20"/>
                <w:szCs w:val="20"/>
              </w:rPr>
            </w:pPr>
            <w:r>
              <w:rPr>
                <w:rFonts w:hint="eastAsia" w:ascii="仿宋" w:hAnsi="仿宋" w:eastAsia="仿宋" w:cs="仿宋"/>
                <w:kern w:val="0"/>
                <w:sz w:val="20"/>
                <w:szCs w:val="20"/>
              </w:rPr>
              <w:t>73.71%</w:t>
            </w:r>
          </w:p>
        </w:tc>
        <w:tc>
          <w:tcPr>
            <w:tcW w:w="888" w:type="pct"/>
            <w:tcBorders>
              <w:top w:val="nil"/>
              <w:left w:val="nil"/>
              <w:bottom w:val="single" w:color="auto" w:sz="4" w:space="0"/>
              <w:right w:val="single" w:color="auto" w:sz="4" w:space="0"/>
            </w:tcBorders>
            <w:vAlign w:val="center"/>
          </w:tcPr>
          <w:p w14:paraId="41755080">
            <w:pPr>
              <w:spacing w:line="440" w:lineRule="atLeast"/>
              <w:jc w:val="right"/>
              <w:rPr>
                <w:rFonts w:ascii="仿宋" w:hAnsi="仿宋" w:eastAsia="仿宋" w:cs="仿宋"/>
                <w:kern w:val="0"/>
                <w:sz w:val="20"/>
                <w:szCs w:val="20"/>
              </w:rPr>
            </w:pPr>
            <w:r>
              <w:rPr>
                <w:rFonts w:hint="eastAsia" w:ascii="仿宋" w:hAnsi="仿宋" w:eastAsia="仿宋" w:cs="仿宋"/>
                <w:kern w:val="0"/>
                <w:sz w:val="20"/>
                <w:szCs w:val="20"/>
              </w:rPr>
              <w:t>69.90%</w:t>
            </w:r>
          </w:p>
        </w:tc>
        <w:tc>
          <w:tcPr>
            <w:tcW w:w="888" w:type="pct"/>
            <w:tcBorders>
              <w:top w:val="nil"/>
              <w:left w:val="nil"/>
              <w:bottom w:val="single" w:color="auto" w:sz="4" w:space="0"/>
              <w:right w:val="single" w:color="auto" w:sz="4" w:space="0"/>
            </w:tcBorders>
            <w:vAlign w:val="center"/>
          </w:tcPr>
          <w:p w14:paraId="0670FDA6">
            <w:pPr>
              <w:spacing w:line="440" w:lineRule="atLeast"/>
              <w:jc w:val="right"/>
              <w:rPr>
                <w:rFonts w:ascii="仿宋" w:hAnsi="仿宋" w:eastAsia="仿宋" w:cs="仿宋"/>
                <w:kern w:val="0"/>
                <w:sz w:val="20"/>
                <w:szCs w:val="20"/>
              </w:rPr>
            </w:pPr>
            <w:r>
              <w:rPr>
                <w:rFonts w:hint="eastAsia" w:ascii="仿宋" w:hAnsi="仿宋" w:eastAsia="仿宋" w:cs="仿宋"/>
                <w:kern w:val="0"/>
                <w:sz w:val="20"/>
                <w:szCs w:val="20"/>
              </w:rPr>
              <w:t>71.16%</w:t>
            </w:r>
          </w:p>
        </w:tc>
      </w:tr>
    </w:tbl>
    <w:p w14:paraId="183C28B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本次评估认为xx银行在预测期的存贷比可保持在评估基准日水平，即预测期的存贷比为71.16%，并依此为依据对预测期的贷款余额进行预测。</w:t>
      </w:r>
    </w:p>
    <w:tbl>
      <w:tblPr>
        <w:tblStyle w:val="24"/>
        <w:tblW w:w="4998" w:type="pct"/>
        <w:jc w:val="center"/>
        <w:tblLayout w:type="autofit"/>
        <w:tblCellMar>
          <w:top w:w="0" w:type="dxa"/>
          <w:left w:w="108" w:type="dxa"/>
          <w:bottom w:w="0" w:type="dxa"/>
          <w:right w:w="108" w:type="dxa"/>
        </w:tblCellMar>
      </w:tblPr>
      <w:tblGrid>
        <w:gridCol w:w="988"/>
        <w:gridCol w:w="1505"/>
        <w:gridCol w:w="1505"/>
        <w:gridCol w:w="1505"/>
        <w:gridCol w:w="1505"/>
        <w:gridCol w:w="1505"/>
      </w:tblGrid>
      <w:tr w14:paraId="2509B217">
        <w:tblPrEx>
          <w:tblCellMar>
            <w:top w:w="0" w:type="dxa"/>
            <w:left w:w="108" w:type="dxa"/>
            <w:bottom w:w="0" w:type="dxa"/>
            <w:right w:w="108" w:type="dxa"/>
          </w:tblCellMar>
        </w:tblPrEx>
        <w:trPr>
          <w:trHeight w:val="285" w:hRule="atLeast"/>
          <w:jc w:val="center"/>
        </w:trPr>
        <w:tc>
          <w:tcPr>
            <w:tcW w:w="580" w:type="pct"/>
            <w:tcBorders>
              <w:top w:val="single" w:color="auto" w:sz="8" w:space="0"/>
              <w:left w:val="single" w:color="auto" w:sz="8" w:space="0"/>
              <w:bottom w:val="single" w:color="auto" w:sz="4" w:space="0"/>
              <w:right w:val="single" w:color="auto" w:sz="4" w:space="0"/>
            </w:tcBorders>
            <w:vAlign w:val="center"/>
          </w:tcPr>
          <w:p w14:paraId="43646A25">
            <w:pPr>
              <w:spacing w:line="440" w:lineRule="atLeast"/>
              <w:jc w:val="center"/>
              <w:rPr>
                <w:rFonts w:ascii="仿宋" w:hAnsi="仿宋" w:eastAsia="仿宋" w:cs="仿宋"/>
                <w:b/>
                <w:bCs/>
                <w:kern w:val="0"/>
                <w:sz w:val="24"/>
              </w:rPr>
            </w:pPr>
            <w:r>
              <w:rPr>
                <w:rFonts w:hint="eastAsia" w:ascii="仿宋" w:hAnsi="仿宋" w:eastAsia="仿宋" w:cs="仿宋"/>
                <w:b/>
                <w:bCs/>
                <w:kern w:val="0"/>
                <w:sz w:val="24"/>
              </w:rPr>
              <w:t>项目</w:t>
            </w:r>
          </w:p>
        </w:tc>
        <w:tc>
          <w:tcPr>
            <w:tcW w:w="883" w:type="pct"/>
            <w:tcBorders>
              <w:top w:val="single" w:color="auto" w:sz="4" w:space="0"/>
              <w:left w:val="nil"/>
              <w:bottom w:val="single" w:color="auto" w:sz="4" w:space="0"/>
              <w:right w:val="single" w:color="auto" w:sz="4" w:space="0"/>
            </w:tcBorders>
            <w:vAlign w:val="center"/>
          </w:tcPr>
          <w:p w14:paraId="7D238160">
            <w:pPr>
              <w:spacing w:line="440" w:lineRule="atLeast"/>
              <w:jc w:val="center"/>
              <w:rPr>
                <w:rFonts w:ascii="仿宋" w:hAnsi="仿宋" w:eastAsia="仿宋" w:cs="仿宋"/>
                <w:b/>
                <w:sz w:val="24"/>
              </w:rPr>
            </w:pPr>
            <w:r>
              <w:rPr>
                <w:rFonts w:hint="eastAsia" w:ascii="仿宋" w:hAnsi="仿宋" w:eastAsia="仿宋" w:cs="仿宋"/>
                <w:b/>
                <w:sz w:val="24"/>
              </w:rPr>
              <w:t>20x4年</w:t>
            </w:r>
          </w:p>
        </w:tc>
        <w:tc>
          <w:tcPr>
            <w:tcW w:w="883" w:type="pct"/>
            <w:tcBorders>
              <w:top w:val="single" w:color="auto" w:sz="4" w:space="0"/>
              <w:left w:val="nil"/>
              <w:bottom w:val="single" w:color="auto" w:sz="4" w:space="0"/>
              <w:right w:val="single" w:color="auto" w:sz="4" w:space="0"/>
            </w:tcBorders>
            <w:vAlign w:val="center"/>
          </w:tcPr>
          <w:p w14:paraId="638D1AA8">
            <w:pPr>
              <w:spacing w:line="440" w:lineRule="atLeast"/>
              <w:jc w:val="center"/>
              <w:rPr>
                <w:rFonts w:ascii="仿宋" w:hAnsi="仿宋" w:eastAsia="仿宋" w:cs="仿宋"/>
                <w:b/>
                <w:sz w:val="24"/>
              </w:rPr>
            </w:pPr>
            <w:r>
              <w:rPr>
                <w:rFonts w:hint="eastAsia" w:ascii="仿宋" w:hAnsi="仿宋" w:eastAsia="仿宋" w:cs="仿宋"/>
                <w:b/>
                <w:sz w:val="24"/>
              </w:rPr>
              <w:t>20x5年</w:t>
            </w:r>
          </w:p>
        </w:tc>
        <w:tc>
          <w:tcPr>
            <w:tcW w:w="883" w:type="pct"/>
            <w:tcBorders>
              <w:top w:val="single" w:color="auto" w:sz="4" w:space="0"/>
              <w:left w:val="nil"/>
              <w:bottom w:val="single" w:color="auto" w:sz="4" w:space="0"/>
              <w:right w:val="single" w:color="auto" w:sz="4" w:space="0"/>
            </w:tcBorders>
            <w:vAlign w:val="center"/>
          </w:tcPr>
          <w:p w14:paraId="539C6638">
            <w:pPr>
              <w:spacing w:line="440" w:lineRule="atLeast"/>
              <w:jc w:val="center"/>
              <w:rPr>
                <w:rFonts w:ascii="仿宋" w:hAnsi="仿宋" w:eastAsia="仿宋" w:cs="仿宋"/>
                <w:b/>
                <w:sz w:val="24"/>
              </w:rPr>
            </w:pPr>
            <w:r>
              <w:rPr>
                <w:rFonts w:hint="eastAsia" w:ascii="仿宋" w:hAnsi="仿宋" w:eastAsia="仿宋" w:cs="仿宋"/>
                <w:b/>
                <w:sz w:val="24"/>
              </w:rPr>
              <w:t>20x6年</w:t>
            </w:r>
          </w:p>
        </w:tc>
        <w:tc>
          <w:tcPr>
            <w:tcW w:w="883" w:type="pct"/>
            <w:tcBorders>
              <w:top w:val="single" w:color="auto" w:sz="4" w:space="0"/>
              <w:left w:val="nil"/>
              <w:bottom w:val="single" w:color="auto" w:sz="4" w:space="0"/>
              <w:right w:val="single" w:color="auto" w:sz="4" w:space="0"/>
            </w:tcBorders>
            <w:vAlign w:val="center"/>
          </w:tcPr>
          <w:p w14:paraId="323C8180">
            <w:pPr>
              <w:spacing w:line="440" w:lineRule="atLeast"/>
              <w:jc w:val="center"/>
              <w:rPr>
                <w:rFonts w:ascii="仿宋" w:hAnsi="仿宋" w:eastAsia="仿宋" w:cs="仿宋"/>
                <w:b/>
                <w:sz w:val="24"/>
              </w:rPr>
            </w:pPr>
            <w:r>
              <w:rPr>
                <w:rFonts w:hint="eastAsia" w:ascii="仿宋" w:hAnsi="仿宋" w:eastAsia="仿宋" w:cs="仿宋"/>
                <w:b/>
                <w:sz w:val="24"/>
              </w:rPr>
              <w:t>20x7年</w:t>
            </w:r>
          </w:p>
        </w:tc>
        <w:tc>
          <w:tcPr>
            <w:tcW w:w="883" w:type="pct"/>
            <w:tcBorders>
              <w:top w:val="single" w:color="auto" w:sz="4" w:space="0"/>
              <w:left w:val="nil"/>
              <w:bottom w:val="single" w:color="auto" w:sz="4" w:space="0"/>
              <w:right w:val="single" w:color="auto" w:sz="4" w:space="0"/>
            </w:tcBorders>
            <w:vAlign w:val="center"/>
          </w:tcPr>
          <w:p w14:paraId="5FA7BFB5">
            <w:pPr>
              <w:spacing w:line="440" w:lineRule="atLeast"/>
              <w:jc w:val="center"/>
              <w:rPr>
                <w:rFonts w:ascii="仿宋" w:hAnsi="仿宋" w:eastAsia="仿宋" w:cs="仿宋"/>
                <w:b/>
                <w:sz w:val="24"/>
              </w:rPr>
            </w:pPr>
            <w:r>
              <w:rPr>
                <w:rFonts w:hint="eastAsia" w:ascii="仿宋" w:hAnsi="仿宋" w:eastAsia="仿宋" w:cs="仿宋"/>
                <w:b/>
                <w:sz w:val="24"/>
              </w:rPr>
              <w:t>20x8年</w:t>
            </w:r>
          </w:p>
        </w:tc>
      </w:tr>
      <w:tr w14:paraId="27359FE2">
        <w:tblPrEx>
          <w:tblCellMar>
            <w:top w:w="0" w:type="dxa"/>
            <w:left w:w="108" w:type="dxa"/>
            <w:bottom w:w="0" w:type="dxa"/>
            <w:right w:w="108" w:type="dxa"/>
          </w:tblCellMar>
        </w:tblPrEx>
        <w:trPr>
          <w:trHeight w:val="285" w:hRule="atLeast"/>
          <w:jc w:val="center"/>
        </w:trPr>
        <w:tc>
          <w:tcPr>
            <w:tcW w:w="580" w:type="pct"/>
            <w:tcBorders>
              <w:top w:val="nil"/>
              <w:left w:val="single" w:color="auto" w:sz="8" w:space="0"/>
              <w:bottom w:val="single" w:color="auto" w:sz="4" w:space="0"/>
              <w:right w:val="single" w:color="auto" w:sz="4" w:space="0"/>
            </w:tcBorders>
            <w:vAlign w:val="center"/>
          </w:tcPr>
          <w:p w14:paraId="35055757">
            <w:pPr>
              <w:spacing w:line="440" w:lineRule="atLeast"/>
              <w:jc w:val="left"/>
              <w:rPr>
                <w:rFonts w:ascii="仿宋" w:hAnsi="仿宋" w:eastAsia="仿宋" w:cs="仿宋"/>
                <w:bCs/>
                <w:kern w:val="0"/>
                <w:sz w:val="24"/>
              </w:rPr>
            </w:pPr>
            <w:r>
              <w:rPr>
                <w:rFonts w:hint="eastAsia" w:ascii="仿宋" w:hAnsi="仿宋" w:eastAsia="仿宋" w:cs="仿宋"/>
                <w:bCs/>
                <w:kern w:val="0"/>
                <w:sz w:val="24"/>
              </w:rPr>
              <w:t>贷款余额</w:t>
            </w:r>
          </w:p>
        </w:tc>
        <w:tc>
          <w:tcPr>
            <w:tcW w:w="883" w:type="pct"/>
            <w:tcBorders>
              <w:top w:val="nil"/>
              <w:left w:val="nil"/>
              <w:bottom w:val="single" w:color="auto" w:sz="4" w:space="0"/>
              <w:right w:val="single" w:color="auto" w:sz="4" w:space="0"/>
            </w:tcBorders>
            <w:vAlign w:val="center"/>
          </w:tcPr>
          <w:p w14:paraId="77C8E581">
            <w:pPr>
              <w:spacing w:line="440" w:lineRule="atLeast"/>
              <w:jc w:val="right"/>
              <w:rPr>
                <w:rFonts w:ascii="仿宋" w:hAnsi="仿宋" w:eastAsia="仿宋" w:cs="仿宋"/>
                <w:sz w:val="18"/>
                <w:szCs w:val="18"/>
              </w:rPr>
            </w:pPr>
            <w:r>
              <w:rPr>
                <w:rFonts w:hint="eastAsia" w:ascii="仿宋" w:hAnsi="仿宋" w:eastAsia="仿宋" w:cs="仿宋"/>
                <w:sz w:val="18"/>
                <w:szCs w:val="18"/>
              </w:rPr>
              <w:t>125,583,239.16</w:t>
            </w:r>
          </w:p>
        </w:tc>
        <w:tc>
          <w:tcPr>
            <w:tcW w:w="883" w:type="pct"/>
            <w:tcBorders>
              <w:top w:val="nil"/>
              <w:left w:val="nil"/>
              <w:bottom w:val="single" w:color="auto" w:sz="4" w:space="0"/>
              <w:right w:val="single" w:color="auto" w:sz="4" w:space="0"/>
            </w:tcBorders>
            <w:vAlign w:val="center"/>
          </w:tcPr>
          <w:p w14:paraId="6192E321">
            <w:pPr>
              <w:spacing w:line="440" w:lineRule="atLeast"/>
              <w:jc w:val="right"/>
              <w:rPr>
                <w:rFonts w:ascii="仿宋" w:hAnsi="仿宋" w:eastAsia="仿宋" w:cs="仿宋"/>
                <w:sz w:val="18"/>
                <w:szCs w:val="18"/>
              </w:rPr>
            </w:pPr>
            <w:r>
              <w:rPr>
                <w:rFonts w:hint="eastAsia" w:ascii="仿宋" w:hAnsi="仿宋" w:eastAsia="仿宋" w:cs="仿宋"/>
                <w:sz w:val="18"/>
                <w:szCs w:val="18"/>
              </w:rPr>
              <w:t>138,141,555.96</w:t>
            </w:r>
          </w:p>
        </w:tc>
        <w:tc>
          <w:tcPr>
            <w:tcW w:w="883" w:type="pct"/>
            <w:tcBorders>
              <w:top w:val="nil"/>
              <w:left w:val="nil"/>
              <w:bottom w:val="single" w:color="auto" w:sz="4" w:space="0"/>
              <w:right w:val="single" w:color="auto" w:sz="4" w:space="0"/>
            </w:tcBorders>
            <w:vAlign w:val="center"/>
          </w:tcPr>
          <w:p w14:paraId="326DBCCC">
            <w:pPr>
              <w:spacing w:line="440" w:lineRule="atLeast"/>
              <w:jc w:val="right"/>
              <w:rPr>
                <w:rFonts w:ascii="仿宋" w:hAnsi="仿宋" w:eastAsia="仿宋" w:cs="仿宋"/>
                <w:sz w:val="18"/>
                <w:szCs w:val="18"/>
              </w:rPr>
            </w:pPr>
            <w:r>
              <w:rPr>
                <w:rFonts w:hint="eastAsia" w:ascii="仿宋" w:hAnsi="仿宋" w:eastAsia="仿宋" w:cs="仿宋"/>
                <w:sz w:val="18"/>
                <w:szCs w:val="18"/>
              </w:rPr>
              <w:t>151,955,704.44</w:t>
            </w:r>
          </w:p>
        </w:tc>
        <w:tc>
          <w:tcPr>
            <w:tcW w:w="883" w:type="pct"/>
            <w:tcBorders>
              <w:top w:val="nil"/>
              <w:left w:val="nil"/>
              <w:bottom w:val="single" w:color="auto" w:sz="4" w:space="0"/>
              <w:right w:val="single" w:color="auto" w:sz="4" w:space="0"/>
            </w:tcBorders>
            <w:vAlign w:val="center"/>
          </w:tcPr>
          <w:p w14:paraId="6239BC15">
            <w:pPr>
              <w:spacing w:line="440" w:lineRule="atLeast"/>
              <w:jc w:val="right"/>
              <w:rPr>
                <w:rFonts w:ascii="仿宋" w:hAnsi="仿宋" w:eastAsia="仿宋" w:cs="仿宋"/>
                <w:sz w:val="18"/>
                <w:szCs w:val="18"/>
              </w:rPr>
            </w:pPr>
            <w:r>
              <w:rPr>
                <w:rFonts w:hint="eastAsia" w:ascii="仿宋" w:hAnsi="仿宋" w:eastAsia="仿宋" w:cs="仿宋"/>
                <w:sz w:val="18"/>
                <w:szCs w:val="18"/>
              </w:rPr>
              <w:t>165,631,731.36</w:t>
            </w:r>
          </w:p>
        </w:tc>
        <w:tc>
          <w:tcPr>
            <w:tcW w:w="883" w:type="pct"/>
            <w:tcBorders>
              <w:top w:val="nil"/>
              <w:left w:val="nil"/>
              <w:bottom w:val="single" w:color="auto" w:sz="4" w:space="0"/>
              <w:right w:val="single" w:color="auto" w:sz="4" w:space="0"/>
            </w:tcBorders>
            <w:vAlign w:val="center"/>
          </w:tcPr>
          <w:p w14:paraId="1D78605D">
            <w:pPr>
              <w:spacing w:line="440" w:lineRule="atLeast"/>
              <w:jc w:val="right"/>
              <w:rPr>
                <w:rFonts w:ascii="仿宋" w:hAnsi="仿宋" w:eastAsia="仿宋" w:cs="仿宋"/>
                <w:sz w:val="18"/>
                <w:szCs w:val="18"/>
              </w:rPr>
            </w:pPr>
            <w:r>
              <w:rPr>
                <w:rFonts w:hint="eastAsia" w:ascii="仿宋" w:hAnsi="仿宋" w:eastAsia="仿宋" w:cs="仿宋"/>
                <w:sz w:val="18"/>
                <w:szCs w:val="18"/>
              </w:rPr>
              <w:t>178,882,292.64</w:t>
            </w:r>
          </w:p>
        </w:tc>
      </w:tr>
      <w:tr w14:paraId="40D1E01E">
        <w:tblPrEx>
          <w:tblCellMar>
            <w:top w:w="0" w:type="dxa"/>
            <w:left w:w="108" w:type="dxa"/>
            <w:bottom w:w="0" w:type="dxa"/>
            <w:right w:w="108" w:type="dxa"/>
          </w:tblCellMar>
        </w:tblPrEx>
        <w:trPr>
          <w:trHeight w:val="285" w:hRule="atLeast"/>
          <w:jc w:val="center"/>
        </w:trPr>
        <w:tc>
          <w:tcPr>
            <w:tcW w:w="580" w:type="pct"/>
            <w:tcBorders>
              <w:top w:val="nil"/>
              <w:left w:val="single" w:color="auto" w:sz="8" w:space="0"/>
              <w:bottom w:val="single" w:color="auto" w:sz="4" w:space="0"/>
              <w:right w:val="single" w:color="auto" w:sz="4" w:space="0"/>
            </w:tcBorders>
            <w:vAlign w:val="center"/>
          </w:tcPr>
          <w:p w14:paraId="6D643D94">
            <w:pPr>
              <w:spacing w:line="440" w:lineRule="atLeast"/>
              <w:jc w:val="left"/>
              <w:rPr>
                <w:rFonts w:ascii="仿宋" w:hAnsi="仿宋" w:eastAsia="仿宋" w:cs="仿宋"/>
                <w:bCs/>
                <w:kern w:val="0"/>
                <w:sz w:val="24"/>
              </w:rPr>
            </w:pPr>
            <w:r>
              <w:rPr>
                <w:rFonts w:hint="eastAsia" w:ascii="仿宋" w:hAnsi="仿宋" w:eastAsia="仿宋" w:cs="仿宋"/>
                <w:bCs/>
                <w:kern w:val="0"/>
                <w:sz w:val="24"/>
              </w:rPr>
              <w:t>存款余额</w:t>
            </w:r>
          </w:p>
        </w:tc>
        <w:tc>
          <w:tcPr>
            <w:tcW w:w="883" w:type="pct"/>
            <w:tcBorders>
              <w:top w:val="nil"/>
              <w:left w:val="nil"/>
              <w:bottom w:val="single" w:color="auto" w:sz="4" w:space="0"/>
              <w:right w:val="single" w:color="auto" w:sz="4" w:space="0"/>
            </w:tcBorders>
            <w:vAlign w:val="center"/>
          </w:tcPr>
          <w:p w14:paraId="73F91C7A">
            <w:pPr>
              <w:spacing w:line="440" w:lineRule="atLeast"/>
              <w:jc w:val="right"/>
              <w:rPr>
                <w:rFonts w:ascii="仿宋" w:hAnsi="仿宋" w:eastAsia="仿宋" w:cs="仿宋"/>
                <w:sz w:val="18"/>
                <w:szCs w:val="18"/>
              </w:rPr>
            </w:pPr>
            <w:r>
              <w:rPr>
                <w:rFonts w:hint="eastAsia" w:ascii="仿宋" w:hAnsi="仿宋" w:eastAsia="仿宋" w:cs="仿宋"/>
                <w:sz w:val="18"/>
                <w:szCs w:val="18"/>
              </w:rPr>
              <w:t>176,480,100.00</w:t>
            </w:r>
          </w:p>
        </w:tc>
        <w:tc>
          <w:tcPr>
            <w:tcW w:w="883" w:type="pct"/>
            <w:tcBorders>
              <w:top w:val="nil"/>
              <w:left w:val="nil"/>
              <w:bottom w:val="single" w:color="auto" w:sz="4" w:space="0"/>
              <w:right w:val="single" w:color="auto" w:sz="4" w:space="0"/>
            </w:tcBorders>
            <w:vAlign w:val="center"/>
          </w:tcPr>
          <w:p w14:paraId="20E4E1D0">
            <w:pPr>
              <w:spacing w:line="440" w:lineRule="atLeast"/>
              <w:jc w:val="right"/>
              <w:rPr>
                <w:rFonts w:ascii="仿宋" w:hAnsi="仿宋" w:eastAsia="仿宋" w:cs="仿宋"/>
                <w:sz w:val="18"/>
                <w:szCs w:val="18"/>
              </w:rPr>
            </w:pPr>
            <w:r>
              <w:rPr>
                <w:rFonts w:hint="eastAsia" w:ascii="仿宋" w:hAnsi="仿宋" w:eastAsia="仿宋" w:cs="仿宋"/>
                <w:sz w:val="18"/>
                <w:szCs w:val="18"/>
              </w:rPr>
              <w:t>194,128,100.00</w:t>
            </w:r>
          </w:p>
        </w:tc>
        <w:tc>
          <w:tcPr>
            <w:tcW w:w="883" w:type="pct"/>
            <w:tcBorders>
              <w:top w:val="nil"/>
              <w:left w:val="nil"/>
              <w:bottom w:val="single" w:color="auto" w:sz="4" w:space="0"/>
              <w:right w:val="single" w:color="auto" w:sz="4" w:space="0"/>
            </w:tcBorders>
            <w:vAlign w:val="center"/>
          </w:tcPr>
          <w:p w14:paraId="523B25E2">
            <w:pPr>
              <w:spacing w:line="440" w:lineRule="atLeast"/>
              <w:jc w:val="right"/>
              <w:rPr>
                <w:rFonts w:ascii="仿宋" w:hAnsi="仿宋" w:eastAsia="仿宋" w:cs="仿宋"/>
                <w:sz w:val="18"/>
                <w:szCs w:val="18"/>
              </w:rPr>
            </w:pPr>
            <w:r>
              <w:rPr>
                <w:rFonts w:hint="eastAsia" w:ascii="仿宋" w:hAnsi="仿宋" w:eastAsia="仿宋" w:cs="仿宋"/>
                <w:sz w:val="18"/>
                <w:szCs w:val="18"/>
              </w:rPr>
              <w:t>213,540,900.00</w:t>
            </w:r>
          </w:p>
        </w:tc>
        <w:tc>
          <w:tcPr>
            <w:tcW w:w="883" w:type="pct"/>
            <w:tcBorders>
              <w:top w:val="nil"/>
              <w:left w:val="nil"/>
              <w:bottom w:val="single" w:color="auto" w:sz="4" w:space="0"/>
              <w:right w:val="single" w:color="auto" w:sz="4" w:space="0"/>
            </w:tcBorders>
            <w:vAlign w:val="center"/>
          </w:tcPr>
          <w:p w14:paraId="72811E2E">
            <w:pPr>
              <w:spacing w:line="440" w:lineRule="atLeast"/>
              <w:jc w:val="right"/>
              <w:rPr>
                <w:rFonts w:ascii="仿宋" w:hAnsi="仿宋" w:eastAsia="仿宋" w:cs="仿宋"/>
                <w:sz w:val="18"/>
                <w:szCs w:val="18"/>
              </w:rPr>
            </w:pPr>
            <w:r>
              <w:rPr>
                <w:rFonts w:hint="eastAsia" w:ascii="仿宋" w:hAnsi="仿宋" w:eastAsia="仿宋" w:cs="仿宋"/>
                <w:sz w:val="18"/>
                <w:szCs w:val="18"/>
              </w:rPr>
              <w:t>232,759,600.00</w:t>
            </w:r>
          </w:p>
        </w:tc>
        <w:tc>
          <w:tcPr>
            <w:tcW w:w="883" w:type="pct"/>
            <w:tcBorders>
              <w:top w:val="nil"/>
              <w:left w:val="nil"/>
              <w:bottom w:val="single" w:color="auto" w:sz="4" w:space="0"/>
              <w:right w:val="single" w:color="auto" w:sz="4" w:space="0"/>
            </w:tcBorders>
            <w:vAlign w:val="center"/>
          </w:tcPr>
          <w:p w14:paraId="549683B9">
            <w:pPr>
              <w:spacing w:line="440" w:lineRule="atLeast"/>
              <w:jc w:val="right"/>
              <w:rPr>
                <w:rFonts w:ascii="仿宋" w:hAnsi="仿宋" w:eastAsia="仿宋" w:cs="仿宋"/>
                <w:sz w:val="18"/>
                <w:szCs w:val="18"/>
              </w:rPr>
            </w:pPr>
            <w:r>
              <w:rPr>
                <w:rFonts w:hint="eastAsia" w:ascii="仿宋" w:hAnsi="仿宋" w:eastAsia="仿宋" w:cs="仿宋"/>
                <w:sz w:val="18"/>
                <w:szCs w:val="18"/>
              </w:rPr>
              <w:t>251,380,400.00</w:t>
            </w:r>
          </w:p>
        </w:tc>
      </w:tr>
      <w:tr w14:paraId="375E0B04">
        <w:tblPrEx>
          <w:tblCellMar>
            <w:top w:w="0" w:type="dxa"/>
            <w:left w:w="108" w:type="dxa"/>
            <w:bottom w:w="0" w:type="dxa"/>
            <w:right w:w="108" w:type="dxa"/>
          </w:tblCellMar>
        </w:tblPrEx>
        <w:trPr>
          <w:trHeight w:val="285" w:hRule="atLeast"/>
          <w:jc w:val="center"/>
        </w:trPr>
        <w:tc>
          <w:tcPr>
            <w:tcW w:w="580" w:type="pct"/>
            <w:tcBorders>
              <w:top w:val="nil"/>
              <w:left w:val="single" w:color="auto" w:sz="8" w:space="0"/>
              <w:bottom w:val="single" w:color="auto" w:sz="4" w:space="0"/>
              <w:right w:val="single" w:color="auto" w:sz="4" w:space="0"/>
            </w:tcBorders>
            <w:vAlign w:val="center"/>
          </w:tcPr>
          <w:p w14:paraId="7CBEBBC1">
            <w:pPr>
              <w:spacing w:line="440" w:lineRule="atLeast"/>
              <w:jc w:val="left"/>
              <w:rPr>
                <w:rFonts w:ascii="仿宋" w:hAnsi="仿宋" w:eastAsia="仿宋" w:cs="仿宋"/>
                <w:bCs/>
                <w:kern w:val="0"/>
                <w:sz w:val="24"/>
              </w:rPr>
            </w:pPr>
            <w:r>
              <w:rPr>
                <w:rFonts w:hint="eastAsia" w:ascii="仿宋" w:hAnsi="仿宋" w:eastAsia="仿宋" w:cs="仿宋"/>
                <w:bCs/>
                <w:kern w:val="0"/>
                <w:sz w:val="24"/>
              </w:rPr>
              <w:t>存贷比</w:t>
            </w:r>
          </w:p>
        </w:tc>
        <w:tc>
          <w:tcPr>
            <w:tcW w:w="883" w:type="pct"/>
            <w:tcBorders>
              <w:top w:val="nil"/>
              <w:left w:val="nil"/>
              <w:bottom w:val="single" w:color="auto" w:sz="4" w:space="0"/>
              <w:right w:val="single" w:color="auto" w:sz="4" w:space="0"/>
            </w:tcBorders>
            <w:vAlign w:val="center"/>
          </w:tcPr>
          <w:p w14:paraId="77653BE8">
            <w:pPr>
              <w:spacing w:line="440" w:lineRule="atLeast"/>
              <w:jc w:val="right"/>
              <w:rPr>
                <w:rFonts w:ascii="仿宋" w:hAnsi="仿宋" w:eastAsia="仿宋" w:cs="仿宋"/>
                <w:sz w:val="18"/>
                <w:szCs w:val="18"/>
              </w:rPr>
            </w:pPr>
            <w:r>
              <w:rPr>
                <w:rFonts w:hint="eastAsia" w:ascii="仿宋" w:hAnsi="仿宋" w:eastAsia="仿宋" w:cs="仿宋"/>
                <w:sz w:val="18"/>
                <w:szCs w:val="18"/>
              </w:rPr>
              <w:t>71.16%</w:t>
            </w:r>
          </w:p>
        </w:tc>
        <w:tc>
          <w:tcPr>
            <w:tcW w:w="883" w:type="pct"/>
            <w:tcBorders>
              <w:top w:val="nil"/>
              <w:left w:val="nil"/>
              <w:bottom w:val="single" w:color="auto" w:sz="4" w:space="0"/>
              <w:right w:val="single" w:color="auto" w:sz="4" w:space="0"/>
            </w:tcBorders>
            <w:vAlign w:val="center"/>
          </w:tcPr>
          <w:p w14:paraId="372EB4A8">
            <w:pPr>
              <w:spacing w:line="440" w:lineRule="atLeast"/>
              <w:jc w:val="right"/>
              <w:rPr>
                <w:rFonts w:ascii="仿宋" w:hAnsi="仿宋" w:eastAsia="仿宋" w:cs="仿宋"/>
                <w:sz w:val="18"/>
                <w:szCs w:val="18"/>
              </w:rPr>
            </w:pPr>
            <w:r>
              <w:rPr>
                <w:rFonts w:hint="eastAsia" w:ascii="仿宋" w:hAnsi="仿宋" w:eastAsia="仿宋" w:cs="仿宋"/>
                <w:sz w:val="18"/>
                <w:szCs w:val="18"/>
              </w:rPr>
              <w:t>71.16%</w:t>
            </w:r>
          </w:p>
        </w:tc>
        <w:tc>
          <w:tcPr>
            <w:tcW w:w="883" w:type="pct"/>
            <w:tcBorders>
              <w:top w:val="nil"/>
              <w:left w:val="nil"/>
              <w:bottom w:val="single" w:color="auto" w:sz="4" w:space="0"/>
              <w:right w:val="single" w:color="auto" w:sz="4" w:space="0"/>
            </w:tcBorders>
            <w:vAlign w:val="center"/>
          </w:tcPr>
          <w:p w14:paraId="7DC6DFB2">
            <w:pPr>
              <w:spacing w:line="440" w:lineRule="atLeast"/>
              <w:jc w:val="right"/>
              <w:rPr>
                <w:rFonts w:ascii="仿宋" w:hAnsi="仿宋" w:eastAsia="仿宋" w:cs="仿宋"/>
                <w:sz w:val="18"/>
                <w:szCs w:val="18"/>
              </w:rPr>
            </w:pPr>
            <w:r>
              <w:rPr>
                <w:rFonts w:hint="eastAsia" w:ascii="仿宋" w:hAnsi="仿宋" w:eastAsia="仿宋" w:cs="仿宋"/>
                <w:sz w:val="18"/>
                <w:szCs w:val="18"/>
              </w:rPr>
              <w:t>71.16%</w:t>
            </w:r>
          </w:p>
        </w:tc>
        <w:tc>
          <w:tcPr>
            <w:tcW w:w="883" w:type="pct"/>
            <w:tcBorders>
              <w:top w:val="nil"/>
              <w:left w:val="nil"/>
              <w:bottom w:val="single" w:color="auto" w:sz="4" w:space="0"/>
              <w:right w:val="single" w:color="auto" w:sz="4" w:space="0"/>
            </w:tcBorders>
            <w:vAlign w:val="center"/>
          </w:tcPr>
          <w:p w14:paraId="5616F2B3">
            <w:pPr>
              <w:spacing w:line="440" w:lineRule="atLeast"/>
              <w:jc w:val="right"/>
              <w:rPr>
                <w:rFonts w:ascii="仿宋" w:hAnsi="仿宋" w:eastAsia="仿宋" w:cs="仿宋"/>
                <w:sz w:val="18"/>
                <w:szCs w:val="18"/>
              </w:rPr>
            </w:pPr>
            <w:r>
              <w:rPr>
                <w:rFonts w:hint="eastAsia" w:ascii="仿宋" w:hAnsi="仿宋" w:eastAsia="仿宋" w:cs="仿宋"/>
                <w:sz w:val="18"/>
                <w:szCs w:val="18"/>
              </w:rPr>
              <w:t>71.16%</w:t>
            </w:r>
          </w:p>
        </w:tc>
        <w:tc>
          <w:tcPr>
            <w:tcW w:w="883" w:type="pct"/>
            <w:tcBorders>
              <w:top w:val="nil"/>
              <w:left w:val="nil"/>
              <w:bottom w:val="single" w:color="auto" w:sz="4" w:space="0"/>
              <w:right w:val="single" w:color="auto" w:sz="4" w:space="0"/>
            </w:tcBorders>
            <w:vAlign w:val="center"/>
          </w:tcPr>
          <w:p w14:paraId="6C11285B">
            <w:pPr>
              <w:spacing w:line="440" w:lineRule="atLeast"/>
              <w:jc w:val="right"/>
              <w:rPr>
                <w:rFonts w:ascii="仿宋" w:hAnsi="仿宋" w:eastAsia="仿宋" w:cs="仿宋"/>
                <w:sz w:val="18"/>
                <w:szCs w:val="18"/>
              </w:rPr>
            </w:pPr>
            <w:r>
              <w:rPr>
                <w:rFonts w:hint="eastAsia" w:ascii="仿宋" w:hAnsi="仿宋" w:eastAsia="仿宋" w:cs="仿宋"/>
                <w:sz w:val="18"/>
                <w:szCs w:val="18"/>
              </w:rPr>
              <w:t>71.16%</w:t>
            </w:r>
          </w:p>
        </w:tc>
      </w:tr>
    </w:tbl>
    <w:p w14:paraId="7660174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3．存放央行款项及存放同业及其他金融机构款项预测</w:t>
      </w:r>
    </w:p>
    <w:p w14:paraId="5FF8F68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xx银行存放央行的款项主要为存放央行的准备金及超额准备金，xx银行20y9年至20x3年存款准备金率维持在20%左右,如下表所示。</w:t>
      </w:r>
    </w:p>
    <w:tbl>
      <w:tblPr>
        <w:tblStyle w:val="24"/>
        <w:tblW w:w="5000" w:type="pct"/>
        <w:tblInd w:w="0" w:type="dxa"/>
        <w:tblLayout w:type="fixed"/>
        <w:tblCellMar>
          <w:top w:w="0" w:type="dxa"/>
          <w:left w:w="108" w:type="dxa"/>
          <w:bottom w:w="0" w:type="dxa"/>
          <w:right w:w="108" w:type="dxa"/>
        </w:tblCellMar>
      </w:tblPr>
      <w:tblGrid>
        <w:gridCol w:w="1752"/>
        <w:gridCol w:w="1399"/>
        <w:gridCol w:w="1350"/>
        <w:gridCol w:w="1383"/>
        <w:gridCol w:w="1332"/>
        <w:gridCol w:w="1300"/>
      </w:tblGrid>
      <w:tr w14:paraId="79300B3A">
        <w:tblPrEx>
          <w:tblCellMar>
            <w:top w:w="0" w:type="dxa"/>
            <w:left w:w="108" w:type="dxa"/>
            <w:bottom w:w="0" w:type="dxa"/>
            <w:right w:w="108" w:type="dxa"/>
          </w:tblCellMar>
        </w:tblPrEx>
        <w:trPr>
          <w:trHeight w:val="285" w:hRule="atLeast"/>
        </w:trPr>
        <w:tc>
          <w:tcPr>
            <w:tcW w:w="1027" w:type="pct"/>
            <w:tcBorders>
              <w:top w:val="single" w:color="auto" w:sz="8" w:space="0"/>
              <w:left w:val="single" w:color="auto" w:sz="4" w:space="0"/>
              <w:bottom w:val="single" w:color="auto" w:sz="4" w:space="0"/>
              <w:right w:val="single" w:color="auto" w:sz="4" w:space="0"/>
            </w:tcBorders>
            <w:vAlign w:val="center"/>
          </w:tcPr>
          <w:p w14:paraId="2E325A32">
            <w:pPr>
              <w:spacing w:line="440" w:lineRule="atLeast"/>
              <w:jc w:val="center"/>
              <w:rPr>
                <w:rFonts w:ascii="仿宋" w:hAnsi="仿宋" w:eastAsia="仿宋" w:cs="仿宋"/>
                <w:b/>
                <w:bCs/>
                <w:kern w:val="0"/>
                <w:sz w:val="24"/>
              </w:rPr>
            </w:pPr>
            <w:r>
              <w:rPr>
                <w:rFonts w:hint="eastAsia" w:ascii="仿宋" w:hAnsi="仿宋" w:eastAsia="仿宋" w:cs="仿宋"/>
                <w:b/>
                <w:bCs/>
                <w:kern w:val="0"/>
                <w:sz w:val="24"/>
              </w:rPr>
              <w:t>项目</w:t>
            </w:r>
          </w:p>
        </w:tc>
        <w:tc>
          <w:tcPr>
            <w:tcW w:w="821" w:type="pct"/>
            <w:tcBorders>
              <w:top w:val="single" w:color="auto" w:sz="8" w:space="0"/>
              <w:left w:val="nil"/>
              <w:bottom w:val="single" w:color="auto" w:sz="4" w:space="0"/>
              <w:right w:val="single" w:color="auto" w:sz="4" w:space="0"/>
            </w:tcBorders>
            <w:vAlign w:val="center"/>
          </w:tcPr>
          <w:p w14:paraId="4385382A">
            <w:pPr>
              <w:spacing w:line="440" w:lineRule="atLeast"/>
              <w:jc w:val="center"/>
              <w:rPr>
                <w:rFonts w:ascii="仿宋" w:hAnsi="仿宋" w:eastAsia="仿宋" w:cs="仿宋"/>
                <w:b/>
                <w:kern w:val="0"/>
                <w:sz w:val="24"/>
              </w:rPr>
            </w:pPr>
            <w:r>
              <w:rPr>
                <w:rFonts w:hint="eastAsia" w:ascii="仿宋" w:hAnsi="仿宋" w:eastAsia="仿宋" w:cs="仿宋"/>
                <w:b/>
                <w:kern w:val="0"/>
                <w:sz w:val="24"/>
              </w:rPr>
              <w:t>20y9年</w:t>
            </w:r>
          </w:p>
        </w:tc>
        <w:tc>
          <w:tcPr>
            <w:tcW w:w="792" w:type="pct"/>
            <w:tcBorders>
              <w:top w:val="single" w:color="auto" w:sz="8" w:space="0"/>
              <w:left w:val="nil"/>
              <w:bottom w:val="single" w:color="auto" w:sz="4" w:space="0"/>
              <w:right w:val="single" w:color="auto" w:sz="4" w:space="0"/>
            </w:tcBorders>
            <w:vAlign w:val="center"/>
          </w:tcPr>
          <w:p w14:paraId="32E897FB">
            <w:pPr>
              <w:spacing w:line="440" w:lineRule="atLeast"/>
              <w:jc w:val="center"/>
              <w:rPr>
                <w:rFonts w:ascii="仿宋" w:hAnsi="仿宋" w:eastAsia="仿宋" w:cs="仿宋"/>
                <w:b/>
                <w:kern w:val="0"/>
                <w:sz w:val="24"/>
              </w:rPr>
            </w:pPr>
            <w:r>
              <w:rPr>
                <w:rFonts w:hint="eastAsia" w:ascii="仿宋" w:hAnsi="仿宋" w:eastAsia="仿宋" w:cs="仿宋"/>
                <w:b/>
                <w:kern w:val="0"/>
                <w:sz w:val="24"/>
              </w:rPr>
              <w:t>20x0年</w:t>
            </w:r>
          </w:p>
        </w:tc>
        <w:tc>
          <w:tcPr>
            <w:tcW w:w="812" w:type="pct"/>
            <w:tcBorders>
              <w:top w:val="single" w:color="auto" w:sz="8" w:space="0"/>
              <w:left w:val="nil"/>
              <w:bottom w:val="single" w:color="auto" w:sz="4" w:space="0"/>
              <w:right w:val="single" w:color="auto" w:sz="4" w:space="0"/>
            </w:tcBorders>
            <w:vAlign w:val="center"/>
          </w:tcPr>
          <w:p w14:paraId="18BF3298">
            <w:pPr>
              <w:spacing w:line="440" w:lineRule="atLeast"/>
              <w:jc w:val="center"/>
              <w:rPr>
                <w:rFonts w:ascii="仿宋" w:hAnsi="仿宋" w:eastAsia="仿宋" w:cs="仿宋"/>
                <w:b/>
                <w:kern w:val="0"/>
                <w:sz w:val="24"/>
              </w:rPr>
            </w:pPr>
            <w:r>
              <w:rPr>
                <w:rFonts w:hint="eastAsia" w:ascii="仿宋" w:hAnsi="仿宋" w:eastAsia="仿宋" w:cs="仿宋"/>
                <w:b/>
                <w:kern w:val="0"/>
                <w:sz w:val="24"/>
              </w:rPr>
              <w:t>20x1年</w:t>
            </w:r>
          </w:p>
        </w:tc>
        <w:tc>
          <w:tcPr>
            <w:tcW w:w="782" w:type="pct"/>
            <w:tcBorders>
              <w:top w:val="single" w:color="auto" w:sz="8" w:space="0"/>
              <w:left w:val="nil"/>
              <w:bottom w:val="single" w:color="auto" w:sz="4" w:space="0"/>
              <w:right w:val="single" w:color="auto" w:sz="4" w:space="0"/>
            </w:tcBorders>
            <w:vAlign w:val="center"/>
          </w:tcPr>
          <w:p w14:paraId="3BDA7A87">
            <w:pPr>
              <w:spacing w:line="440" w:lineRule="atLeast"/>
              <w:jc w:val="center"/>
              <w:rPr>
                <w:rFonts w:ascii="仿宋" w:hAnsi="仿宋" w:eastAsia="仿宋" w:cs="仿宋"/>
                <w:b/>
                <w:kern w:val="0"/>
                <w:sz w:val="24"/>
              </w:rPr>
            </w:pPr>
            <w:r>
              <w:rPr>
                <w:rFonts w:hint="eastAsia" w:ascii="仿宋" w:hAnsi="仿宋" w:eastAsia="仿宋" w:cs="仿宋"/>
                <w:b/>
                <w:kern w:val="0"/>
                <w:sz w:val="24"/>
              </w:rPr>
              <w:t>20x2年</w:t>
            </w:r>
          </w:p>
        </w:tc>
        <w:tc>
          <w:tcPr>
            <w:tcW w:w="763" w:type="pct"/>
            <w:tcBorders>
              <w:top w:val="single" w:color="auto" w:sz="8" w:space="0"/>
              <w:left w:val="nil"/>
              <w:bottom w:val="single" w:color="auto" w:sz="4" w:space="0"/>
              <w:right w:val="single" w:color="auto" w:sz="4" w:space="0"/>
            </w:tcBorders>
            <w:vAlign w:val="center"/>
          </w:tcPr>
          <w:p w14:paraId="7DCAB230">
            <w:pPr>
              <w:spacing w:line="440" w:lineRule="atLeast"/>
              <w:jc w:val="center"/>
              <w:rPr>
                <w:rFonts w:ascii="仿宋" w:hAnsi="仿宋" w:eastAsia="仿宋" w:cs="仿宋"/>
                <w:b/>
                <w:kern w:val="0"/>
                <w:sz w:val="24"/>
              </w:rPr>
            </w:pPr>
            <w:r>
              <w:rPr>
                <w:rFonts w:hint="eastAsia" w:ascii="仿宋" w:hAnsi="仿宋" w:eastAsia="仿宋" w:cs="仿宋"/>
                <w:b/>
                <w:kern w:val="0"/>
                <w:sz w:val="24"/>
              </w:rPr>
              <w:t>20x3年</w:t>
            </w:r>
          </w:p>
        </w:tc>
      </w:tr>
      <w:tr w14:paraId="52705380">
        <w:tblPrEx>
          <w:tblCellMar>
            <w:top w:w="0" w:type="dxa"/>
            <w:left w:w="108" w:type="dxa"/>
            <w:bottom w:w="0" w:type="dxa"/>
            <w:right w:w="108" w:type="dxa"/>
          </w:tblCellMar>
        </w:tblPrEx>
        <w:trPr>
          <w:trHeight w:val="300" w:hRule="atLeast"/>
        </w:trPr>
        <w:tc>
          <w:tcPr>
            <w:tcW w:w="1027" w:type="pct"/>
            <w:tcBorders>
              <w:top w:val="nil"/>
              <w:left w:val="single" w:color="auto" w:sz="4" w:space="0"/>
              <w:bottom w:val="single" w:color="auto" w:sz="4" w:space="0"/>
              <w:right w:val="single" w:color="auto" w:sz="4" w:space="0"/>
            </w:tcBorders>
            <w:vAlign w:val="center"/>
          </w:tcPr>
          <w:p w14:paraId="0E400FBD">
            <w:pPr>
              <w:spacing w:line="440" w:lineRule="atLeast"/>
              <w:jc w:val="center"/>
              <w:rPr>
                <w:rFonts w:ascii="仿宋" w:hAnsi="仿宋" w:eastAsia="仿宋" w:cs="仿宋"/>
                <w:bCs/>
                <w:sz w:val="24"/>
              </w:rPr>
            </w:pPr>
            <w:r>
              <w:rPr>
                <w:rFonts w:hint="eastAsia" w:ascii="仿宋" w:hAnsi="仿宋" w:eastAsia="仿宋" w:cs="仿宋"/>
                <w:bCs/>
                <w:sz w:val="24"/>
              </w:rPr>
              <w:t>存放中央银行款项</w:t>
            </w:r>
          </w:p>
        </w:tc>
        <w:tc>
          <w:tcPr>
            <w:tcW w:w="821" w:type="pct"/>
            <w:tcBorders>
              <w:top w:val="nil"/>
              <w:left w:val="nil"/>
              <w:bottom w:val="single" w:color="auto" w:sz="4" w:space="0"/>
              <w:right w:val="single" w:color="auto" w:sz="4" w:space="0"/>
            </w:tcBorders>
            <w:vAlign w:val="center"/>
          </w:tcPr>
          <w:p w14:paraId="58E2ACD7">
            <w:pPr>
              <w:spacing w:line="440" w:lineRule="atLeast"/>
              <w:jc w:val="right"/>
              <w:rPr>
                <w:rFonts w:ascii="仿宋" w:hAnsi="仿宋" w:eastAsia="仿宋" w:cs="仿宋"/>
                <w:kern w:val="0"/>
                <w:szCs w:val="21"/>
              </w:rPr>
            </w:pPr>
            <w:r>
              <w:rPr>
                <w:rFonts w:hint="eastAsia" w:ascii="仿宋" w:hAnsi="仿宋" w:eastAsia="仿宋" w:cs="仿宋"/>
                <w:kern w:val="0"/>
                <w:szCs w:val="21"/>
              </w:rPr>
              <w:t>13,736,655.60</w:t>
            </w:r>
          </w:p>
        </w:tc>
        <w:tc>
          <w:tcPr>
            <w:tcW w:w="792" w:type="pct"/>
            <w:tcBorders>
              <w:top w:val="nil"/>
              <w:left w:val="nil"/>
              <w:bottom w:val="single" w:color="auto" w:sz="4" w:space="0"/>
              <w:right w:val="single" w:color="auto" w:sz="4" w:space="0"/>
            </w:tcBorders>
            <w:vAlign w:val="center"/>
          </w:tcPr>
          <w:p w14:paraId="7877074B">
            <w:pPr>
              <w:spacing w:line="440" w:lineRule="atLeast"/>
              <w:jc w:val="right"/>
              <w:rPr>
                <w:rFonts w:ascii="仿宋" w:hAnsi="仿宋" w:eastAsia="仿宋" w:cs="仿宋"/>
                <w:kern w:val="0"/>
                <w:szCs w:val="21"/>
              </w:rPr>
            </w:pPr>
            <w:r>
              <w:rPr>
                <w:rFonts w:hint="eastAsia" w:ascii="仿宋" w:hAnsi="仿宋" w:eastAsia="仿宋" w:cs="仿宋"/>
                <w:kern w:val="0"/>
                <w:szCs w:val="21"/>
              </w:rPr>
              <w:t>18,571,265.30</w:t>
            </w:r>
          </w:p>
        </w:tc>
        <w:tc>
          <w:tcPr>
            <w:tcW w:w="812" w:type="pct"/>
            <w:tcBorders>
              <w:top w:val="nil"/>
              <w:left w:val="nil"/>
              <w:bottom w:val="single" w:color="auto" w:sz="4" w:space="0"/>
              <w:right w:val="single" w:color="auto" w:sz="4" w:space="0"/>
            </w:tcBorders>
            <w:vAlign w:val="center"/>
          </w:tcPr>
          <w:p w14:paraId="0D4882D8">
            <w:pPr>
              <w:spacing w:line="440" w:lineRule="atLeast"/>
              <w:jc w:val="right"/>
              <w:rPr>
                <w:rFonts w:ascii="仿宋" w:hAnsi="仿宋" w:eastAsia="仿宋" w:cs="仿宋"/>
                <w:kern w:val="0"/>
                <w:szCs w:val="21"/>
              </w:rPr>
            </w:pPr>
            <w:r>
              <w:rPr>
                <w:rFonts w:hint="eastAsia" w:ascii="仿宋" w:hAnsi="仿宋" w:eastAsia="仿宋" w:cs="仿宋"/>
                <w:kern w:val="0"/>
                <w:szCs w:val="21"/>
              </w:rPr>
              <w:t>22,859,996.60</w:t>
            </w:r>
          </w:p>
        </w:tc>
        <w:tc>
          <w:tcPr>
            <w:tcW w:w="782" w:type="pct"/>
            <w:tcBorders>
              <w:top w:val="nil"/>
              <w:left w:val="nil"/>
              <w:bottom w:val="single" w:color="auto" w:sz="4" w:space="0"/>
              <w:right w:val="single" w:color="auto" w:sz="4" w:space="0"/>
            </w:tcBorders>
            <w:vAlign w:val="center"/>
          </w:tcPr>
          <w:p w14:paraId="07FBC655">
            <w:pPr>
              <w:spacing w:line="440" w:lineRule="atLeast"/>
              <w:jc w:val="right"/>
              <w:rPr>
                <w:rFonts w:ascii="仿宋" w:hAnsi="仿宋" w:eastAsia="仿宋" w:cs="仿宋"/>
                <w:kern w:val="0"/>
                <w:szCs w:val="21"/>
              </w:rPr>
            </w:pPr>
            <w:r>
              <w:rPr>
                <w:rFonts w:hint="eastAsia" w:ascii="仿宋" w:hAnsi="仿宋" w:eastAsia="仿宋" w:cs="仿宋"/>
                <w:kern w:val="0"/>
                <w:szCs w:val="21"/>
              </w:rPr>
              <w:t>28,541,821.53</w:t>
            </w:r>
          </w:p>
        </w:tc>
        <w:tc>
          <w:tcPr>
            <w:tcW w:w="763" w:type="pct"/>
            <w:tcBorders>
              <w:top w:val="nil"/>
              <w:left w:val="nil"/>
              <w:bottom w:val="single" w:color="auto" w:sz="4" w:space="0"/>
              <w:right w:val="single" w:color="auto" w:sz="4" w:space="0"/>
            </w:tcBorders>
            <w:vAlign w:val="center"/>
          </w:tcPr>
          <w:p w14:paraId="71158428">
            <w:pPr>
              <w:spacing w:line="440" w:lineRule="atLeast"/>
              <w:jc w:val="right"/>
              <w:rPr>
                <w:rFonts w:ascii="仿宋" w:hAnsi="仿宋" w:eastAsia="仿宋" w:cs="仿宋"/>
                <w:kern w:val="0"/>
                <w:szCs w:val="21"/>
              </w:rPr>
            </w:pPr>
            <w:r>
              <w:rPr>
                <w:rFonts w:hint="eastAsia" w:ascii="仿宋" w:hAnsi="仿宋" w:eastAsia="仿宋" w:cs="仿宋"/>
                <w:kern w:val="0"/>
                <w:szCs w:val="21"/>
              </w:rPr>
              <w:t>31,249,361.53</w:t>
            </w:r>
          </w:p>
        </w:tc>
      </w:tr>
      <w:tr w14:paraId="5B49F8C9">
        <w:tblPrEx>
          <w:tblCellMar>
            <w:top w:w="0" w:type="dxa"/>
            <w:left w:w="108" w:type="dxa"/>
            <w:bottom w:w="0" w:type="dxa"/>
            <w:right w:w="108" w:type="dxa"/>
          </w:tblCellMar>
        </w:tblPrEx>
        <w:trPr>
          <w:trHeight w:val="285" w:hRule="atLeast"/>
        </w:trPr>
        <w:tc>
          <w:tcPr>
            <w:tcW w:w="1027" w:type="pct"/>
            <w:tcBorders>
              <w:top w:val="nil"/>
              <w:left w:val="single" w:color="auto" w:sz="4" w:space="0"/>
              <w:bottom w:val="single" w:color="auto" w:sz="4" w:space="0"/>
              <w:right w:val="single" w:color="auto" w:sz="4" w:space="0"/>
            </w:tcBorders>
            <w:vAlign w:val="center"/>
          </w:tcPr>
          <w:p w14:paraId="4CC98BC5">
            <w:pPr>
              <w:spacing w:line="440" w:lineRule="atLeast"/>
              <w:jc w:val="center"/>
              <w:rPr>
                <w:rFonts w:ascii="仿宋" w:hAnsi="仿宋" w:eastAsia="仿宋" w:cs="仿宋"/>
                <w:sz w:val="24"/>
              </w:rPr>
            </w:pPr>
            <w:r>
              <w:rPr>
                <w:rFonts w:hint="eastAsia" w:ascii="仿宋" w:hAnsi="仿宋" w:eastAsia="仿宋" w:cs="仿宋"/>
                <w:sz w:val="24"/>
              </w:rPr>
              <w:t>准备金率</w:t>
            </w:r>
          </w:p>
        </w:tc>
        <w:tc>
          <w:tcPr>
            <w:tcW w:w="821" w:type="pct"/>
            <w:tcBorders>
              <w:top w:val="nil"/>
              <w:left w:val="nil"/>
              <w:bottom w:val="single" w:color="auto" w:sz="4" w:space="0"/>
              <w:right w:val="single" w:color="auto" w:sz="4" w:space="0"/>
            </w:tcBorders>
            <w:vAlign w:val="center"/>
          </w:tcPr>
          <w:p w14:paraId="192C5697">
            <w:pPr>
              <w:spacing w:line="440" w:lineRule="atLeast"/>
              <w:jc w:val="right"/>
              <w:rPr>
                <w:rFonts w:ascii="仿宋" w:hAnsi="仿宋" w:eastAsia="仿宋" w:cs="仿宋"/>
                <w:kern w:val="0"/>
                <w:szCs w:val="21"/>
              </w:rPr>
            </w:pPr>
            <w:r>
              <w:rPr>
                <w:rFonts w:hint="eastAsia" w:ascii="仿宋" w:hAnsi="仿宋" w:eastAsia="仿宋" w:cs="仿宋"/>
                <w:kern w:val="0"/>
                <w:szCs w:val="21"/>
              </w:rPr>
              <w:t>17.18%</w:t>
            </w:r>
          </w:p>
        </w:tc>
        <w:tc>
          <w:tcPr>
            <w:tcW w:w="792" w:type="pct"/>
            <w:tcBorders>
              <w:top w:val="nil"/>
              <w:left w:val="nil"/>
              <w:bottom w:val="single" w:color="auto" w:sz="4" w:space="0"/>
              <w:right w:val="single" w:color="auto" w:sz="4" w:space="0"/>
            </w:tcBorders>
            <w:vAlign w:val="center"/>
          </w:tcPr>
          <w:p w14:paraId="37EDC972">
            <w:pPr>
              <w:spacing w:line="440" w:lineRule="atLeast"/>
              <w:jc w:val="right"/>
              <w:rPr>
                <w:rFonts w:ascii="仿宋" w:hAnsi="仿宋" w:eastAsia="仿宋" w:cs="仿宋"/>
                <w:kern w:val="0"/>
                <w:szCs w:val="21"/>
              </w:rPr>
            </w:pPr>
            <w:r>
              <w:rPr>
                <w:rFonts w:hint="eastAsia" w:ascii="仿宋" w:hAnsi="仿宋" w:eastAsia="仿宋" w:cs="仿宋"/>
                <w:kern w:val="0"/>
                <w:szCs w:val="21"/>
              </w:rPr>
              <w:t>18.04%</w:t>
            </w:r>
          </w:p>
        </w:tc>
        <w:tc>
          <w:tcPr>
            <w:tcW w:w="812" w:type="pct"/>
            <w:tcBorders>
              <w:top w:val="nil"/>
              <w:left w:val="nil"/>
              <w:bottom w:val="single" w:color="auto" w:sz="4" w:space="0"/>
              <w:right w:val="single" w:color="auto" w:sz="4" w:space="0"/>
            </w:tcBorders>
            <w:vAlign w:val="center"/>
          </w:tcPr>
          <w:p w14:paraId="279AE17B">
            <w:pPr>
              <w:spacing w:line="440" w:lineRule="atLeast"/>
              <w:jc w:val="right"/>
              <w:rPr>
                <w:rFonts w:ascii="仿宋" w:hAnsi="仿宋" w:eastAsia="仿宋" w:cs="仿宋"/>
                <w:kern w:val="0"/>
                <w:szCs w:val="21"/>
              </w:rPr>
            </w:pPr>
            <w:r>
              <w:rPr>
                <w:rFonts w:hint="eastAsia" w:ascii="仿宋" w:hAnsi="仿宋" w:eastAsia="仿宋" w:cs="仿宋"/>
                <w:kern w:val="0"/>
                <w:szCs w:val="21"/>
              </w:rPr>
              <w:t>19.40%</w:t>
            </w:r>
          </w:p>
        </w:tc>
        <w:tc>
          <w:tcPr>
            <w:tcW w:w="782" w:type="pct"/>
            <w:tcBorders>
              <w:top w:val="nil"/>
              <w:left w:val="nil"/>
              <w:bottom w:val="single" w:color="auto" w:sz="4" w:space="0"/>
              <w:right w:val="single" w:color="auto" w:sz="4" w:space="0"/>
            </w:tcBorders>
            <w:vAlign w:val="center"/>
          </w:tcPr>
          <w:p w14:paraId="319BB75D">
            <w:pPr>
              <w:spacing w:line="440" w:lineRule="atLeast"/>
              <w:jc w:val="right"/>
              <w:rPr>
                <w:rFonts w:ascii="仿宋" w:hAnsi="仿宋" w:eastAsia="仿宋" w:cs="仿宋"/>
                <w:kern w:val="0"/>
                <w:szCs w:val="21"/>
              </w:rPr>
            </w:pPr>
            <w:r>
              <w:rPr>
                <w:rFonts w:hint="eastAsia" w:ascii="仿宋" w:hAnsi="仿宋" w:eastAsia="仿宋" w:cs="仿宋"/>
                <w:kern w:val="0"/>
                <w:szCs w:val="21"/>
              </w:rPr>
              <w:t>20.01%</w:t>
            </w:r>
          </w:p>
        </w:tc>
        <w:tc>
          <w:tcPr>
            <w:tcW w:w="763" w:type="pct"/>
            <w:tcBorders>
              <w:top w:val="nil"/>
              <w:left w:val="nil"/>
              <w:bottom w:val="single" w:color="auto" w:sz="4" w:space="0"/>
              <w:right w:val="single" w:color="auto" w:sz="4" w:space="0"/>
            </w:tcBorders>
            <w:vAlign w:val="center"/>
          </w:tcPr>
          <w:p w14:paraId="4DC7D9BE">
            <w:pPr>
              <w:spacing w:line="440" w:lineRule="atLeast"/>
              <w:jc w:val="right"/>
              <w:rPr>
                <w:rFonts w:ascii="仿宋" w:hAnsi="仿宋" w:eastAsia="仿宋" w:cs="仿宋"/>
                <w:kern w:val="0"/>
                <w:szCs w:val="21"/>
              </w:rPr>
            </w:pPr>
            <w:r>
              <w:rPr>
                <w:rFonts w:hint="eastAsia" w:ascii="仿宋" w:hAnsi="仿宋" w:eastAsia="仿宋" w:cs="仿宋"/>
                <w:kern w:val="0"/>
                <w:szCs w:val="21"/>
              </w:rPr>
              <w:t>19.48%</w:t>
            </w:r>
          </w:p>
        </w:tc>
      </w:tr>
    </w:tbl>
    <w:p w14:paraId="5E06A291">
      <w:pPr>
        <w:spacing w:line="440" w:lineRule="atLeast"/>
        <w:ind w:firstLine="480" w:firstLineChars="200"/>
        <w:rPr>
          <w:rFonts w:ascii="仿宋" w:hAnsi="仿宋" w:eastAsia="仿宋" w:cs="仿宋"/>
          <w:sz w:val="24"/>
        </w:rPr>
      </w:pPr>
    </w:p>
    <w:p w14:paraId="17200B2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预测20x4年及以后xx银行的存款准备金率维持20%。预测期xx银行存放央行款项预测如下表所示。</w:t>
      </w:r>
    </w:p>
    <w:tbl>
      <w:tblPr>
        <w:tblStyle w:val="24"/>
        <w:tblW w:w="4998" w:type="pct"/>
        <w:tblInd w:w="0" w:type="dxa"/>
        <w:tblLayout w:type="fixed"/>
        <w:tblCellMar>
          <w:top w:w="0" w:type="dxa"/>
          <w:left w:w="108" w:type="dxa"/>
          <w:bottom w:w="0" w:type="dxa"/>
          <w:right w:w="108" w:type="dxa"/>
        </w:tblCellMar>
      </w:tblPr>
      <w:tblGrid>
        <w:gridCol w:w="1749"/>
        <w:gridCol w:w="1416"/>
        <w:gridCol w:w="1484"/>
        <w:gridCol w:w="1300"/>
        <w:gridCol w:w="1284"/>
        <w:gridCol w:w="1280"/>
      </w:tblGrid>
      <w:tr w14:paraId="638D12F1">
        <w:trPr>
          <w:trHeight w:val="285" w:hRule="atLeast"/>
        </w:trPr>
        <w:tc>
          <w:tcPr>
            <w:tcW w:w="1027" w:type="pct"/>
            <w:tcBorders>
              <w:top w:val="single" w:color="auto" w:sz="8" w:space="0"/>
              <w:left w:val="single" w:color="auto" w:sz="4" w:space="0"/>
              <w:bottom w:val="single" w:color="auto" w:sz="4" w:space="0"/>
              <w:right w:val="single" w:color="auto" w:sz="4" w:space="0"/>
            </w:tcBorders>
            <w:vAlign w:val="center"/>
          </w:tcPr>
          <w:p w14:paraId="733012B7">
            <w:pPr>
              <w:spacing w:line="440" w:lineRule="atLeast"/>
              <w:jc w:val="center"/>
              <w:rPr>
                <w:rFonts w:ascii="仿宋" w:hAnsi="仿宋" w:eastAsia="仿宋" w:cs="仿宋"/>
                <w:b/>
                <w:bCs/>
                <w:kern w:val="0"/>
                <w:sz w:val="24"/>
              </w:rPr>
            </w:pPr>
            <w:r>
              <w:rPr>
                <w:rFonts w:hint="eastAsia" w:ascii="仿宋" w:hAnsi="仿宋" w:eastAsia="仿宋" w:cs="仿宋"/>
                <w:b/>
                <w:bCs/>
                <w:kern w:val="0"/>
                <w:sz w:val="24"/>
              </w:rPr>
              <w:t>项目</w:t>
            </w:r>
          </w:p>
        </w:tc>
        <w:tc>
          <w:tcPr>
            <w:tcW w:w="831" w:type="pct"/>
            <w:tcBorders>
              <w:top w:val="single" w:color="auto" w:sz="8" w:space="0"/>
              <w:left w:val="nil"/>
              <w:bottom w:val="single" w:color="auto" w:sz="4" w:space="0"/>
              <w:right w:val="single" w:color="auto" w:sz="4" w:space="0"/>
            </w:tcBorders>
            <w:vAlign w:val="center"/>
          </w:tcPr>
          <w:p w14:paraId="60253B6E">
            <w:pPr>
              <w:spacing w:line="440" w:lineRule="atLeast"/>
              <w:jc w:val="center"/>
              <w:rPr>
                <w:rFonts w:ascii="仿宋" w:hAnsi="仿宋" w:eastAsia="仿宋" w:cs="仿宋"/>
                <w:b/>
                <w:sz w:val="24"/>
              </w:rPr>
            </w:pPr>
            <w:r>
              <w:rPr>
                <w:rFonts w:hint="eastAsia" w:ascii="仿宋" w:hAnsi="仿宋" w:eastAsia="仿宋" w:cs="仿宋"/>
                <w:b/>
                <w:sz w:val="24"/>
              </w:rPr>
              <w:t>20x4年</w:t>
            </w:r>
          </w:p>
        </w:tc>
        <w:tc>
          <w:tcPr>
            <w:tcW w:w="871" w:type="pct"/>
            <w:tcBorders>
              <w:top w:val="single" w:color="auto" w:sz="8" w:space="0"/>
              <w:left w:val="nil"/>
              <w:bottom w:val="single" w:color="auto" w:sz="4" w:space="0"/>
              <w:right w:val="single" w:color="auto" w:sz="4" w:space="0"/>
            </w:tcBorders>
            <w:vAlign w:val="center"/>
          </w:tcPr>
          <w:p w14:paraId="398C1ED8">
            <w:pPr>
              <w:spacing w:line="440" w:lineRule="atLeast"/>
              <w:jc w:val="center"/>
              <w:rPr>
                <w:rFonts w:ascii="仿宋" w:hAnsi="仿宋" w:eastAsia="仿宋" w:cs="仿宋"/>
                <w:b/>
                <w:sz w:val="24"/>
              </w:rPr>
            </w:pPr>
            <w:r>
              <w:rPr>
                <w:rFonts w:hint="eastAsia" w:ascii="仿宋" w:hAnsi="仿宋" w:eastAsia="仿宋" w:cs="仿宋"/>
                <w:b/>
                <w:sz w:val="24"/>
              </w:rPr>
              <w:t>20x5年</w:t>
            </w:r>
          </w:p>
        </w:tc>
        <w:tc>
          <w:tcPr>
            <w:tcW w:w="763" w:type="pct"/>
            <w:tcBorders>
              <w:top w:val="single" w:color="auto" w:sz="8" w:space="0"/>
              <w:left w:val="nil"/>
              <w:bottom w:val="single" w:color="auto" w:sz="4" w:space="0"/>
              <w:right w:val="single" w:color="auto" w:sz="4" w:space="0"/>
            </w:tcBorders>
            <w:vAlign w:val="center"/>
          </w:tcPr>
          <w:p w14:paraId="3B5C691D">
            <w:pPr>
              <w:spacing w:line="440" w:lineRule="atLeast"/>
              <w:jc w:val="center"/>
              <w:rPr>
                <w:rFonts w:ascii="仿宋" w:hAnsi="仿宋" w:eastAsia="仿宋" w:cs="仿宋"/>
                <w:b/>
                <w:sz w:val="24"/>
              </w:rPr>
            </w:pPr>
            <w:r>
              <w:rPr>
                <w:rFonts w:hint="eastAsia" w:ascii="仿宋" w:hAnsi="仿宋" w:eastAsia="仿宋" w:cs="仿宋"/>
                <w:b/>
                <w:sz w:val="24"/>
              </w:rPr>
              <w:t>20x6年</w:t>
            </w:r>
          </w:p>
        </w:tc>
        <w:tc>
          <w:tcPr>
            <w:tcW w:w="753" w:type="pct"/>
            <w:tcBorders>
              <w:top w:val="single" w:color="auto" w:sz="8" w:space="0"/>
              <w:left w:val="nil"/>
              <w:bottom w:val="single" w:color="auto" w:sz="4" w:space="0"/>
              <w:right w:val="single" w:color="auto" w:sz="4" w:space="0"/>
            </w:tcBorders>
            <w:vAlign w:val="center"/>
          </w:tcPr>
          <w:p w14:paraId="60EEE5F7">
            <w:pPr>
              <w:spacing w:line="440" w:lineRule="atLeast"/>
              <w:jc w:val="center"/>
              <w:rPr>
                <w:rFonts w:ascii="仿宋" w:hAnsi="仿宋" w:eastAsia="仿宋" w:cs="仿宋"/>
                <w:b/>
                <w:sz w:val="24"/>
              </w:rPr>
            </w:pPr>
            <w:r>
              <w:rPr>
                <w:rFonts w:hint="eastAsia" w:ascii="仿宋" w:hAnsi="仿宋" w:eastAsia="仿宋" w:cs="仿宋"/>
                <w:b/>
                <w:sz w:val="24"/>
              </w:rPr>
              <w:t>20x7年</w:t>
            </w:r>
          </w:p>
        </w:tc>
        <w:tc>
          <w:tcPr>
            <w:tcW w:w="751" w:type="pct"/>
            <w:tcBorders>
              <w:top w:val="single" w:color="auto" w:sz="8" w:space="0"/>
              <w:left w:val="nil"/>
              <w:bottom w:val="single" w:color="auto" w:sz="4" w:space="0"/>
              <w:right w:val="single" w:color="auto" w:sz="4" w:space="0"/>
            </w:tcBorders>
            <w:vAlign w:val="center"/>
          </w:tcPr>
          <w:p w14:paraId="005623FE">
            <w:pPr>
              <w:spacing w:line="440" w:lineRule="atLeast"/>
              <w:jc w:val="center"/>
              <w:rPr>
                <w:rFonts w:ascii="仿宋" w:hAnsi="仿宋" w:eastAsia="仿宋" w:cs="仿宋"/>
                <w:b/>
                <w:sz w:val="24"/>
              </w:rPr>
            </w:pPr>
            <w:r>
              <w:rPr>
                <w:rFonts w:hint="eastAsia" w:ascii="仿宋" w:hAnsi="仿宋" w:eastAsia="仿宋" w:cs="仿宋"/>
                <w:b/>
                <w:sz w:val="24"/>
              </w:rPr>
              <w:t>20x8年</w:t>
            </w:r>
          </w:p>
        </w:tc>
      </w:tr>
      <w:tr w14:paraId="0A5F8769">
        <w:tblPrEx>
          <w:tblCellMar>
            <w:top w:w="0" w:type="dxa"/>
            <w:left w:w="108" w:type="dxa"/>
            <w:bottom w:w="0" w:type="dxa"/>
            <w:right w:w="108" w:type="dxa"/>
          </w:tblCellMar>
        </w:tblPrEx>
        <w:trPr>
          <w:trHeight w:val="300" w:hRule="atLeast"/>
        </w:trPr>
        <w:tc>
          <w:tcPr>
            <w:tcW w:w="1027" w:type="pct"/>
            <w:tcBorders>
              <w:top w:val="nil"/>
              <w:left w:val="single" w:color="auto" w:sz="4" w:space="0"/>
              <w:bottom w:val="single" w:color="auto" w:sz="4" w:space="0"/>
              <w:right w:val="single" w:color="auto" w:sz="4" w:space="0"/>
            </w:tcBorders>
            <w:vAlign w:val="center"/>
          </w:tcPr>
          <w:p w14:paraId="6E97A74D">
            <w:pPr>
              <w:spacing w:line="440" w:lineRule="atLeast"/>
              <w:jc w:val="center"/>
              <w:rPr>
                <w:rFonts w:ascii="仿宋" w:hAnsi="仿宋" w:eastAsia="仿宋" w:cs="仿宋"/>
                <w:bCs/>
                <w:sz w:val="24"/>
              </w:rPr>
            </w:pPr>
            <w:r>
              <w:rPr>
                <w:rFonts w:hint="eastAsia" w:ascii="仿宋" w:hAnsi="仿宋" w:eastAsia="仿宋" w:cs="仿宋"/>
                <w:bCs/>
                <w:sz w:val="24"/>
              </w:rPr>
              <w:t>存放中央银行款项</w:t>
            </w:r>
          </w:p>
        </w:tc>
        <w:tc>
          <w:tcPr>
            <w:tcW w:w="831" w:type="pct"/>
            <w:tcBorders>
              <w:top w:val="nil"/>
              <w:left w:val="nil"/>
              <w:bottom w:val="single" w:color="auto" w:sz="4" w:space="0"/>
              <w:right w:val="single" w:color="auto" w:sz="4" w:space="0"/>
            </w:tcBorders>
            <w:vAlign w:val="center"/>
          </w:tcPr>
          <w:p w14:paraId="6B33B100">
            <w:pPr>
              <w:spacing w:line="440" w:lineRule="atLeast"/>
              <w:jc w:val="right"/>
              <w:rPr>
                <w:rFonts w:ascii="仿宋" w:hAnsi="仿宋" w:eastAsia="仿宋" w:cs="仿宋"/>
                <w:sz w:val="20"/>
                <w:szCs w:val="20"/>
              </w:rPr>
            </w:pPr>
            <w:r>
              <w:rPr>
                <w:rFonts w:hint="eastAsia" w:ascii="仿宋" w:hAnsi="仿宋" w:eastAsia="仿宋" w:cs="仿宋"/>
                <w:sz w:val="20"/>
                <w:szCs w:val="20"/>
              </w:rPr>
              <w:t>35,296,020.00</w:t>
            </w:r>
          </w:p>
        </w:tc>
        <w:tc>
          <w:tcPr>
            <w:tcW w:w="871" w:type="pct"/>
            <w:tcBorders>
              <w:top w:val="nil"/>
              <w:left w:val="nil"/>
              <w:bottom w:val="single" w:color="auto" w:sz="4" w:space="0"/>
              <w:right w:val="single" w:color="auto" w:sz="4" w:space="0"/>
            </w:tcBorders>
            <w:vAlign w:val="center"/>
          </w:tcPr>
          <w:p w14:paraId="28A80234">
            <w:pPr>
              <w:spacing w:line="440" w:lineRule="atLeast"/>
              <w:jc w:val="right"/>
              <w:rPr>
                <w:rFonts w:ascii="仿宋" w:hAnsi="仿宋" w:eastAsia="仿宋" w:cs="仿宋"/>
                <w:sz w:val="20"/>
                <w:szCs w:val="20"/>
              </w:rPr>
            </w:pPr>
            <w:r>
              <w:rPr>
                <w:rFonts w:hint="eastAsia" w:ascii="仿宋" w:hAnsi="仿宋" w:eastAsia="仿宋" w:cs="仿宋"/>
                <w:sz w:val="20"/>
                <w:szCs w:val="20"/>
              </w:rPr>
              <w:t>38,825,620.00</w:t>
            </w:r>
          </w:p>
        </w:tc>
        <w:tc>
          <w:tcPr>
            <w:tcW w:w="763" w:type="pct"/>
            <w:tcBorders>
              <w:top w:val="nil"/>
              <w:left w:val="nil"/>
              <w:bottom w:val="single" w:color="auto" w:sz="4" w:space="0"/>
              <w:right w:val="single" w:color="auto" w:sz="4" w:space="0"/>
            </w:tcBorders>
            <w:vAlign w:val="center"/>
          </w:tcPr>
          <w:p w14:paraId="647C0AEC">
            <w:pPr>
              <w:spacing w:line="440" w:lineRule="atLeast"/>
              <w:jc w:val="right"/>
              <w:rPr>
                <w:rFonts w:ascii="仿宋" w:hAnsi="仿宋" w:eastAsia="仿宋" w:cs="仿宋"/>
                <w:sz w:val="20"/>
                <w:szCs w:val="20"/>
              </w:rPr>
            </w:pPr>
            <w:r>
              <w:rPr>
                <w:rFonts w:hint="eastAsia" w:ascii="仿宋" w:hAnsi="仿宋" w:eastAsia="仿宋" w:cs="仿宋"/>
                <w:sz w:val="20"/>
                <w:szCs w:val="20"/>
              </w:rPr>
              <w:t>42,708,180.00</w:t>
            </w:r>
          </w:p>
        </w:tc>
        <w:tc>
          <w:tcPr>
            <w:tcW w:w="753" w:type="pct"/>
            <w:tcBorders>
              <w:top w:val="nil"/>
              <w:left w:val="nil"/>
              <w:bottom w:val="single" w:color="auto" w:sz="4" w:space="0"/>
              <w:right w:val="single" w:color="auto" w:sz="4" w:space="0"/>
            </w:tcBorders>
            <w:vAlign w:val="center"/>
          </w:tcPr>
          <w:p w14:paraId="25B0D218">
            <w:pPr>
              <w:spacing w:line="440" w:lineRule="atLeast"/>
              <w:jc w:val="right"/>
              <w:rPr>
                <w:rFonts w:ascii="仿宋" w:hAnsi="仿宋" w:eastAsia="仿宋" w:cs="仿宋"/>
                <w:sz w:val="20"/>
                <w:szCs w:val="20"/>
              </w:rPr>
            </w:pPr>
            <w:r>
              <w:rPr>
                <w:rFonts w:hint="eastAsia" w:ascii="仿宋" w:hAnsi="仿宋" w:eastAsia="仿宋" w:cs="仿宋"/>
                <w:sz w:val="20"/>
                <w:szCs w:val="20"/>
              </w:rPr>
              <w:t>46,551,920.00</w:t>
            </w:r>
          </w:p>
        </w:tc>
        <w:tc>
          <w:tcPr>
            <w:tcW w:w="751" w:type="pct"/>
            <w:tcBorders>
              <w:top w:val="nil"/>
              <w:left w:val="nil"/>
              <w:bottom w:val="single" w:color="auto" w:sz="4" w:space="0"/>
              <w:right w:val="single" w:color="auto" w:sz="4" w:space="0"/>
            </w:tcBorders>
            <w:vAlign w:val="center"/>
          </w:tcPr>
          <w:p w14:paraId="2D57ABEB">
            <w:pPr>
              <w:spacing w:line="440" w:lineRule="atLeast"/>
              <w:jc w:val="right"/>
              <w:rPr>
                <w:rFonts w:ascii="仿宋" w:hAnsi="仿宋" w:eastAsia="仿宋" w:cs="仿宋"/>
                <w:sz w:val="20"/>
                <w:szCs w:val="20"/>
              </w:rPr>
            </w:pPr>
            <w:r>
              <w:rPr>
                <w:rFonts w:hint="eastAsia" w:ascii="仿宋" w:hAnsi="仿宋" w:eastAsia="仿宋" w:cs="仿宋"/>
                <w:sz w:val="20"/>
                <w:szCs w:val="20"/>
              </w:rPr>
              <w:t>50,276,080.00</w:t>
            </w:r>
          </w:p>
        </w:tc>
      </w:tr>
      <w:tr w14:paraId="7CB924CB">
        <w:tblPrEx>
          <w:tblCellMar>
            <w:top w:w="0" w:type="dxa"/>
            <w:left w:w="108" w:type="dxa"/>
            <w:bottom w:w="0" w:type="dxa"/>
            <w:right w:w="108" w:type="dxa"/>
          </w:tblCellMar>
        </w:tblPrEx>
        <w:trPr>
          <w:trHeight w:val="285" w:hRule="atLeast"/>
        </w:trPr>
        <w:tc>
          <w:tcPr>
            <w:tcW w:w="1027" w:type="pct"/>
            <w:tcBorders>
              <w:top w:val="nil"/>
              <w:left w:val="single" w:color="auto" w:sz="4" w:space="0"/>
              <w:bottom w:val="single" w:color="auto" w:sz="4" w:space="0"/>
              <w:right w:val="single" w:color="auto" w:sz="4" w:space="0"/>
            </w:tcBorders>
            <w:vAlign w:val="center"/>
          </w:tcPr>
          <w:p w14:paraId="151DE44F">
            <w:pPr>
              <w:spacing w:line="440" w:lineRule="atLeast"/>
              <w:jc w:val="center"/>
              <w:rPr>
                <w:rFonts w:ascii="仿宋" w:hAnsi="仿宋" w:eastAsia="仿宋" w:cs="仿宋"/>
                <w:sz w:val="24"/>
              </w:rPr>
            </w:pPr>
            <w:r>
              <w:rPr>
                <w:rFonts w:hint="eastAsia" w:ascii="仿宋" w:hAnsi="仿宋" w:eastAsia="仿宋" w:cs="仿宋"/>
                <w:sz w:val="24"/>
              </w:rPr>
              <w:t>准备金率</w:t>
            </w:r>
          </w:p>
        </w:tc>
        <w:tc>
          <w:tcPr>
            <w:tcW w:w="831" w:type="pct"/>
            <w:tcBorders>
              <w:top w:val="nil"/>
              <w:left w:val="nil"/>
              <w:bottom w:val="single" w:color="auto" w:sz="4" w:space="0"/>
              <w:right w:val="single" w:color="auto" w:sz="4" w:space="0"/>
            </w:tcBorders>
            <w:vAlign w:val="center"/>
          </w:tcPr>
          <w:p w14:paraId="2A20370E">
            <w:pPr>
              <w:spacing w:line="440" w:lineRule="atLeast"/>
              <w:jc w:val="right"/>
              <w:rPr>
                <w:rFonts w:ascii="仿宋" w:hAnsi="仿宋" w:eastAsia="仿宋" w:cs="仿宋"/>
                <w:sz w:val="20"/>
                <w:szCs w:val="20"/>
              </w:rPr>
            </w:pPr>
            <w:r>
              <w:rPr>
                <w:rFonts w:hint="eastAsia" w:ascii="仿宋" w:hAnsi="仿宋" w:eastAsia="仿宋" w:cs="仿宋"/>
                <w:sz w:val="20"/>
                <w:szCs w:val="20"/>
              </w:rPr>
              <w:t>20.00%</w:t>
            </w:r>
          </w:p>
        </w:tc>
        <w:tc>
          <w:tcPr>
            <w:tcW w:w="871" w:type="pct"/>
            <w:tcBorders>
              <w:top w:val="nil"/>
              <w:left w:val="nil"/>
              <w:bottom w:val="single" w:color="auto" w:sz="4" w:space="0"/>
              <w:right w:val="single" w:color="auto" w:sz="4" w:space="0"/>
            </w:tcBorders>
            <w:vAlign w:val="center"/>
          </w:tcPr>
          <w:p w14:paraId="5080FB89">
            <w:pPr>
              <w:spacing w:line="440" w:lineRule="atLeast"/>
              <w:jc w:val="right"/>
              <w:rPr>
                <w:rFonts w:ascii="仿宋" w:hAnsi="仿宋" w:eastAsia="仿宋" w:cs="仿宋"/>
                <w:sz w:val="20"/>
                <w:szCs w:val="20"/>
              </w:rPr>
            </w:pPr>
            <w:r>
              <w:rPr>
                <w:rFonts w:hint="eastAsia" w:ascii="仿宋" w:hAnsi="仿宋" w:eastAsia="仿宋" w:cs="仿宋"/>
                <w:sz w:val="20"/>
                <w:szCs w:val="20"/>
              </w:rPr>
              <w:t>20.00%</w:t>
            </w:r>
          </w:p>
        </w:tc>
        <w:tc>
          <w:tcPr>
            <w:tcW w:w="763" w:type="pct"/>
            <w:tcBorders>
              <w:top w:val="nil"/>
              <w:left w:val="nil"/>
              <w:bottom w:val="single" w:color="auto" w:sz="4" w:space="0"/>
              <w:right w:val="single" w:color="auto" w:sz="4" w:space="0"/>
            </w:tcBorders>
            <w:vAlign w:val="center"/>
          </w:tcPr>
          <w:p w14:paraId="5CB99EBB">
            <w:pPr>
              <w:spacing w:line="440" w:lineRule="atLeast"/>
              <w:jc w:val="right"/>
              <w:rPr>
                <w:rFonts w:ascii="仿宋" w:hAnsi="仿宋" w:eastAsia="仿宋" w:cs="仿宋"/>
                <w:sz w:val="20"/>
                <w:szCs w:val="20"/>
              </w:rPr>
            </w:pPr>
            <w:r>
              <w:rPr>
                <w:rFonts w:hint="eastAsia" w:ascii="仿宋" w:hAnsi="仿宋" w:eastAsia="仿宋" w:cs="仿宋"/>
                <w:sz w:val="20"/>
                <w:szCs w:val="20"/>
              </w:rPr>
              <w:t>20.00%</w:t>
            </w:r>
          </w:p>
        </w:tc>
        <w:tc>
          <w:tcPr>
            <w:tcW w:w="753" w:type="pct"/>
            <w:tcBorders>
              <w:top w:val="nil"/>
              <w:left w:val="nil"/>
              <w:bottom w:val="single" w:color="auto" w:sz="4" w:space="0"/>
              <w:right w:val="single" w:color="auto" w:sz="4" w:space="0"/>
            </w:tcBorders>
            <w:vAlign w:val="center"/>
          </w:tcPr>
          <w:p w14:paraId="7881D5AB">
            <w:pPr>
              <w:spacing w:line="440" w:lineRule="atLeast"/>
              <w:jc w:val="right"/>
              <w:rPr>
                <w:rFonts w:ascii="仿宋" w:hAnsi="仿宋" w:eastAsia="仿宋" w:cs="仿宋"/>
                <w:sz w:val="20"/>
                <w:szCs w:val="20"/>
              </w:rPr>
            </w:pPr>
            <w:r>
              <w:rPr>
                <w:rFonts w:hint="eastAsia" w:ascii="仿宋" w:hAnsi="仿宋" w:eastAsia="仿宋" w:cs="仿宋"/>
                <w:sz w:val="20"/>
                <w:szCs w:val="20"/>
              </w:rPr>
              <w:t>20.00%</w:t>
            </w:r>
          </w:p>
        </w:tc>
        <w:tc>
          <w:tcPr>
            <w:tcW w:w="751" w:type="pct"/>
            <w:tcBorders>
              <w:top w:val="nil"/>
              <w:left w:val="nil"/>
              <w:bottom w:val="single" w:color="auto" w:sz="4" w:space="0"/>
              <w:right w:val="single" w:color="auto" w:sz="4" w:space="0"/>
            </w:tcBorders>
            <w:vAlign w:val="center"/>
          </w:tcPr>
          <w:p w14:paraId="154294C4">
            <w:pPr>
              <w:spacing w:line="440" w:lineRule="atLeast"/>
              <w:jc w:val="right"/>
              <w:rPr>
                <w:rFonts w:ascii="仿宋" w:hAnsi="仿宋" w:eastAsia="仿宋" w:cs="仿宋"/>
                <w:sz w:val="20"/>
                <w:szCs w:val="20"/>
              </w:rPr>
            </w:pPr>
            <w:r>
              <w:rPr>
                <w:rFonts w:hint="eastAsia" w:ascii="仿宋" w:hAnsi="仿宋" w:eastAsia="仿宋" w:cs="仿宋"/>
                <w:sz w:val="20"/>
                <w:szCs w:val="20"/>
              </w:rPr>
              <w:t>20.00%</w:t>
            </w:r>
          </w:p>
        </w:tc>
      </w:tr>
    </w:tbl>
    <w:p w14:paraId="65ECD20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存放同业及其他金融机构款项根据历史年度存放同业款项占资产总额的比重及企业规划进行预测。</w:t>
      </w:r>
    </w:p>
    <w:p w14:paraId="0B9667A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4．应付债券规模预测</w:t>
      </w:r>
    </w:p>
    <w:p w14:paraId="4A18BAE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截至评估基准日，xx银行账面应付债券次级债和一般金融债，次级债的账面值为97亿元，一般金融债为325.47亿元。其中　20y9年第一期次级债券30亿元已在20x4年2月赎回。20x4年6月9日xx银行已成功发行162亿次级债，利率为6.2%。</w:t>
      </w:r>
    </w:p>
    <w:p w14:paraId="6FBDC60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本次评估假设xx企业在预测期应付债券规模不变，到期后以同样的利率重新发行。</w:t>
      </w:r>
    </w:p>
    <w:p w14:paraId="175BB6F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5．其他资产、负债科目预测</w:t>
      </w:r>
    </w:p>
    <w:p w14:paraId="57733D3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其他资产科目根据历史期的水平预测，若无明确资本性支出计划，一般认为保持评估基准日水平不变。</w:t>
      </w:r>
    </w:p>
    <w:p w14:paraId="64F4C39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对xx银行资产负债预测如下表所示。</w:t>
      </w:r>
    </w:p>
    <w:p w14:paraId="675B2D34">
      <w:pPr>
        <w:spacing w:line="440" w:lineRule="atLeast"/>
        <w:ind w:firstLine="480" w:firstLineChars="200"/>
        <w:rPr>
          <w:rFonts w:ascii="仿宋" w:hAnsi="仿宋" w:eastAsia="仿宋" w:cs="仿宋"/>
          <w:sz w:val="24"/>
        </w:rPr>
      </w:pPr>
    </w:p>
    <w:tbl>
      <w:tblPr>
        <w:tblStyle w:val="24"/>
        <w:tblW w:w="5000" w:type="pct"/>
        <w:tblInd w:w="0" w:type="dxa"/>
        <w:tblLayout w:type="fixed"/>
        <w:tblCellMar>
          <w:top w:w="0" w:type="dxa"/>
          <w:left w:w="108" w:type="dxa"/>
          <w:bottom w:w="0" w:type="dxa"/>
          <w:right w:w="108" w:type="dxa"/>
        </w:tblCellMar>
      </w:tblPr>
      <w:tblGrid>
        <w:gridCol w:w="1750"/>
        <w:gridCol w:w="1416"/>
        <w:gridCol w:w="1484"/>
        <w:gridCol w:w="1300"/>
        <w:gridCol w:w="1283"/>
        <w:gridCol w:w="1283"/>
      </w:tblGrid>
      <w:tr w14:paraId="3480662B">
        <w:tblPrEx>
          <w:tblCellMar>
            <w:top w:w="0" w:type="dxa"/>
            <w:left w:w="108" w:type="dxa"/>
            <w:bottom w:w="0" w:type="dxa"/>
            <w:right w:w="108" w:type="dxa"/>
          </w:tblCellMar>
        </w:tblPrEx>
        <w:trPr>
          <w:trHeight w:val="285" w:hRule="atLeast"/>
          <w:tblHeader/>
        </w:trPr>
        <w:tc>
          <w:tcPr>
            <w:tcW w:w="1027" w:type="pct"/>
            <w:tcBorders>
              <w:top w:val="single" w:color="auto" w:sz="8" w:space="0"/>
              <w:left w:val="single" w:color="auto" w:sz="8" w:space="0"/>
              <w:bottom w:val="single" w:color="auto" w:sz="4" w:space="0"/>
              <w:right w:val="single" w:color="auto" w:sz="4" w:space="0"/>
            </w:tcBorders>
            <w:vAlign w:val="center"/>
          </w:tcPr>
          <w:p w14:paraId="297B6214">
            <w:pPr>
              <w:spacing w:line="440" w:lineRule="atLeast"/>
              <w:jc w:val="center"/>
              <w:rPr>
                <w:rFonts w:ascii="仿宋" w:hAnsi="仿宋" w:eastAsia="仿宋" w:cs="仿宋"/>
                <w:b/>
                <w:kern w:val="0"/>
                <w:sz w:val="24"/>
              </w:rPr>
            </w:pPr>
            <w:r>
              <w:rPr>
                <w:rFonts w:hint="eastAsia" w:ascii="仿宋" w:hAnsi="仿宋" w:eastAsia="仿宋" w:cs="仿宋"/>
                <w:b/>
                <w:kern w:val="0"/>
                <w:sz w:val="24"/>
              </w:rPr>
              <w:t>项目名称</w:t>
            </w:r>
          </w:p>
        </w:tc>
        <w:tc>
          <w:tcPr>
            <w:tcW w:w="831" w:type="pct"/>
            <w:tcBorders>
              <w:top w:val="single" w:color="auto" w:sz="8" w:space="0"/>
              <w:left w:val="nil"/>
              <w:bottom w:val="single" w:color="auto" w:sz="4" w:space="0"/>
              <w:right w:val="single" w:color="auto" w:sz="4" w:space="0"/>
            </w:tcBorders>
            <w:vAlign w:val="center"/>
          </w:tcPr>
          <w:p w14:paraId="723C831E">
            <w:pPr>
              <w:spacing w:line="440" w:lineRule="atLeast"/>
              <w:jc w:val="center"/>
              <w:rPr>
                <w:rFonts w:ascii="仿宋" w:hAnsi="仿宋" w:eastAsia="仿宋" w:cs="仿宋"/>
                <w:b/>
                <w:kern w:val="0"/>
                <w:sz w:val="24"/>
              </w:rPr>
            </w:pPr>
            <w:r>
              <w:rPr>
                <w:rFonts w:hint="eastAsia" w:ascii="仿宋" w:hAnsi="仿宋" w:eastAsia="仿宋" w:cs="仿宋"/>
                <w:b/>
                <w:kern w:val="0"/>
                <w:sz w:val="24"/>
              </w:rPr>
              <w:t>20x4年</w:t>
            </w:r>
          </w:p>
        </w:tc>
        <w:tc>
          <w:tcPr>
            <w:tcW w:w="871" w:type="pct"/>
            <w:tcBorders>
              <w:top w:val="single" w:color="auto" w:sz="8" w:space="0"/>
              <w:left w:val="nil"/>
              <w:bottom w:val="single" w:color="auto" w:sz="4" w:space="0"/>
              <w:right w:val="single" w:color="auto" w:sz="4" w:space="0"/>
            </w:tcBorders>
            <w:vAlign w:val="center"/>
          </w:tcPr>
          <w:p w14:paraId="6BC96881">
            <w:pPr>
              <w:spacing w:line="440" w:lineRule="atLeast"/>
              <w:jc w:val="center"/>
              <w:rPr>
                <w:rFonts w:ascii="仿宋" w:hAnsi="仿宋" w:eastAsia="仿宋" w:cs="仿宋"/>
                <w:b/>
                <w:kern w:val="0"/>
                <w:sz w:val="24"/>
              </w:rPr>
            </w:pPr>
            <w:r>
              <w:rPr>
                <w:rFonts w:hint="eastAsia" w:ascii="仿宋" w:hAnsi="仿宋" w:eastAsia="仿宋" w:cs="仿宋"/>
                <w:b/>
                <w:kern w:val="0"/>
                <w:sz w:val="24"/>
              </w:rPr>
              <w:t>20x5年</w:t>
            </w:r>
          </w:p>
        </w:tc>
        <w:tc>
          <w:tcPr>
            <w:tcW w:w="763" w:type="pct"/>
            <w:tcBorders>
              <w:top w:val="single" w:color="auto" w:sz="8" w:space="0"/>
              <w:left w:val="nil"/>
              <w:bottom w:val="single" w:color="auto" w:sz="4" w:space="0"/>
              <w:right w:val="single" w:color="auto" w:sz="4" w:space="0"/>
            </w:tcBorders>
            <w:vAlign w:val="center"/>
          </w:tcPr>
          <w:p w14:paraId="55FE4EA3">
            <w:pPr>
              <w:spacing w:line="440" w:lineRule="atLeast"/>
              <w:jc w:val="center"/>
              <w:rPr>
                <w:rFonts w:ascii="仿宋" w:hAnsi="仿宋" w:eastAsia="仿宋" w:cs="仿宋"/>
                <w:b/>
                <w:kern w:val="0"/>
                <w:sz w:val="24"/>
              </w:rPr>
            </w:pPr>
            <w:r>
              <w:rPr>
                <w:rFonts w:hint="eastAsia" w:ascii="仿宋" w:hAnsi="仿宋" w:eastAsia="仿宋" w:cs="仿宋"/>
                <w:b/>
                <w:kern w:val="0"/>
                <w:sz w:val="24"/>
              </w:rPr>
              <w:t>20x6年</w:t>
            </w:r>
          </w:p>
        </w:tc>
        <w:tc>
          <w:tcPr>
            <w:tcW w:w="753" w:type="pct"/>
            <w:tcBorders>
              <w:top w:val="single" w:color="auto" w:sz="8" w:space="0"/>
              <w:left w:val="nil"/>
              <w:bottom w:val="single" w:color="auto" w:sz="4" w:space="0"/>
              <w:right w:val="single" w:color="auto" w:sz="4" w:space="0"/>
            </w:tcBorders>
            <w:vAlign w:val="center"/>
          </w:tcPr>
          <w:p w14:paraId="320A0435">
            <w:pPr>
              <w:spacing w:line="440" w:lineRule="atLeast"/>
              <w:jc w:val="center"/>
              <w:rPr>
                <w:rFonts w:ascii="仿宋" w:hAnsi="仿宋" w:eastAsia="仿宋" w:cs="仿宋"/>
                <w:b/>
                <w:kern w:val="0"/>
                <w:sz w:val="24"/>
              </w:rPr>
            </w:pPr>
            <w:r>
              <w:rPr>
                <w:rFonts w:hint="eastAsia" w:ascii="仿宋" w:hAnsi="仿宋" w:eastAsia="仿宋" w:cs="仿宋"/>
                <w:b/>
                <w:kern w:val="0"/>
                <w:sz w:val="24"/>
              </w:rPr>
              <w:t>20x7年</w:t>
            </w:r>
          </w:p>
        </w:tc>
        <w:tc>
          <w:tcPr>
            <w:tcW w:w="753" w:type="pct"/>
            <w:tcBorders>
              <w:top w:val="single" w:color="auto" w:sz="8" w:space="0"/>
              <w:left w:val="nil"/>
              <w:bottom w:val="single" w:color="auto" w:sz="4" w:space="0"/>
              <w:right w:val="single" w:color="auto" w:sz="8" w:space="0"/>
            </w:tcBorders>
            <w:vAlign w:val="center"/>
          </w:tcPr>
          <w:p w14:paraId="1EA605EA">
            <w:pPr>
              <w:spacing w:line="440" w:lineRule="atLeast"/>
              <w:jc w:val="center"/>
              <w:rPr>
                <w:rFonts w:ascii="仿宋" w:hAnsi="仿宋" w:eastAsia="仿宋" w:cs="仿宋"/>
                <w:b/>
                <w:kern w:val="0"/>
                <w:sz w:val="24"/>
              </w:rPr>
            </w:pPr>
            <w:r>
              <w:rPr>
                <w:rFonts w:hint="eastAsia" w:ascii="仿宋" w:hAnsi="仿宋" w:eastAsia="仿宋" w:cs="仿宋"/>
                <w:b/>
                <w:kern w:val="0"/>
                <w:sz w:val="24"/>
              </w:rPr>
              <w:t>20x8年</w:t>
            </w:r>
          </w:p>
        </w:tc>
      </w:tr>
      <w:tr w14:paraId="429912D2">
        <w:tblPrEx>
          <w:tblCellMar>
            <w:top w:w="0" w:type="dxa"/>
            <w:left w:w="108" w:type="dxa"/>
            <w:bottom w:w="0" w:type="dxa"/>
            <w:right w:w="108" w:type="dxa"/>
          </w:tblCellMar>
        </w:tblPrEx>
        <w:trPr>
          <w:trHeight w:val="285" w:hRule="atLeast"/>
        </w:trPr>
        <w:tc>
          <w:tcPr>
            <w:tcW w:w="1027" w:type="pct"/>
            <w:tcBorders>
              <w:top w:val="nil"/>
              <w:left w:val="single" w:color="auto" w:sz="8" w:space="0"/>
              <w:bottom w:val="single" w:color="auto" w:sz="4" w:space="0"/>
              <w:right w:val="single" w:color="auto" w:sz="4" w:space="0"/>
            </w:tcBorders>
            <w:vAlign w:val="center"/>
          </w:tcPr>
          <w:p w14:paraId="56DA48D8">
            <w:pPr>
              <w:spacing w:line="440" w:lineRule="atLeast"/>
              <w:jc w:val="left"/>
              <w:rPr>
                <w:rFonts w:ascii="仿宋" w:hAnsi="仿宋" w:eastAsia="仿宋" w:cs="仿宋"/>
                <w:kern w:val="0"/>
                <w:sz w:val="24"/>
              </w:rPr>
            </w:pPr>
            <w:r>
              <w:rPr>
                <w:rFonts w:hint="eastAsia" w:ascii="仿宋" w:hAnsi="仿宋" w:eastAsia="仿宋" w:cs="仿宋"/>
                <w:kern w:val="0"/>
                <w:sz w:val="24"/>
              </w:rPr>
              <w:t>资产</w:t>
            </w:r>
          </w:p>
        </w:tc>
        <w:tc>
          <w:tcPr>
            <w:tcW w:w="831" w:type="pct"/>
            <w:tcBorders>
              <w:top w:val="single" w:color="auto" w:sz="4" w:space="0"/>
              <w:left w:val="nil"/>
              <w:bottom w:val="single" w:color="auto" w:sz="4" w:space="0"/>
              <w:right w:val="single" w:color="auto" w:sz="4" w:space="0"/>
            </w:tcBorders>
            <w:vAlign w:val="center"/>
          </w:tcPr>
          <w:p w14:paraId="19021778">
            <w:pPr>
              <w:spacing w:line="440" w:lineRule="atLeast"/>
              <w:jc w:val="center"/>
              <w:rPr>
                <w:rFonts w:ascii="仿宋" w:hAnsi="仿宋" w:eastAsia="仿宋" w:cs="仿宋"/>
                <w:kern w:val="0"/>
                <w:sz w:val="24"/>
              </w:rPr>
            </w:pPr>
          </w:p>
        </w:tc>
        <w:tc>
          <w:tcPr>
            <w:tcW w:w="871" w:type="pct"/>
            <w:tcBorders>
              <w:top w:val="single" w:color="auto" w:sz="4" w:space="0"/>
              <w:left w:val="nil"/>
              <w:bottom w:val="single" w:color="auto" w:sz="4" w:space="0"/>
              <w:right w:val="single" w:color="auto" w:sz="4" w:space="0"/>
            </w:tcBorders>
            <w:vAlign w:val="center"/>
          </w:tcPr>
          <w:p w14:paraId="655CCECC">
            <w:pPr>
              <w:spacing w:line="440" w:lineRule="atLeast"/>
              <w:jc w:val="center"/>
              <w:rPr>
                <w:rFonts w:ascii="仿宋" w:hAnsi="仿宋" w:eastAsia="仿宋" w:cs="仿宋"/>
                <w:kern w:val="0"/>
                <w:sz w:val="24"/>
              </w:rPr>
            </w:pPr>
          </w:p>
        </w:tc>
        <w:tc>
          <w:tcPr>
            <w:tcW w:w="763" w:type="pct"/>
            <w:tcBorders>
              <w:top w:val="single" w:color="auto" w:sz="4" w:space="0"/>
              <w:left w:val="nil"/>
              <w:bottom w:val="single" w:color="auto" w:sz="4" w:space="0"/>
              <w:right w:val="single" w:color="auto" w:sz="4" w:space="0"/>
            </w:tcBorders>
            <w:vAlign w:val="center"/>
          </w:tcPr>
          <w:p w14:paraId="638B3273">
            <w:pPr>
              <w:spacing w:line="440" w:lineRule="atLeast"/>
              <w:jc w:val="center"/>
              <w:rPr>
                <w:rFonts w:ascii="仿宋" w:hAnsi="仿宋" w:eastAsia="仿宋" w:cs="仿宋"/>
                <w:kern w:val="0"/>
                <w:sz w:val="24"/>
              </w:rPr>
            </w:pPr>
          </w:p>
        </w:tc>
        <w:tc>
          <w:tcPr>
            <w:tcW w:w="753" w:type="pct"/>
            <w:tcBorders>
              <w:top w:val="single" w:color="auto" w:sz="4" w:space="0"/>
              <w:left w:val="nil"/>
              <w:bottom w:val="single" w:color="auto" w:sz="4" w:space="0"/>
              <w:right w:val="single" w:color="auto" w:sz="4" w:space="0"/>
            </w:tcBorders>
            <w:vAlign w:val="center"/>
          </w:tcPr>
          <w:p w14:paraId="19B39F07">
            <w:pPr>
              <w:spacing w:line="440" w:lineRule="atLeast"/>
              <w:jc w:val="center"/>
              <w:rPr>
                <w:rFonts w:ascii="仿宋" w:hAnsi="仿宋" w:eastAsia="仿宋" w:cs="仿宋"/>
                <w:kern w:val="0"/>
                <w:sz w:val="24"/>
              </w:rPr>
            </w:pPr>
          </w:p>
        </w:tc>
        <w:tc>
          <w:tcPr>
            <w:tcW w:w="753" w:type="pct"/>
            <w:tcBorders>
              <w:top w:val="nil"/>
              <w:left w:val="single" w:color="auto" w:sz="4" w:space="0"/>
              <w:bottom w:val="single" w:color="auto" w:sz="4" w:space="0"/>
              <w:right w:val="single" w:color="auto" w:sz="8" w:space="0"/>
            </w:tcBorders>
            <w:vAlign w:val="center"/>
          </w:tcPr>
          <w:p w14:paraId="3F68A7A9">
            <w:pPr>
              <w:spacing w:line="440" w:lineRule="atLeast"/>
              <w:jc w:val="center"/>
              <w:rPr>
                <w:rFonts w:ascii="仿宋" w:hAnsi="仿宋" w:eastAsia="仿宋" w:cs="仿宋"/>
                <w:kern w:val="0"/>
                <w:sz w:val="24"/>
              </w:rPr>
            </w:pPr>
          </w:p>
        </w:tc>
      </w:tr>
      <w:tr w14:paraId="28C9C2C9">
        <w:tblPrEx>
          <w:tblCellMar>
            <w:top w:w="0" w:type="dxa"/>
            <w:left w:w="108" w:type="dxa"/>
            <w:bottom w:w="0" w:type="dxa"/>
            <w:right w:w="108" w:type="dxa"/>
          </w:tblCellMar>
        </w:tblPrEx>
        <w:trPr>
          <w:trHeight w:val="300" w:hRule="atLeast"/>
        </w:trPr>
        <w:tc>
          <w:tcPr>
            <w:tcW w:w="1027" w:type="pct"/>
            <w:tcBorders>
              <w:top w:val="nil"/>
              <w:left w:val="single" w:color="auto" w:sz="8" w:space="0"/>
              <w:bottom w:val="single" w:color="auto" w:sz="4" w:space="0"/>
              <w:right w:val="single" w:color="auto" w:sz="4" w:space="0"/>
            </w:tcBorders>
            <w:vAlign w:val="center"/>
          </w:tcPr>
          <w:p w14:paraId="1166079F">
            <w:pPr>
              <w:spacing w:line="440" w:lineRule="atLeast"/>
              <w:jc w:val="left"/>
              <w:rPr>
                <w:rFonts w:ascii="仿宋" w:hAnsi="仿宋" w:eastAsia="仿宋" w:cs="仿宋"/>
                <w:kern w:val="0"/>
                <w:sz w:val="24"/>
              </w:rPr>
            </w:pPr>
            <w:r>
              <w:rPr>
                <w:rFonts w:hint="eastAsia" w:ascii="仿宋" w:hAnsi="仿宋" w:eastAsia="仿宋" w:cs="仿宋"/>
                <w:kern w:val="0"/>
                <w:sz w:val="24"/>
              </w:rPr>
              <w:t>现金及存放中央银行款项</w:t>
            </w:r>
          </w:p>
        </w:tc>
        <w:tc>
          <w:tcPr>
            <w:tcW w:w="831" w:type="pct"/>
            <w:tcBorders>
              <w:top w:val="nil"/>
              <w:left w:val="nil"/>
              <w:bottom w:val="single" w:color="auto" w:sz="4" w:space="0"/>
              <w:right w:val="single" w:color="auto" w:sz="4" w:space="0"/>
            </w:tcBorders>
            <w:vAlign w:val="center"/>
          </w:tcPr>
          <w:p w14:paraId="2C4CE40A">
            <w:pPr>
              <w:spacing w:line="440" w:lineRule="atLeast"/>
              <w:jc w:val="right"/>
              <w:rPr>
                <w:rFonts w:ascii="仿宋" w:hAnsi="仿宋" w:eastAsia="仿宋" w:cs="仿宋"/>
                <w:sz w:val="20"/>
                <w:szCs w:val="20"/>
              </w:rPr>
            </w:pPr>
            <w:r>
              <w:rPr>
                <w:rFonts w:hint="eastAsia" w:ascii="仿宋" w:hAnsi="仿宋" w:eastAsia="仿宋" w:cs="仿宋"/>
                <w:sz w:val="20"/>
                <w:szCs w:val="20"/>
              </w:rPr>
              <w:t>35,296,020.00</w:t>
            </w:r>
          </w:p>
        </w:tc>
        <w:tc>
          <w:tcPr>
            <w:tcW w:w="871" w:type="pct"/>
            <w:tcBorders>
              <w:top w:val="nil"/>
              <w:left w:val="nil"/>
              <w:bottom w:val="single" w:color="auto" w:sz="4" w:space="0"/>
              <w:right w:val="single" w:color="auto" w:sz="4" w:space="0"/>
            </w:tcBorders>
            <w:vAlign w:val="center"/>
          </w:tcPr>
          <w:p w14:paraId="6B39DF52">
            <w:pPr>
              <w:spacing w:line="440" w:lineRule="atLeast"/>
              <w:jc w:val="right"/>
              <w:rPr>
                <w:rFonts w:ascii="仿宋" w:hAnsi="仿宋" w:eastAsia="仿宋" w:cs="仿宋"/>
                <w:sz w:val="20"/>
                <w:szCs w:val="20"/>
              </w:rPr>
            </w:pPr>
            <w:r>
              <w:rPr>
                <w:rFonts w:hint="eastAsia" w:ascii="仿宋" w:hAnsi="仿宋" w:eastAsia="仿宋" w:cs="仿宋"/>
                <w:sz w:val="20"/>
                <w:szCs w:val="20"/>
              </w:rPr>
              <w:t>38,825,620.00</w:t>
            </w:r>
          </w:p>
        </w:tc>
        <w:tc>
          <w:tcPr>
            <w:tcW w:w="763" w:type="pct"/>
            <w:tcBorders>
              <w:top w:val="nil"/>
              <w:left w:val="nil"/>
              <w:bottom w:val="single" w:color="auto" w:sz="4" w:space="0"/>
              <w:right w:val="single" w:color="auto" w:sz="4" w:space="0"/>
            </w:tcBorders>
            <w:vAlign w:val="center"/>
          </w:tcPr>
          <w:p w14:paraId="72376F68">
            <w:pPr>
              <w:spacing w:line="440" w:lineRule="atLeast"/>
              <w:jc w:val="right"/>
              <w:rPr>
                <w:rFonts w:ascii="仿宋" w:hAnsi="仿宋" w:eastAsia="仿宋" w:cs="仿宋"/>
                <w:sz w:val="20"/>
                <w:szCs w:val="20"/>
              </w:rPr>
            </w:pPr>
            <w:r>
              <w:rPr>
                <w:rFonts w:hint="eastAsia" w:ascii="仿宋" w:hAnsi="仿宋" w:eastAsia="仿宋" w:cs="仿宋"/>
                <w:sz w:val="20"/>
                <w:szCs w:val="20"/>
              </w:rPr>
              <w:t>42,708,180.00</w:t>
            </w:r>
          </w:p>
        </w:tc>
        <w:tc>
          <w:tcPr>
            <w:tcW w:w="753" w:type="pct"/>
            <w:tcBorders>
              <w:top w:val="nil"/>
              <w:left w:val="nil"/>
              <w:bottom w:val="single" w:color="auto" w:sz="4" w:space="0"/>
              <w:right w:val="single" w:color="auto" w:sz="4" w:space="0"/>
            </w:tcBorders>
            <w:vAlign w:val="center"/>
          </w:tcPr>
          <w:p w14:paraId="2FD3E227">
            <w:pPr>
              <w:spacing w:line="440" w:lineRule="atLeast"/>
              <w:jc w:val="right"/>
              <w:rPr>
                <w:rFonts w:ascii="仿宋" w:hAnsi="仿宋" w:eastAsia="仿宋" w:cs="仿宋"/>
                <w:sz w:val="20"/>
                <w:szCs w:val="20"/>
              </w:rPr>
            </w:pPr>
            <w:r>
              <w:rPr>
                <w:rFonts w:hint="eastAsia" w:ascii="仿宋" w:hAnsi="仿宋" w:eastAsia="仿宋" w:cs="仿宋"/>
                <w:sz w:val="20"/>
                <w:szCs w:val="20"/>
              </w:rPr>
              <w:t>46,551,920.00</w:t>
            </w:r>
          </w:p>
        </w:tc>
        <w:tc>
          <w:tcPr>
            <w:tcW w:w="753" w:type="pct"/>
            <w:tcBorders>
              <w:top w:val="nil"/>
              <w:left w:val="single" w:color="auto" w:sz="4" w:space="0"/>
              <w:bottom w:val="single" w:color="auto" w:sz="4" w:space="0"/>
              <w:right w:val="single" w:color="auto" w:sz="8" w:space="0"/>
            </w:tcBorders>
            <w:vAlign w:val="center"/>
          </w:tcPr>
          <w:p w14:paraId="09B777D6">
            <w:pPr>
              <w:spacing w:line="440" w:lineRule="atLeast"/>
              <w:jc w:val="right"/>
              <w:rPr>
                <w:rFonts w:ascii="仿宋" w:hAnsi="仿宋" w:eastAsia="仿宋" w:cs="仿宋"/>
                <w:sz w:val="20"/>
                <w:szCs w:val="20"/>
              </w:rPr>
            </w:pPr>
            <w:r>
              <w:rPr>
                <w:rFonts w:hint="eastAsia" w:ascii="仿宋" w:hAnsi="仿宋" w:eastAsia="仿宋" w:cs="仿宋"/>
                <w:sz w:val="20"/>
                <w:szCs w:val="20"/>
              </w:rPr>
              <w:t>50,276,080.00</w:t>
            </w:r>
          </w:p>
        </w:tc>
      </w:tr>
      <w:tr w14:paraId="13AAEEAA">
        <w:tblPrEx>
          <w:tblCellMar>
            <w:top w:w="0" w:type="dxa"/>
            <w:left w:w="108" w:type="dxa"/>
            <w:bottom w:w="0" w:type="dxa"/>
            <w:right w:w="108" w:type="dxa"/>
          </w:tblCellMar>
        </w:tblPrEx>
        <w:trPr>
          <w:trHeight w:val="270" w:hRule="atLeast"/>
        </w:trPr>
        <w:tc>
          <w:tcPr>
            <w:tcW w:w="1027" w:type="pct"/>
            <w:tcBorders>
              <w:top w:val="nil"/>
              <w:left w:val="single" w:color="auto" w:sz="8" w:space="0"/>
              <w:bottom w:val="single" w:color="auto" w:sz="4" w:space="0"/>
              <w:right w:val="single" w:color="auto" w:sz="4" w:space="0"/>
            </w:tcBorders>
            <w:vAlign w:val="center"/>
          </w:tcPr>
          <w:p w14:paraId="2C1EAB50">
            <w:pPr>
              <w:spacing w:line="440" w:lineRule="atLeast"/>
              <w:jc w:val="left"/>
              <w:rPr>
                <w:rFonts w:ascii="仿宋" w:hAnsi="仿宋" w:eastAsia="仿宋" w:cs="仿宋"/>
                <w:kern w:val="0"/>
                <w:sz w:val="24"/>
              </w:rPr>
            </w:pPr>
            <w:r>
              <w:rPr>
                <w:rFonts w:hint="eastAsia" w:ascii="仿宋" w:hAnsi="仿宋" w:eastAsia="仿宋" w:cs="仿宋"/>
                <w:kern w:val="0"/>
                <w:sz w:val="24"/>
              </w:rPr>
              <w:t>存放同业及其他金融机构款项</w:t>
            </w:r>
          </w:p>
        </w:tc>
        <w:tc>
          <w:tcPr>
            <w:tcW w:w="831" w:type="pct"/>
            <w:tcBorders>
              <w:top w:val="nil"/>
              <w:left w:val="nil"/>
              <w:bottom w:val="single" w:color="auto" w:sz="4" w:space="0"/>
              <w:right w:val="single" w:color="auto" w:sz="4" w:space="0"/>
            </w:tcBorders>
            <w:vAlign w:val="center"/>
          </w:tcPr>
          <w:p w14:paraId="72E737A5">
            <w:pPr>
              <w:spacing w:line="440" w:lineRule="atLeast"/>
              <w:jc w:val="right"/>
              <w:rPr>
                <w:rFonts w:ascii="仿宋" w:hAnsi="仿宋" w:eastAsia="仿宋" w:cs="仿宋"/>
                <w:sz w:val="20"/>
                <w:szCs w:val="20"/>
              </w:rPr>
            </w:pPr>
            <w:r>
              <w:rPr>
                <w:rFonts w:hint="eastAsia" w:ascii="仿宋" w:hAnsi="仿宋" w:eastAsia="仿宋" w:cs="仿宋"/>
                <w:sz w:val="20"/>
                <w:szCs w:val="20"/>
              </w:rPr>
              <w:t>41,207,957.88</w:t>
            </w:r>
          </w:p>
        </w:tc>
        <w:tc>
          <w:tcPr>
            <w:tcW w:w="871" w:type="pct"/>
            <w:tcBorders>
              <w:top w:val="nil"/>
              <w:left w:val="nil"/>
              <w:bottom w:val="single" w:color="auto" w:sz="4" w:space="0"/>
              <w:right w:val="single" w:color="auto" w:sz="4" w:space="0"/>
            </w:tcBorders>
            <w:vAlign w:val="center"/>
          </w:tcPr>
          <w:p w14:paraId="6C8BE586">
            <w:pPr>
              <w:spacing w:line="440" w:lineRule="atLeast"/>
              <w:jc w:val="right"/>
              <w:rPr>
                <w:rFonts w:ascii="仿宋" w:hAnsi="仿宋" w:eastAsia="仿宋" w:cs="仿宋"/>
                <w:sz w:val="20"/>
                <w:szCs w:val="20"/>
              </w:rPr>
            </w:pPr>
            <w:r>
              <w:rPr>
                <w:rFonts w:hint="eastAsia" w:ascii="仿宋" w:hAnsi="仿宋" w:eastAsia="仿宋" w:cs="仿宋"/>
                <w:sz w:val="20"/>
                <w:szCs w:val="20"/>
              </w:rPr>
              <w:t>46,179,034.48</w:t>
            </w:r>
          </w:p>
        </w:tc>
        <w:tc>
          <w:tcPr>
            <w:tcW w:w="763" w:type="pct"/>
            <w:tcBorders>
              <w:top w:val="nil"/>
              <w:left w:val="nil"/>
              <w:bottom w:val="single" w:color="auto" w:sz="4" w:space="0"/>
              <w:right w:val="single" w:color="auto" w:sz="4" w:space="0"/>
            </w:tcBorders>
            <w:vAlign w:val="center"/>
          </w:tcPr>
          <w:p w14:paraId="377FDA08">
            <w:pPr>
              <w:spacing w:line="440" w:lineRule="atLeast"/>
              <w:jc w:val="right"/>
              <w:rPr>
                <w:rFonts w:ascii="仿宋" w:hAnsi="仿宋" w:eastAsia="仿宋" w:cs="仿宋"/>
                <w:sz w:val="20"/>
                <w:szCs w:val="20"/>
              </w:rPr>
            </w:pPr>
            <w:r>
              <w:rPr>
                <w:rFonts w:hint="eastAsia" w:ascii="仿宋" w:hAnsi="仿宋" w:eastAsia="仿宋" w:cs="仿宋"/>
                <w:sz w:val="20"/>
                <w:szCs w:val="20"/>
              </w:rPr>
              <w:t>50,627,236.81</w:t>
            </w:r>
          </w:p>
        </w:tc>
        <w:tc>
          <w:tcPr>
            <w:tcW w:w="753" w:type="pct"/>
            <w:tcBorders>
              <w:top w:val="nil"/>
              <w:left w:val="nil"/>
              <w:bottom w:val="single" w:color="auto" w:sz="4" w:space="0"/>
              <w:right w:val="single" w:color="auto" w:sz="4" w:space="0"/>
            </w:tcBorders>
            <w:vAlign w:val="center"/>
          </w:tcPr>
          <w:p w14:paraId="7C99ECA3">
            <w:pPr>
              <w:spacing w:line="440" w:lineRule="atLeast"/>
              <w:jc w:val="right"/>
              <w:rPr>
                <w:rFonts w:ascii="仿宋" w:hAnsi="仿宋" w:eastAsia="仿宋" w:cs="仿宋"/>
                <w:sz w:val="20"/>
                <w:szCs w:val="20"/>
              </w:rPr>
            </w:pPr>
            <w:r>
              <w:rPr>
                <w:rFonts w:hint="eastAsia" w:ascii="仿宋" w:hAnsi="仿宋" w:eastAsia="仿宋" w:cs="仿宋"/>
                <w:sz w:val="20"/>
                <w:szCs w:val="20"/>
              </w:rPr>
              <w:t>55,310,117.42</w:t>
            </w:r>
          </w:p>
        </w:tc>
        <w:tc>
          <w:tcPr>
            <w:tcW w:w="753" w:type="pct"/>
            <w:tcBorders>
              <w:top w:val="nil"/>
              <w:left w:val="single" w:color="auto" w:sz="4" w:space="0"/>
              <w:bottom w:val="single" w:color="auto" w:sz="4" w:space="0"/>
              <w:right w:val="single" w:color="auto" w:sz="8" w:space="0"/>
            </w:tcBorders>
            <w:vAlign w:val="center"/>
          </w:tcPr>
          <w:p w14:paraId="70DE5156">
            <w:pPr>
              <w:spacing w:line="440" w:lineRule="atLeast"/>
              <w:jc w:val="right"/>
              <w:rPr>
                <w:rFonts w:ascii="仿宋" w:hAnsi="仿宋" w:eastAsia="仿宋" w:cs="仿宋"/>
                <w:sz w:val="20"/>
                <w:szCs w:val="20"/>
              </w:rPr>
            </w:pPr>
            <w:r>
              <w:rPr>
                <w:rFonts w:hint="eastAsia" w:ascii="仿宋" w:hAnsi="仿宋" w:eastAsia="仿宋" w:cs="仿宋"/>
                <w:sz w:val="20"/>
                <w:szCs w:val="20"/>
              </w:rPr>
              <w:t>59,889,299.97</w:t>
            </w:r>
          </w:p>
        </w:tc>
      </w:tr>
      <w:tr w14:paraId="23D3E32B">
        <w:tblPrEx>
          <w:tblCellMar>
            <w:top w:w="0" w:type="dxa"/>
            <w:left w:w="108" w:type="dxa"/>
            <w:bottom w:w="0" w:type="dxa"/>
            <w:right w:w="108" w:type="dxa"/>
          </w:tblCellMar>
        </w:tblPrEx>
        <w:trPr>
          <w:trHeight w:val="300" w:hRule="atLeast"/>
        </w:trPr>
        <w:tc>
          <w:tcPr>
            <w:tcW w:w="1027" w:type="pct"/>
            <w:tcBorders>
              <w:top w:val="nil"/>
              <w:left w:val="single" w:color="auto" w:sz="8" w:space="0"/>
              <w:bottom w:val="single" w:color="auto" w:sz="4" w:space="0"/>
              <w:right w:val="single" w:color="auto" w:sz="4" w:space="0"/>
            </w:tcBorders>
            <w:vAlign w:val="center"/>
          </w:tcPr>
          <w:p w14:paraId="521794C4">
            <w:pPr>
              <w:spacing w:line="440" w:lineRule="atLeast"/>
              <w:jc w:val="left"/>
              <w:rPr>
                <w:rFonts w:ascii="仿宋" w:hAnsi="仿宋" w:eastAsia="仿宋" w:cs="仿宋"/>
                <w:kern w:val="0"/>
                <w:sz w:val="24"/>
              </w:rPr>
            </w:pPr>
            <w:r>
              <w:rPr>
                <w:rFonts w:hint="eastAsia" w:ascii="仿宋" w:hAnsi="仿宋" w:eastAsia="仿宋" w:cs="仿宋"/>
                <w:kern w:val="0"/>
                <w:sz w:val="24"/>
              </w:rPr>
              <w:t>贵金属</w:t>
            </w:r>
          </w:p>
        </w:tc>
        <w:tc>
          <w:tcPr>
            <w:tcW w:w="831" w:type="pct"/>
            <w:tcBorders>
              <w:top w:val="nil"/>
              <w:left w:val="nil"/>
              <w:bottom w:val="single" w:color="auto" w:sz="4" w:space="0"/>
              <w:right w:val="single" w:color="auto" w:sz="4" w:space="0"/>
            </w:tcBorders>
            <w:vAlign w:val="center"/>
          </w:tcPr>
          <w:p w14:paraId="0578BD17">
            <w:pPr>
              <w:spacing w:line="440" w:lineRule="atLeast"/>
              <w:jc w:val="right"/>
              <w:rPr>
                <w:rFonts w:ascii="仿宋" w:hAnsi="仿宋" w:eastAsia="仿宋" w:cs="仿宋"/>
                <w:sz w:val="20"/>
                <w:szCs w:val="20"/>
              </w:rPr>
            </w:pPr>
            <w:r>
              <w:rPr>
                <w:rFonts w:hint="eastAsia" w:ascii="仿宋" w:hAnsi="仿宋" w:eastAsia="仿宋" w:cs="仿宋"/>
                <w:sz w:val="20"/>
                <w:szCs w:val="20"/>
              </w:rPr>
              <w:t>-</w:t>
            </w:r>
          </w:p>
        </w:tc>
        <w:tc>
          <w:tcPr>
            <w:tcW w:w="871" w:type="pct"/>
            <w:tcBorders>
              <w:top w:val="nil"/>
              <w:left w:val="nil"/>
              <w:bottom w:val="single" w:color="auto" w:sz="4" w:space="0"/>
              <w:right w:val="single" w:color="auto" w:sz="4" w:space="0"/>
            </w:tcBorders>
            <w:vAlign w:val="center"/>
          </w:tcPr>
          <w:p w14:paraId="0A083B0B">
            <w:pPr>
              <w:spacing w:line="440" w:lineRule="atLeast"/>
              <w:jc w:val="right"/>
              <w:rPr>
                <w:rFonts w:ascii="仿宋" w:hAnsi="仿宋" w:eastAsia="仿宋" w:cs="仿宋"/>
                <w:sz w:val="20"/>
                <w:szCs w:val="20"/>
              </w:rPr>
            </w:pPr>
            <w:r>
              <w:rPr>
                <w:rFonts w:hint="eastAsia" w:ascii="仿宋" w:hAnsi="仿宋" w:eastAsia="仿宋" w:cs="仿宋"/>
                <w:sz w:val="20"/>
                <w:szCs w:val="20"/>
              </w:rPr>
              <w:t>-</w:t>
            </w:r>
          </w:p>
        </w:tc>
        <w:tc>
          <w:tcPr>
            <w:tcW w:w="763" w:type="pct"/>
            <w:tcBorders>
              <w:top w:val="nil"/>
              <w:left w:val="nil"/>
              <w:bottom w:val="single" w:color="auto" w:sz="4" w:space="0"/>
              <w:right w:val="single" w:color="auto" w:sz="4" w:space="0"/>
            </w:tcBorders>
            <w:vAlign w:val="center"/>
          </w:tcPr>
          <w:p w14:paraId="52993363">
            <w:pPr>
              <w:spacing w:line="440" w:lineRule="atLeast"/>
              <w:jc w:val="right"/>
              <w:rPr>
                <w:rFonts w:ascii="仿宋" w:hAnsi="仿宋" w:eastAsia="仿宋" w:cs="仿宋"/>
                <w:sz w:val="20"/>
                <w:szCs w:val="20"/>
              </w:rPr>
            </w:pPr>
            <w:r>
              <w:rPr>
                <w:rFonts w:hint="eastAsia" w:ascii="仿宋" w:hAnsi="仿宋" w:eastAsia="仿宋" w:cs="仿宋"/>
                <w:sz w:val="20"/>
                <w:szCs w:val="20"/>
              </w:rPr>
              <w:t>-</w:t>
            </w:r>
          </w:p>
        </w:tc>
        <w:tc>
          <w:tcPr>
            <w:tcW w:w="753" w:type="pct"/>
            <w:tcBorders>
              <w:top w:val="nil"/>
              <w:left w:val="nil"/>
              <w:bottom w:val="single" w:color="auto" w:sz="4" w:space="0"/>
              <w:right w:val="single" w:color="auto" w:sz="4" w:space="0"/>
            </w:tcBorders>
            <w:vAlign w:val="center"/>
          </w:tcPr>
          <w:p w14:paraId="54F65D3F">
            <w:pPr>
              <w:spacing w:line="440" w:lineRule="atLeast"/>
              <w:jc w:val="right"/>
              <w:rPr>
                <w:rFonts w:ascii="仿宋" w:hAnsi="仿宋" w:eastAsia="仿宋" w:cs="仿宋"/>
                <w:sz w:val="20"/>
                <w:szCs w:val="20"/>
              </w:rPr>
            </w:pPr>
            <w:r>
              <w:rPr>
                <w:rFonts w:hint="eastAsia" w:ascii="仿宋" w:hAnsi="仿宋" w:eastAsia="仿宋" w:cs="仿宋"/>
                <w:sz w:val="20"/>
                <w:szCs w:val="20"/>
              </w:rPr>
              <w:t>-</w:t>
            </w:r>
          </w:p>
        </w:tc>
        <w:tc>
          <w:tcPr>
            <w:tcW w:w="753" w:type="pct"/>
            <w:tcBorders>
              <w:top w:val="nil"/>
              <w:left w:val="single" w:color="auto" w:sz="4" w:space="0"/>
              <w:bottom w:val="single" w:color="auto" w:sz="4" w:space="0"/>
              <w:right w:val="single" w:color="auto" w:sz="8" w:space="0"/>
            </w:tcBorders>
            <w:vAlign w:val="center"/>
          </w:tcPr>
          <w:p w14:paraId="2D023E7F">
            <w:pPr>
              <w:spacing w:line="440" w:lineRule="atLeast"/>
              <w:jc w:val="right"/>
              <w:rPr>
                <w:rFonts w:ascii="仿宋" w:hAnsi="仿宋" w:eastAsia="仿宋" w:cs="仿宋"/>
                <w:sz w:val="20"/>
                <w:szCs w:val="20"/>
              </w:rPr>
            </w:pPr>
            <w:r>
              <w:rPr>
                <w:rFonts w:hint="eastAsia" w:ascii="仿宋" w:hAnsi="仿宋" w:eastAsia="仿宋" w:cs="仿宋"/>
                <w:sz w:val="20"/>
                <w:szCs w:val="20"/>
              </w:rPr>
              <w:t>-</w:t>
            </w:r>
          </w:p>
        </w:tc>
      </w:tr>
      <w:tr w14:paraId="5C3EA74B">
        <w:tblPrEx>
          <w:tblCellMar>
            <w:top w:w="0" w:type="dxa"/>
            <w:left w:w="108" w:type="dxa"/>
            <w:bottom w:w="0" w:type="dxa"/>
            <w:right w:w="108" w:type="dxa"/>
          </w:tblCellMar>
        </w:tblPrEx>
        <w:trPr>
          <w:trHeight w:val="300" w:hRule="atLeast"/>
        </w:trPr>
        <w:tc>
          <w:tcPr>
            <w:tcW w:w="1027" w:type="pct"/>
            <w:tcBorders>
              <w:top w:val="nil"/>
              <w:left w:val="single" w:color="auto" w:sz="8" w:space="0"/>
              <w:bottom w:val="single" w:color="auto" w:sz="4" w:space="0"/>
              <w:right w:val="single" w:color="auto" w:sz="4" w:space="0"/>
            </w:tcBorders>
            <w:vAlign w:val="center"/>
          </w:tcPr>
          <w:p w14:paraId="29EEB127">
            <w:pPr>
              <w:spacing w:line="440" w:lineRule="atLeast"/>
              <w:jc w:val="left"/>
              <w:rPr>
                <w:rFonts w:ascii="仿宋" w:hAnsi="仿宋" w:eastAsia="仿宋" w:cs="仿宋"/>
                <w:kern w:val="0"/>
                <w:sz w:val="24"/>
              </w:rPr>
            </w:pPr>
            <w:r>
              <w:rPr>
                <w:rFonts w:hint="eastAsia" w:ascii="仿宋" w:hAnsi="仿宋" w:eastAsia="仿宋" w:cs="仿宋"/>
                <w:kern w:val="0"/>
                <w:sz w:val="24"/>
              </w:rPr>
              <w:t>拆出资金</w:t>
            </w:r>
          </w:p>
        </w:tc>
        <w:tc>
          <w:tcPr>
            <w:tcW w:w="831" w:type="pct"/>
            <w:tcBorders>
              <w:top w:val="nil"/>
              <w:left w:val="nil"/>
              <w:bottom w:val="single" w:color="auto" w:sz="4" w:space="0"/>
              <w:right w:val="single" w:color="auto" w:sz="4" w:space="0"/>
            </w:tcBorders>
            <w:vAlign w:val="center"/>
          </w:tcPr>
          <w:p w14:paraId="52CC428A">
            <w:pPr>
              <w:spacing w:line="440" w:lineRule="atLeast"/>
              <w:jc w:val="right"/>
              <w:rPr>
                <w:rFonts w:ascii="仿宋" w:hAnsi="仿宋" w:eastAsia="仿宋" w:cs="仿宋"/>
                <w:sz w:val="20"/>
                <w:szCs w:val="20"/>
              </w:rPr>
            </w:pPr>
          </w:p>
        </w:tc>
        <w:tc>
          <w:tcPr>
            <w:tcW w:w="871" w:type="pct"/>
            <w:tcBorders>
              <w:top w:val="nil"/>
              <w:left w:val="nil"/>
              <w:bottom w:val="single" w:color="auto" w:sz="4" w:space="0"/>
              <w:right w:val="single" w:color="auto" w:sz="4" w:space="0"/>
            </w:tcBorders>
            <w:vAlign w:val="center"/>
          </w:tcPr>
          <w:p w14:paraId="11C53B15">
            <w:pPr>
              <w:spacing w:line="440" w:lineRule="atLeast"/>
              <w:jc w:val="right"/>
              <w:rPr>
                <w:rFonts w:ascii="仿宋" w:hAnsi="仿宋" w:eastAsia="仿宋" w:cs="仿宋"/>
                <w:sz w:val="20"/>
                <w:szCs w:val="20"/>
              </w:rPr>
            </w:pPr>
          </w:p>
        </w:tc>
        <w:tc>
          <w:tcPr>
            <w:tcW w:w="763" w:type="pct"/>
            <w:tcBorders>
              <w:top w:val="nil"/>
              <w:left w:val="nil"/>
              <w:bottom w:val="single" w:color="auto" w:sz="4" w:space="0"/>
              <w:right w:val="single" w:color="auto" w:sz="4" w:space="0"/>
            </w:tcBorders>
            <w:vAlign w:val="center"/>
          </w:tcPr>
          <w:p w14:paraId="61DAEBBF">
            <w:pPr>
              <w:spacing w:line="440" w:lineRule="atLeast"/>
              <w:jc w:val="right"/>
              <w:rPr>
                <w:rFonts w:ascii="仿宋" w:hAnsi="仿宋" w:eastAsia="仿宋" w:cs="仿宋"/>
                <w:sz w:val="20"/>
                <w:szCs w:val="20"/>
              </w:rPr>
            </w:pPr>
          </w:p>
        </w:tc>
        <w:tc>
          <w:tcPr>
            <w:tcW w:w="753" w:type="pct"/>
            <w:tcBorders>
              <w:top w:val="nil"/>
              <w:left w:val="nil"/>
              <w:bottom w:val="single" w:color="auto" w:sz="4" w:space="0"/>
              <w:right w:val="single" w:color="auto" w:sz="4" w:space="0"/>
            </w:tcBorders>
            <w:vAlign w:val="center"/>
          </w:tcPr>
          <w:p w14:paraId="4479006F">
            <w:pPr>
              <w:spacing w:line="440" w:lineRule="atLeast"/>
              <w:jc w:val="right"/>
              <w:rPr>
                <w:rFonts w:ascii="仿宋" w:hAnsi="仿宋" w:eastAsia="仿宋" w:cs="仿宋"/>
                <w:sz w:val="20"/>
                <w:szCs w:val="20"/>
              </w:rPr>
            </w:pPr>
          </w:p>
        </w:tc>
        <w:tc>
          <w:tcPr>
            <w:tcW w:w="753" w:type="pct"/>
            <w:tcBorders>
              <w:top w:val="nil"/>
              <w:left w:val="single" w:color="auto" w:sz="4" w:space="0"/>
              <w:bottom w:val="single" w:color="auto" w:sz="4" w:space="0"/>
              <w:right w:val="single" w:color="auto" w:sz="8" w:space="0"/>
            </w:tcBorders>
            <w:vAlign w:val="center"/>
          </w:tcPr>
          <w:p w14:paraId="592D7FC3">
            <w:pPr>
              <w:spacing w:line="440" w:lineRule="atLeast"/>
              <w:jc w:val="right"/>
              <w:rPr>
                <w:rFonts w:ascii="仿宋" w:hAnsi="仿宋" w:eastAsia="仿宋" w:cs="仿宋"/>
                <w:sz w:val="20"/>
                <w:szCs w:val="20"/>
              </w:rPr>
            </w:pPr>
          </w:p>
        </w:tc>
      </w:tr>
      <w:tr w14:paraId="56A35E80">
        <w:tblPrEx>
          <w:tblCellMar>
            <w:top w:w="0" w:type="dxa"/>
            <w:left w:w="108" w:type="dxa"/>
            <w:bottom w:w="0" w:type="dxa"/>
            <w:right w:w="108" w:type="dxa"/>
          </w:tblCellMar>
        </w:tblPrEx>
        <w:trPr>
          <w:trHeight w:val="300" w:hRule="atLeast"/>
        </w:trPr>
        <w:tc>
          <w:tcPr>
            <w:tcW w:w="1027" w:type="pct"/>
            <w:tcBorders>
              <w:top w:val="nil"/>
              <w:left w:val="single" w:color="auto" w:sz="8" w:space="0"/>
              <w:bottom w:val="single" w:color="auto" w:sz="4" w:space="0"/>
              <w:right w:val="single" w:color="auto" w:sz="4" w:space="0"/>
            </w:tcBorders>
            <w:vAlign w:val="center"/>
          </w:tcPr>
          <w:p w14:paraId="7D77556C">
            <w:pPr>
              <w:spacing w:line="440" w:lineRule="atLeast"/>
              <w:jc w:val="left"/>
              <w:rPr>
                <w:rFonts w:ascii="仿宋" w:hAnsi="仿宋" w:eastAsia="仿宋" w:cs="仿宋"/>
                <w:kern w:val="0"/>
                <w:sz w:val="24"/>
              </w:rPr>
            </w:pPr>
            <w:r>
              <w:rPr>
                <w:rFonts w:hint="eastAsia" w:ascii="仿宋" w:hAnsi="仿宋" w:eastAsia="仿宋" w:cs="仿宋"/>
                <w:kern w:val="0"/>
                <w:sz w:val="24"/>
              </w:rPr>
              <w:t>交易性金融资产</w:t>
            </w:r>
          </w:p>
        </w:tc>
        <w:tc>
          <w:tcPr>
            <w:tcW w:w="831" w:type="pct"/>
            <w:tcBorders>
              <w:top w:val="nil"/>
              <w:left w:val="nil"/>
              <w:bottom w:val="single" w:color="auto" w:sz="4" w:space="0"/>
              <w:right w:val="single" w:color="auto" w:sz="4" w:space="0"/>
            </w:tcBorders>
            <w:vAlign w:val="center"/>
          </w:tcPr>
          <w:p w14:paraId="42698336">
            <w:pPr>
              <w:spacing w:line="440" w:lineRule="atLeast"/>
              <w:jc w:val="right"/>
              <w:rPr>
                <w:rFonts w:ascii="仿宋" w:hAnsi="仿宋" w:eastAsia="仿宋" w:cs="仿宋"/>
                <w:sz w:val="20"/>
                <w:szCs w:val="20"/>
              </w:rPr>
            </w:pPr>
            <w:r>
              <w:rPr>
                <w:rFonts w:hint="eastAsia" w:ascii="仿宋" w:hAnsi="仿宋" w:eastAsia="仿宋" w:cs="仿宋"/>
                <w:sz w:val="20"/>
                <w:szCs w:val="20"/>
              </w:rPr>
              <w:t>52,501,177.88</w:t>
            </w:r>
          </w:p>
        </w:tc>
        <w:tc>
          <w:tcPr>
            <w:tcW w:w="871" w:type="pct"/>
            <w:tcBorders>
              <w:top w:val="nil"/>
              <w:left w:val="nil"/>
              <w:bottom w:val="single" w:color="auto" w:sz="4" w:space="0"/>
              <w:right w:val="single" w:color="auto" w:sz="4" w:space="0"/>
            </w:tcBorders>
            <w:vAlign w:val="center"/>
          </w:tcPr>
          <w:p w14:paraId="595E2A20">
            <w:pPr>
              <w:spacing w:line="440" w:lineRule="atLeast"/>
              <w:jc w:val="right"/>
              <w:rPr>
                <w:rFonts w:ascii="仿宋" w:hAnsi="仿宋" w:eastAsia="仿宋" w:cs="仿宋"/>
                <w:sz w:val="20"/>
                <w:szCs w:val="20"/>
              </w:rPr>
            </w:pPr>
            <w:r>
              <w:rPr>
                <w:rFonts w:hint="eastAsia" w:ascii="仿宋" w:hAnsi="仿宋" w:eastAsia="仿宋" w:cs="仿宋"/>
                <w:sz w:val="20"/>
                <w:szCs w:val="20"/>
              </w:rPr>
              <w:t>58,131,649.01</w:t>
            </w:r>
          </w:p>
        </w:tc>
        <w:tc>
          <w:tcPr>
            <w:tcW w:w="763" w:type="pct"/>
            <w:tcBorders>
              <w:top w:val="nil"/>
              <w:left w:val="nil"/>
              <w:bottom w:val="single" w:color="auto" w:sz="4" w:space="0"/>
              <w:right w:val="single" w:color="auto" w:sz="4" w:space="0"/>
            </w:tcBorders>
            <w:vAlign w:val="center"/>
          </w:tcPr>
          <w:p w14:paraId="6052717C">
            <w:pPr>
              <w:spacing w:line="440" w:lineRule="atLeast"/>
              <w:jc w:val="right"/>
              <w:rPr>
                <w:rFonts w:ascii="仿宋" w:hAnsi="仿宋" w:eastAsia="仿宋" w:cs="仿宋"/>
                <w:sz w:val="20"/>
                <w:szCs w:val="20"/>
              </w:rPr>
            </w:pPr>
            <w:r>
              <w:rPr>
                <w:rFonts w:hint="eastAsia" w:ascii="仿宋" w:hAnsi="仿宋" w:eastAsia="仿宋" w:cs="仿宋"/>
                <w:sz w:val="20"/>
                <w:szCs w:val="20"/>
              </w:rPr>
              <w:t>65,492,927.45</w:t>
            </w:r>
          </w:p>
        </w:tc>
        <w:tc>
          <w:tcPr>
            <w:tcW w:w="753" w:type="pct"/>
            <w:tcBorders>
              <w:top w:val="nil"/>
              <w:left w:val="nil"/>
              <w:bottom w:val="single" w:color="auto" w:sz="4" w:space="0"/>
              <w:right w:val="single" w:color="auto" w:sz="4" w:space="0"/>
            </w:tcBorders>
            <w:vAlign w:val="center"/>
          </w:tcPr>
          <w:p w14:paraId="42C24126">
            <w:pPr>
              <w:spacing w:line="440" w:lineRule="atLeast"/>
              <w:jc w:val="right"/>
              <w:rPr>
                <w:rFonts w:ascii="仿宋" w:hAnsi="仿宋" w:eastAsia="仿宋" w:cs="仿宋"/>
                <w:sz w:val="20"/>
                <w:szCs w:val="20"/>
              </w:rPr>
            </w:pPr>
            <w:r>
              <w:rPr>
                <w:rFonts w:hint="eastAsia" w:ascii="仿宋" w:hAnsi="仿宋" w:eastAsia="仿宋" w:cs="仿宋"/>
                <w:sz w:val="20"/>
                <w:szCs w:val="20"/>
              </w:rPr>
              <w:t>72,709,505.42</w:t>
            </w:r>
          </w:p>
        </w:tc>
        <w:tc>
          <w:tcPr>
            <w:tcW w:w="753" w:type="pct"/>
            <w:tcBorders>
              <w:top w:val="nil"/>
              <w:left w:val="single" w:color="auto" w:sz="4" w:space="0"/>
              <w:bottom w:val="single" w:color="auto" w:sz="4" w:space="0"/>
              <w:right w:val="single" w:color="auto" w:sz="8" w:space="0"/>
            </w:tcBorders>
            <w:vAlign w:val="center"/>
          </w:tcPr>
          <w:p w14:paraId="68B8D4EC">
            <w:pPr>
              <w:spacing w:line="440" w:lineRule="atLeast"/>
              <w:jc w:val="right"/>
              <w:rPr>
                <w:rFonts w:ascii="仿宋" w:hAnsi="仿宋" w:eastAsia="仿宋" w:cs="仿宋"/>
                <w:sz w:val="20"/>
                <w:szCs w:val="20"/>
              </w:rPr>
            </w:pPr>
            <w:r>
              <w:rPr>
                <w:rFonts w:hint="eastAsia" w:ascii="仿宋" w:hAnsi="仿宋" w:eastAsia="仿宋" w:cs="仿宋"/>
                <w:sz w:val="20"/>
                <w:szCs w:val="20"/>
              </w:rPr>
              <w:t>79,811,051.54</w:t>
            </w:r>
          </w:p>
        </w:tc>
      </w:tr>
      <w:tr w14:paraId="49BE61EF">
        <w:tblPrEx>
          <w:tblCellMar>
            <w:top w:w="0" w:type="dxa"/>
            <w:left w:w="108" w:type="dxa"/>
            <w:bottom w:w="0" w:type="dxa"/>
            <w:right w:w="108" w:type="dxa"/>
          </w:tblCellMar>
        </w:tblPrEx>
        <w:trPr>
          <w:trHeight w:val="300" w:hRule="atLeast"/>
        </w:trPr>
        <w:tc>
          <w:tcPr>
            <w:tcW w:w="1027" w:type="pct"/>
            <w:tcBorders>
              <w:top w:val="nil"/>
              <w:left w:val="single" w:color="auto" w:sz="8" w:space="0"/>
              <w:bottom w:val="single" w:color="auto" w:sz="4" w:space="0"/>
              <w:right w:val="single" w:color="auto" w:sz="4" w:space="0"/>
            </w:tcBorders>
            <w:vAlign w:val="center"/>
          </w:tcPr>
          <w:p w14:paraId="35DBA6AB">
            <w:pPr>
              <w:spacing w:line="440" w:lineRule="atLeast"/>
              <w:jc w:val="left"/>
              <w:rPr>
                <w:rFonts w:ascii="仿宋" w:hAnsi="仿宋" w:eastAsia="仿宋" w:cs="仿宋"/>
                <w:kern w:val="0"/>
                <w:sz w:val="24"/>
              </w:rPr>
            </w:pPr>
            <w:r>
              <w:rPr>
                <w:rFonts w:hint="eastAsia" w:ascii="仿宋" w:hAnsi="仿宋" w:eastAsia="仿宋" w:cs="仿宋"/>
                <w:kern w:val="0"/>
                <w:sz w:val="24"/>
              </w:rPr>
              <w:t>衍生金融资产</w:t>
            </w:r>
          </w:p>
        </w:tc>
        <w:tc>
          <w:tcPr>
            <w:tcW w:w="831" w:type="pct"/>
            <w:tcBorders>
              <w:top w:val="nil"/>
              <w:left w:val="nil"/>
              <w:bottom w:val="single" w:color="auto" w:sz="4" w:space="0"/>
              <w:right w:val="single" w:color="auto" w:sz="4" w:space="0"/>
            </w:tcBorders>
            <w:vAlign w:val="center"/>
          </w:tcPr>
          <w:p w14:paraId="1ECDDFA7">
            <w:pPr>
              <w:spacing w:line="440" w:lineRule="atLeast"/>
              <w:jc w:val="right"/>
              <w:rPr>
                <w:rFonts w:ascii="仿宋" w:hAnsi="仿宋" w:eastAsia="仿宋" w:cs="仿宋"/>
                <w:sz w:val="20"/>
                <w:szCs w:val="20"/>
              </w:rPr>
            </w:pPr>
          </w:p>
        </w:tc>
        <w:tc>
          <w:tcPr>
            <w:tcW w:w="871" w:type="pct"/>
            <w:tcBorders>
              <w:top w:val="nil"/>
              <w:left w:val="nil"/>
              <w:bottom w:val="single" w:color="auto" w:sz="4" w:space="0"/>
              <w:right w:val="single" w:color="auto" w:sz="4" w:space="0"/>
            </w:tcBorders>
            <w:vAlign w:val="center"/>
          </w:tcPr>
          <w:p w14:paraId="48A3984E">
            <w:pPr>
              <w:spacing w:line="440" w:lineRule="atLeast"/>
              <w:jc w:val="right"/>
              <w:rPr>
                <w:rFonts w:ascii="仿宋" w:hAnsi="仿宋" w:eastAsia="仿宋" w:cs="仿宋"/>
                <w:sz w:val="20"/>
                <w:szCs w:val="20"/>
              </w:rPr>
            </w:pPr>
          </w:p>
        </w:tc>
        <w:tc>
          <w:tcPr>
            <w:tcW w:w="763" w:type="pct"/>
            <w:tcBorders>
              <w:top w:val="nil"/>
              <w:left w:val="nil"/>
              <w:bottom w:val="single" w:color="auto" w:sz="4" w:space="0"/>
              <w:right w:val="single" w:color="auto" w:sz="4" w:space="0"/>
            </w:tcBorders>
            <w:vAlign w:val="center"/>
          </w:tcPr>
          <w:p w14:paraId="00874EDB">
            <w:pPr>
              <w:spacing w:line="440" w:lineRule="atLeast"/>
              <w:jc w:val="right"/>
              <w:rPr>
                <w:rFonts w:ascii="仿宋" w:hAnsi="仿宋" w:eastAsia="仿宋" w:cs="仿宋"/>
                <w:sz w:val="20"/>
                <w:szCs w:val="20"/>
              </w:rPr>
            </w:pPr>
          </w:p>
        </w:tc>
        <w:tc>
          <w:tcPr>
            <w:tcW w:w="753" w:type="pct"/>
            <w:tcBorders>
              <w:top w:val="nil"/>
              <w:left w:val="nil"/>
              <w:bottom w:val="single" w:color="auto" w:sz="4" w:space="0"/>
              <w:right w:val="single" w:color="auto" w:sz="4" w:space="0"/>
            </w:tcBorders>
            <w:vAlign w:val="center"/>
          </w:tcPr>
          <w:p w14:paraId="7BCF81C9">
            <w:pPr>
              <w:spacing w:line="440" w:lineRule="atLeast"/>
              <w:jc w:val="right"/>
              <w:rPr>
                <w:rFonts w:ascii="仿宋" w:hAnsi="仿宋" w:eastAsia="仿宋" w:cs="仿宋"/>
                <w:sz w:val="20"/>
                <w:szCs w:val="20"/>
              </w:rPr>
            </w:pPr>
          </w:p>
        </w:tc>
        <w:tc>
          <w:tcPr>
            <w:tcW w:w="753" w:type="pct"/>
            <w:tcBorders>
              <w:top w:val="nil"/>
              <w:left w:val="single" w:color="auto" w:sz="4" w:space="0"/>
              <w:bottom w:val="single" w:color="auto" w:sz="4" w:space="0"/>
              <w:right w:val="single" w:color="auto" w:sz="8" w:space="0"/>
            </w:tcBorders>
            <w:vAlign w:val="center"/>
          </w:tcPr>
          <w:p w14:paraId="7DBD8170">
            <w:pPr>
              <w:spacing w:line="440" w:lineRule="atLeast"/>
              <w:jc w:val="right"/>
              <w:rPr>
                <w:rFonts w:ascii="仿宋" w:hAnsi="仿宋" w:eastAsia="仿宋" w:cs="仿宋"/>
                <w:sz w:val="20"/>
                <w:szCs w:val="20"/>
              </w:rPr>
            </w:pPr>
          </w:p>
        </w:tc>
      </w:tr>
      <w:tr w14:paraId="326D739C">
        <w:tblPrEx>
          <w:tblCellMar>
            <w:top w:w="0" w:type="dxa"/>
            <w:left w:w="108" w:type="dxa"/>
            <w:bottom w:w="0" w:type="dxa"/>
            <w:right w:w="108" w:type="dxa"/>
          </w:tblCellMar>
        </w:tblPrEx>
        <w:trPr>
          <w:trHeight w:val="300" w:hRule="atLeast"/>
        </w:trPr>
        <w:tc>
          <w:tcPr>
            <w:tcW w:w="1027" w:type="pct"/>
            <w:tcBorders>
              <w:top w:val="nil"/>
              <w:left w:val="single" w:color="auto" w:sz="8" w:space="0"/>
              <w:bottom w:val="single" w:color="auto" w:sz="4" w:space="0"/>
              <w:right w:val="single" w:color="auto" w:sz="4" w:space="0"/>
            </w:tcBorders>
            <w:vAlign w:val="center"/>
          </w:tcPr>
          <w:p w14:paraId="20DF2E94">
            <w:pPr>
              <w:spacing w:line="440" w:lineRule="atLeast"/>
              <w:jc w:val="left"/>
              <w:rPr>
                <w:rFonts w:ascii="仿宋" w:hAnsi="仿宋" w:eastAsia="仿宋" w:cs="仿宋"/>
                <w:kern w:val="0"/>
                <w:sz w:val="24"/>
              </w:rPr>
            </w:pPr>
            <w:r>
              <w:rPr>
                <w:rFonts w:hint="eastAsia" w:ascii="仿宋" w:hAnsi="仿宋" w:eastAsia="仿宋" w:cs="仿宋"/>
                <w:kern w:val="0"/>
                <w:sz w:val="24"/>
              </w:rPr>
              <w:t>买入返售金融资产</w:t>
            </w:r>
          </w:p>
        </w:tc>
        <w:tc>
          <w:tcPr>
            <w:tcW w:w="831" w:type="pct"/>
            <w:tcBorders>
              <w:top w:val="nil"/>
              <w:left w:val="nil"/>
              <w:bottom w:val="single" w:color="auto" w:sz="4" w:space="0"/>
              <w:right w:val="single" w:color="auto" w:sz="4" w:space="0"/>
            </w:tcBorders>
            <w:vAlign w:val="center"/>
          </w:tcPr>
          <w:p w14:paraId="1CD301F5">
            <w:pPr>
              <w:spacing w:line="440" w:lineRule="atLeast"/>
              <w:jc w:val="right"/>
              <w:rPr>
                <w:rFonts w:ascii="仿宋" w:hAnsi="仿宋" w:eastAsia="仿宋" w:cs="仿宋"/>
                <w:sz w:val="20"/>
                <w:szCs w:val="20"/>
              </w:rPr>
            </w:pPr>
          </w:p>
        </w:tc>
        <w:tc>
          <w:tcPr>
            <w:tcW w:w="871" w:type="pct"/>
            <w:tcBorders>
              <w:top w:val="nil"/>
              <w:left w:val="nil"/>
              <w:bottom w:val="single" w:color="auto" w:sz="4" w:space="0"/>
              <w:right w:val="single" w:color="auto" w:sz="4" w:space="0"/>
            </w:tcBorders>
            <w:vAlign w:val="center"/>
          </w:tcPr>
          <w:p w14:paraId="0DBDB267">
            <w:pPr>
              <w:spacing w:line="440" w:lineRule="atLeast"/>
              <w:jc w:val="right"/>
              <w:rPr>
                <w:rFonts w:ascii="仿宋" w:hAnsi="仿宋" w:eastAsia="仿宋" w:cs="仿宋"/>
                <w:sz w:val="20"/>
                <w:szCs w:val="20"/>
              </w:rPr>
            </w:pPr>
          </w:p>
        </w:tc>
        <w:tc>
          <w:tcPr>
            <w:tcW w:w="763" w:type="pct"/>
            <w:tcBorders>
              <w:top w:val="nil"/>
              <w:left w:val="nil"/>
              <w:bottom w:val="single" w:color="auto" w:sz="4" w:space="0"/>
              <w:right w:val="single" w:color="auto" w:sz="4" w:space="0"/>
            </w:tcBorders>
            <w:vAlign w:val="center"/>
          </w:tcPr>
          <w:p w14:paraId="2AF315A8">
            <w:pPr>
              <w:spacing w:line="440" w:lineRule="atLeast"/>
              <w:jc w:val="right"/>
              <w:rPr>
                <w:rFonts w:ascii="仿宋" w:hAnsi="仿宋" w:eastAsia="仿宋" w:cs="仿宋"/>
                <w:sz w:val="20"/>
                <w:szCs w:val="20"/>
              </w:rPr>
            </w:pPr>
          </w:p>
        </w:tc>
        <w:tc>
          <w:tcPr>
            <w:tcW w:w="753" w:type="pct"/>
            <w:tcBorders>
              <w:top w:val="nil"/>
              <w:left w:val="nil"/>
              <w:bottom w:val="single" w:color="auto" w:sz="4" w:space="0"/>
              <w:right w:val="single" w:color="auto" w:sz="4" w:space="0"/>
            </w:tcBorders>
            <w:vAlign w:val="center"/>
          </w:tcPr>
          <w:p w14:paraId="4DD7126F">
            <w:pPr>
              <w:spacing w:line="440" w:lineRule="atLeast"/>
              <w:jc w:val="right"/>
              <w:rPr>
                <w:rFonts w:ascii="仿宋" w:hAnsi="仿宋" w:eastAsia="仿宋" w:cs="仿宋"/>
                <w:sz w:val="20"/>
                <w:szCs w:val="20"/>
              </w:rPr>
            </w:pPr>
          </w:p>
        </w:tc>
        <w:tc>
          <w:tcPr>
            <w:tcW w:w="753" w:type="pct"/>
            <w:tcBorders>
              <w:top w:val="nil"/>
              <w:left w:val="single" w:color="auto" w:sz="4" w:space="0"/>
              <w:bottom w:val="single" w:color="auto" w:sz="4" w:space="0"/>
              <w:right w:val="single" w:color="auto" w:sz="8" w:space="0"/>
            </w:tcBorders>
            <w:vAlign w:val="center"/>
          </w:tcPr>
          <w:p w14:paraId="50B649D0">
            <w:pPr>
              <w:spacing w:line="440" w:lineRule="atLeast"/>
              <w:jc w:val="right"/>
              <w:rPr>
                <w:rFonts w:ascii="仿宋" w:hAnsi="仿宋" w:eastAsia="仿宋" w:cs="仿宋"/>
                <w:sz w:val="20"/>
                <w:szCs w:val="20"/>
              </w:rPr>
            </w:pPr>
          </w:p>
        </w:tc>
      </w:tr>
      <w:tr w14:paraId="702495FF">
        <w:tblPrEx>
          <w:tblCellMar>
            <w:top w:w="0" w:type="dxa"/>
            <w:left w:w="108" w:type="dxa"/>
            <w:bottom w:w="0" w:type="dxa"/>
            <w:right w:w="108" w:type="dxa"/>
          </w:tblCellMar>
        </w:tblPrEx>
        <w:trPr>
          <w:trHeight w:val="300" w:hRule="atLeast"/>
        </w:trPr>
        <w:tc>
          <w:tcPr>
            <w:tcW w:w="1027" w:type="pct"/>
            <w:tcBorders>
              <w:top w:val="nil"/>
              <w:left w:val="single" w:color="auto" w:sz="8" w:space="0"/>
              <w:bottom w:val="single" w:color="auto" w:sz="4" w:space="0"/>
              <w:right w:val="single" w:color="auto" w:sz="4" w:space="0"/>
            </w:tcBorders>
            <w:vAlign w:val="center"/>
          </w:tcPr>
          <w:p w14:paraId="4AAC73AB">
            <w:pPr>
              <w:spacing w:line="440" w:lineRule="atLeast"/>
              <w:jc w:val="left"/>
              <w:rPr>
                <w:rFonts w:ascii="仿宋" w:hAnsi="仿宋" w:eastAsia="仿宋" w:cs="仿宋"/>
                <w:kern w:val="0"/>
                <w:sz w:val="24"/>
              </w:rPr>
            </w:pPr>
            <w:r>
              <w:rPr>
                <w:rFonts w:hint="eastAsia" w:ascii="仿宋" w:hAnsi="仿宋" w:eastAsia="仿宋" w:cs="仿宋"/>
                <w:kern w:val="0"/>
                <w:sz w:val="24"/>
              </w:rPr>
              <w:t>应收利息</w:t>
            </w:r>
          </w:p>
        </w:tc>
        <w:tc>
          <w:tcPr>
            <w:tcW w:w="831" w:type="pct"/>
            <w:tcBorders>
              <w:top w:val="nil"/>
              <w:left w:val="nil"/>
              <w:bottom w:val="single" w:color="auto" w:sz="4" w:space="0"/>
              <w:right w:val="single" w:color="auto" w:sz="4" w:space="0"/>
            </w:tcBorders>
            <w:vAlign w:val="center"/>
          </w:tcPr>
          <w:p w14:paraId="709F105F">
            <w:pPr>
              <w:spacing w:line="440" w:lineRule="atLeast"/>
              <w:jc w:val="right"/>
              <w:rPr>
                <w:rFonts w:ascii="仿宋" w:hAnsi="仿宋" w:eastAsia="仿宋" w:cs="仿宋"/>
                <w:sz w:val="20"/>
                <w:szCs w:val="20"/>
              </w:rPr>
            </w:pPr>
            <w:r>
              <w:rPr>
                <w:rFonts w:hint="eastAsia" w:ascii="仿宋" w:hAnsi="仿宋" w:eastAsia="仿宋" w:cs="仿宋"/>
                <w:sz w:val="20"/>
                <w:szCs w:val="20"/>
              </w:rPr>
              <w:t>1,295,545.02</w:t>
            </w:r>
          </w:p>
        </w:tc>
        <w:tc>
          <w:tcPr>
            <w:tcW w:w="871" w:type="pct"/>
            <w:tcBorders>
              <w:top w:val="nil"/>
              <w:left w:val="nil"/>
              <w:bottom w:val="single" w:color="auto" w:sz="4" w:space="0"/>
              <w:right w:val="single" w:color="auto" w:sz="4" w:space="0"/>
            </w:tcBorders>
            <w:vAlign w:val="center"/>
          </w:tcPr>
          <w:p w14:paraId="7983B854">
            <w:pPr>
              <w:spacing w:line="440" w:lineRule="atLeast"/>
              <w:jc w:val="right"/>
              <w:rPr>
                <w:rFonts w:ascii="仿宋" w:hAnsi="仿宋" w:eastAsia="仿宋" w:cs="仿宋"/>
                <w:sz w:val="20"/>
                <w:szCs w:val="20"/>
              </w:rPr>
            </w:pPr>
            <w:r>
              <w:rPr>
                <w:rFonts w:hint="eastAsia" w:ascii="仿宋" w:hAnsi="仿宋" w:eastAsia="仿宋" w:cs="仿宋"/>
                <w:sz w:val="20"/>
                <w:szCs w:val="20"/>
              </w:rPr>
              <w:t>1,295,545.02</w:t>
            </w:r>
          </w:p>
        </w:tc>
        <w:tc>
          <w:tcPr>
            <w:tcW w:w="763" w:type="pct"/>
            <w:tcBorders>
              <w:top w:val="nil"/>
              <w:left w:val="nil"/>
              <w:bottom w:val="single" w:color="auto" w:sz="4" w:space="0"/>
              <w:right w:val="single" w:color="auto" w:sz="4" w:space="0"/>
            </w:tcBorders>
            <w:vAlign w:val="center"/>
          </w:tcPr>
          <w:p w14:paraId="752E77E5">
            <w:pPr>
              <w:spacing w:line="440" w:lineRule="atLeast"/>
              <w:jc w:val="right"/>
              <w:rPr>
                <w:rFonts w:ascii="仿宋" w:hAnsi="仿宋" w:eastAsia="仿宋" w:cs="仿宋"/>
                <w:sz w:val="20"/>
                <w:szCs w:val="20"/>
              </w:rPr>
            </w:pPr>
            <w:r>
              <w:rPr>
                <w:rFonts w:hint="eastAsia" w:ascii="仿宋" w:hAnsi="仿宋" w:eastAsia="仿宋" w:cs="仿宋"/>
                <w:sz w:val="20"/>
                <w:szCs w:val="20"/>
              </w:rPr>
              <w:t>1,295,545.02</w:t>
            </w:r>
          </w:p>
        </w:tc>
        <w:tc>
          <w:tcPr>
            <w:tcW w:w="753" w:type="pct"/>
            <w:tcBorders>
              <w:top w:val="nil"/>
              <w:left w:val="nil"/>
              <w:bottom w:val="single" w:color="auto" w:sz="4" w:space="0"/>
              <w:right w:val="single" w:color="auto" w:sz="4" w:space="0"/>
            </w:tcBorders>
            <w:vAlign w:val="center"/>
          </w:tcPr>
          <w:p w14:paraId="6C9AB662">
            <w:pPr>
              <w:spacing w:line="440" w:lineRule="atLeast"/>
              <w:jc w:val="right"/>
              <w:rPr>
                <w:rFonts w:ascii="仿宋" w:hAnsi="仿宋" w:eastAsia="仿宋" w:cs="仿宋"/>
                <w:sz w:val="20"/>
                <w:szCs w:val="20"/>
              </w:rPr>
            </w:pPr>
            <w:r>
              <w:rPr>
                <w:rFonts w:hint="eastAsia" w:ascii="仿宋" w:hAnsi="仿宋" w:eastAsia="仿宋" w:cs="仿宋"/>
                <w:sz w:val="20"/>
                <w:szCs w:val="20"/>
              </w:rPr>
              <w:t>1,295,545.02</w:t>
            </w:r>
          </w:p>
        </w:tc>
        <w:tc>
          <w:tcPr>
            <w:tcW w:w="753" w:type="pct"/>
            <w:tcBorders>
              <w:top w:val="nil"/>
              <w:left w:val="single" w:color="auto" w:sz="4" w:space="0"/>
              <w:bottom w:val="single" w:color="auto" w:sz="4" w:space="0"/>
              <w:right w:val="single" w:color="auto" w:sz="8" w:space="0"/>
            </w:tcBorders>
            <w:vAlign w:val="center"/>
          </w:tcPr>
          <w:p w14:paraId="34034563">
            <w:pPr>
              <w:spacing w:line="440" w:lineRule="atLeast"/>
              <w:jc w:val="right"/>
              <w:rPr>
                <w:rFonts w:ascii="仿宋" w:hAnsi="仿宋" w:eastAsia="仿宋" w:cs="仿宋"/>
                <w:sz w:val="20"/>
                <w:szCs w:val="20"/>
              </w:rPr>
            </w:pPr>
            <w:r>
              <w:rPr>
                <w:rFonts w:hint="eastAsia" w:ascii="仿宋" w:hAnsi="仿宋" w:eastAsia="仿宋" w:cs="仿宋"/>
                <w:sz w:val="20"/>
                <w:szCs w:val="20"/>
              </w:rPr>
              <w:t>1,295,545.02</w:t>
            </w:r>
          </w:p>
        </w:tc>
      </w:tr>
      <w:tr w14:paraId="5634B26B">
        <w:tblPrEx>
          <w:tblCellMar>
            <w:top w:w="0" w:type="dxa"/>
            <w:left w:w="108" w:type="dxa"/>
            <w:bottom w:w="0" w:type="dxa"/>
            <w:right w:w="108" w:type="dxa"/>
          </w:tblCellMar>
        </w:tblPrEx>
        <w:trPr>
          <w:trHeight w:val="300" w:hRule="atLeast"/>
        </w:trPr>
        <w:tc>
          <w:tcPr>
            <w:tcW w:w="1027" w:type="pct"/>
            <w:tcBorders>
              <w:top w:val="nil"/>
              <w:left w:val="single" w:color="auto" w:sz="8" w:space="0"/>
              <w:bottom w:val="single" w:color="auto" w:sz="4" w:space="0"/>
              <w:right w:val="single" w:color="auto" w:sz="4" w:space="0"/>
            </w:tcBorders>
            <w:vAlign w:val="center"/>
          </w:tcPr>
          <w:p w14:paraId="5F8F7F88">
            <w:pPr>
              <w:spacing w:line="440" w:lineRule="atLeast"/>
              <w:jc w:val="left"/>
              <w:rPr>
                <w:rFonts w:ascii="仿宋" w:hAnsi="仿宋" w:eastAsia="仿宋" w:cs="仿宋"/>
                <w:kern w:val="0"/>
                <w:sz w:val="24"/>
              </w:rPr>
            </w:pPr>
            <w:r>
              <w:rPr>
                <w:rFonts w:hint="eastAsia" w:ascii="仿宋" w:hAnsi="仿宋" w:eastAsia="仿宋" w:cs="仿宋"/>
                <w:kern w:val="0"/>
                <w:sz w:val="24"/>
              </w:rPr>
              <w:t>发放贷款和垫款</w:t>
            </w:r>
          </w:p>
        </w:tc>
        <w:tc>
          <w:tcPr>
            <w:tcW w:w="831" w:type="pct"/>
            <w:tcBorders>
              <w:top w:val="nil"/>
              <w:left w:val="nil"/>
              <w:bottom w:val="single" w:color="auto" w:sz="4" w:space="0"/>
              <w:right w:val="single" w:color="auto" w:sz="4" w:space="0"/>
            </w:tcBorders>
            <w:vAlign w:val="center"/>
          </w:tcPr>
          <w:p w14:paraId="67B62EBF">
            <w:pPr>
              <w:spacing w:line="440" w:lineRule="atLeast"/>
              <w:jc w:val="right"/>
              <w:rPr>
                <w:rFonts w:ascii="仿宋" w:hAnsi="仿宋" w:eastAsia="仿宋" w:cs="仿宋"/>
                <w:sz w:val="20"/>
                <w:szCs w:val="20"/>
              </w:rPr>
            </w:pPr>
            <w:r>
              <w:rPr>
                <w:rFonts w:hint="eastAsia" w:ascii="仿宋" w:hAnsi="仿宋" w:eastAsia="仿宋" w:cs="仿宋"/>
                <w:sz w:val="20"/>
                <w:szCs w:val="20"/>
              </w:rPr>
              <w:t>125,583,239.16</w:t>
            </w:r>
          </w:p>
        </w:tc>
        <w:tc>
          <w:tcPr>
            <w:tcW w:w="871" w:type="pct"/>
            <w:tcBorders>
              <w:top w:val="nil"/>
              <w:left w:val="nil"/>
              <w:bottom w:val="single" w:color="auto" w:sz="4" w:space="0"/>
              <w:right w:val="single" w:color="auto" w:sz="4" w:space="0"/>
            </w:tcBorders>
            <w:vAlign w:val="center"/>
          </w:tcPr>
          <w:p w14:paraId="1C1673E6">
            <w:pPr>
              <w:spacing w:line="440" w:lineRule="atLeast"/>
              <w:jc w:val="right"/>
              <w:rPr>
                <w:rFonts w:ascii="仿宋" w:hAnsi="仿宋" w:eastAsia="仿宋" w:cs="仿宋"/>
                <w:sz w:val="20"/>
                <w:szCs w:val="20"/>
              </w:rPr>
            </w:pPr>
            <w:r>
              <w:rPr>
                <w:rFonts w:hint="eastAsia" w:ascii="仿宋" w:hAnsi="仿宋" w:eastAsia="仿宋" w:cs="仿宋"/>
                <w:sz w:val="20"/>
                <w:szCs w:val="20"/>
              </w:rPr>
              <w:t>138,141,555.96</w:t>
            </w:r>
          </w:p>
        </w:tc>
        <w:tc>
          <w:tcPr>
            <w:tcW w:w="763" w:type="pct"/>
            <w:tcBorders>
              <w:top w:val="nil"/>
              <w:left w:val="nil"/>
              <w:bottom w:val="single" w:color="auto" w:sz="4" w:space="0"/>
              <w:right w:val="single" w:color="auto" w:sz="4" w:space="0"/>
            </w:tcBorders>
            <w:vAlign w:val="center"/>
          </w:tcPr>
          <w:p w14:paraId="12A92246">
            <w:pPr>
              <w:spacing w:line="440" w:lineRule="atLeast"/>
              <w:jc w:val="right"/>
              <w:rPr>
                <w:rFonts w:ascii="仿宋" w:hAnsi="仿宋" w:eastAsia="仿宋" w:cs="仿宋"/>
                <w:sz w:val="20"/>
                <w:szCs w:val="20"/>
              </w:rPr>
            </w:pPr>
            <w:r>
              <w:rPr>
                <w:rFonts w:hint="eastAsia" w:ascii="仿宋" w:hAnsi="仿宋" w:eastAsia="仿宋" w:cs="仿宋"/>
                <w:sz w:val="20"/>
                <w:szCs w:val="20"/>
              </w:rPr>
              <w:t>151,955,704.44</w:t>
            </w:r>
          </w:p>
        </w:tc>
        <w:tc>
          <w:tcPr>
            <w:tcW w:w="753" w:type="pct"/>
            <w:tcBorders>
              <w:top w:val="nil"/>
              <w:left w:val="nil"/>
              <w:bottom w:val="single" w:color="auto" w:sz="4" w:space="0"/>
              <w:right w:val="single" w:color="auto" w:sz="4" w:space="0"/>
            </w:tcBorders>
            <w:vAlign w:val="center"/>
          </w:tcPr>
          <w:p w14:paraId="2C181598">
            <w:pPr>
              <w:spacing w:line="440" w:lineRule="atLeast"/>
              <w:jc w:val="right"/>
              <w:rPr>
                <w:rFonts w:ascii="仿宋" w:hAnsi="仿宋" w:eastAsia="仿宋" w:cs="仿宋"/>
                <w:sz w:val="20"/>
                <w:szCs w:val="20"/>
              </w:rPr>
            </w:pPr>
            <w:r>
              <w:rPr>
                <w:rFonts w:hint="eastAsia" w:ascii="仿宋" w:hAnsi="仿宋" w:eastAsia="仿宋" w:cs="仿宋"/>
                <w:sz w:val="20"/>
                <w:szCs w:val="20"/>
              </w:rPr>
              <w:t>165,631,731.36</w:t>
            </w:r>
          </w:p>
        </w:tc>
        <w:tc>
          <w:tcPr>
            <w:tcW w:w="753" w:type="pct"/>
            <w:tcBorders>
              <w:top w:val="nil"/>
              <w:left w:val="single" w:color="auto" w:sz="4" w:space="0"/>
              <w:bottom w:val="single" w:color="auto" w:sz="4" w:space="0"/>
              <w:right w:val="single" w:color="auto" w:sz="8" w:space="0"/>
            </w:tcBorders>
            <w:vAlign w:val="center"/>
          </w:tcPr>
          <w:p w14:paraId="0E11E7C5">
            <w:pPr>
              <w:spacing w:line="440" w:lineRule="atLeast"/>
              <w:jc w:val="right"/>
              <w:rPr>
                <w:rFonts w:ascii="仿宋" w:hAnsi="仿宋" w:eastAsia="仿宋" w:cs="仿宋"/>
                <w:sz w:val="20"/>
                <w:szCs w:val="20"/>
              </w:rPr>
            </w:pPr>
            <w:r>
              <w:rPr>
                <w:rFonts w:hint="eastAsia" w:ascii="仿宋" w:hAnsi="仿宋" w:eastAsia="仿宋" w:cs="仿宋"/>
                <w:sz w:val="20"/>
                <w:szCs w:val="20"/>
              </w:rPr>
              <w:t>178,882,292.64</w:t>
            </w:r>
          </w:p>
        </w:tc>
      </w:tr>
      <w:tr w14:paraId="462680F2">
        <w:tblPrEx>
          <w:tblCellMar>
            <w:top w:w="0" w:type="dxa"/>
            <w:left w:w="108" w:type="dxa"/>
            <w:bottom w:w="0" w:type="dxa"/>
            <w:right w:w="108" w:type="dxa"/>
          </w:tblCellMar>
        </w:tblPrEx>
        <w:trPr>
          <w:trHeight w:val="300" w:hRule="atLeast"/>
        </w:trPr>
        <w:tc>
          <w:tcPr>
            <w:tcW w:w="1027" w:type="pct"/>
            <w:tcBorders>
              <w:top w:val="nil"/>
              <w:left w:val="single" w:color="auto" w:sz="8" w:space="0"/>
              <w:bottom w:val="single" w:color="auto" w:sz="4" w:space="0"/>
              <w:right w:val="single" w:color="auto" w:sz="4" w:space="0"/>
            </w:tcBorders>
            <w:vAlign w:val="center"/>
          </w:tcPr>
          <w:p w14:paraId="193B31F9">
            <w:pPr>
              <w:spacing w:line="440" w:lineRule="atLeast"/>
              <w:jc w:val="left"/>
              <w:rPr>
                <w:rFonts w:ascii="仿宋" w:hAnsi="仿宋" w:eastAsia="仿宋" w:cs="仿宋"/>
                <w:kern w:val="0"/>
                <w:sz w:val="24"/>
              </w:rPr>
            </w:pPr>
            <w:r>
              <w:rPr>
                <w:rFonts w:hint="eastAsia" w:ascii="仿宋" w:hAnsi="仿宋" w:eastAsia="仿宋" w:cs="仿宋"/>
                <w:kern w:val="0"/>
                <w:sz w:val="24"/>
              </w:rPr>
              <w:t>代理业务资产</w:t>
            </w:r>
          </w:p>
        </w:tc>
        <w:tc>
          <w:tcPr>
            <w:tcW w:w="831" w:type="pct"/>
            <w:tcBorders>
              <w:top w:val="nil"/>
              <w:left w:val="nil"/>
              <w:bottom w:val="single" w:color="auto" w:sz="4" w:space="0"/>
              <w:right w:val="single" w:color="auto" w:sz="4" w:space="0"/>
            </w:tcBorders>
            <w:vAlign w:val="center"/>
          </w:tcPr>
          <w:p w14:paraId="74550B2E">
            <w:pPr>
              <w:spacing w:line="440" w:lineRule="atLeast"/>
              <w:jc w:val="right"/>
              <w:rPr>
                <w:rFonts w:ascii="仿宋" w:hAnsi="仿宋" w:eastAsia="仿宋" w:cs="仿宋"/>
                <w:sz w:val="20"/>
                <w:szCs w:val="20"/>
              </w:rPr>
            </w:pPr>
          </w:p>
        </w:tc>
        <w:tc>
          <w:tcPr>
            <w:tcW w:w="871" w:type="pct"/>
            <w:tcBorders>
              <w:top w:val="nil"/>
              <w:left w:val="nil"/>
              <w:bottom w:val="single" w:color="auto" w:sz="4" w:space="0"/>
              <w:right w:val="single" w:color="auto" w:sz="4" w:space="0"/>
            </w:tcBorders>
            <w:vAlign w:val="center"/>
          </w:tcPr>
          <w:p w14:paraId="032E25BF">
            <w:pPr>
              <w:spacing w:line="440" w:lineRule="atLeast"/>
              <w:jc w:val="right"/>
              <w:rPr>
                <w:rFonts w:ascii="仿宋" w:hAnsi="仿宋" w:eastAsia="仿宋" w:cs="仿宋"/>
                <w:sz w:val="20"/>
                <w:szCs w:val="20"/>
              </w:rPr>
            </w:pPr>
          </w:p>
        </w:tc>
        <w:tc>
          <w:tcPr>
            <w:tcW w:w="763" w:type="pct"/>
            <w:tcBorders>
              <w:top w:val="nil"/>
              <w:left w:val="nil"/>
              <w:bottom w:val="single" w:color="auto" w:sz="4" w:space="0"/>
              <w:right w:val="single" w:color="auto" w:sz="4" w:space="0"/>
            </w:tcBorders>
            <w:vAlign w:val="center"/>
          </w:tcPr>
          <w:p w14:paraId="4A3FFB98">
            <w:pPr>
              <w:spacing w:line="440" w:lineRule="atLeast"/>
              <w:jc w:val="right"/>
              <w:rPr>
                <w:rFonts w:ascii="仿宋" w:hAnsi="仿宋" w:eastAsia="仿宋" w:cs="仿宋"/>
                <w:sz w:val="20"/>
                <w:szCs w:val="20"/>
              </w:rPr>
            </w:pPr>
          </w:p>
        </w:tc>
        <w:tc>
          <w:tcPr>
            <w:tcW w:w="753" w:type="pct"/>
            <w:tcBorders>
              <w:top w:val="nil"/>
              <w:left w:val="nil"/>
              <w:bottom w:val="single" w:color="auto" w:sz="4" w:space="0"/>
              <w:right w:val="single" w:color="auto" w:sz="4" w:space="0"/>
            </w:tcBorders>
            <w:vAlign w:val="center"/>
          </w:tcPr>
          <w:p w14:paraId="4A004143">
            <w:pPr>
              <w:spacing w:line="440" w:lineRule="atLeast"/>
              <w:jc w:val="right"/>
              <w:rPr>
                <w:rFonts w:ascii="仿宋" w:hAnsi="仿宋" w:eastAsia="仿宋" w:cs="仿宋"/>
                <w:sz w:val="20"/>
                <w:szCs w:val="20"/>
              </w:rPr>
            </w:pPr>
          </w:p>
        </w:tc>
        <w:tc>
          <w:tcPr>
            <w:tcW w:w="753" w:type="pct"/>
            <w:tcBorders>
              <w:top w:val="nil"/>
              <w:left w:val="single" w:color="auto" w:sz="4" w:space="0"/>
              <w:bottom w:val="single" w:color="auto" w:sz="4" w:space="0"/>
              <w:right w:val="single" w:color="auto" w:sz="8" w:space="0"/>
            </w:tcBorders>
            <w:vAlign w:val="center"/>
          </w:tcPr>
          <w:p w14:paraId="13395AC4">
            <w:pPr>
              <w:spacing w:line="440" w:lineRule="atLeast"/>
              <w:jc w:val="right"/>
              <w:rPr>
                <w:rFonts w:ascii="仿宋" w:hAnsi="仿宋" w:eastAsia="仿宋" w:cs="仿宋"/>
                <w:sz w:val="20"/>
                <w:szCs w:val="20"/>
              </w:rPr>
            </w:pPr>
          </w:p>
        </w:tc>
      </w:tr>
      <w:tr w14:paraId="5604ED70">
        <w:tblPrEx>
          <w:tblCellMar>
            <w:top w:w="0" w:type="dxa"/>
            <w:left w:w="108" w:type="dxa"/>
            <w:bottom w:w="0" w:type="dxa"/>
            <w:right w:w="108" w:type="dxa"/>
          </w:tblCellMar>
        </w:tblPrEx>
        <w:trPr>
          <w:trHeight w:val="300" w:hRule="atLeast"/>
        </w:trPr>
        <w:tc>
          <w:tcPr>
            <w:tcW w:w="1027" w:type="pct"/>
            <w:tcBorders>
              <w:top w:val="nil"/>
              <w:left w:val="single" w:color="auto" w:sz="8" w:space="0"/>
              <w:bottom w:val="single" w:color="auto" w:sz="4" w:space="0"/>
              <w:right w:val="single" w:color="auto" w:sz="4" w:space="0"/>
            </w:tcBorders>
            <w:vAlign w:val="center"/>
          </w:tcPr>
          <w:p w14:paraId="3A7AFCC3">
            <w:pPr>
              <w:spacing w:line="440" w:lineRule="atLeast"/>
              <w:jc w:val="left"/>
              <w:rPr>
                <w:rFonts w:ascii="仿宋" w:hAnsi="仿宋" w:eastAsia="仿宋" w:cs="仿宋"/>
                <w:kern w:val="0"/>
                <w:sz w:val="24"/>
              </w:rPr>
            </w:pPr>
            <w:r>
              <w:rPr>
                <w:rFonts w:hint="eastAsia" w:ascii="仿宋" w:hAnsi="仿宋" w:eastAsia="仿宋" w:cs="仿宋"/>
                <w:kern w:val="0"/>
                <w:sz w:val="24"/>
              </w:rPr>
              <w:t>可供出售金融资产</w:t>
            </w:r>
          </w:p>
        </w:tc>
        <w:tc>
          <w:tcPr>
            <w:tcW w:w="831" w:type="pct"/>
            <w:tcBorders>
              <w:top w:val="nil"/>
              <w:left w:val="nil"/>
              <w:bottom w:val="single" w:color="auto" w:sz="4" w:space="0"/>
              <w:right w:val="single" w:color="auto" w:sz="4" w:space="0"/>
            </w:tcBorders>
            <w:vAlign w:val="center"/>
          </w:tcPr>
          <w:p w14:paraId="248C6984">
            <w:pPr>
              <w:spacing w:line="440" w:lineRule="atLeast"/>
              <w:jc w:val="right"/>
              <w:rPr>
                <w:rFonts w:ascii="仿宋" w:hAnsi="仿宋" w:eastAsia="仿宋" w:cs="仿宋"/>
                <w:sz w:val="20"/>
                <w:szCs w:val="20"/>
              </w:rPr>
            </w:pPr>
          </w:p>
        </w:tc>
        <w:tc>
          <w:tcPr>
            <w:tcW w:w="871" w:type="pct"/>
            <w:tcBorders>
              <w:top w:val="nil"/>
              <w:left w:val="nil"/>
              <w:bottom w:val="single" w:color="auto" w:sz="4" w:space="0"/>
              <w:right w:val="single" w:color="auto" w:sz="4" w:space="0"/>
            </w:tcBorders>
            <w:vAlign w:val="center"/>
          </w:tcPr>
          <w:p w14:paraId="4196AC73">
            <w:pPr>
              <w:spacing w:line="440" w:lineRule="atLeast"/>
              <w:jc w:val="right"/>
              <w:rPr>
                <w:rFonts w:ascii="仿宋" w:hAnsi="仿宋" w:eastAsia="仿宋" w:cs="仿宋"/>
                <w:sz w:val="20"/>
                <w:szCs w:val="20"/>
              </w:rPr>
            </w:pPr>
          </w:p>
        </w:tc>
        <w:tc>
          <w:tcPr>
            <w:tcW w:w="763" w:type="pct"/>
            <w:tcBorders>
              <w:top w:val="nil"/>
              <w:left w:val="nil"/>
              <w:bottom w:val="single" w:color="auto" w:sz="4" w:space="0"/>
              <w:right w:val="single" w:color="auto" w:sz="4" w:space="0"/>
            </w:tcBorders>
            <w:vAlign w:val="center"/>
          </w:tcPr>
          <w:p w14:paraId="158CF6EF">
            <w:pPr>
              <w:spacing w:line="440" w:lineRule="atLeast"/>
              <w:jc w:val="right"/>
              <w:rPr>
                <w:rFonts w:ascii="仿宋" w:hAnsi="仿宋" w:eastAsia="仿宋" w:cs="仿宋"/>
                <w:sz w:val="20"/>
                <w:szCs w:val="20"/>
              </w:rPr>
            </w:pPr>
          </w:p>
        </w:tc>
        <w:tc>
          <w:tcPr>
            <w:tcW w:w="753" w:type="pct"/>
            <w:tcBorders>
              <w:top w:val="nil"/>
              <w:left w:val="nil"/>
              <w:bottom w:val="single" w:color="auto" w:sz="4" w:space="0"/>
              <w:right w:val="single" w:color="auto" w:sz="4" w:space="0"/>
            </w:tcBorders>
            <w:vAlign w:val="center"/>
          </w:tcPr>
          <w:p w14:paraId="60CF74B0">
            <w:pPr>
              <w:spacing w:line="440" w:lineRule="atLeast"/>
              <w:jc w:val="right"/>
              <w:rPr>
                <w:rFonts w:ascii="仿宋" w:hAnsi="仿宋" w:eastAsia="仿宋" w:cs="仿宋"/>
                <w:sz w:val="20"/>
                <w:szCs w:val="20"/>
              </w:rPr>
            </w:pPr>
          </w:p>
        </w:tc>
        <w:tc>
          <w:tcPr>
            <w:tcW w:w="753" w:type="pct"/>
            <w:tcBorders>
              <w:top w:val="nil"/>
              <w:left w:val="single" w:color="auto" w:sz="4" w:space="0"/>
              <w:bottom w:val="single" w:color="auto" w:sz="4" w:space="0"/>
              <w:right w:val="single" w:color="auto" w:sz="8" w:space="0"/>
            </w:tcBorders>
            <w:vAlign w:val="center"/>
          </w:tcPr>
          <w:p w14:paraId="730FBDF9">
            <w:pPr>
              <w:spacing w:line="440" w:lineRule="atLeast"/>
              <w:jc w:val="right"/>
              <w:rPr>
                <w:rFonts w:ascii="仿宋" w:hAnsi="仿宋" w:eastAsia="仿宋" w:cs="仿宋"/>
                <w:sz w:val="20"/>
                <w:szCs w:val="20"/>
              </w:rPr>
            </w:pPr>
          </w:p>
        </w:tc>
      </w:tr>
      <w:tr w14:paraId="3A00034B">
        <w:tblPrEx>
          <w:tblCellMar>
            <w:top w:w="0" w:type="dxa"/>
            <w:left w:w="108" w:type="dxa"/>
            <w:bottom w:w="0" w:type="dxa"/>
            <w:right w:w="108" w:type="dxa"/>
          </w:tblCellMar>
        </w:tblPrEx>
        <w:trPr>
          <w:trHeight w:val="300" w:hRule="atLeast"/>
        </w:trPr>
        <w:tc>
          <w:tcPr>
            <w:tcW w:w="1027" w:type="pct"/>
            <w:tcBorders>
              <w:top w:val="nil"/>
              <w:left w:val="single" w:color="auto" w:sz="8" w:space="0"/>
              <w:bottom w:val="single" w:color="auto" w:sz="4" w:space="0"/>
              <w:right w:val="single" w:color="auto" w:sz="4" w:space="0"/>
            </w:tcBorders>
            <w:vAlign w:val="center"/>
          </w:tcPr>
          <w:p w14:paraId="47B16F32">
            <w:pPr>
              <w:spacing w:line="440" w:lineRule="atLeast"/>
              <w:jc w:val="left"/>
              <w:rPr>
                <w:rFonts w:ascii="仿宋" w:hAnsi="仿宋" w:eastAsia="仿宋" w:cs="仿宋"/>
                <w:kern w:val="0"/>
                <w:sz w:val="24"/>
              </w:rPr>
            </w:pPr>
            <w:r>
              <w:rPr>
                <w:rFonts w:hint="eastAsia" w:ascii="仿宋" w:hAnsi="仿宋" w:eastAsia="仿宋" w:cs="仿宋"/>
                <w:kern w:val="0"/>
                <w:sz w:val="24"/>
              </w:rPr>
              <w:t>持有至到期投资</w:t>
            </w:r>
          </w:p>
        </w:tc>
        <w:tc>
          <w:tcPr>
            <w:tcW w:w="831" w:type="pct"/>
            <w:tcBorders>
              <w:top w:val="nil"/>
              <w:left w:val="nil"/>
              <w:bottom w:val="single" w:color="auto" w:sz="4" w:space="0"/>
              <w:right w:val="single" w:color="auto" w:sz="4" w:space="0"/>
            </w:tcBorders>
            <w:vAlign w:val="center"/>
          </w:tcPr>
          <w:p w14:paraId="16EE15B4">
            <w:pPr>
              <w:spacing w:line="440" w:lineRule="atLeast"/>
              <w:jc w:val="right"/>
              <w:rPr>
                <w:rFonts w:ascii="仿宋" w:hAnsi="仿宋" w:eastAsia="仿宋" w:cs="仿宋"/>
                <w:sz w:val="20"/>
                <w:szCs w:val="20"/>
              </w:rPr>
            </w:pPr>
          </w:p>
        </w:tc>
        <w:tc>
          <w:tcPr>
            <w:tcW w:w="871" w:type="pct"/>
            <w:tcBorders>
              <w:top w:val="nil"/>
              <w:left w:val="nil"/>
              <w:bottom w:val="single" w:color="auto" w:sz="4" w:space="0"/>
              <w:right w:val="single" w:color="auto" w:sz="4" w:space="0"/>
            </w:tcBorders>
            <w:vAlign w:val="center"/>
          </w:tcPr>
          <w:p w14:paraId="4A2F2A57">
            <w:pPr>
              <w:spacing w:line="440" w:lineRule="atLeast"/>
              <w:jc w:val="right"/>
              <w:rPr>
                <w:rFonts w:ascii="仿宋" w:hAnsi="仿宋" w:eastAsia="仿宋" w:cs="仿宋"/>
                <w:sz w:val="20"/>
                <w:szCs w:val="20"/>
              </w:rPr>
            </w:pPr>
          </w:p>
        </w:tc>
        <w:tc>
          <w:tcPr>
            <w:tcW w:w="763" w:type="pct"/>
            <w:tcBorders>
              <w:top w:val="nil"/>
              <w:left w:val="nil"/>
              <w:bottom w:val="single" w:color="auto" w:sz="4" w:space="0"/>
              <w:right w:val="single" w:color="auto" w:sz="4" w:space="0"/>
            </w:tcBorders>
            <w:vAlign w:val="center"/>
          </w:tcPr>
          <w:p w14:paraId="021D7CE8">
            <w:pPr>
              <w:spacing w:line="440" w:lineRule="atLeast"/>
              <w:jc w:val="right"/>
              <w:rPr>
                <w:rFonts w:ascii="仿宋" w:hAnsi="仿宋" w:eastAsia="仿宋" w:cs="仿宋"/>
                <w:sz w:val="20"/>
                <w:szCs w:val="20"/>
              </w:rPr>
            </w:pPr>
          </w:p>
        </w:tc>
        <w:tc>
          <w:tcPr>
            <w:tcW w:w="753" w:type="pct"/>
            <w:tcBorders>
              <w:top w:val="nil"/>
              <w:left w:val="nil"/>
              <w:bottom w:val="single" w:color="auto" w:sz="4" w:space="0"/>
              <w:right w:val="single" w:color="auto" w:sz="4" w:space="0"/>
            </w:tcBorders>
            <w:vAlign w:val="center"/>
          </w:tcPr>
          <w:p w14:paraId="1AFFD840">
            <w:pPr>
              <w:spacing w:line="440" w:lineRule="atLeast"/>
              <w:jc w:val="right"/>
              <w:rPr>
                <w:rFonts w:ascii="仿宋" w:hAnsi="仿宋" w:eastAsia="仿宋" w:cs="仿宋"/>
                <w:sz w:val="20"/>
                <w:szCs w:val="20"/>
              </w:rPr>
            </w:pPr>
          </w:p>
        </w:tc>
        <w:tc>
          <w:tcPr>
            <w:tcW w:w="753" w:type="pct"/>
            <w:tcBorders>
              <w:top w:val="nil"/>
              <w:left w:val="single" w:color="auto" w:sz="4" w:space="0"/>
              <w:bottom w:val="single" w:color="auto" w:sz="4" w:space="0"/>
              <w:right w:val="single" w:color="auto" w:sz="8" w:space="0"/>
            </w:tcBorders>
            <w:vAlign w:val="center"/>
          </w:tcPr>
          <w:p w14:paraId="29BB36C8">
            <w:pPr>
              <w:spacing w:line="440" w:lineRule="atLeast"/>
              <w:jc w:val="right"/>
              <w:rPr>
                <w:rFonts w:ascii="仿宋" w:hAnsi="仿宋" w:eastAsia="仿宋" w:cs="仿宋"/>
                <w:sz w:val="20"/>
                <w:szCs w:val="20"/>
              </w:rPr>
            </w:pPr>
          </w:p>
        </w:tc>
      </w:tr>
      <w:tr w14:paraId="67F2AC67">
        <w:tblPrEx>
          <w:tblCellMar>
            <w:top w:w="0" w:type="dxa"/>
            <w:left w:w="108" w:type="dxa"/>
            <w:bottom w:w="0" w:type="dxa"/>
            <w:right w:w="108" w:type="dxa"/>
          </w:tblCellMar>
        </w:tblPrEx>
        <w:trPr>
          <w:trHeight w:val="300" w:hRule="atLeast"/>
        </w:trPr>
        <w:tc>
          <w:tcPr>
            <w:tcW w:w="1027" w:type="pct"/>
            <w:tcBorders>
              <w:top w:val="nil"/>
              <w:left w:val="single" w:color="auto" w:sz="8" w:space="0"/>
              <w:bottom w:val="single" w:color="auto" w:sz="4" w:space="0"/>
              <w:right w:val="single" w:color="auto" w:sz="4" w:space="0"/>
            </w:tcBorders>
            <w:vAlign w:val="center"/>
          </w:tcPr>
          <w:p w14:paraId="3316685C">
            <w:pPr>
              <w:spacing w:line="440" w:lineRule="atLeast"/>
              <w:jc w:val="left"/>
              <w:rPr>
                <w:rFonts w:ascii="仿宋" w:hAnsi="仿宋" w:eastAsia="仿宋" w:cs="仿宋"/>
                <w:kern w:val="0"/>
                <w:sz w:val="24"/>
              </w:rPr>
            </w:pPr>
            <w:r>
              <w:rPr>
                <w:rFonts w:hint="eastAsia" w:ascii="仿宋" w:hAnsi="仿宋" w:eastAsia="仿宋" w:cs="仿宋"/>
                <w:kern w:val="0"/>
                <w:sz w:val="24"/>
              </w:rPr>
              <w:t>长期股权投资</w:t>
            </w:r>
          </w:p>
        </w:tc>
        <w:tc>
          <w:tcPr>
            <w:tcW w:w="831" w:type="pct"/>
            <w:tcBorders>
              <w:top w:val="nil"/>
              <w:left w:val="nil"/>
              <w:bottom w:val="single" w:color="auto" w:sz="4" w:space="0"/>
              <w:right w:val="single" w:color="auto" w:sz="4" w:space="0"/>
            </w:tcBorders>
            <w:vAlign w:val="center"/>
          </w:tcPr>
          <w:p w14:paraId="0F91D8DF">
            <w:pPr>
              <w:spacing w:line="440" w:lineRule="atLeast"/>
              <w:jc w:val="right"/>
              <w:rPr>
                <w:rFonts w:ascii="仿宋" w:hAnsi="仿宋" w:eastAsia="仿宋" w:cs="仿宋"/>
                <w:sz w:val="20"/>
                <w:szCs w:val="20"/>
              </w:rPr>
            </w:pPr>
            <w:r>
              <w:rPr>
                <w:rFonts w:hint="eastAsia" w:ascii="仿宋" w:hAnsi="仿宋" w:eastAsia="仿宋" w:cs="仿宋"/>
                <w:sz w:val="20"/>
                <w:szCs w:val="20"/>
              </w:rPr>
              <w:t>92,371.98</w:t>
            </w:r>
          </w:p>
        </w:tc>
        <w:tc>
          <w:tcPr>
            <w:tcW w:w="871" w:type="pct"/>
            <w:tcBorders>
              <w:top w:val="nil"/>
              <w:left w:val="nil"/>
              <w:bottom w:val="single" w:color="auto" w:sz="4" w:space="0"/>
              <w:right w:val="single" w:color="auto" w:sz="4" w:space="0"/>
            </w:tcBorders>
            <w:vAlign w:val="center"/>
          </w:tcPr>
          <w:p w14:paraId="3034EBBB">
            <w:pPr>
              <w:spacing w:line="440" w:lineRule="atLeast"/>
              <w:jc w:val="right"/>
              <w:rPr>
                <w:rFonts w:ascii="仿宋" w:hAnsi="仿宋" w:eastAsia="仿宋" w:cs="仿宋"/>
                <w:sz w:val="20"/>
                <w:szCs w:val="20"/>
              </w:rPr>
            </w:pPr>
            <w:r>
              <w:rPr>
                <w:rFonts w:hint="eastAsia" w:ascii="仿宋" w:hAnsi="仿宋" w:eastAsia="仿宋" w:cs="仿宋"/>
                <w:sz w:val="20"/>
                <w:szCs w:val="20"/>
              </w:rPr>
              <w:t>92,371.98</w:t>
            </w:r>
          </w:p>
        </w:tc>
        <w:tc>
          <w:tcPr>
            <w:tcW w:w="763" w:type="pct"/>
            <w:tcBorders>
              <w:top w:val="nil"/>
              <w:left w:val="nil"/>
              <w:bottom w:val="single" w:color="auto" w:sz="4" w:space="0"/>
              <w:right w:val="single" w:color="auto" w:sz="4" w:space="0"/>
            </w:tcBorders>
            <w:vAlign w:val="center"/>
          </w:tcPr>
          <w:p w14:paraId="70DF8883">
            <w:pPr>
              <w:spacing w:line="440" w:lineRule="atLeast"/>
              <w:jc w:val="right"/>
              <w:rPr>
                <w:rFonts w:ascii="仿宋" w:hAnsi="仿宋" w:eastAsia="仿宋" w:cs="仿宋"/>
                <w:sz w:val="20"/>
                <w:szCs w:val="20"/>
              </w:rPr>
            </w:pPr>
            <w:r>
              <w:rPr>
                <w:rFonts w:hint="eastAsia" w:ascii="仿宋" w:hAnsi="仿宋" w:eastAsia="仿宋" w:cs="仿宋"/>
                <w:sz w:val="20"/>
                <w:szCs w:val="20"/>
              </w:rPr>
              <w:t>92,371.98</w:t>
            </w:r>
          </w:p>
        </w:tc>
        <w:tc>
          <w:tcPr>
            <w:tcW w:w="753" w:type="pct"/>
            <w:tcBorders>
              <w:top w:val="nil"/>
              <w:left w:val="nil"/>
              <w:bottom w:val="single" w:color="auto" w:sz="4" w:space="0"/>
              <w:right w:val="single" w:color="auto" w:sz="4" w:space="0"/>
            </w:tcBorders>
            <w:vAlign w:val="center"/>
          </w:tcPr>
          <w:p w14:paraId="212026FC">
            <w:pPr>
              <w:spacing w:line="440" w:lineRule="atLeast"/>
              <w:jc w:val="right"/>
              <w:rPr>
                <w:rFonts w:ascii="仿宋" w:hAnsi="仿宋" w:eastAsia="仿宋" w:cs="仿宋"/>
                <w:sz w:val="20"/>
                <w:szCs w:val="20"/>
              </w:rPr>
            </w:pPr>
            <w:r>
              <w:rPr>
                <w:rFonts w:hint="eastAsia" w:ascii="仿宋" w:hAnsi="仿宋" w:eastAsia="仿宋" w:cs="仿宋"/>
                <w:sz w:val="20"/>
                <w:szCs w:val="20"/>
              </w:rPr>
              <w:t>92,371.98</w:t>
            </w:r>
          </w:p>
        </w:tc>
        <w:tc>
          <w:tcPr>
            <w:tcW w:w="753" w:type="pct"/>
            <w:tcBorders>
              <w:top w:val="nil"/>
              <w:left w:val="single" w:color="auto" w:sz="4" w:space="0"/>
              <w:bottom w:val="single" w:color="auto" w:sz="4" w:space="0"/>
              <w:right w:val="single" w:color="auto" w:sz="8" w:space="0"/>
            </w:tcBorders>
            <w:vAlign w:val="center"/>
          </w:tcPr>
          <w:p w14:paraId="46E68088">
            <w:pPr>
              <w:spacing w:line="440" w:lineRule="atLeast"/>
              <w:jc w:val="right"/>
              <w:rPr>
                <w:rFonts w:ascii="仿宋" w:hAnsi="仿宋" w:eastAsia="仿宋" w:cs="仿宋"/>
                <w:sz w:val="20"/>
                <w:szCs w:val="20"/>
              </w:rPr>
            </w:pPr>
            <w:r>
              <w:rPr>
                <w:rFonts w:hint="eastAsia" w:ascii="仿宋" w:hAnsi="仿宋" w:eastAsia="仿宋" w:cs="仿宋"/>
                <w:sz w:val="20"/>
                <w:szCs w:val="20"/>
              </w:rPr>
              <w:t>92,371.98</w:t>
            </w:r>
          </w:p>
        </w:tc>
      </w:tr>
      <w:tr w14:paraId="72696423">
        <w:tblPrEx>
          <w:tblCellMar>
            <w:top w:w="0" w:type="dxa"/>
            <w:left w:w="108" w:type="dxa"/>
            <w:bottom w:w="0" w:type="dxa"/>
            <w:right w:w="108" w:type="dxa"/>
          </w:tblCellMar>
        </w:tblPrEx>
        <w:trPr>
          <w:trHeight w:val="300" w:hRule="atLeast"/>
        </w:trPr>
        <w:tc>
          <w:tcPr>
            <w:tcW w:w="1027" w:type="pct"/>
            <w:tcBorders>
              <w:top w:val="nil"/>
              <w:left w:val="single" w:color="auto" w:sz="8" w:space="0"/>
              <w:bottom w:val="single" w:color="auto" w:sz="4" w:space="0"/>
              <w:right w:val="single" w:color="auto" w:sz="4" w:space="0"/>
            </w:tcBorders>
            <w:vAlign w:val="center"/>
          </w:tcPr>
          <w:p w14:paraId="2CE9DCBA">
            <w:pPr>
              <w:spacing w:line="440" w:lineRule="atLeast"/>
              <w:jc w:val="left"/>
              <w:rPr>
                <w:rFonts w:ascii="仿宋" w:hAnsi="仿宋" w:eastAsia="仿宋" w:cs="仿宋"/>
                <w:kern w:val="0"/>
                <w:sz w:val="24"/>
              </w:rPr>
            </w:pPr>
            <w:r>
              <w:rPr>
                <w:rFonts w:hint="eastAsia" w:ascii="仿宋" w:hAnsi="仿宋" w:eastAsia="仿宋" w:cs="仿宋"/>
                <w:kern w:val="0"/>
                <w:sz w:val="24"/>
              </w:rPr>
              <w:t>应收款项类投资</w:t>
            </w:r>
          </w:p>
        </w:tc>
        <w:tc>
          <w:tcPr>
            <w:tcW w:w="831" w:type="pct"/>
            <w:tcBorders>
              <w:top w:val="nil"/>
              <w:left w:val="nil"/>
              <w:bottom w:val="single" w:color="auto" w:sz="4" w:space="0"/>
              <w:right w:val="single" w:color="auto" w:sz="4" w:space="0"/>
            </w:tcBorders>
            <w:vAlign w:val="center"/>
          </w:tcPr>
          <w:p w14:paraId="2AEFA4CA">
            <w:pPr>
              <w:spacing w:line="440" w:lineRule="atLeast"/>
              <w:jc w:val="right"/>
              <w:rPr>
                <w:rFonts w:ascii="仿宋" w:hAnsi="仿宋" w:eastAsia="仿宋" w:cs="仿宋"/>
                <w:sz w:val="20"/>
                <w:szCs w:val="20"/>
              </w:rPr>
            </w:pPr>
          </w:p>
        </w:tc>
        <w:tc>
          <w:tcPr>
            <w:tcW w:w="871" w:type="pct"/>
            <w:tcBorders>
              <w:top w:val="nil"/>
              <w:left w:val="nil"/>
              <w:bottom w:val="single" w:color="auto" w:sz="4" w:space="0"/>
              <w:right w:val="single" w:color="auto" w:sz="4" w:space="0"/>
            </w:tcBorders>
            <w:vAlign w:val="center"/>
          </w:tcPr>
          <w:p w14:paraId="5DE31118">
            <w:pPr>
              <w:spacing w:line="440" w:lineRule="atLeast"/>
              <w:jc w:val="right"/>
              <w:rPr>
                <w:rFonts w:ascii="仿宋" w:hAnsi="仿宋" w:eastAsia="仿宋" w:cs="仿宋"/>
                <w:sz w:val="20"/>
                <w:szCs w:val="20"/>
              </w:rPr>
            </w:pPr>
          </w:p>
        </w:tc>
        <w:tc>
          <w:tcPr>
            <w:tcW w:w="763" w:type="pct"/>
            <w:tcBorders>
              <w:top w:val="nil"/>
              <w:left w:val="nil"/>
              <w:bottom w:val="single" w:color="auto" w:sz="4" w:space="0"/>
              <w:right w:val="single" w:color="auto" w:sz="4" w:space="0"/>
            </w:tcBorders>
            <w:vAlign w:val="center"/>
          </w:tcPr>
          <w:p w14:paraId="70FA0166">
            <w:pPr>
              <w:spacing w:line="440" w:lineRule="atLeast"/>
              <w:jc w:val="right"/>
              <w:rPr>
                <w:rFonts w:ascii="仿宋" w:hAnsi="仿宋" w:eastAsia="仿宋" w:cs="仿宋"/>
                <w:sz w:val="20"/>
                <w:szCs w:val="20"/>
              </w:rPr>
            </w:pPr>
          </w:p>
        </w:tc>
        <w:tc>
          <w:tcPr>
            <w:tcW w:w="753" w:type="pct"/>
            <w:tcBorders>
              <w:top w:val="nil"/>
              <w:left w:val="nil"/>
              <w:bottom w:val="single" w:color="auto" w:sz="4" w:space="0"/>
              <w:right w:val="single" w:color="auto" w:sz="4" w:space="0"/>
            </w:tcBorders>
            <w:vAlign w:val="center"/>
          </w:tcPr>
          <w:p w14:paraId="05CC6757">
            <w:pPr>
              <w:spacing w:line="440" w:lineRule="atLeast"/>
              <w:jc w:val="right"/>
              <w:rPr>
                <w:rFonts w:ascii="仿宋" w:hAnsi="仿宋" w:eastAsia="仿宋" w:cs="仿宋"/>
                <w:sz w:val="20"/>
                <w:szCs w:val="20"/>
              </w:rPr>
            </w:pPr>
          </w:p>
        </w:tc>
        <w:tc>
          <w:tcPr>
            <w:tcW w:w="753" w:type="pct"/>
            <w:tcBorders>
              <w:top w:val="nil"/>
              <w:left w:val="single" w:color="auto" w:sz="4" w:space="0"/>
              <w:bottom w:val="single" w:color="auto" w:sz="4" w:space="0"/>
              <w:right w:val="single" w:color="auto" w:sz="8" w:space="0"/>
            </w:tcBorders>
            <w:vAlign w:val="center"/>
          </w:tcPr>
          <w:p w14:paraId="26599CCE">
            <w:pPr>
              <w:spacing w:line="440" w:lineRule="atLeast"/>
              <w:jc w:val="right"/>
              <w:rPr>
                <w:rFonts w:ascii="仿宋" w:hAnsi="仿宋" w:eastAsia="仿宋" w:cs="仿宋"/>
                <w:sz w:val="20"/>
                <w:szCs w:val="20"/>
              </w:rPr>
            </w:pPr>
          </w:p>
        </w:tc>
      </w:tr>
      <w:tr w14:paraId="2912E2D4">
        <w:tblPrEx>
          <w:tblCellMar>
            <w:top w:w="0" w:type="dxa"/>
            <w:left w:w="108" w:type="dxa"/>
            <w:bottom w:w="0" w:type="dxa"/>
            <w:right w:w="108" w:type="dxa"/>
          </w:tblCellMar>
        </w:tblPrEx>
        <w:trPr>
          <w:trHeight w:val="300" w:hRule="atLeast"/>
        </w:trPr>
        <w:tc>
          <w:tcPr>
            <w:tcW w:w="1027" w:type="pct"/>
            <w:tcBorders>
              <w:top w:val="nil"/>
              <w:left w:val="single" w:color="auto" w:sz="8" w:space="0"/>
              <w:bottom w:val="single" w:color="auto" w:sz="4" w:space="0"/>
              <w:right w:val="single" w:color="auto" w:sz="4" w:space="0"/>
            </w:tcBorders>
            <w:vAlign w:val="center"/>
          </w:tcPr>
          <w:p w14:paraId="676E0CD3">
            <w:pPr>
              <w:spacing w:line="440" w:lineRule="atLeast"/>
              <w:jc w:val="left"/>
              <w:rPr>
                <w:rFonts w:ascii="仿宋" w:hAnsi="仿宋" w:eastAsia="仿宋" w:cs="仿宋"/>
                <w:kern w:val="0"/>
                <w:sz w:val="24"/>
              </w:rPr>
            </w:pPr>
            <w:r>
              <w:rPr>
                <w:rFonts w:hint="eastAsia" w:ascii="仿宋" w:hAnsi="仿宋" w:eastAsia="仿宋" w:cs="仿宋"/>
                <w:kern w:val="0"/>
                <w:sz w:val="24"/>
              </w:rPr>
              <w:t>固定资产</w:t>
            </w:r>
          </w:p>
        </w:tc>
        <w:tc>
          <w:tcPr>
            <w:tcW w:w="831" w:type="pct"/>
            <w:tcBorders>
              <w:top w:val="nil"/>
              <w:left w:val="nil"/>
              <w:bottom w:val="single" w:color="auto" w:sz="4" w:space="0"/>
              <w:right w:val="single" w:color="auto" w:sz="4" w:space="0"/>
            </w:tcBorders>
            <w:vAlign w:val="center"/>
          </w:tcPr>
          <w:p w14:paraId="32A9C7F9">
            <w:pPr>
              <w:spacing w:line="440" w:lineRule="atLeast"/>
              <w:jc w:val="right"/>
              <w:rPr>
                <w:rFonts w:ascii="仿宋" w:hAnsi="仿宋" w:eastAsia="仿宋" w:cs="仿宋"/>
                <w:sz w:val="20"/>
                <w:szCs w:val="20"/>
              </w:rPr>
            </w:pPr>
            <w:r>
              <w:rPr>
                <w:rFonts w:hint="eastAsia" w:ascii="仿宋" w:hAnsi="仿宋" w:eastAsia="仿宋" w:cs="仿宋"/>
                <w:sz w:val="20"/>
                <w:szCs w:val="20"/>
              </w:rPr>
              <w:t>1,261,511.98</w:t>
            </w:r>
          </w:p>
        </w:tc>
        <w:tc>
          <w:tcPr>
            <w:tcW w:w="871" w:type="pct"/>
            <w:tcBorders>
              <w:top w:val="nil"/>
              <w:left w:val="nil"/>
              <w:bottom w:val="single" w:color="auto" w:sz="4" w:space="0"/>
              <w:right w:val="single" w:color="auto" w:sz="4" w:space="0"/>
            </w:tcBorders>
            <w:vAlign w:val="center"/>
          </w:tcPr>
          <w:p w14:paraId="6C5C8B06">
            <w:pPr>
              <w:spacing w:line="440" w:lineRule="atLeast"/>
              <w:jc w:val="right"/>
              <w:rPr>
                <w:rFonts w:ascii="仿宋" w:hAnsi="仿宋" w:eastAsia="仿宋" w:cs="仿宋"/>
                <w:sz w:val="20"/>
                <w:szCs w:val="20"/>
              </w:rPr>
            </w:pPr>
            <w:r>
              <w:rPr>
                <w:rFonts w:hint="eastAsia" w:ascii="仿宋" w:hAnsi="仿宋" w:eastAsia="仿宋" w:cs="仿宋"/>
                <w:sz w:val="20"/>
                <w:szCs w:val="20"/>
              </w:rPr>
              <w:t>1,261,511.98</w:t>
            </w:r>
          </w:p>
        </w:tc>
        <w:tc>
          <w:tcPr>
            <w:tcW w:w="763" w:type="pct"/>
            <w:tcBorders>
              <w:top w:val="nil"/>
              <w:left w:val="nil"/>
              <w:bottom w:val="single" w:color="auto" w:sz="4" w:space="0"/>
              <w:right w:val="single" w:color="auto" w:sz="4" w:space="0"/>
            </w:tcBorders>
            <w:vAlign w:val="center"/>
          </w:tcPr>
          <w:p w14:paraId="735A15A2">
            <w:pPr>
              <w:spacing w:line="440" w:lineRule="atLeast"/>
              <w:jc w:val="right"/>
              <w:rPr>
                <w:rFonts w:ascii="仿宋" w:hAnsi="仿宋" w:eastAsia="仿宋" w:cs="仿宋"/>
                <w:sz w:val="20"/>
                <w:szCs w:val="20"/>
              </w:rPr>
            </w:pPr>
            <w:r>
              <w:rPr>
                <w:rFonts w:hint="eastAsia" w:ascii="仿宋" w:hAnsi="仿宋" w:eastAsia="仿宋" w:cs="仿宋"/>
                <w:sz w:val="20"/>
                <w:szCs w:val="20"/>
              </w:rPr>
              <w:t>1,261,511.98</w:t>
            </w:r>
          </w:p>
        </w:tc>
        <w:tc>
          <w:tcPr>
            <w:tcW w:w="753" w:type="pct"/>
            <w:tcBorders>
              <w:top w:val="nil"/>
              <w:left w:val="nil"/>
              <w:bottom w:val="single" w:color="auto" w:sz="4" w:space="0"/>
              <w:right w:val="single" w:color="auto" w:sz="4" w:space="0"/>
            </w:tcBorders>
            <w:vAlign w:val="center"/>
          </w:tcPr>
          <w:p w14:paraId="75BE76AE">
            <w:pPr>
              <w:spacing w:line="440" w:lineRule="atLeast"/>
              <w:jc w:val="right"/>
              <w:rPr>
                <w:rFonts w:ascii="仿宋" w:hAnsi="仿宋" w:eastAsia="仿宋" w:cs="仿宋"/>
                <w:sz w:val="20"/>
                <w:szCs w:val="20"/>
              </w:rPr>
            </w:pPr>
            <w:r>
              <w:rPr>
                <w:rFonts w:hint="eastAsia" w:ascii="仿宋" w:hAnsi="仿宋" w:eastAsia="仿宋" w:cs="仿宋"/>
                <w:sz w:val="20"/>
                <w:szCs w:val="20"/>
              </w:rPr>
              <w:t>1,261,511.98</w:t>
            </w:r>
          </w:p>
        </w:tc>
        <w:tc>
          <w:tcPr>
            <w:tcW w:w="753" w:type="pct"/>
            <w:tcBorders>
              <w:top w:val="nil"/>
              <w:left w:val="single" w:color="auto" w:sz="4" w:space="0"/>
              <w:bottom w:val="single" w:color="auto" w:sz="4" w:space="0"/>
              <w:right w:val="single" w:color="auto" w:sz="8" w:space="0"/>
            </w:tcBorders>
            <w:vAlign w:val="center"/>
          </w:tcPr>
          <w:p w14:paraId="570BE62F">
            <w:pPr>
              <w:spacing w:line="440" w:lineRule="atLeast"/>
              <w:jc w:val="right"/>
              <w:rPr>
                <w:rFonts w:ascii="仿宋" w:hAnsi="仿宋" w:eastAsia="仿宋" w:cs="仿宋"/>
                <w:sz w:val="20"/>
                <w:szCs w:val="20"/>
              </w:rPr>
            </w:pPr>
            <w:r>
              <w:rPr>
                <w:rFonts w:hint="eastAsia" w:ascii="仿宋" w:hAnsi="仿宋" w:eastAsia="仿宋" w:cs="仿宋"/>
                <w:sz w:val="20"/>
                <w:szCs w:val="20"/>
              </w:rPr>
              <w:t>1,261,511.98</w:t>
            </w:r>
          </w:p>
        </w:tc>
      </w:tr>
      <w:tr w14:paraId="3128EF30">
        <w:tblPrEx>
          <w:tblCellMar>
            <w:top w:w="0" w:type="dxa"/>
            <w:left w:w="108" w:type="dxa"/>
            <w:bottom w:w="0" w:type="dxa"/>
            <w:right w:w="108" w:type="dxa"/>
          </w:tblCellMar>
        </w:tblPrEx>
        <w:trPr>
          <w:trHeight w:val="300" w:hRule="atLeast"/>
        </w:trPr>
        <w:tc>
          <w:tcPr>
            <w:tcW w:w="1027" w:type="pct"/>
            <w:tcBorders>
              <w:top w:val="nil"/>
              <w:left w:val="single" w:color="auto" w:sz="8" w:space="0"/>
              <w:bottom w:val="single" w:color="auto" w:sz="4" w:space="0"/>
              <w:right w:val="single" w:color="auto" w:sz="4" w:space="0"/>
            </w:tcBorders>
            <w:vAlign w:val="center"/>
          </w:tcPr>
          <w:p w14:paraId="1670420B">
            <w:pPr>
              <w:spacing w:line="440" w:lineRule="atLeast"/>
              <w:jc w:val="left"/>
              <w:rPr>
                <w:rFonts w:ascii="仿宋" w:hAnsi="仿宋" w:eastAsia="仿宋" w:cs="仿宋"/>
                <w:kern w:val="0"/>
                <w:sz w:val="24"/>
              </w:rPr>
            </w:pPr>
            <w:r>
              <w:rPr>
                <w:rFonts w:hint="eastAsia" w:ascii="仿宋" w:hAnsi="仿宋" w:eastAsia="仿宋" w:cs="仿宋"/>
                <w:kern w:val="0"/>
                <w:sz w:val="24"/>
              </w:rPr>
              <w:t>无形资产</w:t>
            </w:r>
          </w:p>
        </w:tc>
        <w:tc>
          <w:tcPr>
            <w:tcW w:w="831" w:type="pct"/>
            <w:tcBorders>
              <w:top w:val="nil"/>
              <w:left w:val="nil"/>
              <w:bottom w:val="single" w:color="auto" w:sz="4" w:space="0"/>
              <w:right w:val="single" w:color="auto" w:sz="4" w:space="0"/>
            </w:tcBorders>
            <w:vAlign w:val="center"/>
          </w:tcPr>
          <w:p w14:paraId="75D46C0E">
            <w:pPr>
              <w:spacing w:line="440" w:lineRule="atLeast"/>
              <w:jc w:val="right"/>
              <w:rPr>
                <w:rFonts w:ascii="仿宋" w:hAnsi="仿宋" w:eastAsia="仿宋" w:cs="仿宋"/>
                <w:sz w:val="20"/>
                <w:szCs w:val="20"/>
              </w:rPr>
            </w:pPr>
            <w:r>
              <w:rPr>
                <w:rFonts w:hint="eastAsia" w:ascii="仿宋" w:hAnsi="仿宋" w:eastAsia="仿宋" w:cs="仿宋"/>
                <w:sz w:val="20"/>
                <w:szCs w:val="20"/>
              </w:rPr>
              <w:t>76,006.95</w:t>
            </w:r>
          </w:p>
        </w:tc>
        <w:tc>
          <w:tcPr>
            <w:tcW w:w="871" w:type="pct"/>
            <w:tcBorders>
              <w:top w:val="nil"/>
              <w:left w:val="nil"/>
              <w:bottom w:val="single" w:color="auto" w:sz="4" w:space="0"/>
              <w:right w:val="single" w:color="auto" w:sz="4" w:space="0"/>
            </w:tcBorders>
            <w:vAlign w:val="center"/>
          </w:tcPr>
          <w:p w14:paraId="106226CD">
            <w:pPr>
              <w:spacing w:line="440" w:lineRule="atLeast"/>
              <w:jc w:val="right"/>
              <w:rPr>
                <w:rFonts w:ascii="仿宋" w:hAnsi="仿宋" w:eastAsia="仿宋" w:cs="仿宋"/>
                <w:sz w:val="20"/>
                <w:szCs w:val="20"/>
              </w:rPr>
            </w:pPr>
            <w:r>
              <w:rPr>
                <w:rFonts w:hint="eastAsia" w:ascii="仿宋" w:hAnsi="仿宋" w:eastAsia="仿宋" w:cs="仿宋"/>
                <w:sz w:val="20"/>
                <w:szCs w:val="20"/>
              </w:rPr>
              <w:t>76,006.95</w:t>
            </w:r>
          </w:p>
        </w:tc>
        <w:tc>
          <w:tcPr>
            <w:tcW w:w="763" w:type="pct"/>
            <w:tcBorders>
              <w:top w:val="nil"/>
              <w:left w:val="nil"/>
              <w:bottom w:val="single" w:color="auto" w:sz="4" w:space="0"/>
              <w:right w:val="single" w:color="auto" w:sz="4" w:space="0"/>
            </w:tcBorders>
            <w:vAlign w:val="center"/>
          </w:tcPr>
          <w:p w14:paraId="225AB054">
            <w:pPr>
              <w:spacing w:line="440" w:lineRule="atLeast"/>
              <w:jc w:val="right"/>
              <w:rPr>
                <w:rFonts w:ascii="仿宋" w:hAnsi="仿宋" w:eastAsia="仿宋" w:cs="仿宋"/>
                <w:sz w:val="20"/>
                <w:szCs w:val="20"/>
              </w:rPr>
            </w:pPr>
            <w:r>
              <w:rPr>
                <w:rFonts w:hint="eastAsia" w:ascii="仿宋" w:hAnsi="仿宋" w:eastAsia="仿宋" w:cs="仿宋"/>
                <w:sz w:val="20"/>
                <w:szCs w:val="20"/>
              </w:rPr>
              <w:t>76,006.95</w:t>
            </w:r>
          </w:p>
        </w:tc>
        <w:tc>
          <w:tcPr>
            <w:tcW w:w="753" w:type="pct"/>
            <w:tcBorders>
              <w:top w:val="nil"/>
              <w:left w:val="nil"/>
              <w:bottom w:val="single" w:color="auto" w:sz="4" w:space="0"/>
              <w:right w:val="single" w:color="auto" w:sz="4" w:space="0"/>
            </w:tcBorders>
            <w:vAlign w:val="center"/>
          </w:tcPr>
          <w:p w14:paraId="29237D48">
            <w:pPr>
              <w:spacing w:line="440" w:lineRule="atLeast"/>
              <w:jc w:val="right"/>
              <w:rPr>
                <w:rFonts w:ascii="仿宋" w:hAnsi="仿宋" w:eastAsia="仿宋" w:cs="仿宋"/>
                <w:sz w:val="20"/>
                <w:szCs w:val="20"/>
              </w:rPr>
            </w:pPr>
            <w:r>
              <w:rPr>
                <w:rFonts w:hint="eastAsia" w:ascii="仿宋" w:hAnsi="仿宋" w:eastAsia="仿宋" w:cs="仿宋"/>
                <w:sz w:val="20"/>
                <w:szCs w:val="20"/>
              </w:rPr>
              <w:t>76,006.95</w:t>
            </w:r>
          </w:p>
        </w:tc>
        <w:tc>
          <w:tcPr>
            <w:tcW w:w="753" w:type="pct"/>
            <w:tcBorders>
              <w:top w:val="nil"/>
              <w:left w:val="single" w:color="auto" w:sz="4" w:space="0"/>
              <w:bottom w:val="single" w:color="auto" w:sz="4" w:space="0"/>
              <w:right w:val="single" w:color="auto" w:sz="8" w:space="0"/>
            </w:tcBorders>
            <w:vAlign w:val="center"/>
          </w:tcPr>
          <w:p w14:paraId="5CFDD75A">
            <w:pPr>
              <w:spacing w:line="440" w:lineRule="atLeast"/>
              <w:jc w:val="right"/>
              <w:rPr>
                <w:rFonts w:ascii="仿宋" w:hAnsi="仿宋" w:eastAsia="仿宋" w:cs="仿宋"/>
                <w:sz w:val="20"/>
                <w:szCs w:val="20"/>
              </w:rPr>
            </w:pPr>
            <w:r>
              <w:rPr>
                <w:rFonts w:hint="eastAsia" w:ascii="仿宋" w:hAnsi="仿宋" w:eastAsia="仿宋" w:cs="仿宋"/>
                <w:sz w:val="20"/>
                <w:szCs w:val="20"/>
              </w:rPr>
              <w:t>76,006.95</w:t>
            </w:r>
          </w:p>
        </w:tc>
      </w:tr>
      <w:tr w14:paraId="4FB5BA16">
        <w:tblPrEx>
          <w:tblCellMar>
            <w:top w:w="0" w:type="dxa"/>
            <w:left w:w="108" w:type="dxa"/>
            <w:bottom w:w="0" w:type="dxa"/>
            <w:right w:w="108" w:type="dxa"/>
          </w:tblCellMar>
        </w:tblPrEx>
        <w:trPr>
          <w:trHeight w:val="300" w:hRule="atLeast"/>
        </w:trPr>
        <w:tc>
          <w:tcPr>
            <w:tcW w:w="1027" w:type="pct"/>
            <w:tcBorders>
              <w:top w:val="nil"/>
              <w:left w:val="single" w:color="auto" w:sz="8" w:space="0"/>
              <w:bottom w:val="single" w:color="auto" w:sz="4" w:space="0"/>
              <w:right w:val="single" w:color="auto" w:sz="4" w:space="0"/>
            </w:tcBorders>
            <w:vAlign w:val="center"/>
          </w:tcPr>
          <w:p w14:paraId="57391080">
            <w:pPr>
              <w:spacing w:line="440" w:lineRule="atLeast"/>
              <w:jc w:val="left"/>
              <w:rPr>
                <w:rFonts w:ascii="仿宋" w:hAnsi="仿宋" w:eastAsia="仿宋" w:cs="仿宋"/>
                <w:kern w:val="0"/>
                <w:sz w:val="24"/>
              </w:rPr>
            </w:pPr>
            <w:r>
              <w:rPr>
                <w:rFonts w:hint="eastAsia" w:ascii="仿宋" w:hAnsi="仿宋" w:eastAsia="仿宋" w:cs="仿宋"/>
                <w:kern w:val="0"/>
                <w:sz w:val="24"/>
              </w:rPr>
              <w:t>商誉</w:t>
            </w:r>
          </w:p>
        </w:tc>
        <w:tc>
          <w:tcPr>
            <w:tcW w:w="831" w:type="pct"/>
            <w:tcBorders>
              <w:top w:val="nil"/>
              <w:left w:val="nil"/>
              <w:bottom w:val="single" w:color="auto" w:sz="4" w:space="0"/>
              <w:right w:val="single" w:color="auto" w:sz="4" w:space="0"/>
            </w:tcBorders>
            <w:vAlign w:val="center"/>
          </w:tcPr>
          <w:p w14:paraId="3BE36A1F">
            <w:pPr>
              <w:spacing w:line="440" w:lineRule="atLeast"/>
              <w:jc w:val="right"/>
              <w:rPr>
                <w:rFonts w:ascii="仿宋" w:hAnsi="仿宋" w:eastAsia="仿宋" w:cs="仿宋"/>
                <w:sz w:val="20"/>
                <w:szCs w:val="20"/>
              </w:rPr>
            </w:pPr>
            <w:r>
              <w:rPr>
                <w:rFonts w:hint="eastAsia" w:ascii="仿宋" w:hAnsi="仿宋" w:eastAsia="仿宋" w:cs="仿宋"/>
                <w:sz w:val="20"/>
                <w:szCs w:val="20"/>
              </w:rPr>
              <w:t>128,100.00</w:t>
            </w:r>
          </w:p>
        </w:tc>
        <w:tc>
          <w:tcPr>
            <w:tcW w:w="871" w:type="pct"/>
            <w:tcBorders>
              <w:top w:val="nil"/>
              <w:left w:val="nil"/>
              <w:bottom w:val="single" w:color="auto" w:sz="4" w:space="0"/>
              <w:right w:val="single" w:color="auto" w:sz="4" w:space="0"/>
            </w:tcBorders>
            <w:vAlign w:val="center"/>
          </w:tcPr>
          <w:p w14:paraId="2C3C689D">
            <w:pPr>
              <w:spacing w:line="440" w:lineRule="atLeast"/>
              <w:jc w:val="right"/>
              <w:rPr>
                <w:rFonts w:ascii="仿宋" w:hAnsi="仿宋" w:eastAsia="仿宋" w:cs="仿宋"/>
                <w:sz w:val="20"/>
                <w:szCs w:val="20"/>
              </w:rPr>
            </w:pPr>
            <w:r>
              <w:rPr>
                <w:rFonts w:hint="eastAsia" w:ascii="仿宋" w:hAnsi="仿宋" w:eastAsia="仿宋" w:cs="仿宋"/>
                <w:sz w:val="20"/>
                <w:szCs w:val="20"/>
              </w:rPr>
              <w:t>128,100.00</w:t>
            </w:r>
          </w:p>
        </w:tc>
        <w:tc>
          <w:tcPr>
            <w:tcW w:w="763" w:type="pct"/>
            <w:tcBorders>
              <w:top w:val="nil"/>
              <w:left w:val="nil"/>
              <w:bottom w:val="single" w:color="auto" w:sz="4" w:space="0"/>
              <w:right w:val="single" w:color="auto" w:sz="4" w:space="0"/>
            </w:tcBorders>
            <w:vAlign w:val="center"/>
          </w:tcPr>
          <w:p w14:paraId="0F413959">
            <w:pPr>
              <w:spacing w:line="440" w:lineRule="atLeast"/>
              <w:jc w:val="right"/>
              <w:rPr>
                <w:rFonts w:ascii="仿宋" w:hAnsi="仿宋" w:eastAsia="仿宋" w:cs="仿宋"/>
                <w:sz w:val="20"/>
                <w:szCs w:val="20"/>
              </w:rPr>
            </w:pPr>
            <w:r>
              <w:rPr>
                <w:rFonts w:hint="eastAsia" w:ascii="仿宋" w:hAnsi="仿宋" w:eastAsia="仿宋" w:cs="仿宋"/>
                <w:sz w:val="20"/>
                <w:szCs w:val="20"/>
              </w:rPr>
              <w:t>128,100.00</w:t>
            </w:r>
          </w:p>
        </w:tc>
        <w:tc>
          <w:tcPr>
            <w:tcW w:w="753" w:type="pct"/>
            <w:tcBorders>
              <w:top w:val="nil"/>
              <w:left w:val="nil"/>
              <w:bottom w:val="single" w:color="auto" w:sz="4" w:space="0"/>
              <w:right w:val="single" w:color="auto" w:sz="4" w:space="0"/>
            </w:tcBorders>
            <w:vAlign w:val="center"/>
          </w:tcPr>
          <w:p w14:paraId="41982D68">
            <w:pPr>
              <w:spacing w:line="440" w:lineRule="atLeast"/>
              <w:jc w:val="right"/>
              <w:rPr>
                <w:rFonts w:ascii="仿宋" w:hAnsi="仿宋" w:eastAsia="仿宋" w:cs="仿宋"/>
                <w:sz w:val="20"/>
                <w:szCs w:val="20"/>
              </w:rPr>
            </w:pPr>
            <w:r>
              <w:rPr>
                <w:rFonts w:hint="eastAsia" w:ascii="仿宋" w:hAnsi="仿宋" w:eastAsia="仿宋" w:cs="仿宋"/>
                <w:sz w:val="20"/>
                <w:szCs w:val="20"/>
              </w:rPr>
              <w:t>128,100.00</w:t>
            </w:r>
          </w:p>
        </w:tc>
        <w:tc>
          <w:tcPr>
            <w:tcW w:w="753" w:type="pct"/>
            <w:tcBorders>
              <w:top w:val="nil"/>
              <w:left w:val="single" w:color="auto" w:sz="4" w:space="0"/>
              <w:bottom w:val="single" w:color="auto" w:sz="4" w:space="0"/>
              <w:right w:val="single" w:color="auto" w:sz="8" w:space="0"/>
            </w:tcBorders>
            <w:vAlign w:val="center"/>
          </w:tcPr>
          <w:p w14:paraId="76486525">
            <w:pPr>
              <w:spacing w:line="440" w:lineRule="atLeast"/>
              <w:jc w:val="right"/>
              <w:rPr>
                <w:rFonts w:ascii="仿宋" w:hAnsi="仿宋" w:eastAsia="仿宋" w:cs="仿宋"/>
                <w:sz w:val="20"/>
                <w:szCs w:val="20"/>
              </w:rPr>
            </w:pPr>
            <w:r>
              <w:rPr>
                <w:rFonts w:hint="eastAsia" w:ascii="仿宋" w:hAnsi="仿宋" w:eastAsia="仿宋" w:cs="仿宋"/>
                <w:sz w:val="20"/>
                <w:szCs w:val="20"/>
              </w:rPr>
              <w:t>128,100.00</w:t>
            </w:r>
          </w:p>
        </w:tc>
      </w:tr>
      <w:tr w14:paraId="356A865D">
        <w:tblPrEx>
          <w:tblCellMar>
            <w:top w:w="0" w:type="dxa"/>
            <w:left w:w="108" w:type="dxa"/>
            <w:bottom w:w="0" w:type="dxa"/>
            <w:right w:w="108" w:type="dxa"/>
          </w:tblCellMar>
        </w:tblPrEx>
        <w:trPr>
          <w:trHeight w:val="300" w:hRule="atLeast"/>
        </w:trPr>
        <w:tc>
          <w:tcPr>
            <w:tcW w:w="1027" w:type="pct"/>
            <w:tcBorders>
              <w:top w:val="nil"/>
              <w:left w:val="single" w:color="auto" w:sz="8" w:space="0"/>
              <w:bottom w:val="single" w:color="auto" w:sz="4" w:space="0"/>
              <w:right w:val="single" w:color="auto" w:sz="4" w:space="0"/>
            </w:tcBorders>
            <w:vAlign w:val="center"/>
          </w:tcPr>
          <w:p w14:paraId="4194A125">
            <w:pPr>
              <w:spacing w:line="440" w:lineRule="atLeast"/>
              <w:jc w:val="left"/>
              <w:rPr>
                <w:rFonts w:ascii="仿宋" w:hAnsi="仿宋" w:eastAsia="仿宋" w:cs="仿宋"/>
                <w:kern w:val="0"/>
                <w:sz w:val="24"/>
              </w:rPr>
            </w:pPr>
            <w:r>
              <w:rPr>
                <w:rFonts w:hint="eastAsia" w:ascii="仿宋" w:hAnsi="仿宋" w:eastAsia="仿宋" w:cs="仿宋"/>
                <w:kern w:val="0"/>
                <w:sz w:val="24"/>
              </w:rPr>
              <w:t>递延所得税资产</w:t>
            </w:r>
          </w:p>
        </w:tc>
        <w:tc>
          <w:tcPr>
            <w:tcW w:w="831" w:type="pct"/>
            <w:tcBorders>
              <w:top w:val="nil"/>
              <w:left w:val="nil"/>
              <w:bottom w:val="single" w:color="auto" w:sz="4" w:space="0"/>
              <w:right w:val="single" w:color="auto" w:sz="4" w:space="0"/>
            </w:tcBorders>
            <w:vAlign w:val="center"/>
          </w:tcPr>
          <w:p w14:paraId="6EBE3E8E">
            <w:pPr>
              <w:spacing w:line="440" w:lineRule="atLeast"/>
              <w:jc w:val="right"/>
              <w:rPr>
                <w:rFonts w:ascii="仿宋" w:hAnsi="仿宋" w:eastAsia="仿宋" w:cs="仿宋"/>
                <w:sz w:val="20"/>
                <w:szCs w:val="20"/>
              </w:rPr>
            </w:pPr>
            <w:r>
              <w:rPr>
                <w:rFonts w:hint="eastAsia" w:ascii="仿宋" w:hAnsi="仿宋" w:eastAsia="仿宋" w:cs="仿宋"/>
                <w:sz w:val="20"/>
                <w:szCs w:val="20"/>
              </w:rPr>
              <w:t>395,466.34</w:t>
            </w:r>
          </w:p>
        </w:tc>
        <w:tc>
          <w:tcPr>
            <w:tcW w:w="871" w:type="pct"/>
            <w:tcBorders>
              <w:top w:val="nil"/>
              <w:left w:val="nil"/>
              <w:bottom w:val="single" w:color="auto" w:sz="4" w:space="0"/>
              <w:right w:val="single" w:color="auto" w:sz="4" w:space="0"/>
            </w:tcBorders>
            <w:vAlign w:val="center"/>
          </w:tcPr>
          <w:p w14:paraId="15989035">
            <w:pPr>
              <w:spacing w:line="440" w:lineRule="atLeast"/>
              <w:jc w:val="right"/>
              <w:rPr>
                <w:rFonts w:ascii="仿宋" w:hAnsi="仿宋" w:eastAsia="仿宋" w:cs="仿宋"/>
                <w:sz w:val="20"/>
                <w:szCs w:val="20"/>
              </w:rPr>
            </w:pPr>
            <w:r>
              <w:rPr>
                <w:rFonts w:hint="eastAsia" w:ascii="仿宋" w:hAnsi="仿宋" w:eastAsia="仿宋" w:cs="仿宋"/>
                <w:sz w:val="20"/>
                <w:szCs w:val="20"/>
              </w:rPr>
              <w:t>395,466.34</w:t>
            </w:r>
          </w:p>
        </w:tc>
        <w:tc>
          <w:tcPr>
            <w:tcW w:w="763" w:type="pct"/>
            <w:tcBorders>
              <w:top w:val="nil"/>
              <w:left w:val="nil"/>
              <w:bottom w:val="single" w:color="auto" w:sz="4" w:space="0"/>
              <w:right w:val="single" w:color="auto" w:sz="4" w:space="0"/>
            </w:tcBorders>
            <w:vAlign w:val="center"/>
          </w:tcPr>
          <w:p w14:paraId="6DB93C8E">
            <w:pPr>
              <w:spacing w:line="440" w:lineRule="atLeast"/>
              <w:jc w:val="right"/>
              <w:rPr>
                <w:rFonts w:ascii="仿宋" w:hAnsi="仿宋" w:eastAsia="仿宋" w:cs="仿宋"/>
                <w:sz w:val="20"/>
                <w:szCs w:val="20"/>
              </w:rPr>
            </w:pPr>
            <w:r>
              <w:rPr>
                <w:rFonts w:hint="eastAsia" w:ascii="仿宋" w:hAnsi="仿宋" w:eastAsia="仿宋" w:cs="仿宋"/>
                <w:sz w:val="20"/>
                <w:szCs w:val="20"/>
              </w:rPr>
              <w:t>395,466.34</w:t>
            </w:r>
          </w:p>
        </w:tc>
        <w:tc>
          <w:tcPr>
            <w:tcW w:w="753" w:type="pct"/>
            <w:tcBorders>
              <w:top w:val="nil"/>
              <w:left w:val="nil"/>
              <w:bottom w:val="single" w:color="auto" w:sz="4" w:space="0"/>
              <w:right w:val="single" w:color="auto" w:sz="4" w:space="0"/>
            </w:tcBorders>
            <w:vAlign w:val="center"/>
          </w:tcPr>
          <w:p w14:paraId="4B08B282">
            <w:pPr>
              <w:spacing w:line="440" w:lineRule="atLeast"/>
              <w:jc w:val="right"/>
              <w:rPr>
                <w:rFonts w:ascii="仿宋" w:hAnsi="仿宋" w:eastAsia="仿宋" w:cs="仿宋"/>
                <w:sz w:val="20"/>
                <w:szCs w:val="20"/>
              </w:rPr>
            </w:pPr>
            <w:r>
              <w:rPr>
                <w:rFonts w:hint="eastAsia" w:ascii="仿宋" w:hAnsi="仿宋" w:eastAsia="仿宋" w:cs="仿宋"/>
                <w:sz w:val="20"/>
                <w:szCs w:val="20"/>
              </w:rPr>
              <w:t>395,466.34</w:t>
            </w:r>
          </w:p>
        </w:tc>
        <w:tc>
          <w:tcPr>
            <w:tcW w:w="753" w:type="pct"/>
            <w:tcBorders>
              <w:top w:val="nil"/>
              <w:left w:val="single" w:color="auto" w:sz="4" w:space="0"/>
              <w:bottom w:val="single" w:color="auto" w:sz="4" w:space="0"/>
              <w:right w:val="single" w:color="auto" w:sz="8" w:space="0"/>
            </w:tcBorders>
            <w:vAlign w:val="center"/>
          </w:tcPr>
          <w:p w14:paraId="6C2EBAF9">
            <w:pPr>
              <w:spacing w:line="440" w:lineRule="atLeast"/>
              <w:jc w:val="right"/>
              <w:rPr>
                <w:rFonts w:ascii="仿宋" w:hAnsi="仿宋" w:eastAsia="仿宋" w:cs="仿宋"/>
                <w:sz w:val="20"/>
                <w:szCs w:val="20"/>
              </w:rPr>
            </w:pPr>
            <w:r>
              <w:rPr>
                <w:rFonts w:hint="eastAsia" w:ascii="仿宋" w:hAnsi="仿宋" w:eastAsia="仿宋" w:cs="仿宋"/>
                <w:sz w:val="20"/>
                <w:szCs w:val="20"/>
              </w:rPr>
              <w:t>395,466.34</w:t>
            </w:r>
          </w:p>
        </w:tc>
      </w:tr>
      <w:tr w14:paraId="111919A8">
        <w:tblPrEx>
          <w:tblCellMar>
            <w:top w:w="0" w:type="dxa"/>
            <w:left w:w="108" w:type="dxa"/>
            <w:bottom w:w="0" w:type="dxa"/>
            <w:right w:w="108" w:type="dxa"/>
          </w:tblCellMar>
        </w:tblPrEx>
        <w:trPr>
          <w:trHeight w:val="300" w:hRule="atLeast"/>
        </w:trPr>
        <w:tc>
          <w:tcPr>
            <w:tcW w:w="1027" w:type="pct"/>
            <w:tcBorders>
              <w:top w:val="nil"/>
              <w:left w:val="single" w:color="auto" w:sz="8" w:space="0"/>
              <w:bottom w:val="single" w:color="auto" w:sz="4" w:space="0"/>
              <w:right w:val="single" w:color="auto" w:sz="4" w:space="0"/>
            </w:tcBorders>
            <w:vAlign w:val="center"/>
          </w:tcPr>
          <w:p w14:paraId="0F57EB23">
            <w:pPr>
              <w:spacing w:line="440" w:lineRule="atLeast"/>
              <w:jc w:val="left"/>
              <w:rPr>
                <w:rFonts w:ascii="仿宋" w:hAnsi="仿宋" w:eastAsia="仿宋" w:cs="仿宋"/>
                <w:kern w:val="0"/>
                <w:sz w:val="24"/>
              </w:rPr>
            </w:pPr>
            <w:r>
              <w:rPr>
                <w:rFonts w:hint="eastAsia" w:ascii="仿宋" w:hAnsi="仿宋" w:eastAsia="仿宋" w:cs="仿宋"/>
                <w:kern w:val="0"/>
                <w:sz w:val="24"/>
              </w:rPr>
              <w:t>投资性房地产</w:t>
            </w:r>
          </w:p>
        </w:tc>
        <w:tc>
          <w:tcPr>
            <w:tcW w:w="831" w:type="pct"/>
            <w:tcBorders>
              <w:top w:val="nil"/>
              <w:left w:val="nil"/>
              <w:bottom w:val="single" w:color="auto" w:sz="4" w:space="0"/>
              <w:right w:val="single" w:color="auto" w:sz="4" w:space="0"/>
            </w:tcBorders>
            <w:vAlign w:val="center"/>
          </w:tcPr>
          <w:p w14:paraId="6C182EAF">
            <w:pPr>
              <w:spacing w:line="440" w:lineRule="atLeast"/>
              <w:jc w:val="right"/>
              <w:rPr>
                <w:rFonts w:ascii="仿宋" w:hAnsi="仿宋" w:eastAsia="仿宋" w:cs="仿宋"/>
                <w:sz w:val="20"/>
                <w:szCs w:val="20"/>
              </w:rPr>
            </w:pPr>
          </w:p>
        </w:tc>
        <w:tc>
          <w:tcPr>
            <w:tcW w:w="871" w:type="pct"/>
            <w:tcBorders>
              <w:top w:val="nil"/>
              <w:left w:val="nil"/>
              <w:bottom w:val="single" w:color="auto" w:sz="4" w:space="0"/>
              <w:right w:val="single" w:color="auto" w:sz="4" w:space="0"/>
            </w:tcBorders>
            <w:vAlign w:val="center"/>
          </w:tcPr>
          <w:p w14:paraId="0D1ED07E">
            <w:pPr>
              <w:spacing w:line="440" w:lineRule="atLeast"/>
              <w:jc w:val="right"/>
              <w:rPr>
                <w:rFonts w:ascii="仿宋" w:hAnsi="仿宋" w:eastAsia="仿宋" w:cs="仿宋"/>
                <w:sz w:val="20"/>
                <w:szCs w:val="20"/>
              </w:rPr>
            </w:pPr>
          </w:p>
        </w:tc>
        <w:tc>
          <w:tcPr>
            <w:tcW w:w="763" w:type="pct"/>
            <w:tcBorders>
              <w:top w:val="nil"/>
              <w:left w:val="nil"/>
              <w:bottom w:val="single" w:color="auto" w:sz="4" w:space="0"/>
              <w:right w:val="single" w:color="auto" w:sz="4" w:space="0"/>
            </w:tcBorders>
            <w:vAlign w:val="center"/>
          </w:tcPr>
          <w:p w14:paraId="3CEB24C9">
            <w:pPr>
              <w:spacing w:line="440" w:lineRule="atLeast"/>
              <w:jc w:val="right"/>
              <w:rPr>
                <w:rFonts w:ascii="仿宋" w:hAnsi="仿宋" w:eastAsia="仿宋" w:cs="仿宋"/>
                <w:sz w:val="20"/>
                <w:szCs w:val="20"/>
              </w:rPr>
            </w:pPr>
          </w:p>
        </w:tc>
        <w:tc>
          <w:tcPr>
            <w:tcW w:w="753" w:type="pct"/>
            <w:tcBorders>
              <w:top w:val="nil"/>
              <w:left w:val="nil"/>
              <w:bottom w:val="single" w:color="auto" w:sz="4" w:space="0"/>
              <w:right w:val="single" w:color="auto" w:sz="4" w:space="0"/>
            </w:tcBorders>
            <w:vAlign w:val="center"/>
          </w:tcPr>
          <w:p w14:paraId="322ECDBA">
            <w:pPr>
              <w:spacing w:line="440" w:lineRule="atLeast"/>
              <w:jc w:val="right"/>
              <w:rPr>
                <w:rFonts w:ascii="仿宋" w:hAnsi="仿宋" w:eastAsia="仿宋" w:cs="仿宋"/>
                <w:sz w:val="20"/>
                <w:szCs w:val="20"/>
              </w:rPr>
            </w:pPr>
          </w:p>
        </w:tc>
        <w:tc>
          <w:tcPr>
            <w:tcW w:w="753" w:type="pct"/>
            <w:tcBorders>
              <w:top w:val="nil"/>
              <w:left w:val="single" w:color="auto" w:sz="4" w:space="0"/>
              <w:bottom w:val="single" w:color="auto" w:sz="4" w:space="0"/>
              <w:right w:val="single" w:color="auto" w:sz="8" w:space="0"/>
            </w:tcBorders>
            <w:vAlign w:val="center"/>
          </w:tcPr>
          <w:p w14:paraId="6D9A42B0">
            <w:pPr>
              <w:spacing w:line="440" w:lineRule="atLeast"/>
              <w:jc w:val="right"/>
              <w:rPr>
                <w:rFonts w:ascii="仿宋" w:hAnsi="仿宋" w:eastAsia="仿宋" w:cs="仿宋"/>
                <w:sz w:val="20"/>
                <w:szCs w:val="20"/>
              </w:rPr>
            </w:pPr>
          </w:p>
        </w:tc>
      </w:tr>
      <w:tr w14:paraId="1AB8ACAA">
        <w:tblPrEx>
          <w:tblCellMar>
            <w:top w:w="0" w:type="dxa"/>
            <w:left w:w="108" w:type="dxa"/>
            <w:bottom w:w="0" w:type="dxa"/>
            <w:right w:w="108" w:type="dxa"/>
          </w:tblCellMar>
        </w:tblPrEx>
        <w:trPr>
          <w:trHeight w:val="300" w:hRule="atLeast"/>
        </w:trPr>
        <w:tc>
          <w:tcPr>
            <w:tcW w:w="1027" w:type="pct"/>
            <w:tcBorders>
              <w:top w:val="nil"/>
              <w:left w:val="single" w:color="auto" w:sz="8" w:space="0"/>
              <w:bottom w:val="single" w:color="auto" w:sz="4" w:space="0"/>
              <w:right w:val="single" w:color="auto" w:sz="4" w:space="0"/>
            </w:tcBorders>
            <w:vAlign w:val="center"/>
          </w:tcPr>
          <w:p w14:paraId="74D64D8C">
            <w:pPr>
              <w:spacing w:line="440" w:lineRule="atLeast"/>
              <w:jc w:val="left"/>
              <w:rPr>
                <w:rFonts w:ascii="仿宋" w:hAnsi="仿宋" w:eastAsia="仿宋" w:cs="仿宋"/>
                <w:kern w:val="0"/>
                <w:sz w:val="24"/>
              </w:rPr>
            </w:pPr>
            <w:r>
              <w:rPr>
                <w:rFonts w:hint="eastAsia" w:ascii="仿宋" w:hAnsi="仿宋" w:eastAsia="仿宋" w:cs="仿宋"/>
                <w:kern w:val="0"/>
                <w:sz w:val="24"/>
              </w:rPr>
              <w:t>其他资产</w:t>
            </w:r>
          </w:p>
        </w:tc>
        <w:tc>
          <w:tcPr>
            <w:tcW w:w="831" w:type="pct"/>
            <w:tcBorders>
              <w:top w:val="nil"/>
              <w:left w:val="nil"/>
              <w:bottom w:val="single" w:color="auto" w:sz="4" w:space="0"/>
              <w:right w:val="single" w:color="auto" w:sz="4" w:space="0"/>
            </w:tcBorders>
            <w:vAlign w:val="center"/>
          </w:tcPr>
          <w:p w14:paraId="4215DA52">
            <w:pPr>
              <w:spacing w:line="440" w:lineRule="atLeast"/>
              <w:jc w:val="right"/>
              <w:rPr>
                <w:rFonts w:ascii="仿宋" w:hAnsi="仿宋" w:eastAsia="仿宋" w:cs="仿宋"/>
                <w:sz w:val="20"/>
                <w:szCs w:val="20"/>
              </w:rPr>
            </w:pPr>
            <w:r>
              <w:rPr>
                <w:rFonts w:hint="eastAsia" w:ascii="仿宋" w:hAnsi="仿宋" w:eastAsia="仿宋" w:cs="仿宋"/>
                <w:sz w:val="20"/>
                <w:szCs w:val="20"/>
              </w:rPr>
              <w:t>5,668,302.99</w:t>
            </w:r>
          </w:p>
        </w:tc>
        <w:tc>
          <w:tcPr>
            <w:tcW w:w="871" w:type="pct"/>
            <w:tcBorders>
              <w:top w:val="nil"/>
              <w:left w:val="nil"/>
              <w:bottom w:val="single" w:color="auto" w:sz="4" w:space="0"/>
              <w:right w:val="single" w:color="auto" w:sz="4" w:space="0"/>
            </w:tcBorders>
            <w:vAlign w:val="center"/>
          </w:tcPr>
          <w:p w14:paraId="0837F6E1">
            <w:pPr>
              <w:spacing w:line="440" w:lineRule="atLeast"/>
              <w:jc w:val="right"/>
              <w:rPr>
                <w:rFonts w:ascii="仿宋" w:hAnsi="仿宋" w:eastAsia="仿宋" w:cs="仿宋"/>
                <w:sz w:val="20"/>
                <w:szCs w:val="20"/>
              </w:rPr>
            </w:pPr>
            <w:r>
              <w:rPr>
                <w:rFonts w:hint="eastAsia" w:ascii="仿宋" w:hAnsi="仿宋" w:eastAsia="仿宋" w:cs="仿宋"/>
                <w:sz w:val="20"/>
                <w:szCs w:val="20"/>
              </w:rPr>
              <w:t>5,668,302.99</w:t>
            </w:r>
          </w:p>
        </w:tc>
        <w:tc>
          <w:tcPr>
            <w:tcW w:w="763" w:type="pct"/>
            <w:tcBorders>
              <w:top w:val="nil"/>
              <w:left w:val="nil"/>
              <w:bottom w:val="single" w:color="auto" w:sz="4" w:space="0"/>
              <w:right w:val="single" w:color="auto" w:sz="4" w:space="0"/>
            </w:tcBorders>
            <w:vAlign w:val="center"/>
          </w:tcPr>
          <w:p w14:paraId="31FE2976">
            <w:pPr>
              <w:spacing w:line="440" w:lineRule="atLeast"/>
              <w:jc w:val="right"/>
              <w:rPr>
                <w:rFonts w:ascii="仿宋" w:hAnsi="仿宋" w:eastAsia="仿宋" w:cs="仿宋"/>
                <w:sz w:val="20"/>
                <w:szCs w:val="20"/>
              </w:rPr>
            </w:pPr>
            <w:r>
              <w:rPr>
                <w:rFonts w:hint="eastAsia" w:ascii="仿宋" w:hAnsi="仿宋" w:eastAsia="仿宋" w:cs="仿宋"/>
                <w:sz w:val="20"/>
                <w:szCs w:val="20"/>
              </w:rPr>
              <w:t>5,668,302.99</w:t>
            </w:r>
          </w:p>
        </w:tc>
        <w:tc>
          <w:tcPr>
            <w:tcW w:w="753" w:type="pct"/>
            <w:tcBorders>
              <w:top w:val="nil"/>
              <w:left w:val="nil"/>
              <w:bottom w:val="single" w:color="auto" w:sz="4" w:space="0"/>
              <w:right w:val="single" w:color="auto" w:sz="4" w:space="0"/>
            </w:tcBorders>
            <w:vAlign w:val="center"/>
          </w:tcPr>
          <w:p w14:paraId="0C374F52">
            <w:pPr>
              <w:spacing w:line="440" w:lineRule="atLeast"/>
              <w:jc w:val="right"/>
              <w:rPr>
                <w:rFonts w:ascii="仿宋" w:hAnsi="仿宋" w:eastAsia="仿宋" w:cs="仿宋"/>
                <w:sz w:val="20"/>
                <w:szCs w:val="20"/>
              </w:rPr>
            </w:pPr>
            <w:r>
              <w:rPr>
                <w:rFonts w:hint="eastAsia" w:ascii="仿宋" w:hAnsi="仿宋" w:eastAsia="仿宋" w:cs="仿宋"/>
                <w:sz w:val="20"/>
                <w:szCs w:val="20"/>
              </w:rPr>
              <w:t>5,668,302.99</w:t>
            </w:r>
          </w:p>
        </w:tc>
        <w:tc>
          <w:tcPr>
            <w:tcW w:w="753" w:type="pct"/>
            <w:tcBorders>
              <w:top w:val="nil"/>
              <w:left w:val="single" w:color="auto" w:sz="4" w:space="0"/>
              <w:bottom w:val="single" w:color="auto" w:sz="4" w:space="0"/>
              <w:right w:val="single" w:color="auto" w:sz="8" w:space="0"/>
            </w:tcBorders>
            <w:vAlign w:val="center"/>
          </w:tcPr>
          <w:p w14:paraId="50A3CBD0">
            <w:pPr>
              <w:spacing w:line="440" w:lineRule="atLeast"/>
              <w:jc w:val="right"/>
              <w:rPr>
                <w:rFonts w:ascii="仿宋" w:hAnsi="仿宋" w:eastAsia="仿宋" w:cs="仿宋"/>
                <w:sz w:val="20"/>
                <w:szCs w:val="20"/>
              </w:rPr>
            </w:pPr>
            <w:r>
              <w:rPr>
                <w:rFonts w:hint="eastAsia" w:ascii="仿宋" w:hAnsi="仿宋" w:eastAsia="仿宋" w:cs="仿宋"/>
                <w:sz w:val="20"/>
                <w:szCs w:val="20"/>
              </w:rPr>
              <w:t>5,668,302.99</w:t>
            </w:r>
          </w:p>
        </w:tc>
      </w:tr>
      <w:tr w14:paraId="751CD66C">
        <w:tblPrEx>
          <w:tblCellMar>
            <w:top w:w="0" w:type="dxa"/>
            <w:left w:w="108" w:type="dxa"/>
            <w:bottom w:w="0" w:type="dxa"/>
            <w:right w:w="108" w:type="dxa"/>
          </w:tblCellMar>
        </w:tblPrEx>
        <w:trPr>
          <w:trHeight w:val="285" w:hRule="atLeast"/>
        </w:trPr>
        <w:tc>
          <w:tcPr>
            <w:tcW w:w="1027" w:type="pct"/>
            <w:tcBorders>
              <w:top w:val="nil"/>
              <w:left w:val="single" w:color="auto" w:sz="8" w:space="0"/>
              <w:bottom w:val="single" w:color="auto" w:sz="4" w:space="0"/>
              <w:right w:val="single" w:color="auto" w:sz="4" w:space="0"/>
            </w:tcBorders>
            <w:vAlign w:val="center"/>
          </w:tcPr>
          <w:p w14:paraId="2D08EDFA">
            <w:pPr>
              <w:spacing w:line="440" w:lineRule="atLeast"/>
              <w:jc w:val="left"/>
              <w:rPr>
                <w:rFonts w:ascii="仿宋" w:hAnsi="仿宋" w:eastAsia="仿宋" w:cs="仿宋"/>
                <w:kern w:val="0"/>
                <w:sz w:val="24"/>
              </w:rPr>
            </w:pPr>
            <w:r>
              <w:rPr>
                <w:rFonts w:hint="eastAsia" w:ascii="仿宋" w:hAnsi="仿宋" w:eastAsia="仿宋" w:cs="仿宋"/>
                <w:kern w:val="0"/>
                <w:sz w:val="24"/>
              </w:rPr>
              <w:t>资产总计</w:t>
            </w:r>
          </w:p>
        </w:tc>
        <w:tc>
          <w:tcPr>
            <w:tcW w:w="831" w:type="pct"/>
            <w:tcBorders>
              <w:top w:val="nil"/>
              <w:left w:val="nil"/>
              <w:bottom w:val="single" w:color="auto" w:sz="4" w:space="0"/>
              <w:right w:val="single" w:color="auto" w:sz="4" w:space="0"/>
            </w:tcBorders>
            <w:vAlign w:val="center"/>
          </w:tcPr>
          <w:p w14:paraId="7A45BDA6">
            <w:pPr>
              <w:spacing w:line="440" w:lineRule="atLeast"/>
              <w:jc w:val="right"/>
              <w:rPr>
                <w:rFonts w:ascii="仿宋" w:hAnsi="仿宋" w:eastAsia="仿宋" w:cs="仿宋"/>
                <w:sz w:val="20"/>
                <w:szCs w:val="20"/>
              </w:rPr>
            </w:pPr>
            <w:r>
              <w:rPr>
                <w:rFonts w:hint="eastAsia" w:ascii="仿宋" w:hAnsi="仿宋" w:eastAsia="仿宋" w:cs="仿宋"/>
                <w:sz w:val="20"/>
                <w:szCs w:val="20"/>
              </w:rPr>
              <w:t>263,505,700.18</w:t>
            </w:r>
          </w:p>
        </w:tc>
        <w:tc>
          <w:tcPr>
            <w:tcW w:w="871" w:type="pct"/>
            <w:tcBorders>
              <w:top w:val="nil"/>
              <w:left w:val="nil"/>
              <w:bottom w:val="single" w:color="auto" w:sz="4" w:space="0"/>
              <w:right w:val="single" w:color="auto" w:sz="4" w:space="0"/>
            </w:tcBorders>
            <w:vAlign w:val="center"/>
          </w:tcPr>
          <w:p w14:paraId="3999E425">
            <w:pPr>
              <w:spacing w:line="440" w:lineRule="atLeast"/>
              <w:jc w:val="right"/>
              <w:rPr>
                <w:rFonts w:ascii="仿宋" w:hAnsi="仿宋" w:eastAsia="仿宋" w:cs="仿宋"/>
                <w:sz w:val="20"/>
                <w:szCs w:val="20"/>
              </w:rPr>
            </w:pPr>
            <w:r>
              <w:rPr>
                <w:rFonts w:hint="eastAsia" w:ascii="仿宋" w:hAnsi="仿宋" w:eastAsia="仿宋" w:cs="仿宋"/>
                <w:sz w:val="20"/>
                <w:szCs w:val="20"/>
              </w:rPr>
              <w:t>290,195,164.71</w:t>
            </w:r>
          </w:p>
        </w:tc>
        <w:tc>
          <w:tcPr>
            <w:tcW w:w="763" w:type="pct"/>
            <w:tcBorders>
              <w:top w:val="nil"/>
              <w:left w:val="nil"/>
              <w:bottom w:val="single" w:color="auto" w:sz="4" w:space="0"/>
              <w:right w:val="single" w:color="auto" w:sz="4" w:space="0"/>
            </w:tcBorders>
            <w:vAlign w:val="center"/>
          </w:tcPr>
          <w:p w14:paraId="2E3A3B1D">
            <w:pPr>
              <w:spacing w:line="440" w:lineRule="atLeast"/>
              <w:jc w:val="right"/>
              <w:rPr>
                <w:rFonts w:ascii="仿宋" w:hAnsi="仿宋" w:eastAsia="仿宋" w:cs="仿宋"/>
                <w:sz w:val="20"/>
                <w:szCs w:val="20"/>
              </w:rPr>
            </w:pPr>
            <w:r>
              <w:rPr>
                <w:rFonts w:hint="eastAsia" w:ascii="仿宋" w:hAnsi="仿宋" w:eastAsia="仿宋" w:cs="仿宋"/>
                <w:sz w:val="20"/>
                <w:szCs w:val="20"/>
              </w:rPr>
              <w:t>319,701,353.96</w:t>
            </w:r>
          </w:p>
        </w:tc>
        <w:tc>
          <w:tcPr>
            <w:tcW w:w="753" w:type="pct"/>
            <w:tcBorders>
              <w:top w:val="nil"/>
              <w:left w:val="nil"/>
              <w:bottom w:val="single" w:color="auto" w:sz="4" w:space="0"/>
              <w:right w:val="single" w:color="auto" w:sz="4" w:space="0"/>
            </w:tcBorders>
            <w:vAlign w:val="center"/>
          </w:tcPr>
          <w:p w14:paraId="6AC5639E">
            <w:pPr>
              <w:spacing w:line="440" w:lineRule="atLeast"/>
              <w:jc w:val="right"/>
              <w:rPr>
                <w:rFonts w:ascii="仿宋" w:hAnsi="仿宋" w:eastAsia="仿宋" w:cs="仿宋"/>
                <w:sz w:val="20"/>
                <w:szCs w:val="20"/>
              </w:rPr>
            </w:pPr>
            <w:r>
              <w:rPr>
                <w:rFonts w:hint="eastAsia" w:ascii="仿宋" w:hAnsi="仿宋" w:eastAsia="仿宋" w:cs="仿宋"/>
                <w:sz w:val="20"/>
                <w:szCs w:val="20"/>
              </w:rPr>
              <w:t>349,120,579.46</w:t>
            </w:r>
          </w:p>
        </w:tc>
        <w:tc>
          <w:tcPr>
            <w:tcW w:w="753" w:type="pct"/>
            <w:tcBorders>
              <w:top w:val="nil"/>
              <w:left w:val="single" w:color="auto" w:sz="4" w:space="0"/>
              <w:bottom w:val="single" w:color="auto" w:sz="4" w:space="0"/>
              <w:right w:val="single" w:color="auto" w:sz="8" w:space="0"/>
            </w:tcBorders>
            <w:vAlign w:val="center"/>
          </w:tcPr>
          <w:p w14:paraId="60C7B4CE">
            <w:pPr>
              <w:spacing w:line="440" w:lineRule="atLeast"/>
              <w:jc w:val="right"/>
              <w:rPr>
                <w:rFonts w:ascii="仿宋" w:hAnsi="仿宋" w:eastAsia="仿宋" w:cs="仿宋"/>
                <w:sz w:val="20"/>
                <w:szCs w:val="20"/>
              </w:rPr>
            </w:pPr>
            <w:r>
              <w:rPr>
                <w:rFonts w:hint="eastAsia" w:ascii="仿宋" w:hAnsi="仿宋" w:eastAsia="仿宋" w:cs="仿宋"/>
                <w:sz w:val="20"/>
                <w:szCs w:val="20"/>
              </w:rPr>
              <w:t>377,776,029.41</w:t>
            </w:r>
          </w:p>
        </w:tc>
      </w:tr>
      <w:tr w14:paraId="28885B41">
        <w:tblPrEx>
          <w:tblCellMar>
            <w:top w:w="0" w:type="dxa"/>
            <w:left w:w="108" w:type="dxa"/>
            <w:bottom w:w="0" w:type="dxa"/>
            <w:right w:w="108" w:type="dxa"/>
          </w:tblCellMar>
        </w:tblPrEx>
        <w:trPr>
          <w:trHeight w:val="285" w:hRule="atLeast"/>
        </w:trPr>
        <w:tc>
          <w:tcPr>
            <w:tcW w:w="1027" w:type="pct"/>
            <w:tcBorders>
              <w:top w:val="nil"/>
              <w:left w:val="single" w:color="auto" w:sz="8" w:space="0"/>
              <w:bottom w:val="single" w:color="auto" w:sz="4" w:space="0"/>
              <w:right w:val="single" w:color="auto" w:sz="4" w:space="0"/>
            </w:tcBorders>
            <w:vAlign w:val="center"/>
          </w:tcPr>
          <w:p w14:paraId="08DB7356">
            <w:pPr>
              <w:spacing w:line="440" w:lineRule="atLeast"/>
              <w:jc w:val="left"/>
              <w:rPr>
                <w:rFonts w:ascii="仿宋" w:hAnsi="仿宋" w:eastAsia="仿宋" w:cs="仿宋"/>
                <w:kern w:val="0"/>
                <w:sz w:val="24"/>
              </w:rPr>
            </w:pPr>
            <w:r>
              <w:rPr>
                <w:rFonts w:hint="eastAsia" w:ascii="仿宋" w:hAnsi="仿宋" w:eastAsia="仿宋" w:cs="仿宋"/>
                <w:kern w:val="0"/>
                <w:sz w:val="24"/>
              </w:rPr>
              <w:t>负债和股东权益</w:t>
            </w:r>
          </w:p>
        </w:tc>
        <w:tc>
          <w:tcPr>
            <w:tcW w:w="831" w:type="pct"/>
            <w:tcBorders>
              <w:top w:val="nil"/>
              <w:left w:val="nil"/>
              <w:bottom w:val="single" w:color="auto" w:sz="4" w:space="0"/>
              <w:right w:val="single" w:color="auto" w:sz="4" w:space="0"/>
            </w:tcBorders>
            <w:vAlign w:val="center"/>
          </w:tcPr>
          <w:p w14:paraId="1E34F656">
            <w:pPr>
              <w:spacing w:line="440" w:lineRule="atLeast"/>
              <w:jc w:val="right"/>
              <w:rPr>
                <w:rFonts w:ascii="仿宋" w:hAnsi="仿宋" w:eastAsia="仿宋" w:cs="仿宋"/>
                <w:sz w:val="20"/>
                <w:szCs w:val="20"/>
              </w:rPr>
            </w:pPr>
          </w:p>
        </w:tc>
        <w:tc>
          <w:tcPr>
            <w:tcW w:w="871" w:type="pct"/>
            <w:tcBorders>
              <w:top w:val="nil"/>
              <w:left w:val="nil"/>
              <w:bottom w:val="single" w:color="auto" w:sz="4" w:space="0"/>
              <w:right w:val="single" w:color="auto" w:sz="4" w:space="0"/>
            </w:tcBorders>
            <w:vAlign w:val="center"/>
          </w:tcPr>
          <w:p w14:paraId="19E6B718">
            <w:pPr>
              <w:spacing w:line="440" w:lineRule="atLeast"/>
              <w:jc w:val="right"/>
              <w:rPr>
                <w:rFonts w:ascii="仿宋" w:hAnsi="仿宋" w:eastAsia="仿宋" w:cs="仿宋"/>
                <w:sz w:val="20"/>
                <w:szCs w:val="20"/>
              </w:rPr>
            </w:pPr>
          </w:p>
        </w:tc>
        <w:tc>
          <w:tcPr>
            <w:tcW w:w="763" w:type="pct"/>
            <w:tcBorders>
              <w:top w:val="nil"/>
              <w:left w:val="nil"/>
              <w:bottom w:val="single" w:color="auto" w:sz="4" w:space="0"/>
              <w:right w:val="single" w:color="auto" w:sz="4" w:space="0"/>
            </w:tcBorders>
            <w:vAlign w:val="center"/>
          </w:tcPr>
          <w:p w14:paraId="46312BBC">
            <w:pPr>
              <w:spacing w:line="440" w:lineRule="atLeast"/>
              <w:jc w:val="right"/>
              <w:rPr>
                <w:rFonts w:ascii="仿宋" w:hAnsi="仿宋" w:eastAsia="仿宋" w:cs="仿宋"/>
                <w:sz w:val="20"/>
                <w:szCs w:val="20"/>
              </w:rPr>
            </w:pPr>
          </w:p>
        </w:tc>
        <w:tc>
          <w:tcPr>
            <w:tcW w:w="753" w:type="pct"/>
            <w:tcBorders>
              <w:top w:val="nil"/>
              <w:left w:val="nil"/>
              <w:bottom w:val="single" w:color="auto" w:sz="4" w:space="0"/>
              <w:right w:val="single" w:color="auto" w:sz="4" w:space="0"/>
            </w:tcBorders>
            <w:vAlign w:val="center"/>
          </w:tcPr>
          <w:p w14:paraId="6D026785">
            <w:pPr>
              <w:spacing w:line="440" w:lineRule="atLeast"/>
              <w:jc w:val="right"/>
              <w:rPr>
                <w:rFonts w:ascii="仿宋" w:hAnsi="仿宋" w:eastAsia="仿宋" w:cs="仿宋"/>
                <w:sz w:val="20"/>
                <w:szCs w:val="20"/>
              </w:rPr>
            </w:pPr>
          </w:p>
        </w:tc>
        <w:tc>
          <w:tcPr>
            <w:tcW w:w="753" w:type="pct"/>
            <w:tcBorders>
              <w:top w:val="nil"/>
              <w:left w:val="single" w:color="auto" w:sz="4" w:space="0"/>
              <w:bottom w:val="single" w:color="auto" w:sz="4" w:space="0"/>
              <w:right w:val="single" w:color="auto" w:sz="8" w:space="0"/>
            </w:tcBorders>
            <w:vAlign w:val="center"/>
          </w:tcPr>
          <w:p w14:paraId="32DC7A12">
            <w:pPr>
              <w:spacing w:line="440" w:lineRule="atLeast"/>
              <w:jc w:val="right"/>
              <w:rPr>
                <w:rFonts w:ascii="仿宋" w:hAnsi="仿宋" w:eastAsia="仿宋" w:cs="仿宋"/>
                <w:sz w:val="20"/>
                <w:szCs w:val="20"/>
              </w:rPr>
            </w:pPr>
          </w:p>
        </w:tc>
      </w:tr>
      <w:tr w14:paraId="5A30F2AC">
        <w:tblPrEx>
          <w:tblCellMar>
            <w:top w:w="0" w:type="dxa"/>
            <w:left w:w="108" w:type="dxa"/>
            <w:bottom w:w="0" w:type="dxa"/>
            <w:right w:w="108" w:type="dxa"/>
          </w:tblCellMar>
        </w:tblPrEx>
        <w:trPr>
          <w:trHeight w:val="285" w:hRule="atLeast"/>
        </w:trPr>
        <w:tc>
          <w:tcPr>
            <w:tcW w:w="1027" w:type="pct"/>
            <w:tcBorders>
              <w:top w:val="nil"/>
              <w:left w:val="single" w:color="auto" w:sz="8" w:space="0"/>
              <w:bottom w:val="single" w:color="auto" w:sz="4" w:space="0"/>
              <w:right w:val="single" w:color="auto" w:sz="4" w:space="0"/>
            </w:tcBorders>
            <w:vAlign w:val="center"/>
          </w:tcPr>
          <w:p w14:paraId="1BCE5FFF">
            <w:pPr>
              <w:spacing w:line="440" w:lineRule="atLeast"/>
              <w:jc w:val="left"/>
              <w:rPr>
                <w:rFonts w:ascii="仿宋" w:hAnsi="仿宋" w:eastAsia="仿宋" w:cs="仿宋"/>
                <w:kern w:val="0"/>
                <w:sz w:val="24"/>
              </w:rPr>
            </w:pPr>
            <w:r>
              <w:rPr>
                <w:rFonts w:hint="eastAsia" w:ascii="仿宋" w:hAnsi="仿宋" w:eastAsia="仿宋" w:cs="仿宋"/>
                <w:kern w:val="0"/>
                <w:sz w:val="24"/>
              </w:rPr>
              <w:t>负债</w:t>
            </w:r>
          </w:p>
        </w:tc>
        <w:tc>
          <w:tcPr>
            <w:tcW w:w="831" w:type="pct"/>
            <w:tcBorders>
              <w:top w:val="nil"/>
              <w:left w:val="nil"/>
              <w:bottom w:val="single" w:color="auto" w:sz="4" w:space="0"/>
              <w:right w:val="single" w:color="auto" w:sz="4" w:space="0"/>
            </w:tcBorders>
            <w:vAlign w:val="center"/>
          </w:tcPr>
          <w:p w14:paraId="594CAC9A">
            <w:pPr>
              <w:spacing w:line="440" w:lineRule="atLeast"/>
              <w:jc w:val="right"/>
              <w:rPr>
                <w:rFonts w:ascii="仿宋" w:hAnsi="仿宋" w:eastAsia="仿宋" w:cs="仿宋"/>
                <w:sz w:val="20"/>
                <w:szCs w:val="20"/>
              </w:rPr>
            </w:pPr>
          </w:p>
        </w:tc>
        <w:tc>
          <w:tcPr>
            <w:tcW w:w="871" w:type="pct"/>
            <w:tcBorders>
              <w:top w:val="nil"/>
              <w:left w:val="nil"/>
              <w:bottom w:val="single" w:color="auto" w:sz="4" w:space="0"/>
              <w:right w:val="single" w:color="auto" w:sz="4" w:space="0"/>
            </w:tcBorders>
            <w:vAlign w:val="center"/>
          </w:tcPr>
          <w:p w14:paraId="0E55CB40">
            <w:pPr>
              <w:spacing w:line="440" w:lineRule="atLeast"/>
              <w:jc w:val="right"/>
              <w:rPr>
                <w:rFonts w:ascii="仿宋" w:hAnsi="仿宋" w:eastAsia="仿宋" w:cs="仿宋"/>
                <w:sz w:val="20"/>
                <w:szCs w:val="20"/>
              </w:rPr>
            </w:pPr>
          </w:p>
        </w:tc>
        <w:tc>
          <w:tcPr>
            <w:tcW w:w="763" w:type="pct"/>
            <w:tcBorders>
              <w:top w:val="nil"/>
              <w:left w:val="nil"/>
              <w:bottom w:val="single" w:color="auto" w:sz="4" w:space="0"/>
              <w:right w:val="single" w:color="auto" w:sz="4" w:space="0"/>
            </w:tcBorders>
            <w:vAlign w:val="center"/>
          </w:tcPr>
          <w:p w14:paraId="27DB345A">
            <w:pPr>
              <w:spacing w:line="440" w:lineRule="atLeast"/>
              <w:jc w:val="right"/>
              <w:rPr>
                <w:rFonts w:ascii="仿宋" w:hAnsi="仿宋" w:eastAsia="仿宋" w:cs="仿宋"/>
                <w:sz w:val="20"/>
                <w:szCs w:val="20"/>
              </w:rPr>
            </w:pPr>
          </w:p>
        </w:tc>
        <w:tc>
          <w:tcPr>
            <w:tcW w:w="753" w:type="pct"/>
            <w:tcBorders>
              <w:top w:val="nil"/>
              <w:left w:val="nil"/>
              <w:bottom w:val="single" w:color="auto" w:sz="4" w:space="0"/>
              <w:right w:val="single" w:color="auto" w:sz="4" w:space="0"/>
            </w:tcBorders>
            <w:vAlign w:val="center"/>
          </w:tcPr>
          <w:p w14:paraId="1929B8B9">
            <w:pPr>
              <w:spacing w:line="440" w:lineRule="atLeast"/>
              <w:jc w:val="right"/>
              <w:rPr>
                <w:rFonts w:ascii="仿宋" w:hAnsi="仿宋" w:eastAsia="仿宋" w:cs="仿宋"/>
                <w:sz w:val="20"/>
                <w:szCs w:val="20"/>
              </w:rPr>
            </w:pPr>
          </w:p>
        </w:tc>
        <w:tc>
          <w:tcPr>
            <w:tcW w:w="753" w:type="pct"/>
            <w:tcBorders>
              <w:top w:val="nil"/>
              <w:left w:val="single" w:color="auto" w:sz="4" w:space="0"/>
              <w:bottom w:val="single" w:color="auto" w:sz="4" w:space="0"/>
              <w:right w:val="single" w:color="auto" w:sz="8" w:space="0"/>
            </w:tcBorders>
            <w:vAlign w:val="center"/>
          </w:tcPr>
          <w:p w14:paraId="3BE993EE">
            <w:pPr>
              <w:spacing w:line="440" w:lineRule="atLeast"/>
              <w:jc w:val="right"/>
              <w:rPr>
                <w:rFonts w:ascii="仿宋" w:hAnsi="仿宋" w:eastAsia="仿宋" w:cs="仿宋"/>
                <w:sz w:val="20"/>
                <w:szCs w:val="20"/>
              </w:rPr>
            </w:pPr>
          </w:p>
        </w:tc>
      </w:tr>
      <w:tr w14:paraId="39C89D3D">
        <w:tblPrEx>
          <w:tblCellMar>
            <w:top w:w="0" w:type="dxa"/>
            <w:left w:w="108" w:type="dxa"/>
            <w:bottom w:w="0" w:type="dxa"/>
            <w:right w:w="108" w:type="dxa"/>
          </w:tblCellMar>
        </w:tblPrEx>
        <w:trPr>
          <w:trHeight w:val="315" w:hRule="atLeast"/>
        </w:trPr>
        <w:tc>
          <w:tcPr>
            <w:tcW w:w="1027" w:type="pct"/>
            <w:tcBorders>
              <w:top w:val="nil"/>
              <w:left w:val="single" w:color="auto" w:sz="8" w:space="0"/>
              <w:bottom w:val="single" w:color="auto" w:sz="4" w:space="0"/>
              <w:right w:val="single" w:color="auto" w:sz="4" w:space="0"/>
            </w:tcBorders>
            <w:vAlign w:val="center"/>
          </w:tcPr>
          <w:p w14:paraId="3BF895EC">
            <w:pPr>
              <w:spacing w:line="440" w:lineRule="atLeast"/>
              <w:jc w:val="left"/>
              <w:rPr>
                <w:rFonts w:ascii="仿宋" w:hAnsi="仿宋" w:eastAsia="仿宋" w:cs="仿宋"/>
                <w:kern w:val="0"/>
                <w:sz w:val="24"/>
              </w:rPr>
            </w:pPr>
            <w:r>
              <w:rPr>
                <w:rFonts w:hint="eastAsia" w:ascii="仿宋" w:hAnsi="仿宋" w:eastAsia="仿宋" w:cs="仿宋"/>
                <w:kern w:val="0"/>
                <w:sz w:val="24"/>
              </w:rPr>
              <w:t>同业及其他金融机构存放款项</w:t>
            </w:r>
          </w:p>
        </w:tc>
        <w:tc>
          <w:tcPr>
            <w:tcW w:w="831" w:type="pct"/>
            <w:tcBorders>
              <w:top w:val="nil"/>
              <w:left w:val="nil"/>
              <w:bottom w:val="single" w:color="auto" w:sz="4" w:space="0"/>
              <w:right w:val="single" w:color="auto" w:sz="4" w:space="0"/>
            </w:tcBorders>
            <w:vAlign w:val="center"/>
          </w:tcPr>
          <w:p w14:paraId="006A629D">
            <w:pPr>
              <w:spacing w:line="440" w:lineRule="atLeast"/>
              <w:jc w:val="right"/>
              <w:rPr>
                <w:rFonts w:ascii="仿宋" w:hAnsi="仿宋" w:eastAsia="仿宋" w:cs="仿宋"/>
                <w:sz w:val="20"/>
                <w:szCs w:val="20"/>
              </w:rPr>
            </w:pPr>
            <w:r>
              <w:rPr>
                <w:rFonts w:hint="eastAsia" w:ascii="仿宋" w:hAnsi="仿宋" w:eastAsia="仿宋" w:cs="仿宋"/>
                <w:sz w:val="20"/>
                <w:szCs w:val="20"/>
              </w:rPr>
              <w:t>59,515,696.67</w:t>
            </w:r>
          </w:p>
        </w:tc>
        <w:tc>
          <w:tcPr>
            <w:tcW w:w="871" w:type="pct"/>
            <w:tcBorders>
              <w:top w:val="nil"/>
              <w:left w:val="nil"/>
              <w:bottom w:val="single" w:color="auto" w:sz="4" w:space="0"/>
              <w:right w:val="single" w:color="auto" w:sz="4" w:space="0"/>
            </w:tcBorders>
            <w:vAlign w:val="center"/>
          </w:tcPr>
          <w:p w14:paraId="1DA0EEC2">
            <w:pPr>
              <w:spacing w:line="440" w:lineRule="atLeast"/>
              <w:jc w:val="right"/>
              <w:rPr>
                <w:rFonts w:ascii="仿宋" w:hAnsi="仿宋" w:eastAsia="仿宋" w:cs="仿宋"/>
                <w:sz w:val="20"/>
                <w:szCs w:val="20"/>
              </w:rPr>
            </w:pPr>
            <w:r>
              <w:rPr>
                <w:rFonts w:hint="eastAsia" w:ascii="仿宋" w:hAnsi="仿宋" w:eastAsia="仿宋" w:cs="仿宋"/>
                <w:sz w:val="20"/>
                <w:szCs w:val="20"/>
              </w:rPr>
              <w:t>65,467,307.61</w:t>
            </w:r>
          </w:p>
        </w:tc>
        <w:tc>
          <w:tcPr>
            <w:tcW w:w="763" w:type="pct"/>
            <w:tcBorders>
              <w:top w:val="nil"/>
              <w:left w:val="nil"/>
              <w:bottom w:val="single" w:color="auto" w:sz="4" w:space="0"/>
              <w:right w:val="single" w:color="auto" w:sz="4" w:space="0"/>
            </w:tcBorders>
            <w:vAlign w:val="center"/>
          </w:tcPr>
          <w:p w14:paraId="761E9CA9">
            <w:pPr>
              <w:spacing w:line="440" w:lineRule="atLeast"/>
              <w:jc w:val="right"/>
              <w:rPr>
                <w:rFonts w:ascii="仿宋" w:hAnsi="仿宋" w:eastAsia="仿宋" w:cs="仿宋"/>
                <w:sz w:val="20"/>
                <w:szCs w:val="20"/>
              </w:rPr>
            </w:pPr>
            <w:r>
              <w:rPr>
                <w:rFonts w:hint="eastAsia" w:ascii="仿宋" w:hAnsi="仿宋" w:eastAsia="仿宋" w:cs="仿宋"/>
                <w:sz w:val="20"/>
                <w:szCs w:val="20"/>
              </w:rPr>
              <w:t>72,014,054.89</w:t>
            </w:r>
          </w:p>
        </w:tc>
        <w:tc>
          <w:tcPr>
            <w:tcW w:w="753" w:type="pct"/>
            <w:tcBorders>
              <w:top w:val="nil"/>
              <w:left w:val="nil"/>
              <w:bottom w:val="single" w:color="auto" w:sz="4" w:space="0"/>
              <w:right w:val="single" w:color="auto" w:sz="4" w:space="0"/>
            </w:tcBorders>
            <w:vAlign w:val="center"/>
          </w:tcPr>
          <w:p w14:paraId="63E4E528">
            <w:pPr>
              <w:spacing w:line="440" w:lineRule="atLeast"/>
              <w:jc w:val="right"/>
              <w:rPr>
                <w:rFonts w:ascii="仿宋" w:hAnsi="仿宋" w:eastAsia="仿宋" w:cs="仿宋"/>
                <w:sz w:val="20"/>
                <w:szCs w:val="20"/>
              </w:rPr>
            </w:pPr>
            <w:r>
              <w:rPr>
                <w:rFonts w:hint="eastAsia" w:ascii="仿宋" w:hAnsi="仿宋" w:eastAsia="仿宋" w:cs="仿宋"/>
                <w:sz w:val="20"/>
                <w:szCs w:val="20"/>
              </w:rPr>
              <w:t>78,495,336.34</w:t>
            </w:r>
          </w:p>
        </w:tc>
        <w:tc>
          <w:tcPr>
            <w:tcW w:w="753" w:type="pct"/>
            <w:tcBorders>
              <w:top w:val="nil"/>
              <w:left w:val="single" w:color="auto" w:sz="4" w:space="0"/>
              <w:bottom w:val="single" w:color="auto" w:sz="4" w:space="0"/>
              <w:right w:val="single" w:color="auto" w:sz="8" w:space="0"/>
            </w:tcBorders>
            <w:vAlign w:val="center"/>
          </w:tcPr>
          <w:p w14:paraId="35ADC56C">
            <w:pPr>
              <w:spacing w:line="440" w:lineRule="atLeast"/>
              <w:jc w:val="right"/>
              <w:rPr>
                <w:rFonts w:ascii="仿宋" w:hAnsi="仿宋" w:eastAsia="仿宋" w:cs="仿宋"/>
                <w:sz w:val="20"/>
                <w:szCs w:val="20"/>
              </w:rPr>
            </w:pPr>
            <w:r>
              <w:rPr>
                <w:rFonts w:hint="eastAsia" w:ascii="仿宋" w:hAnsi="仿宋" w:eastAsia="仿宋" w:cs="仿宋"/>
                <w:sz w:val="20"/>
                <w:szCs w:val="20"/>
              </w:rPr>
              <w:t>84,774,936.83</w:t>
            </w:r>
          </w:p>
        </w:tc>
      </w:tr>
      <w:tr w14:paraId="283A29E6">
        <w:tblPrEx>
          <w:tblCellMar>
            <w:top w:w="0" w:type="dxa"/>
            <w:left w:w="108" w:type="dxa"/>
            <w:bottom w:w="0" w:type="dxa"/>
            <w:right w:w="108" w:type="dxa"/>
          </w:tblCellMar>
        </w:tblPrEx>
        <w:trPr>
          <w:trHeight w:val="285" w:hRule="atLeast"/>
        </w:trPr>
        <w:tc>
          <w:tcPr>
            <w:tcW w:w="1027" w:type="pct"/>
            <w:tcBorders>
              <w:top w:val="nil"/>
              <w:left w:val="single" w:color="auto" w:sz="8" w:space="0"/>
              <w:bottom w:val="single" w:color="auto" w:sz="4" w:space="0"/>
              <w:right w:val="single" w:color="auto" w:sz="4" w:space="0"/>
            </w:tcBorders>
            <w:vAlign w:val="center"/>
          </w:tcPr>
          <w:p w14:paraId="13AB56EF">
            <w:pPr>
              <w:spacing w:line="440" w:lineRule="atLeast"/>
              <w:jc w:val="left"/>
              <w:rPr>
                <w:rFonts w:ascii="仿宋" w:hAnsi="仿宋" w:eastAsia="仿宋" w:cs="仿宋"/>
                <w:kern w:val="0"/>
                <w:sz w:val="24"/>
              </w:rPr>
            </w:pPr>
            <w:r>
              <w:rPr>
                <w:rFonts w:hint="eastAsia" w:ascii="仿宋" w:hAnsi="仿宋" w:eastAsia="仿宋" w:cs="仿宋"/>
                <w:kern w:val="0"/>
                <w:sz w:val="24"/>
              </w:rPr>
              <w:t>向中央银行借款</w:t>
            </w:r>
          </w:p>
        </w:tc>
        <w:tc>
          <w:tcPr>
            <w:tcW w:w="831" w:type="pct"/>
            <w:tcBorders>
              <w:top w:val="nil"/>
              <w:left w:val="nil"/>
              <w:bottom w:val="single" w:color="auto" w:sz="4" w:space="0"/>
              <w:right w:val="single" w:color="auto" w:sz="4" w:space="0"/>
            </w:tcBorders>
            <w:vAlign w:val="center"/>
          </w:tcPr>
          <w:p w14:paraId="2C595B54">
            <w:pPr>
              <w:spacing w:line="440" w:lineRule="atLeast"/>
              <w:jc w:val="right"/>
              <w:rPr>
                <w:rFonts w:ascii="仿宋" w:hAnsi="仿宋" w:eastAsia="仿宋" w:cs="仿宋"/>
                <w:sz w:val="20"/>
                <w:szCs w:val="20"/>
              </w:rPr>
            </w:pPr>
          </w:p>
        </w:tc>
        <w:tc>
          <w:tcPr>
            <w:tcW w:w="871" w:type="pct"/>
            <w:tcBorders>
              <w:top w:val="nil"/>
              <w:left w:val="nil"/>
              <w:bottom w:val="single" w:color="auto" w:sz="4" w:space="0"/>
              <w:right w:val="single" w:color="auto" w:sz="4" w:space="0"/>
            </w:tcBorders>
            <w:vAlign w:val="center"/>
          </w:tcPr>
          <w:p w14:paraId="5854E78D">
            <w:pPr>
              <w:spacing w:line="440" w:lineRule="atLeast"/>
              <w:jc w:val="right"/>
              <w:rPr>
                <w:rFonts w:ascii="仿宋" w:hAnsi="仿宋" w:eastAsia="仿宋" w:cs="仿宋"/>
                <w:sz w:val="20"/>
                <w:szCs w:val="20"/>
              </w:rPr>
            </w:pPr>
          </w:p>
        </w:tc>
        <w:tc>
          <w:tcPr>
            <w:tcW w:w="763" w:type="pct"/>
            <w:tcBorders>
              <w:top w:val="nil"/>
              <w:left w:val="nil"/>
              <w:bottom w:val="single" w:color="auto" w:sz="4" w:space="0"/>
              <w:right w:val="single" w:color="auto" w:sz="4" w:space="0"/>
            </w:tcBorders>
            <w:vAlign w:val="center"/>
          </w:tcPr>
          <w:p w14:paraId="329DC35D">
            <w:pPr>
              <w:spacing w:line="440" w:lineRule="atLeast"/>
              <w:jc w:val="right"/>
              <w:rPr>
                <w:rFonts w:ascii="仿宋" w:hAnsi="仿宋" w:eastAsia="仿宋" w:cs="仿宋"/>
                <w:sz w:val="20"/>
                <w:szCs w:val="20"/>
              </w:rPr>
            </w:pPr>
          </w:p>
        </w:tc>
        <w:tc>
          <w:tcPr>
            <w:tcW w:w="753" w:type="pct"/>
            <w:tcBorders>
              <w:top w:val="nil"/>
              <w:left w:val="nil"/>
              <w:bottom w:val="single" w:color="auto" w:sz="4" w:space="0"/>
              <w:right w:val="single" w:color="auto" w:sz="4" w:space="0"/>
            </w:tcBorders>
            <w:vAlign w:val="center"/>
          </w:tcPr>
          <w:p w14:paraId="5DF68CF9">
            <w:pPr>
              <w:spacing w:line="440" w:lineRule="atLeast"/>
              <w:jc w:val="right"/>
              <w:rPr>
                <w:rFonts w:ascii="仿宋" w:hAnsi="仿宋" w:eastAsia="仿宋" w:cs="仿宋"/>
                <w:sz w:val="20"/>
                <w:szCs w:val="20"/>
              </w:rPr>
            </w:pPr>
          </w:p>
        </w:tc>
        <w:tc>
          <w:tcPr>
            <w:tcW w:w="753" w:type="pct"/>
            <w:tcBorders>
              <w:top w:val="nil"/>
              <w:left w:val="single" w:color="auto" w:sz="4" w:space="0"/>
              <w:bottom w:val="single" w:color="auto" w:sz="4" w:space="0"/>
              <w:right w:val="single" w:color="auto" w:sz="8" w:space="0"/>
            </w:tcBorders>
            <w:vAlign w:val="center"/>
          </w:tcPr>
          <w:p w14:paraId="1FF4B00D">
            <w:pPr>
              <w:spacing w:line="440" w:lineRule="atLeast"/>
              <w:jc w:val="right"/>
              <w:rPr>
                <w:rFonts w:ascii="仿宋" w:hAnsi="仿宋" w:eastAsia="仿宋" w:cs="仿宋"/>
                <w:sz w:val="20"/>
                <w:szCs w:val="20"/>
              </w:rPr>
            </w:pPr>
          </w:p>
        </w:tc>
      </w:tr>
      <w:tr w14:paraId="1035AC70">
        <w:tblPrEx>
          <w:tblCellMar>
            <w:top w:w="0" w:type="dxa"/>
            <w:left w:w="108" w:type="dxa"/>
            <w:bottom w:w="0" w:type="dxa"/>
            <w:right w:w="108" w:type="dxa"/>
          </w:tblCellMar>
        </w:tblPrEx>
        <w:trPr>
          <w:trHeight w:val="300" w:hRule="atLeast"/>
        </w:trPr>
        <w:tc>
          <w:tcPr>
            <w:tcW w:w="1027" w:type="pct"/>
            <w:tcBorders>
              <w:top w:val="nil"/>
              <w:left w:val="single" w:color="auto" w:sz="8" w:space="0"/>
              <w:bottom w:val="single" w:color="auto" w:sz="4" w:space="0"/>
              <w:right w:val="single" w:color="auto" w:sz="4" w:space="0"/>
            </w:tcBorders>
            <w:vAlign w:val="center"/>
          </w:tcPr>
          <w:p w14:paraId="35FDCD95">
            <w:pPr>
              <w:spacing w:line="440" w:lineRule="atLeast"/>
              <w:jc w:val="left"/>
              <w:rPr>
                <w:rFonts w:ascii="仿宋" w:hAnsi="仿宋" w:eastAsia="仿宋" w:cs="仿宋"/>
                <w:kern w:val="0"/>
                <w:sz w:val="24"/>
              </w:rPr>
            </w:pPr>
            <w:r>
              <w:rPr>
                <w:rFonts w:hint="eastAsia" w:ascii="仿宋" w:hAnsi="仿宋" w:eastAsia="仿宋" w:cs="仿宋"/>
                <w:kern w:val="0"/>
                <w:sz w:val="24"/>
              </w:rPr>
              <w:t>拆入资金</w:t>
            </w:r>
          </w:p>
        </w:tc>
        <w:tc>
          <w:tcPr>
            <w:tcW w:w="831" w:type="pct"/>
            <w:tcBorders>
              <w:top w:val="nil"/>
              <w:left w:val="nil"/>
              <w:bottom w:val="single" w:color="auto" w:sz="4" w:space="0"/>
              <w:right w:val="single" w:color="auto" w:sz="4" w:space="0"/>
            </w:tcBorders>
            <w:vAlign w:val="center"/>
          </w:tcPr>
          <w:p w14:paraId="27F98A08">
            <w:pPr>
              <w:spacing w:line="440" w:lineRule="atLeast"/>
              <w:jc w:val="right"/>
              <w:rPr>
                <w:rFonts w:ascii="仿宋" w:hAnsi="仿宋" w:eastAsia="仿宋" w:cs="仿宋"/>
                <w:sz w:val="20"/>
                <w:szCs w:val="20"/>
              </w:rPr>
            </w:pPr>
          </w:p>
        </w:tc>
        <w:tc>
          <w:tcPr>
            <w:tcW w:w="871" w:type="pct"/>
            <w:tcBorders>
              <w:top w:val="nil"/>
              <w:left w:val="nil"/>
              <w:bottom w:val="single" w:color="auto" w:sz="4" w:space="0"/>
              <w:right w:val="single" w:color="auto" w:sz="4" w:space="0"/>
            </w:tcBorders>
            <w:vAlign w:val="center"/>
          </w:tcPr>
          <w:p w14:paraId="0FB35892">
            <w:pPr>
              <w:spacing w:line="440" w:lineRule="atLeast"/>
              <w:jc w:val="right"/>
              <w:rPr>
                <w:rFonts w:ascii="仿宋" w:hAnsi="仿宋" w:eastAsia="仿宋" w:cs="仿宋"/>
                <w:sz w:val="20"/>
                <w:szCs w:val="20"/>
              </w:rPr>
            </w:pPr>
          </w:p>
        </w:tc>
        <w:tc>
          <w:tcPr>
            <w:tcW w:w="763" w:type="pct"/>
            <w:tcBorders>
              <w:top w:val="nil"/>
              <w:left w:val="nil"/>
              <w:bottom w:val="single" w:color="auto" w:sz="4" w:space="0"/>
              <w:right w:val="single" w:color="auto" w:sz="4" w:space="0"/>
            </w:tcBorders>
            <w:vAlign w:val="center"/>
          </w:tcPr>
          <w:p w14:paraId="1EC39BBD">
            <w:pPr>
              <w:spacing w:line="440" w:lineRule="atLeast"/>
              <w:jc w:val="right"/>
              <w:rPr>
                <w:rFonts w:ascii="仿宋" w:hAnsi="仿宋" w:eastAsia="仿宋" w:cs="仿宋"/>
                <w:sz w:val="20"/>
                <w:szCs w:val="20"/>
              </w:rPr>
            </w:pPr>
          </w:p>
        </w:tc>
        <w:tc>
          <w:tcPr>
            <w:tcW w:w="753" w:type="pct"/>
            <w:tcBorders>
              <w:top w:val="nil"/>
              <w:left w:val="nil"/>
              <w:bottom w:val="single" w:color="auto" w:sz="4" w:space="0"/>
              <w:right w:val="single" w:color="auto" w:sz="4" w:space="0"/>
            </w:tcBorders>
            <w:vAlign w:val="center"/>
          </w:tcPr>
          <w:p w14:paraId="5C68B3F6">
            <w:pPr>
              <w:spacing w:line="440" w:lineRule="atLeast"/>
              <w:jc w:val="right"/>
              <w:rPr>
                <w:rFonts w:ascii="仿宋" w:hAnsi="仿宋" w:eastAsia="仿宋" w:cs="仿宋"/>
                <w:sz w:val="20"/>
                <w:szCs w:val="20"/>
              </w:rPr>
            </w:pPr>
          </w:p>
        </w:tc>
        <w:tc>
          <w:tcPr>
            <w:tcW w:w="753" w:type="pct"/>
            <w:tcBorders>
              <w:top w:val="nil"/>
              <w:left w:val="single" w:color="auto" w:sz="4" w:space="0"/>
              <w:bottom w:val="single" w:color="auto" w:sz="4" w:space="0"/>
              <w:right w:val="single" w:color="auto" w:sz="8" w:space="0"/>
            </w:tcBorders>
            <w:vAlign w:val="center"/>
          </w:tcPr>
          <w:p w14:paraId="535EF0FD">
            <w:pPr>
              <w:spacing w:line="440" w:lineRule="atLeast"/>
              <w:jc w:val="right"/>
              <w:rPr>
                <w:rFonts w:ascii="仿宋" w:hAnsi="仿宋" w:eastAsia="仿宋" w:cs="仿宋"/>
                <w:sz w:val="20"/>
                <w:szCs w:val="20"/>
              </w:rPr>
            </w:pPr>
          </w:p>
        </w:tc>
      </w:tr>
      <w:tr w14:paraId="1A8985D6">
        <w:tblPrEx>
          <w:tblCellMar>
            <w:top w:w="0" w:type="dxa"/>
            <w:left w:w="108" w:type="dxa"/>
            <w:bottom w:w="0" w:type="dxa"/>
            <w:right w:w="108" w:type="dxa"/>
          </w:tblCellMar>
        </w:tblPrEx>
        <w:trPr>
          <w:trHeight w:val="300" w:hRule="atLeast"/>
        </w:trPr>
        <w:tc>
          <w:tcPr>
            <w:tcW w:w="1027" w:type="pct"/>
            <w:tcBorders>
              <w:top w:val="nil"/>
              <w:left w:val="single" w:color="auto" w:sz="8" w:space="0"/>
              <w:bottom w:val="single" w:color="auto" w:sz="4" w:space="0"/>
              <w:right w:val="single" w:color="auto" w:sz="4" w:space="0"/>
            </w:tcBorders>
            <w:vAlign w:val="center"/>
          </w:tcPr>
          <w:p w14:paraId="1DD18E3F">
            <w:pPr>
              <w:spacing w:line="440" w:lineRule="atLeast"/>
              <w:jc w:val="left"/>
              <w:rPr>
                <w:rFonts w:ascii="仿宋" w:hAnsi="仿宋" w:eastAsia="仿宋" w:cs="仿宋"/>
                <w:kern w:val="0"/>
                <w:sz w:val="24"/>
              </w:rPr>
            </w:pPr>
            <w:r>
              <w:rPr>
                <w:rFonts w:hint="eastAsia" w:ascii="仿宋" w:hAnsi="仿宋" w:eastAsia="仿宋" w:cs="仿宋"/>
                <w:kern w:val="0"/>
                <w:sz w:val="24"/>
              </w:rPr>
              <w:t>交易性金融负债</w:t>
            </w:r>
          </w:p>
        </w:tc>
        <w:tc>
          <w:tcPr>
            <w:tcW w:w="831" w:type="pct"/>
            <w:tcBorders>
              <w:top w:val="nil"/>
              <w:left w:val="nil"/>
              <w:bottom w:val="single" w:color="auto" w:sz="4" w:space="0"/>
              <w:right w:val="single" w:color="auto" w:sz="4" w:space="0"/>
            </w:tcBorders>
            <w:vAlign w:val="center"/>
          </w:tcPr>
          <w:p w14:paraId="42AE265A">
            <w:pPr>
              <w:spacing w:line="440" w:lineRule="atLeast"/>
              <w:jc w:val="right"/>
              <w:rPr>
                <w:rFonts w:ascii="仿宋" w:hAnsi="仿宋" w:eastAsia="仿宋" w:cs="仿宋"/>
                <w:sz w:val="20"/>
                <w:szCs w:val="20"/>
              </w:rPr>
            </w:pPr>
          </w:p>
        </w:tc>
        <w:tc>
          <w:tcPr>
            <w:tcW w:w="871" w:type="pct"/>
            <w:tcBorders>
              <w:top w:val="nil"/>
              <w:left w:val="nil"/>
              <w:bottom w:val="single" w:color="auto" w:sz="4" w:space="0"/>
              <w:right w:val="single" w:color="auto" w:sz="4" w:space="0"/>
            </w:tcBorders>
            <w:vAlign w:val="center"/>
          </w:tcPr>
          <w:p w14:paraId="2F58DCD9">
            <w:pPr>
              <w:spacing w:line="440" w:lineRule="atLeast"/>
              <w:jc w:val="right"/>
              <w:rPr>
                <w:rFonts w:ascii="仿宋" w:hAnsi="仿宋" w:eastAsia="仿宋" w:cs="仿宋"/>
                <w:sz w:val="20"/>
                <w:szCs w:val="20"/>
              </w:rPr>
            </w:pPr>
          </w:p>
        </w:tc>
        <w:tc>
          <w:tcPr>
            <w:tcW w:w="763" w:type="pct"/>
            <w:tcBorders>
              <w:top w:val="nil"/>
              <w:left w:val="nil"/>
              <w:bottom w:val="single" w:color="auto" w:sz="4" w:space="0"/>
              <w:right w:val="single" w:color="auto" w:sz="4" w:space="0"/>
            </w:tcBorders>
            <w:vAlign w:val="center"/>
          </w:tcPr>
          <w:p w14:paraId="6BA59CA1">
            <w:pPr>
              <w:spacing w:line="440" w:lineRule="atLeast"/>
              <w:jc w:val="right"/>
              <w:rPr>
                <w:rFonts w:ascii="仿宋" w:hAnsi="仿宋" w:eastAsia="仿宋" w:cs="仿宋"/>
                <w:sz w:val="20"/>
                <w:szCs w:val="20"/>
              </w:rPr>
            </w:pPr>
          </w:p>
        </w:tc>
        <w:tc>
          <w:tcPr>
            <w:tcW w:w="753" w:type="pct"/>
            <w:tcBorders>
              <w:top w:val="nil"/>
              <w:left w:val="nil"/>
              <w:bottom w:val="single" w:color="auto" w:sz="4" w:space="0"/>
              <w:right w:val="single" w:color="auto" w:sz="4" w:space="0"/>
            </w:tcBorders>
            <w:vAlign w:val="center"/>
          </w:tcPr>
          <w:p w14:paraId="03ECF275">
            <w:pPr>
              <w:spacing w:line="440" w:lineRule="atLeast"/>
              <w:jc w:val="right"/>
              <w:rPr>
                <w:rFonts w:ascii="仿宋" w:hAnsi="仿宋" w:eastAsia="仿宋" w:cs="仿宋"/>
                <w:sz w:val="20"/>
                <w:szCs w:val="20"/>
              </w:rPr>
            </w:pPr>
          </w:p>
        </w:tc>
        <w:tc>
          <w:tcPr>
            <w:tcW w:w="753" w:type="pct"/>
            <w:tcBorders>
              <w:top w:val="nil"/>
              <w:left w:val="single" w:color="auto" w:sz="4" w:space="0"/>
              <w:bottom w:val="single" w:color="auto" w:sz="4" w:space="0"/>
              <w:right w:val="single" w:color="auto" w:sz="8" w:space="0"/>
            </w:tcBorders>
            <w:vAlign w:val="center"/>
          </w:tcPr>
          <w:p w14:paraId="4C24077F">
            <w:pPr>
              <w:spacing w:line="440" w:lineRule="atLeast"/>
              <w:jc w:val="right"/>
              <w:rPr>
                <w:rFonts w:ascii="仿宋" w:hAnsi="仿宋" w:eastAsia="仿宋" w:cs="仿宋"/>
                <w:sz w:val="20"/>
                <w:szCs w:val="20"/>
              </w:rPr>
            </w:pPr>
          </w:p>
        </w:tc>
      </w:tr>
      <w:tr w14:paraId="2D1BD742">
        <w:tblPrEx>
          <w:tblCellMar>
            <w:top w:w="0" w:type="dxa"/>
            <w:left w:w="108" w:type="dxa"/>
            <w:bottom w:w="0" w:type="dxa"/>
            <w:right w:w="108" w:type="dxa"/>
          </w:tblCellMar>
        </w:tblPrEx>
        <w:trPr>
          <w:trHeight w:val="300" w:hRule="atLeast"/>
        </w:trPr>
        <w:tc>
          <w:tcPr>
            <w:tcW w:w="1027" w:type="pct"/>
            <w:tcBorders>
              <w:top w:val="nil"/>
              <w:left w:val="single" w:color="auto" w:sz="8" w:space="0"/>
              <w:bottom w:val="single" w:color="auto" w:sz="4" w:space="0"/>
              <w:right w:val="single" w:color="auto" w:sz="4" w:space="0"/>
            </w:tcBorders>
            <w:vAlign w:val="center"/>
          </w:tcPr>
          <w:p w14:paraId="3525A847">
            <w:pPr>
              <w:spacing w:line="440" w:lineRule="atLeast"/>
              <w:jc w:val="left"/>
              <w:rPr>
                <w:rFonts w:ascii="仿宋" w:hAnsi="仿宋" w:eastAsia="仿宋" w:cs="仿宋"/>
                <w:kern w:val="0"/>
                <w:sz w:val="24"/>
              </w:rPr>
            </w:pPr>
            <w:r>
              <w:rPr>
                <w:rFonts w:hint="eastAsia" w:ascii="仿宋" w:hAnsi="仿宋" w:eastAsia="仿宋" w:cs="仿宋"/>
                <w:kern w:val="0"/>
                <w:sz w:val="24"/>
              </w:rPr>
              <w:t>衍生金融负债</w:t>
            </w:r>
          </w:p>
        </w:tc>
        <w:tc>
          <w:tcPr>
            <w:tcW w:w="831" w:type="pct"/>
            <w:tcBorders>
              <w:top w:val="nil"/>
              <w:left w:val="nil"/>
              <w:bottom w:val="single" w:color="auto" w:sz="4" w:space="0"/>
              <w:right w:val="single" w:color="auto" w:sz="4" w:space="0"/>
            </w:tcBorders>
            <w:vAlign w:val="center"/>
          </w:tcPr>
          <w:p w14:paraId="4CEC5186">
            <w:pPr>
              <w:spacing w:line="440" w:lineRule="atLeast"/>
              <w:jc w:val="right"/>
              <w:rPr>
                <w:rFonts w:ascii="仿宋" w:hAnsi="仿宋" w:eastAsia="仿宋" w:cs="仿宋"/>
                <w:sz w:val="20"/>
                <w:szCs w:val="20"/>
              </w:rPr>
            </w:pPr>
          </w:p>
        </w:tc>
        <w:tc>
          <w:tcPr>
            <w:tcW w:w="871" w:type="pct"/>
            <w:tcBorders>
              <w:top w:val="nil"/>
              <w:left w:val="nil"/>
              <w:bottom w:val="single" w:color="auto" w:sz="4" w:space="0"/>
              <w:right w:val="single" w:color="auto" w:sz="4" w:space="0"/>
            </w:tcBorders>
            <w:vAlign w:val="center"/>
          </w:tcPr>
          <w:p w14:paraId="2FC0B3F9">
            <w:pPr>
              <w:spacing w:line="440" w:lineRule="atLeast"/>
              <w:jc w:val="right"/>
              <w:rPr>
                <w:rFonts w:ascii="仿宋" w:hAnsi="仿宋" w:eastAsia="仿宋" w:cs="仿宋"/>
                <w:sz w:val="20"/>
                <w:szCs w:val="20"/>
              </w:rPr>
            </w:pPr>
          </w:p>
        </w:tc>
        <w:tc>
          <w:tcPr>
            <w:tcW w:w="763" w:type="pct"/>
            <w:tcBorders>
              <w:top w:val="nil"/>
              <w:left w:val="nil"/>
              <w:bottom w:val="single" w:color="auto" w:sz="4" w:space="0"/>
              <w:right w:val="single" w:color="auto" w:sz="4" w:space="0"/>
            </w:tcBorders>
            <w:vAlign w:val="center"/>
          </w:tcPr>
          <w:p w14:paraId="41DD7999">
            <w:pPr>
              <w:spacing w:line="440" w:lineRule="atLeast"/>
              <w:jc w:val="right"/>
              <w:rPr>
                <w:rFonts w:ascii="仿宋" w:hAnsi="仿宋" w:eastAsia="仿宋" w:cs="仿宋"/>
                <w:sz w:val="20"/>
                <w:szCs w:val="20"/>
              </w:rPr>
            </w:pPr>
          </w:p>
        </w:tc>
        <w:tc>
          <w:tcPr>
            <w:tcW w:w="753" w:type="pct"/>
            <w:tcBorders>
              <w:top w:val="nil"/>
              <w:left w:val="nil"/>
              <w:bottom w:val="single" w:color="auto" w:sz="4" w:space="0"/>
              <w:right w:val="single" w:color="auto" w:sz="4" w:space="0"/>
            </w:tcBorders>
            <w:vAlign w:val="center"/>
          </w:tcPr>
          <w:p w14:paraId="1E10E4CC">
            <w:pPr>
              <w:spacing w:line="440" w:lineRule="atLeast"/>
              <w:jc w:val="right"/>
              <w:rPr>
                <w:rFonts w:ascii="仿宋" w:hAnsi="仿宋" w:eastAsia="仿宋" w:cs="仿宋"/>
                <w:sz w:val="20"/>
                <w:szCs w:val="20"/>
              </w:rPr>
            </w:pPr>
          </w:p>
        </w:tc>
        <w:tc>
          <w:tcPr>
            <w:tcW w:w="753" w:type="pct"/>
            <w:tcBorders>
              <w:top w:val="nil"/>
              <w:left w:val="single" w:color="auto" w:sz="4" w:space="0"/>
              <w:bottom w:val="single" w:color="auto" w:sz="4" w:space="0"/>
              <w:right w:val="single" w:color="auto" w:sz="8" w:space="0"/>
            </w:tcBorders>
            <w:vAlign w:val="center"/>
          </w:tcPr>
          <w:p w14:paraId="12623890">
            <w:pPr>
              <w:spacing w:line="440" w:lineRule="atLeast"/>
              <w:jc w:val="right"/>
              <w:rPr>
                <w:rFonts w:ascii="仿宋" w:hAnsi="仿宋" w:eastAsia="仿宋" w:cs="仿宋"/>
                <w:sz w:val="20"/>
                <w:szCs w:val="20"/>
              </w:rPr>
            </w:pPr>
          </w:p>
        </w:tc>
      </w:tr>
      <w:tr w14:paraId="17D79C00">
        <w:trPr>
          <w:trHeight w:val="300" w:hRule="atLeast"/>
        </w:trPr>
        <w:tc>
          <w:tcPr>
            <w:tcW w:w="1027" w:type="pct"/>
            <w:tcBorders>
              <w:top w:val="nil"/>
              <w:left w:val="single" w:color="auto" w:sz="8" w:space="0"/>
              <w:bottom w:val="single" w:color="auto" w:sz="4" w:space="0"/>
              <w:right w:val="single" w:color="auto" w:sz="4" w:space="0"/>
            </w:tcBorders>
            <w:vAlign w:val="center"/>
          </w:tcPr>
          <w:p w14:paraId="79F0C6E8">
            <w:pPr>
              <w:spacing w:line="440" w:lineRule="atLeast"/>
              <w:jc w:val="left"/>
              <w:rPr>
                <w:rFonts w:ascii="仿宋" w:hAnsi="仿宋" w:eastAsia="仿宋" w:cs="仿宋"/>
                <w:kern w:val="0"/>
                <w:sz w:val="24"/>
              </w:rPr>
            </w:pPr>
            <w:r>
              <w:rPr>
                <w:rFonts w:hint="eastAsia" w:ascii="仿宋" w:hAnsi="仿宋" w:eastAsia="仿宋" w:cs="仿宋"/>
                <w:kern w:val="0"/>
                <w:sz w:val="24"/>
              </w:rPr>
              <w:t>卖出回购金融资产款项</w:t>
            </w:r>
          </w:p>
        </w:tc>
        <w:tc>
          <w:tcPr>
            <w:tcW w:w="831" w:type="pct"/>
            <w:tcBorders>
              <w:top w:val="nil"/>
              <w:left w:val="nil"/>
              <w:bottom w:val="single" w:color="auto" w:sz="4" w:space="0"/>
              <w:right w:val="single" w:color="auto" w:sz="4" w:space="0"/>
            </w:tcBorders>
            <w:vAlign w:val="center"/>
          </w:tcPr>
          <w:p w14:paraId="66AE7ADB">
            <w:pPr>
              <w:spacing w:line="440" w:lineRule="atLeast"/>
              <w:jc w:val="right"/>
              <w:rPr>
                <w:rFonts w:ascii="仿宋" w:hAnsi="仿宋" w:eastAsia="仿宋" w:cs="仿宋"/>
                <w:sz w:val="20"/>
                <w:szCs w:val="20"/>
              </w:rPr>
            </w:pPr>
          </w:p>
        </w:tc>
        <w:tc>
          <w:tcPr>
            <w:tcW w:w="871" w:type="pct"/>
            <w:tcBorders>
              <w:top w:val="nil"/>
              <w:left w:val="nil"/>
              <w:bottom w:val="single" w:color="auto" w:sz="4" w:space="0"/>
              <w:right w:val="single" w:color="auto" w:sz="4" w:space="0"/>
            </w:tcBorders>
            <w:vAlign w:val="center"/>
          </w:tcPr>
          <w:p w14:paraId="43664B47">
            <w:pPr>
              <w:spacing w:line="440" w:lineRule="atLeast"/>
              <w:jc w:val="right"/>
              <w:rPr>
                <w:rFonts w:ascii="仿宋" w:hAnsi="仿宋" w:eastAsia="仿宋" w:cs="仿宋"/>
                <w:sz w:val="20"/>
                <w:szCs w:val="20"/>
              </w:rPr>
            </w:pPr>
          </w:p>
        </w:tc>
        <w:tc>
          <w:tcPr>
            <w:tcW w:w="763" w:type="pct"/>
            <w:tcBorders>
              <w:top w:val="nil"/>
              <w:left w:val="nil"/>
              <w:bottom w:val="single" w:color="auto" w:sz="4" w:space="0"/>
              <w:right w:val="single" w:color="auto" w:sz="4" w:space="0"/>
            </w:tcBorders>
            <w:vAlign w:val="center"/>
          </w:tcPr>
          <w:p w14:paraId="5F622DB9">
            <w:pPr>
              <w:spacing w:line="440" w:lineRule="atLeast"/>
              <w:jc w:val="right"/>
              <w:rPr>
                <w:rFonts w:ascii="仿宋" w:hAnsi="仿宋" w:eastAsia="仿宋" w:cs="仿宋"/>
                <w:sz w:val="20"/>
                <w:szCs w:val="20"/>
              </w:rPr>
            </w:pPr>
          </w:p>
        </w:tc>
        <w:tc>
          <w:tcPr>
            <w:tcW w:w="753" w:type="pct"/>
            <w:tcBorders>
              <w:top w:val="nil"/>
              <w:left w:val="nil"/>
              <w:bottom w:val="single" w:color="auto" w:sz="4" w:space="0"/>
              <w:right w:val="single" w:color="auto" w:sz="4" w:space="0"/>
            </w:tcBorders>
            <w:vAlign w:val="center"/>
          </w:tcPr>
          <w:p w14:paraId="4F95FDC9">
            <w:pPr>
              <w:spacing w:line="440" w:lineRule="atLeast"/>
              <w:jc w:val="right"/>
              <w:rPr>
                <w:rFonts w:ascii="仿宋" w:hAnsi="仿宋" w:eastAsia="仿宋" w:cs="仿宋"/>
                <w:sz w:val="20"/>
                <w:szCs w:val="20"/>
              </w:rPr>
            </w:pPr>
          </w:p>
        </w:tc>
        <w:tc>
          <w:tcPr>
            <w:tcW w:w="753" w:type="pct"/>
            <w:tcBorders>
              <w:top w:val="nil"/>
              <w:left w:val="single" w:color="auto" w:sz="4" w:space="0"/>
              <w:bottom w:val="single" w:color="auto" w:sz="4" w:space="0"/>
              <w:right w:val="single" w:color="auto" w:sz="8" w:space="0"/>
            </w:tcBorders>
            <w:vAlign w:val="center"/>
          </w:tcPr>
          <w:p w14:paraId="71AF5C0B">
            <w:pPr>
              <w:spacing w:line="440" w:lineRule="atLeast"/>
              <w:jc w:val="right"/>
              <w:rPr>
                <w:rFonts w:ascii="仿宋" w:hAnsi="仿宋" w:eastAsia="仿宋" w:cs="仿宋"/>
                <w:sz w:val="20"/>
                <w:szCs w:val="20"/>
              </w:rPr>
            </w:pPr>
          </w:p>
        </w:tc>
      </w:tr>
      <w:tr w14:paraId="34730BD5">
        <w:tblPrEx>
          <w:tblCellMar>
            <w:top w:w="0" w:type="dxa"/>
            <w:left w:w="108" w:type="dxa"/>
            <w:bottom w:w="0" w:type="dxa"/>
            <w:right w:w="108" w:type="dxa"/>
          </w:tblCellMar>
        </w:tblPrEx>
        <w:trPr>
          <w:trHeight w:val="300" w:hRule="atLeast"/>
        </w:trPr>
        <w:tc>
          <w:tcPr>
            <w:tcW w:w="1027" w:type="pct"/>
            <w:tcBorders>
              <w:top w:val="nil"/>
              <w:left w:val="single" w:color="auto" w:sz="8" w:space="0"/>
              <w:bottom w:val="single" w:color="auto" w:sz="4" w:space="0"/>
              <w:right w:val="single" w:color="auto" w:sz="4" w:space="0"/>
            </w:tcBorders>
            <w:vAlign w:val="center"/>
          </w:tcPr>
          <w:p w14:paraId="7CE08131">
            <w:pPr>
              <w:spacing w:line="440" w:lineRule="atLeast"/>
              <w:jc w:val="left"/>
              <w:rPr>
                <w:rFonts w:ascii="仿宋" w:hAnsi="仿宋" w:eastAsia="仿宋" w:cs="仿宋"/>
                <w:kern w:val="0"/>
                <w:sz w:val="24"/>
              </w:rPr>
            </w:pPr>
            <w:r>
              <w:rPr>
                <w:rFonts w:hint="eastAsia" w:ascii="仿宋" w:hAnsi="仿宋" w:eastAsia="仿宋" w:cs="仿宋"/>
                <w:kern w:val="0"/>
                <w:sz w:val="24"/>
              </w:rPr>
              <w:t>吸收存款</w:t>
            </w:r>
          </w:p>
        </w:tc>
        <w:tc>
          <w:tcPr>
            <w:tcW w:w="831" w:type="pct"/>
            <w:tcBorders>
              <w:top w:val="nil"/>
              <w:left w:val="nil"/>
              <w:bottom w:val="single" w:color="auto" w:sz="4" w:space="0"/>
              <w:right w:val="single" w:color="auto" w:sz="4" w:space="0"/>
            </w:tcBorders>
            <w:vAlign w:val="center"/>
          </w:tcPr>
          <w:p w14:paraId="0C3AD350">
            <w:pPr>
              <w:spacing w:line="440" w:lineRule="atLeast"/>
              <w:jc w:val="right"/>
              <w:rPr>
                <w:rFonts w:ascii="仿宋" w:hAnsi="仿宋" w:eastAsia="仿宋" w:cs="仿宋"/>
                <w:sz w:val="20"/>
                <w:szCs w:val="20"/>
              </w:rPr>
            </w:pPr>
            <w:r>
              <w:rPr>
                <w:rFonts w:hint="eastAsia" w:ascii="仿宋" w:hAnsi="仿宋" w:eastAsia="仿宋" w:cs="仿宋"/>
                <w:sz w:val="20"/>
                <w:szCs w:val="20"/>
              </w:rPr>
              <w:t>176,480,100.00</w:t>
            </w:r>
          </w:p>
        </w:tc>
        <w:tc>
          <w:tcPr>
            <w:tcW w:w="871" w:type="pct"/>
            <w:tcBorders>
              <w:top w:val="nil"/>
              <w:left w:val="nil"/>
              <w:bottom w:val="single" w:color="auto" w:sz="4" w:space="0"/>
              <w:right w:val="single" w:color="auto" w:sz="4" w:space="0"/>
            </w:tcBorders>
            <w:vAlign w:val="center"/>
          </w:tcPr>
          <w:p w14:paraId="4A945582">
            <w:pPr>
              <w:spacing w:line="440" w:lineRule="atLeast"/>
              <w:jc w:val="right"/>
              <w:rPr>
                <w:rFonts w:ascii="仿宋" w:hAnsi="仿宋" w:eastAsia="仿宋" w:cs="仿宋"/>
                <w:sz w:val="20"/>
                <w:szCs w:val="20"/>
              </w:rPr>
            </w:pPr>
            <w:r>
              <w:rPr>
                <w:rFonts w:hint="eastAsia" w:ascii="仿宋" w:hAnsi="仿宋" w:eastAsia="仿宋" w:cs="仿宋"/>
                <w:sz w:val="20"/>
                <w:szCs w:val="20"/>
              </w:rPr>
              <w:t>194,128,100.00</w:t>
            </w:r>
          </w:p>
        </w:tc>
        <w:tc>
          <w:tcPr>
            <w:tcW w:w="763" w:type="pct"/>
            <w:tcBorders>
              <w:top w:val="nil"/>
              <w:left w:val="nil"/>
              <w:bottom w:val="single" w:color="auto" w:sz="4" w:space="0"/>
              <w:right w:val="single" w:color="auto" w:sz="4" w:space="0"/>
            </w:tcBorders>
            <w:vAlign w:val="center"/>
          </w:tcPr>
          <w:p w14:paraId="11E812EB">
            <w:pPr>
              <w:spacing w:line="440" w:lineRule="atLeast"/>
              <w:jc w:val="right"/>
              <w:rPr>
                <w:rFonts w:ascii="仿宋" w:hAnsi="仿宋" w:eastAsia="仿宋" w:cs="仿宋"/>
                <w:sz w:val="20"/>
                <w:szCs w:val="20"/>
              </w:rPr>
            </w:pPr>
            <w:r>
              <w:rPr>
                <w:rFonts w:hint="eastAsia" w:ascii="仿宋" w:hAnsi="仿宋" w:eastAsia="仿宋" w:cs="仿宋"/>
                <w:sz w:val="20"/>
                <w:szCs w:val="20"/>
              </w:rPr>
              <w:t>213,540,900.00</w:t>
            </w:r>
          </w:p>
        </w:tc>
        <w:tc>
          <w:tcPr>
            <w:tcW w:w="753" w:type="pct"/>
            <w:tcBorders>
              <w:top w:val="nil"/>
              <w:left w:val="nil"/>
              <w:bottom w:val="single" w:color="auto" w:sz="4" w:space="0"/>
              <w:right w:val="single" w:color="auto" w:sz="4" w:space="0"/>
            </w:tcBorders>
            <w:vAlign w:val="center"/>
          </w:tcPr>
          <w:p w14:paraId="0548AFF8">
            <w:pPr>
              <w:spacing w:line="440" w:lineRule="atLeast"/>
              <w:jc w:val="right"/>
              <w:rPr>
                <w:rFonts w:ascii="仿宋" w:hAnsi="仿宋" w:eastAsia="仿宋" w:cs="仿宋"/>
                <w:sz w:val="20"/>
                <w:szCs w:val="20"/>
              </w:rPr>
            </w:pPr>
            <w:r>
              <w:rPr>
                <w:rFonts w:hint="eastAsia" w:ascii="仿宋" w:hAnsi="仿宋" w:eastAsia="仿宋" w:cs="仿宋"/>
                <w:sz w:val="20"/>
                <w:szCs w:val="20"/>
              </w:rPr>
              <w:t>232,759,600.00</w:t>
            </w:r>
          </w:p>
        </w:tc>
        <w:tc>
          <w:tcPr>
            <w:tcW w:w="753" w:type="pct"/>
            <w:tcBorders>
              <w:top w:val="nil"/>
              <w:left w:val="single" w:color="auto" w:sz="4" w:space="0"/>
              <w:bottom w:val="single" w:color="auto" w:sz="4" w:space="0"/>
              <w:right w:val="single" w:color="auto" w:sz="8" w:space="0"/>
            </w:tcBorders>
            <w:vAlign w:val="center"/>
          </w:tcPr>
          <w:p w14:paraId="15D00EBC">
            <w:pPr>
              <w:spacing w:line="440" w:lineRule="atLeast"/>
              <w:jc w:val="right"/>
              <w:rPr>
                <w:rFonts w:ascii="仿宋" w:hAnsi="仿宋" w:eastAsia="仿宋" w:cs="仿宋"/>
                <w:sz w:val="20"/>
                <w:szCs w:val="20"/>
              </w:rPr>
            </w:pPr>
            <w:r>
              <w:rPr>
                <w:rFonts w:hint="eastAsia" w:ascii="仿宋" w:hAnsi="仿宋" w:eastAsia="仿宋" w:cs="仿宋"/>
                <w:sz w:val="20"/>
                <w:szCs w:val="20"/>
              </w:rPr>
              <w:t>251,380,400.00</w:t>
            </w:r>
          </w:p>
        </w:tc>
      </w:tr>
      <w:tr w14:paraId="4285D759">
        <w:tblPrEx>
          <w:tblCellMar>
            <w:top w:w="0" w:type="dxa"/>
            <w:left w:w="108" w:type="dxa"/>
            <w:bottom w:w="0" w:type="dxa"/>
            <w:right w:w="108" w:type="dxa"/>
          </w:tblCellMar>
        </w:tblPrEx>
        <w:trPr>
          <w:trHeight w:val="300" w:hRule="atLeast"/>
        </w:trPr>
        <w:tc>
          <w:tcPr>
            <w:tcW w:w="1027" w:type="pct"/>
            <w:tcBorders>
              <w:top w:val="nil"/>
              <w:left w:val="single" w:color="auto" w:sz="8" w:space="0"/>
              <w:bottom w:val="single" w:color="auto" w:sz="4" w:space="0"/>
              <w:right w:val="single" w:color="auto" w:sz="4" w:space="0"/>
            </w:tcBorders>
            <w:vAlign w:val="center"/>
          </w:tcPr>
          <w:p w14:paraId="71AC2C4B">
            <w:pPr>
              <w:spacing w:line="440" w:lineRule="atLeast"/>
              <w:jc w:val="left"/>
              <w:rPr>
                <w:rFonts w:ascii="仿宋" w:hAnsi="仿宋" w:eastAsia="仿宋" w:cs="仿宋"/>
                <w:kern w:val="0"/>
                <w:sz w:val="24"/>
              </w:rPr>
            </w:pPr>
            <w:r>
              <w:rPr>
                <w:rFonts w:hint="eastAsia" w:ascii="仿宋" w:hAnsi="仿宋" w:eastAsia="仿宋" w:cs="仿宋"/>
                <w:kern w:val="0"/>
                <w:sz w:val="24"/>
              </w:rPr>
              <w:t>应付职工薪酬</w:t>
            </w:r>
          </w:p>
        </w:tc>
        <w:tc>
          <w:tcPr>
            <w:tcW w:w="831" w:type="pct"/>
            <w:tcBorders>
              <w:top w:val="nil"/>
              <w:left w:val="nil"/>
              <w:bottom w:val="single" w:color="auto" w:sz="4" w:space="0"/>
              <w:right w:val="single" w:color="auto" w:sz="4" w:space="0"/>
            </w:tcBorders>
            <w:vAlign w:val="center"/>
          </w:tcPr>
          <w:p w14:paraId="3E54D1E2">
            <w:pPr>
              <w:spacing w:line="440" w:lineRule="atLeast"/>
              <w:jc w:val="right"/>
              <w:rPr>
                <w:rFonts w:ascii="仿宋" w:hAnsi="仿宋" w:eastAsia="仿宋" w:cs="仿宋"/>
                <w:sz w:val="20"/>
                <w:szCs w:val="20"/>
              </w:rPr>
            </w:pPr>
            <w:r>
              <w:rPr>
                <w:rFonts w:hint="eastAsia" w:ascii="仿宋" w:hAnsi="仿宋" w:eastAsia="仿宋" w:cs="仿宋"/>
                <w:sz w:val="20"/>
                <w:szCs w:val="20"/>
              </w:rPr>
              <w:t>810,546.27</w:t>
            </w:r>
          </w:p>
        </w:tc>
        <w:tc>
          <w:tcPr>
            <w:tcW w:w="871" w:type="pct"/>
            <w:tcBorders>
              <w:top w:val="nil"/>
              <w:left w:val="nil"/>
              <w:bottom w:val="single" w:color="auto" w:sz="4" w:space="0"/>
              <w:right w:val="single" w:color="auto" w:sz="4" w:space="0"/>
            </w:tcBorders>
            <w:vAlign w:val="center"/>
          </w:tcPr>
          <w:p w14:paraId="55A93A15">
            <w:pPr>
              <w:spacing w:line="440" w:lineRule="atLeast"/>
              <w:jc w:val="right"/>
              <w:rPr>
                <w:rFonts w:ascii="仿宋" w:hAnsi="仿宋" w:eastAsia="仿宋" w:cs="仿宋"/>
                <w:sz w:val="20"/>
                <w:szCs w:val="20"/>
              </w:rPr>
            </w:pPr>
            <w:r>
              <w:rPr>
                <w:rFonts w:hint="eastAsia" w:ascii="仿宋" w:hAnsi="仿宋" w:eastAsia="仿宋" w:cs="仿宋"/>
                <w:sz w:val="20"/>
                <w:szCs w:val="20"/>
              </w:rPr>
              <w:t>810,546.27</w:t>
            </w:r>
          </w:p>
        </w:tc>
        <w:tc>
          <w:tcPr>
            <w:tcW w:w="763" w:type="pct"/>
            <w:tcBorders>
              <w:top w:val="nil"/>
              <w:left w:val="nil"/>
              <w:bottom w:val="single" w:color="auto" w:sz="4" w:space="0"/>
              <w:right w:val="single" w:color="auto" w:sz="4" w:space="0"/>
            </w:tcBorders>
            <w:vAlign w:val="center"/>
          </w:tcPr>
          <w:p w14:paraId="4B39D1ED">
            <w:pPr>
              <w:spacing w:line="440" w:lineRule="atLeast"/>
              <w:jc w:val="right"/>
              <w:rPr>
                <w:rFonts w:ascii="仿宋" w:hAnsi="仿宋" w:eastAsia="仿宋" w:cs="仿宋"/>
                <w:sz w:val="20"/>
                <w:szCs w:val="20"/>
              </w:rPr>
            </w:pPr>
            <w:r>
              <w:rPr>
                <w:rFonts w:hint="eastAsia" w:ascii="仿宋" w:hAnsi="仿宋" w:eastAsia="仿宋" w:cs="仿宋"/>
                <w:sz w:val="20"/>
                <w:szCs w:val="20"/>
              </w:rPr>
              <w:t>810,546.27</w:t>
            </w:r>
          </w:p>
        </w:tc>
        <w:tc>
          <w:tcPr>
            <w:tcW w:w="753" w:type="pct"/>
            <w:tcBorders>
              <w:top w:val="nil"/>
              <w:left w:val="nil"/>
              <w:bottom w:val="single" w:color="auto" w:sz="4" w:space="0"/>
              <w:right w:val="single" w:color="auto" w:sz="4" w:space="0"/>
            </w:tcBorders>
            <w:vAlign w:val="center"/>
          </w:tcPr>
          <w:p w14:paraId="4144524A">
            <w:pPr>
              <w:spacing w:line="440" w:lineRule="atLeast"/>
              <w:jc w:val="right"/>
              <w:rPr>
                <w:rFonts w:ascii="仿宋" w:hAnsi="仿宋" w:eastAsia="仿宋" w:cs="仿宋"/>
                <w:sz w:val="20"/>
                <w:szCs w:val="20"/>
              </w:rPr>
            </w:pPr>
            <w:r>
              <w:rPr>
                <w:rFonts w:hint="eastAsia" w:ascii="仿宋" w:hAnsi="仿宋" w:eastAsia="仿宋" w:cs="仿宋"/>
                <w:sz w:val="20"/>
                <w:szCs w:val="20"/>
              </w:rPr>
              <w:t>810,546.27</w:t>
            </w:r>
          </w:p>
        </w:tc>
        <w:tc>
          <w:tcPr>
            <w:tcW w:w="753" w:type="pct"/>
            <w:tcBorders>
              <w:top w:val="nil"/>
              <w:left w:val="single" w:color="auto" w:sz="4" w:space="0"/>
              <w:bottom w:val="single" w:color="auto" w:sz="4" w:space="0"/>
              <w:right w:val="single" w:color="auto" w:sz="8" w:space="0"/>
            </w:tcBorders>
            <w:vAlign w:val="center"/>
          </w:tcPr>
          <w:p w14:paraId="264819BA">
            <w:pPr>
              <w:spacing w:line="440" w:lineRule="atLeast"/>
              <w:jc w:val="right"/>
              <w:rPr>
                <w:rFonts w:ascii="仿宋" w:hAnsi="仿宋" w:eastAsia="仿宋" w:cs="仿宋"/>
                <w:sz w:val="20"/>
                <w:szCs w:val="20"/>
              </w:rPr>
            </w:pPr>
            <w:r>
              <w:rPr>
                <w:rFonts w:hint="eastAsia" w:ascii="仿宋" w:hAnsi="仿宋" w:eastAsia="仿宋" w:cs="仿宋"/>
                <w:sz w:val="20"/>
                <w:szCs w:val="20"/>
              </w:rPr>
              <w:t>810,546.27</w:t>
            </w:r>
          </w:p>
        </w:tc>
      </w:tr>
      <w:tr w14:paraId="4D166EEC">
        <w:tblPrEx>
          <w:tblCellMar>
            <w:top w:w="0" w:type="dxa"/>
            <w:left w:w="108" w:type="dxa"/>
            <w:bottom w:w="0" w:type="dxa"/>
            <w:right w:w="108" w:type="dxa"/>
          </w:tblCellMar>
        </w:tblPrEx>
        <w:trPr>
          <w:trHeight w:val="300" w:hRule="atLeast"/>
        </w:trPr>
        <w:tc>
          <w:tcPr>
            <w:tcW w:w="1027" w:type="pct"/>
            <w:tcBorders>
              <w:top w:val="nil"/>
              <w:left w:val="single" w:color="auto" w:sz="8" w:space="0"/>
              <w:bottom w:val="single" w:color="auto" w:sz="4" w:space="0"/>
              <w:right w:val="single" w:color="auto" w:sz="4" w:space="0"/>
            </w:tcBorders>
            <w:vAlign w:val="center"/>
          </w:tcPr>
          <w:p w14:paraId="7E556EDB">
            <w:pPr>
              <w:spacing w:line="440" w:lineRule="atLeast"/>
              <w:jc w:val="left"/>
              <w:rPr>
                <w:rFonts w:ascii="仿宋" w:hAnsi="仿宋" w:eastAsia="仿宋" w:cs="仿宋"/>
                <w:kern w:val="0"/>
                <w:sz w:val="24"/>
              </w:rPr>
            </w:pPr>
            <w:r>
              <w:rPr>
                <w:rFonts w:hint="eastAsia" w:ascii="仿宋" w:hAnsi="仿宋" w:eastAsia="仿宋" w:cs="仿宋"/>
                <w:kern w:val="0"/>
                <w:sz w:val="24"/>
              </w:rPr>
              <w:t>应交税费</w:t>
            </w:r>
          </w:p>
        </w:tc>
        <w:tc>
          <w:tcPr>
            <w:tcW w:w="831" w:type="pct"/>
            <w:tcBorders>
              <w:top w:val="nil"/>
              <w:left w:val="nil"/>
              <w:bottom w:val="single" w:color="auto" w:sz="4" w:space="0"/>
              <w:right w:val="single" w:color="auto" w:sz="4" w:space="0"/>
            </w:tcBorders>
            <w:vAlign w:val="center"/>
          </w:tcPr>
          <w:p w14:paraId="1528A1D4">
            <w:pPr>
              <w:spacing w:line="440" w:lineRule="atLeast"/>
              <w:jc w:val="right"/>
              <w:rPr>
                <w:rFonts w:ascii="仿宋" w:hAnsi="仿宋" w:eastAsia="仿宋" w:cs="仿宋"/>
                <w:sz w:val="20"/>
                <w:szCs w:val="20"/>
              </w:rPr>
            </w:pPr>
            <w:r>
              <w:rPr>
                <w:rFonts w:hint="eastAsia" w:ascii="仿宋" w:hAnsi="仿宋" w:eastAsia="仿宋" w:cs="仿宋"/>
                <w:sz w:val="20"/>
                <w:szCs w:val="20"/>
              </w:rPr>
              <w:t>257,846.62</w:t>
            </w:r>
          </w:p>
        </w:tc>
        <w:tc>
          <w:tcPr>
            <w:tcW w:w="871" w:type="pct"/>
            <w:tcBorders>
              <w:top w:val="nil"/>
              <w:left w:val="nil"/>
              <w:bottom w:val="single" w:color="auto" w:sz="4" w:space="0"/>
              <w:right w:val="single" w:color="auto" w:sz="4" w:space="0"/>
            </w:tcBorders>
            <w:vAlign w:val="center"/>
          </w:tcPr>
          <w:p w14:paraId="08E4EFCE">
            <w:pPr>
              <w:spacing w:line="440" w:lineRule="atLeast"/>
              <w:jc w:val="right"/>
              <w:rPr>
                <w:rFonts w:ascii="仿宋" w:hAnsi="仿宋" w:eastAsia="仿宋" w:cs="仿宋"/>
                <w:sz w:val="20"/>
                <w:szCs w:val="20"/>
              </w:rPr>
            </w:pPr>
            <w:r>
              <w:rPr>
                <w:rFonts w:hint="eastAsia" w:ascii="仿宋" w:hAnsi="仿宋" w:eastAsia="仿宋" w:cs="仿宋"/>
                <w:sz w:val="20"/>
                <w:szCs w:val="20"/>
              </w:rPr>
              <w:t>257,846.62</w:t>
            </w:r>
          </w:p>
        </w:tc>
        <w:tc>
          <w:tcPr>
            <w:tcW w:w="763" w:type="pct"/>
            <w:tcBorders>
              <w:top w:val="nil"/>
              <w:left w:val="nil"/>
              <w:bottom w:val="single" w:color="auto" w:sz="4" w:space="0"/>
              <w:right w:val="single" w:color="auto" w:sz="4" w:space="0"/>
            </w:tcBorders>
            <w:vAlign w:val="center"/>
          </w:tcPr>
          <w:p w14:paraId="0BA13F66">
            <w:pPr>
              <w:spacing w:line="440" w:lineRule="atLeast"/>
              <w:jc w:val="right"/>
              <w:rPr>
                <w:rFonts w:ascii="仿宋" w:hAnsi="仿宋" w:eastAsia="仿宋" w:cs="仿宋"/>
                <w:sz w:val="20"/>
                <w:szCs w:val="20"/>
              </w:rPr>
            </w:pPr>
            <w:r>
              <w:rPr>
                <w:rFonts w:hint="eastAsia" w:ascii="仿宋" w:hAnsi="仿宋" w:eastAsia="仿宋" w:cs="仿宋"/>
                <w:sz w:val="20"/>
                <w:szCs w:val="20"/>
              </w:rPr>
              <w:t>257,846.62</w:t>
            </w:r>
          </w:p>
        </w:tc>
        <w:tc>
          <w:tcPr>
            <w:tcW w:w="753" w:type="pct"/>
            <w:tcBorders>
              <w:top w:val="nil"/>
              <w:left w:val="nil"/>
              <w:bottom w:val="single" w:color="auto" w:sz="4" w:space="0"/>
              <w:right w:val="single" w:color="auto" w:sz="4" w:space="0"/>
            </w:tcBorders>
            <w:vAlign w:val="center"/>
          </w:tcPr>
          <w:p w14:paraId="754E612E">
            <w:pPr>
              <w:spacing w:line="440" w:lineRule="atLeast"/>
              <w:jc w:val="right"/>
              <w:rPr>
                <w:rFonts w:ascii="仿宋" w:hAnsi="仿宋" w:eastAsia="仿宋" w:cs="仿宋"/>
                <w:sz w:val="20"/>
                <w:szCs w:val="20"/>
              </w:rPr>
            </w:pPr>
            <w:r>
              <w:rPr>
                <w:rFonts w:hint="eastAsia" w:ascii="仿宋" w:hAnsi="仿宋" w:eastAsia="仿宋" w:cs="仿宋"/>
                <w:sz w:val="20"/>
                <w:szCs w:val="20"/>
              </w:rPr>
              <w:t>257,846.62</w:t>
            </w:r>
          </w:p>
        </w:tc>
        <w:tc>
          <w:tcPr>
            <w:tcW w:w="753" w:type="pct"/>
            <w:tcBorders>
              <w:top w:val="nil"/>
              <w:left w:val="single" w:color="auto" w:sz="4" w:space="0"/>
              <w:bottom w:val="single" w:color="auto" w:sz="4" w:space="0"/>
              <w:right w:val="single" w:color="auto" w:sz="8" w:space="0"/>
            </w:tcBorders>
            <w:vAlign w:val="center"/>
          </w:tcPr>
          <w:p w14:paraId="6BFCFF78">
            <w:pPr>
              <w:spacing w:line="440" w:lineRule="atLeast"/>
              <w:jc w:val="right"/>
              <w:rPr>
                <w:rFonts w:ascii="仿宋" w:hAnsi="仿宋" w:eastAsia="仿宋" w:cs="仿宋"/>
                <w:sz w:val="20"/>
                <w:szCs w:val="20"/>
              </w:rPr>
            </w:pPr>
            <w:r>
              <w:rPr>
                <w:rFonts w:hint="eastAsia" w:ascii="仿宋" w:hAnsi="仿宋" w:eastAsia="仿宋" w:cs="仿宋"/>
                <w:sz w:val="20"/>
                <w:szCs w:val="20"/>
              </w:rPr>
              <w:t>257,846.62</w:t>
            </w:r>
          </w:p>
        </w:tc>
      </w:tr>
      <w:tr w14:paraId="78F352FD">
        <w:tblPrEx>
          <w:tblCellMar>
            <w:top w:w="0" w:type="dxa"/>
            <w:left w:w="108" w:type="dxa"/>
            <w:bottom w:w="0" w:type="dxa"/>
            <w:right w:w="108" w:type="dxa"/>
          </w:tblCellMar>
        </w:tblPrEx>
        <w:trPr>
          <w:trHeight w:val="300" w:hRule="atLeast"/>
        </w:trPr>
        <w:tc>
          <w:tcPr>
            <w:tcW w:w="1027" w:type="pct"/>
            <w:tcBorders>
              <w:top w:val="nil"/>
              <w:left w:val="single" w:color="auto" w:sz="8" w:space="0"/>
              <w:bottom w:val="single" w:color="auto" w:sz="4" w:space="0"/>
              <w:right w:val="single" w:color="auto" w:sz="4" w:space="0"/>
            </w:tcBorders>
            <w:vAlign w:val="center"/>
          </w:tcPr>
          <w:p w14:paraId="69153742">
            <w:pPr>
              <w:spacing w:line="440" w:lineRule="atLeast"/>
              <w:jc w:val="left"/>
              <w:rPr>
                <w:rFonts w:ascii="仿宋" w:hAnsi="仿宋" w:eastAsia="仿宋" w:cs="仿宋"/>
                <w:kern w:val="0"/>
                <w:sz w:val="24"/>
              </w:rPr>
            </w:pPr>
            <w:r>
              <w:rPr>
                <w:rFonts w:hint="eastAsia" w:ascii="仿宋" w:hAnsi="仿宋" w:eastAsia="仿宋" w:cs="仿宋"/>
                <w:kern w:val="0"/>
                <w:sz w:val="24"/>
              </w:rPr>
              <w:t>应付利息</w:t>
            </w:r>
          </w:p>
        </w:tc>
        <w:tc>
          <w:tcPr>
            <w:tcW w:w="831" w:type="pct"/>
            <w:tcBorders>
              <w:top w:val="nil"/>
              <w:left w:val="nil"/>
              <w:bottom w:val="single" w:color="auto" w:sz="4" w:space="0"/>
              <w:right w:val="single" w:color="auto" w:sz="4" w:space="0"/>
            </w:tcBorders>
            <w:vAlign w:val="center"/>
          </w:tcPr>
          <w:p w14:paraId="016DD236">
            <w:pPr>
              <w:spacing w:line="440" w:lineRule="atLeast"/>
              <w:jc w:val="right"/>
              <w:rPr>
                <w:rFonts w:ascii="仿宋" w:hAnsi="仿宋" w:eastAsia="仿宋" w:cs="仿宋"/>
                <w:sz w:val="20"/>
                <w:szCs w:val="20"/>
              </w:rPr>
            </w:pPr>
            <w:r>
              <w:rPr>
                <w:rFonts w:hint="eastAsia" w:ascii="仿宋" w:hAnsi="仿宋" w:eastAsia="仿宋" w:cs="仿宋"/>
                <w:sz w:val="20"/>
                <w:szCs w:val="20"/>
              </w:rPr>
              <w:t>2,077,869.22</w:t>
            </w:r>
          </w:p>
        </w:tc>
        <w:tc>
          <w:tcPr>
            <w:tcW w:w="871" w:type="pct"/>
            <w:tcBorders>
              <w:top w:val="nil"/>
              <w:left w:val="nil"/>
              <w:bottom w:val="single" w:color="auto" w:sz="4" w:space="0"/>
              <w:right w:val="single" w:color="auto" w:sz="4" w:space="0"/>
            </w:tcBorders>
            <w:vAlign w:val="center"/>
          </w:tcPr>
          <w:p w14:paraId="48A7A2E3">
            <w:pPr>
              <w:spacing w:line="440" w:lineRule="atLeast"/>
              <w:jc w:val="right"/>
              <w:rPr>
                <w:rFonts w:ascii="仿宋" w:hAnsi="仿宋" w:eastAsia="仿宋" w:cs="仿宋"/>
                <w:sz w:val="20"/>
                <w:szCs w:val="20"/>
              </w:rPr>
            </w:pPr>
            <w:r>
              <w:rPr>
                <w:rFonts w:hint="eastAsia" w:ascii="仿宋" w:hAnsi="仿宋" w:eastAsia="仿宋" w:cs="仿宋"/>
                <w:sz w:val="20"/>
                <w:szCs w:val="20"/>
              </w:rPr>
              <w:t>2,077,869.22</w:t>
            </w:r>
          </w:p>
        </w:tc>
        <w:tc>
          <w:tcPr>
            <w:tcW w:w="763" w:type="pct"/>
            <w:tcBorders>
              <w:top w:val="nil"/>
              <w:left w:val="nil"/>
              <w:bottom w:val="single" w:color="auto" w:sz="4" w:space="0"/>
              <w:right w:val="single" w:color="auto" w:sz="4" w:space="0"/>
            </w:tcBorders>
            <w:vAlign w:val="center"/>
          </w:tcPr>
          <w:p w14:paraId="1456779A">
            <w:pPr>
              <w:spacing w:line="440" w:lineRule="atLeast"/>
              <w:jc w:val="right"/>
              <w:rPr>
                <w:rFonts w:ascii="仿宋" w:hAnsi="仿宋" w:eastAsia="仿宋" w:cs="仿宋"/>
                <w:sz w:val="20"/>
                <w:szCs w:val="20"/>
              </w:rPr>
            </w:pPr>
            <w:r>
              <w:rPr>
                <w:rFonts w:hint="eastAsia" w:ascii="仿宋" w:hAnsi="仿宋" w:eastAsia="仿宋" w:cs="仿宋"/>
                <w:sz w:val="20"/>
                <w:szCs w:val="20"/>
              </w:rPr>
              <w:t>2,077,869.22</w:t>
            </w:r>
          </w:p>
        </w:tc>
        <w:tc>
          <w:tcPr>
            <w:tcW w:w="753" w:type="pct"/>
            <w:tcBorders>
              <w:top w:val="nil"/>
              <w:left w:val="nil"/>
              <w:bottom w:val="single" w:color="auto" w:sz="4" w:space="0"/>
              <w:right w:val="single" w:color="auto" w:sz="4" w:space="0"/>
            </w:tcBorders>
            <w:vAlign w:val="center"/>
          </w:tcPr>
          <w:p w14:paraId="317BBF4E">
            <w:pPr>
              <w:spacing w:line="440" w:lineRule="atLeast"/>
              <w:jc w:val="right"/>
              <w:rPr>
                <w:rFonts w:ascii="仿宋" w:hAnsi="仿宋" w:eastAsia="仿宋" w:cs="仿宋"/>
                <w:sz w:val="20"/>
                <w:szCs w:val="20"/>
              </w:rPr>
            </w:pPr>
            <w:r>
              <w:rPr>
                <w:rFonts w:hint="eastAsia" w:ascii="仿宋" w:hAnsi="仿宋" w:eastAsia="仿宋" w:cs="仿宋"/>
                <w:sz w:val="20"/>
                <w:szCs w:val="20"/>
              </w:rPr>
              <w:t>2,077,869.22</w:t>
            </w:r>
          </w:p>
        </w:tc>
        <w:tc>
          <w:tcPr>
            <w:tcW w:w="753" w:type="pct"/>
            <w:tcBorders>
              <w:top w:val="nil"/>
              <w:left w:val="single" w:color="auto" w:sz="4" w:space="0"/>
              <w:bottom w:val="single" w:color="auto" w:sz="4" w:space="0"/>
              <w:right w:val="single" w:color="auto" w:sz="8" w:space="0"/>
            </w:tcBorders>
            <w:vAlign w:val="center"/>
          </w:tcPr>
          <w:p w14:paraId="5F7E80C2">
            <w:pPr>
              <w:spacing w:line="440" w:lineRule="atLeast"/>
              <w:jc w:val="right"/>
              <w:rPr>
                <w:rFonts w:ascii="仿宋" w:hAnsi="仿宋" w:eastAsia="仿宋" w:cs="仿宋"/>
                <w:sz w:val="20"/>
                <w:szCs w:val="20"/>
              </w:rPr>
            </w:pPr>
            <w:r>
              <w:rPr>
                <w:rFonts w:hint="eastAsia" w:ascii="仿宋" w:hAnsi="仿宋" w:eastAsia="仿宋" w:cs="仿宋"/>
                <w:sz w:val="20"/>
                <w:szCs w:val="20"/>
              </w:rPr>
              <w:t>2,077,869.22</w:t>
            </w:r>
          </w:p>
        </w:tc>
      </w:tr>
      <w:tr w14:paraId="3652FA52">
        <w:tblPrEx>
          <w:tblCellMar>
            <w:top w:w="0" w:type="dxa"/>
            <w:left w:w="108" w:type="dxa"/>
            <w:bottom w:w="0" w:type="dxa"/>
            <w:right w:w="108" w:type="dxa"/>
          </w:tblCellMar>
        </w:tblPrEx>
        <w:trPr>
          <w:trHeight w:val="300" w:hRule="atLeast"/>
        </w:trPr>
        <w:tc>
          <w:tcPr>
            <w:tcW w:w="1027" w:type="pct"/>
            <w:tcBorders>
              <w:top w:val="nil"/>
              <w:left w:val="single" w:color="auto" w:sz="8" w:space="0"/>
              <w:bottom w:val="single" w:color="auto" w:sz="4" w:space="0"/>
              <w:right w:val="single" w:color="auto" w:sz="4" w:space="0"/>
            </w:tcBorders>
            <w:vAlign w:val="center"/>
          </w:tcPr>
          <w:p w14:paraId="01CDA20D">
            <w:pPr>
              <w:spacing w:line="440" w:lineRule="atLeast"/>
              <w:jc w:val="left"/>
              <w:rPr>
                <w:rFonts w:ascii="仿宋" w:hAnsi="仿宋" w:eastAsia="仿宋" w:cs="仿宋"/>
                <w:kern w:val="0"/>
                <w:sz w:val="24"/>
              </w:rPr>
            </w:pPr>
            <w:r>
              <w:rPr>
                <w:rFonts w:hint="eastAsia" w:ascii="仿宋" w:hAnsi="仿宋" w:eastAsia="仿宋" w:cs="仿宋"/>
                <w:kern w:val="0"/>
                <w:sz w:val="24"/>
              </w:rPr>
              <w:t>代理业务负债</w:t>
            </w:r>
          </w:p>
        </w:tc>
        <w:tc>
          <w:tcPr>
            <w:tcW w:w="831" w:type="pct"/>
            <w:tcBorders>
              <w:top w:val="nil"/>
              <w:left w:val="nil"/>
              <w:bottom w:val="single" w:color="auto" w:sz="4" w:space="0"/>
              <w:right w:val="single" w:color="auto" w:sz="4" w:space="0"/>
            </w:tcBorders>
            <w:vAlign w:val="center"/>
          </w:tcPr>
          <w:p w14:paraId="015E4261">
            <w:pPr>
              <w:spacing w:line="440" w:lineRule="atLeast"/>
              <w:jc w:val="right"/>
              <w:rPr>
                <w:rFonts w:ascii="仿宋" w:hAnsi="仿宋" w:eastAsia="仿宋" w:cs="仿宋"/>
                <w:sz w:val="20"/>
                <w:szCs w:val="20"/>
              </w:rPr>
            </w:pPr>
          </w:p>
        </w:tc>
        <w:tc>
          <w:tcPr>
            <w:tcW w:w="871" w:type="pct"/>
            <w:tcBorders>
              <w:top w:val="nil"/>
              <w:left w:val="nil"/>
              <w:bottom w:val="single" w:color="auto" w:sz="4" w:space="0"/>
              <w:right w:val="single" w:color="auto" w:sz="4" w:space="0"/>
            </w:tcBorders>
            <w:vAlign w:val="center"/>
          </w:tcPr>
          <w:p w14:paraId="68CFE3EC">
            <w:pPr>
              <w:spacing w:line="440" w:lineRule="atLeast"/>
              <w:jc w:val="right"/>
              <w:rPr>
                <w:rFonts w:ascii="仿宋" w:hAnsi="仿宋" w:eastAsia="仿宋" w:cs="仿宋"/>
                <w:sz w:val="20"/>
                <w:szCs w:val="20"/>
              </w:rPr>
            </w:pPr>
          </w:p>
        </w:tc>
        <w:tc>
          <w:tcPr>
            <w:tcW w:w="763" w:type="pct"/>
            <w:tcBorders>
              <w:top w:val="nil"/>
              <w:left w:val="nil"/>
              <w:bottom w:val="single" w:color="auto" w:sz="4" w:space="0"/>
              <w:right w:val="single" w:color="auto" w:sz="4" w:space="0"/>
            </w:tcBorders>
            <w:vAlign w:val="center"/>
          </w:tcPr>
          <w:p w14:paraId="1C6BE5C8">
            <w:pPr>
              <w:spacing w:line="440" w:lineRule="atLeast"/>
              <w:jc w:val="right"/>
              <w:rPr>
                <w:rFonts w:ascii="仿宋" w:hAnsi="仿宋" w:eastAsia="仿宋" w:cs="仿宋"/>
                <w:sz w:val="20"/>
                <w:szCs w:val="20"/>
              </w:rPr>
            </w:pPr>
          </w:p>
        </w:tc>
        <w:tc>
          <w:tcPr>
            <w:tcW w:w="753" w:type="pct"/>
            <w:tcBorders>
              <w:top w:val="nil"/>
              <w:left w:val="nil"/>
              <w:bottom w:val="single" w:color="auto" w:sz="4" w:space="0"/>
              <w:right w:val="single" w:color="auto" w:sz="4" w:space="0"/>
            </w:tcBorders>
            <w:vAlign w:val="center"/>
          </w:tcPr>
          <w:p w14:paraId="3D962832">
            <w:pPr>
              <w:spacing w:line="440" w:lineRule="atLeast"/>
              <w:jc w:val="right"/>
              <w:rPr>
                <w:rFonts w:ascii="仿宋" w:hAnsi="仿宋" w:eastAsia="仿宋" w:cs="仿宋"/>
                <w:sz w:val="20"/>
                <w:szCs w:val="20"/>
              </w:rPr>
            </w:pPr>
          </w:p>
        </w:tc>
        <w:tc>
          <w:tcPr>
            <w:tcW w:w="753" w:type="pct"/>
            <w:tcBorders>
              <w:top w:val="nil"/>
              <w:left w:val="single" w:color="auto" w:sz="4" w:space="0"/>
              <w:bottom w:val="single" w:color="auto" w:sz="4" w:space="0"/>
              <w:right w:val="single" w:color="auto" w:sz="8" w:space="0"/>
            </w:tcBorders>
            <w:vAlign w:val="center"/>
          </w:tcPr>
          <w:p w14:paraId="67A3381D">
            <w:pPr>
              <w:spacing w:line="440" w:lineRule="atLeast"/>
              <w:jc w:val="right"/>
              <w:rPr>
                <w:rFonts w:ascii="仿宋" w:hAnsi="仿宋" w:eastAsia="仿宋" w:cs="仿宋"/>
                <w:sz w:val="20"/>
                <w:szCs w:val="20"/>
              </w:rPr>
            </w:pPr>
          </w:p>
        </w:tc>
      </w:tr>
      <w:tr w14:paraId="37EBC34A">
        <w:tblPrEx>
          <w:tblCellMar>
            <w:top w:w="0" w:type="dxa"/>
            <w:left w:w="108" w:type="dxa"/>
            <w:bottom w:w="0" w:type="dxa"/>
            <w:right w:w="108" w:type="dxa"/>
          </w:tblCellMar>
        </w:tblPrEx>
        <w:trPr>
          <w:trHeight w:val="300" w:hRule="atLeast"/>
        </w:trPr>
        <w:tc>
          <w:tcPr>
            <w:tcW w:w="1027" w:type="pct"/>
            <w:tcBorders>
              <w:top w:val="nil"/>
              <w:left w:val="single" w:color="auto" w:sz="8" w:space="0"/>
              <w:bottom w:val="single" w:color="auto" w:sz="4" w:space="0"/>
              <w:right w:val="single" w:color="auto" w:sz="4" w:space="0"/>
            </w:tcBorders>
            <w:vAlign w:val="center"/>
          </w:tcPr>
          <w:p w14:paraId="45833766">
            <w:pPr>
              <w:spacing w:line="440" w:lineRule="atLeast"/>
              <w:jc w:val="left"/>
              <w:rPr>
                <w:rFonts w:ascii="仿宋" w:hAnsi="仿宋" w:eastAsia="仿宋" w:cs="仿宋"/>
                <w:kern w:val="0"/>
                <w:sz w:val="24"/>
              </w:rPr>
            </w:pPr>
            <w:r>
              <w:rPr>
                <w:rFonts w:hint="eastAsia" w:ascii="仿宋" w:hAnsi="仿宋" w:eastAsia="仿宋" w:cs="仿宋"/>
                <w:kern w:val="0"/>
                <w:sz w:val="24"/>
              </w:rPr>
              <w:t>应付债券</w:t>
            </w:r>
          </w:p>
        </w:tc>
        <w:tc>
          <w:tcPr>
            <w:tcW w:w="831" w:type="pct"/>
            <w:tcBorders>
              <w:top w:val="nil"/>
              <w:left w:val="nil"/>
              <w:bottom w:val="single" w:color="auto" w:sz="4" w:space="0"/>
              <w:right w:val="single" w:color="auto" w:sz="4" w:space="0"/>
            </w:tcBorders>
            <w:vAlign w:val="center"/>
          </w:tcPr>
          <w:p w14:paraId="18A652DB">
            <w:pPr>
              <w:spacing w:line="440" w:lineRule="atLeast"/>
              <w:jc w:val="right"/>
              <w:rPr>
                <w:rFonts w:ascii="仿宋" w:hAnsi="仿宋" w:eastAsia="仿宋" w:cs="仿宋"/>
                <w:sz w:val="20"/>
                <w:szCs w:val="20"/>
              </w:rPr>
            </w:pPr>
            <w:r>
              <w:rPr>
                <w:rFonts w:hint="eastAsia" w:ascii="仿宋" w:hAnsi="仿宋" w:eastAsia="仿宋" w:cs="仿宋"/>
                <w:sz w:val="20"/>
                <w:szCs w:val="20"/>
              </w:rPr>
              <w:t>5,290,000.00</w:t>
            </w:r>
          </w:p>
        </w:tc>
        <w:tc>
          <w:tcPr>
            <w:tcW w:w="871" w:type="pct"/>
            <w:tcBorders>
              <w:top w:val="nil"/>
              <w:left w:val="nil"/>
              <w:bottom w:val="single" w:color="auto" w:sz="4" w:space="0"/>
              <w:right w:val="single" w:color="auto" w:sz="4" w:space="0"/>
            </w:tcBorders>
            <w:vAlign w:val="center"/>
          </w:tcPr>
          <w:p w14:paraId="01D04640">
            <w:pPr>
              <w:spacing w:line="440" w:lineRule="atLeast"/>
              <w:jc w:val="right"/>
              <w:rPr>
                <w:rFonts w:ascii="仿宋" w:hAnsi="仿宋" w:eastAsia="仿宋" w:cs="仿宋"/>
                <w:sz w:val="20"/>
                <w:szCs w:val="20"/>
              </w:rPr>
            </w:pPr>
            <w:r>
              <w:rPr>
                <w:rFonts w:hint="eastAsia" w:ascii="仿宋" w:hAnsi="仿宋" w:eastAsia="仿宋" w:cs="仿宋"/>
                <w:sz w:val="20"/>
                <w:szCs w:val="20"/>
              </w:rPr>
              <w:t>5,290,000.00</w:t>
            </w:r>
          </w:p>
        </w:tc>
        <w:tc>
          <w:tcPr>
            <w:tcW w:w="763" w:type="pct"/>
            <w:tcBorders>
              <w:top w:val="nil"/>
              <w:left w:val="nil"/>
              <w:bottom w:val="single" w:color="auto" w:sz="4" w:space="0"/>
              <w:right w:val="single" w:color="auto" w:sz="4" w:space="0"/>
            </w:tcBorders>
            <w:vAlign w:val="center"/>
          </w:tcPr>
          <w:p w14:paraId="68402B0D">
            <w:pPr>
              <w:spacing w:line="440" w:lineRule="atLeast"/>
              <w:jc w:val="right"/>
              <w:rPr>
                <w:rFonts w:ascii="仿宋" w:hAnsi="仿宋" w:eastAsia="仿宋" w:cs="仿宋"/>
                <w:sz w:val="20"/>
                <w:szCs w:val="20"/>
              </w:rPr>
            </w:pPr>
            <w:r>
              <w:rPr>
                <w:rFonts w:hint="eastAsia" w:ascii="仿宋" w:hAnsi="仿宋" w:eastAsia="仿宋" w:cs="仿宋"/>
                <w:sz w:val="20"/>
                <w:szCs w:val="20"/>
              </w:rPr>
              <w:t>5,290,000.00</w:t>
            </w:r>
          </w:p>
        </w:tc>
        <w:tc>
          <w:tcPr>
            <w:tcW w:w="753" w:type="pct"/>
            <w:tcBorders>
              <w:top w:val="nil"/>
              <w:left w:val="nil"/>
              <w:bottom w:val="single" w:color="auto" w:sz="4" w:space="0"/>
              <w:right w:val="single" w:color="auto" w:sz="4" w:space="0"/>
            </w:tcBorders>
            <w:vAlign w:val="center"/>
          </w:tcPr>
          <w:p w14:paraId="49EC4855">
            <w:pPr>
              <w:spacing w:line="440" w:lineRule="atLeast"/>
              <w:jc w:val="right"/>
              <w:rPr>
                <w:rFonts w:ascii="仿宋" w:hAnsi="仿宋" w:eastAsia="仿宋" w:cs="仿宋"/>
                <w:sz w:val="20"/>
                <w:szCs w:val="20"/>
              </w:rPr>
            </w:pPr>
            <w:r>
              <w:rPr>
                <w:rFonts w:hint="eastAsia" w:ascii="仿宋" w:hAnsi="仿宋" w:eastAsia="仿宋" w:cs="仿宋"/>
                <w:sz w:val="20"/>
                <w:szCs w:val="20"/>
              </w:rPr>
              <w:t>5,290,000.00</w:t>
            </w:r>
          </w:p>
        </w:tc>
        <w:tc>
          <w:tcPr>
            <w:tcW w:w="753" w:type="pct"/>
            <w:tcBorders>
              <w:top w:val="single" w:color="auto" w:sz="4" w:space="0"/>
              <w:left w:val="nil"/>
              <w:bottom w:val="single" w:color="auto" w:sz="4" w:space="0"/>
              <w:right w:val="single" w:color="auto" w:sz="4" w:space="0"/>
            </w:tcBorders>
            <w:vAlign w:val="center"/>
          </w:tcPr>
          <w:p w14:paraId="169AD6D3">
            <w:pPr>
              <w:spacing w:line="440" w:lineRule="atLeast"/>
              <w:jc w:val="right"/>
              <w:rPr>
                <w:rFonts w:ascii="仿宋" w:hAnsi="仿宋" w:eastAsia="仿宋" w:cs="仿宋"/>
                <w:sz w:val="20"/>
                <w:szCs w:val="20"/>
              </w:rPr>
            </w:pPr>
            <w:r>
              <w:rPr>
                <w:rFonts w:hint="eastAsia" w:ascii="仿宋" w:hAnsi="仿宋" w:eastAsia="仿宋" w:cs="仿宋"/>
                <w:sz w:val="20"/>
                <w:szCs w:val="20"/>
              </w:rPr>
              <w:t>5,290,000.00</w:t>
            </w:r>
          </w:p>
        </w:tc>
      </w:tr>
      <w:tr w14:paraId="53459557">
        <w:tblPrEx>
          <w:tblCellMar>
            <w:top w:w="0" w:type="dxa"/>
            <w:left w:w="108" w:type="dxa"/>
            <w:bottom w:w="0" w:type="dxa"/>
            <w:right w:w="108" w:type="dxa"/>
          </w:tblCellMar>
        </w:tblPrEx>
        <w:trPr>
          <w:trHeight w:val="300" w:hRule="atLeast"/>
        </w:trPr>
        <w:tc>
          <w:tcPr>
            <w:tcW w:w="1027" w:type="pct"/>
            <w:tcBorders>
              <w:top w:val="nil"/>
              <w:left w:val="single" w:color="auto" w:sz="8" w:space="0"/>
              <w:bottom w:val="single" w:color="auto" w:sz="4" w:space="0"/>
              <w:right w:val="single" w:color="auto" w:sz="4" w:space="0"/>
            </w:tcBorders>
            <w:vAlign w:val="center"/>
          </w:tcPr>
          <w:p w14:paraId="240219AC">
            <w:pPr>
              <w:spacing w:line="440" w:lineRule="atLeast"/>
              <w:jc w:val="left"/>
              <w:rPr>
                <w:rFonts w:ascii="仿宋" w:hAnsi="仿宋" w:eastAsia="仿宋" w:cs="仿宋"/>
                <w:kern w:val="0"/>
                <w:sz w:val="24"/>
              </w:rPr>
            </w:pPr>
            <w:r>
              <w:rPr>
                <w:rFonts w:hint="eastAsia" w:ascii="仿宋" w:hAnsi="仿宋" w:eastAsia="仿宋" w:cs="仿宋"/>
                <w:kern w:val="0"/>
                <w:sz w:val="24"/>
              </w:rPr>
              <w:t>递延所得税负债</w:t>
            </w:r>
          </w:p>
        </w:tc>
        <w:tc>
          <w:tcPr>
            <w:tcW w:w="831" w:type="pct"/>
            <w:tcBorders>
              <w:top w:val="nil"/>
              <w:left w:val="nil"/>
              <w:bottom w:val="single" w:color="auto" w:sz="4" w:space="0"/>
              <w:right w:val="single" w:color="auto" w:sz="4" w:space="0"/>
            </w:tcBorders>
            <w:vAlign w:val="center"/>
          </w:tcPr>
          <w:p w14:paraId="2EE501B1">
            <w:pPr>
              <w:spacing w:line="440" w:lineRule="atLeast"/>
              <w:jc w:val="right"/>
              <w:rPr>
                <w:rFonts w:ascii="仿宋" w:hAnsi="仿宋" w:eastAsia="仿宋" w:cs="仿宋"/>
                <w:sz w:val="20"/>
                <w:szCs w:val="20"/>
              </w:rPr>
            </w:pPr>
          </w:p>
        </w:tc>
        <w:tc>
          <w:tcPr>
            <w:tcW w:w="871" w:type="pct"/>
            <w:tcBorders>
              <w:top w:val="nil"/>
              <w:left w:val="nil"/>
              <w:bottom w:val="single" w:color="auto" w:sz="4" w:space="0"/>
              <w:right w:val="single" w:color="auto" w:sz="4" w:space="0"/>
            </w:tcBorders>
            <w:vAlign w:val="center"/>
          </w:tcPr>
          <w:p w14:paraId="7F0D6739">
            <w:pPr>
              <w:spacing w:line="440" w:lineRule="atLeast"/>
              <w:jc w:val="right"/>
              <w:rPr>
                <w:rFonts w:ascii="仿宋" w:hAnsi="仿宋" w:eastAsia="仿宋" w:cs="仿宋"/>
                <w:sz w:val="20"/>
                <w:szCs w:val="20"/>
              </w:rPr>
            </w:pPr>
          </w:p>
        </w:tc>
        <w:tc>
          <w:tcPr>
            <w:tcW w:w="763" w:type="pct"/>
            <w:tcBorders>
              <w:top w:val="nil"/>
              <w:left w:val="nil"/>
              <w:bottom w:val="single" w:color="auto" w:sz="4" w:space="0"/>
              <w:right w:val="single" w:color="auto" w:sz="4" w:space="0"/>
            </w:tcBorders>
            <w:vAlign w:val="center"/>
          </w:tcPr>
          <w:p w14:paraId="566BF9C5">
            <w:pPr>
              <w:spacing w:line="440" w:lineRule="atLeast"/>
              <w:jc w:val="right"/>
              <w:rPr>
                <w:rFonts w:ascii="仿宋" w:hAnsi="仿宋" w:eastAsia="仿宋" w:cs="仿宋"/>
                <w:sz w:val="20"/>
                <w:szCs w:val="20"/>
              </w:rPr>
            </w:pPr>
          </w:p>
        </w:tc>
        <w:tc>
          <w:tcPr>
            <w:tcW w:w="753" w:type="pct"/>
            <w:tcBorders>
              <w:top w:val="nil"/>
              <w:left w:val="nil"/>
              <w:bottom w:val="single" w:color="auto" w:sz="4" w:space="0"/>
              <w:right w:val="single" w:color="auto" w:sz="4" w:space="0"/>
            </w:tcBorders>
            <w:vAlign w:val="center"/>
          </w:tcPr>
          <w:p w14:paraId="685661E1">
            <w:pPr>
              <w:spacing w:line="440" w:lineRule="atLeast"/>
              <w:jc w:val="right"/>
              <w:rPr>
                <w:rFonts w:ascii="仿宋" w:hAnsi="仿宋" w:eastAsia="仿宋" w:cs="仿宋"/>
                <w:sz w:val="20"/>
                <w:szCs w:val="20"/>
              </w:rPr>
            </w:pPr>
          </w:p>
        </w:tc>
        <w:tc>
          <w:tcPr>
            <w:tcW w:w="753" w:type="pct"/>
            <w:tcBorders>
              <w:top w:val="single" w:color="auto" w:sz="4" w:space="0"/>
              <w:left w:val="single" w:color="auto" w:sz="4" w:space="0"/>
              <w:bottom w:val="single" w:color="auto" w:sz="4" w:space="0"/>
              <w:right w:val="single" w:color="auto" w:sz="8" w:space="0"/>
            </w:tcBorders>
            <w:vAlign w:val="center"/>
          </w:tcPr>
          <w:p w14:paraId="73E24888">
            <w:pPr>
              <w:spacing w:line="440" w:lineRule="atLeast"/>
              <w:jc w:val="right"/>
              <w:rPr>
                <w:rFonts w:ascii="仿宋" w:hAnsi="仿宋" w:eastAsia="仿宋" w:cs="仿宋"/>
                <w:sz w:val="20"/>
                <w:szCs w:val="20"/>
              </w:rPr>
            </w:pPr>
          </w:p>
        </w:tc>
      </w:tr>
      <w:tr w14:paraId="693C3018">
        <w:tblPrEx>
          <w:tblCellMar>
            <w:top w:w="0" w:type="dxa"/>
            <w:left w:w="108" w:type="dxa"/>
            <w:bottom w:w="0" w:type="dxa"/>
            <w:right w:w="108" w:type="dxa"/>
          </w:tblCellMar>
        </w:tblPrEx>
        <w:trPr>
          <w:trHeight w:val="300" w:hRule="atLeast"/>
        </w:trPr>
        <w:tc>
          <w:tcPr>
            <w:tcW w:w="1027" w:type="pct"/>
            <w:tcBorders>
              <w:top w:val="nil"/>
              <w:left w:val="single" w:color="auto" w:sz="8" w:space="0"/>
              <w:bottom w:val="single" w:color="auto" w:sz="4" w:space="0"/>
              <w:right w:val="single" w:color="auto" w:sz="4" w:space="0"/>
            </w:tcBorders>
            <w:vAlign w:val="center"/>
          </w:tcPr>
          <w:p w14:paraId="6542607E">
            <w:pPr>
              <w:spacing w:line="440" w:lineRule="atLeast"/>
              <w:jc w:val="left"/>
              <w:rPr>
                <w:rFonts w:ascii="仿宋" w:hAnsi="仿宋" w:eastAsia="仿宋" w:cs="仿宋"/>
                <w:kern w:val="0"/>
                <w:sz w:val="24"/>
              </w:rPr>
            </w:pPr>
            <w:r>
              <w:rPr>
                <w:rFonts w:hint="eastAsia" w:ascii="仿宋" w:hAnsi="仿宋" w:eastAsia="仿宋" w:cs="仿宋"/>
                <w:kern w:val="0"/>
                <w:sz w:val="24"/>
              </w:rPr>
              <w:t>预计负债</w:t>
            </w:r>
          </w:p>
        </w:tc>
        <w:tc>
          <w:tcPr>
            <w:tcW w:w="831" w:type="pct"/>
            <w:tcBorders>
              <w:top w:val="nil"/>
              <w:left w:val="nil"/>
              <w:bottom w:val="single" w:color="auto" w:sz="4" w:space="0"/>
              <w:right w:val="single" w:color="auto" w:sz="4" w:space="0"/>
            </w:tcBorders>
            <w:vAlign w:val="center"/>
          </w:tcPr>
          <w:p w14:paraId="248DC338">
            <w:pPr>
              <w:spacing w:line="440" w:lineRule="atLeast"/>
              <w:jc w:val="right"/>
              <w:rPr>
                <w:rFonts w:ascii="仿宋" w:hAnsi="仿宋" w:eastAsia="仿宋" w:cs="仿宋"/>
                <w:sz w:val="20"/>
                <w:szCs w:val="20"/>
              </w:rPr>
            </w:pPr>
            <w:r>
              <w:rPr>
                <w:rFonts w:hint="eastAsia" w:ascii="仿宋" w:hAnsi="仿宋" w:eastAsia="仿宋" w:cs="仿宋"/>
                <w:sz w:val="20"/>
                <w:szCs w:val="20"/>
              </w:rPr>
              <w:t>32,631.68</w:t>
            </w:r>
          </w:p>
        </w:tc>
        <w:tc>
          <w:tcPr>
            <w:tcW w:w="871" w:type="pct"/>
            <w:tcBorders>
              <w:top w:val="nil"/>
              <w:left w:val="nil"/>
              <w:bottom w:val="single" w:color="auto" w:sz="4" w:space="0"/>
              <w:right w:val="single" w:color="auto" w:sz="4" w:space="0"/>
            </w:tcBorders>
            <w:vAlign w:val="center"/>
          </w:tcPr>
          <w:p w14:paraId="42BEA5B5">
            <w:pPr>
              <w:spacing w:line="440" w:lineRule="atLeast"/>
              <w:jc w:val="right"/>
              <w:rPr>
                <w:rFonts w:ascii="仿宋" w:hAnsi="仿宋" w:eastAsia="仿宋" w:cs="仿宋"/>
                <w:sz w:val="20"/>
                <w:szCs w:val="20"/>
              </w:rPr>
            </w:pPr>
            <w:r>
              <w:rPr>
                <w:rFonts w:hint="eastAsia" w:ascii="仿宋" w:hAnsi="仿宋" w:eastAsia="仿宋" w:cs="仿宋"/>
                <w:sz w:val="20"/>
                <w:szCs w:val="20"/>
              </w:rPr>
              <w:t>32,631.68</w:t>
            </w:r>
          </w:p>
        </w:tc>
        <w:tc>
          <w:tcPr>
            <w:tcW w:w="763" w:type="pct"/>
            <w:tcBorders>
              <w:top w:val="nil"/>
              <w:left w:val="nil"/>
              <w:bottom w:val="single" w:color="auto" w:sz="4" w:space="0"/>
              <w:right w:val="single" w:color="auto" w:sz="4" w:space="0"/>
            </w:tcBorders>
            <w:vAlign w:val="center"/>
          </w:tcPr>
          <w:p w14:paraId="0A1DF4C3">
            <w:pPr>
              <w:spacing w:line="440" w:lineRule="atLeast"/>
              <w:jc w:val="right"/>
              <w:rPr>
                <w:rFonts w:ascii="仿宋" w:hAnsi="仿宋" w:eastAsia="仿宋" w:cs="仿宋"/>
                <w:sz w:val="20"/>
                <w:szCs w:val="20"/>
              </w:rPr>
            </w:pPr>
            <w:r>
              <w:rPr>
                <w:rFonts w:hint="eastAsia" w:ascii="仿宋" w:hAnsi="仿宋" w:eastAsia="仿宋" w:cs="仿宋"/>
                <w:sz w:val="20"/>
                <w:szCs w:val="20"/>
              </w:rPr>
              <w:t>32,631.68</w:t>
            </w:r>
          </w:p>
        </w:tc>
        <w:tc>
          <w:tcPr>
            <w:tcW w:w="753" w:type="pct"/>
            <w:tcBorders>
              <w:top w:val="nil"/>
              <w:left w:val="nil"/>
              <w:bottom w:val="single" w:color="auto" w:sz="4" w:space="0"/>
              <w:right w:val="single" w:color="auto" w:sz="4" w:space="0"/>
            </w:tcBorders>
            <w:vAlign w:val="center"/>
          </w:tcPr>
          <w:p w14:paraId="39C3E37C">
            <w:pPr>
              <w:spacing w:line="440" w:lineRule="atLeast"/>
              <w:jc w:val="right"/>
              <w:rPr>
                <w:rFonts w:ascii="仿宋" w:hAnsi="仿宋" w:eastAsia="仿宋" w:cs="仿宋"/>
                <w:sz w:val="20"/>
                <w:szCs w:val="20"/>
              </w:rPr>
            </w:pPr>
            <w:r>
              <w:rPr>
                <w:rFonts w:hint="eastAsia" w:ascii="仿宋" w:hAnsi="仿宋" w:eastAsia="仿宋" w:cs="仿宋"/>
                <w:sz w:val="20"/>
                <w:szCs w:val="20"/>
              </w:rPr>
              <w:t>32,631.68</w:t>
            </w:r>
          </w:p>
        </w:tc>
        <w:tc>
          <w:tcPr>
            <w:tcW w:w="753" w:type="pct"/>
            <w:tcBorders>
              <w:top w:val="nil"/>
              <w:left w:val="single" w:color="auto" w:sz="4" w:space="0"/>
              <w:bottom w:val="single" w:color="auto" w:sz="4" w:space="0"/>
              <w:right w:val="single" w:color="auto" w:sz="8" w:space="0"/>
            </w:tcBorders>
            <w:vAlign w:val="center"/>
          </w:tcPr>
          <w:p w14:paraId="7E59F14A">
            <w:pPr>
              <w:spacing w:line="440" w:lineRule="atLeast"/>
              <w:jc w:val="right"/>
              <w:rPr>
                <w:rFonts w:ascii="仿宋" w:hAnsi="仿宋" w:eastAsia="仿宋" w:cs="仿宋"/>
                <w:sz w:val="20"/>
                <w:szCs w:val="20"/>
              </w:rPr>
            </w:pPr>
            <w:r>
              <w:rPr>
                <w:rFonts w:hint="eastAsia" w:ascii="仿宋" w:hAnsi="仿宋" w:eastAsia="仿宋" w:cs="仿宋"/>
                <w:sz w:val="20"/>
                <w:szCs w:val="20"/>
              </w:rPr>
              <w:t>32,631.68</w:t>
            </w:r>
          </w:p>
        </w:tc>
      </w:tr>
      <w:tr w14:paraId="3F3DCAFF">
        <w:tblPrEx>
          <w:tblCellMar>
            <w:top w:w="0" w:type="dxa"/>
            <w:left w:w="108" w:type="dxa"/>
            <w:bottom w:w="0" w:type="dxa"/>
            <w:right w:w="108" w:type="dxa"/>
          </w:tblCellMar>
        </w:tblPrEx>
        <w:trPr>
          <w:trHeight w:val="300" w:hRule="atLeast"/>
        </w:trPr>
        <w:tc>
          <w:tcPr>
            <w:tcW w:w="1027" w:type="pct"/>
            <w:tcBorders>
              <w:top w:val="nil"/>
              <w:left w:val="single" w:color="auto" w:sz="8" w:space="0"/>
              <w:bottom w:val="single" w:color="auto" w:sz="4" w:space="0"/>
              <w:right w:val="single" w:color="auto" w:sz="4" w:space="0"/>
            </w:tcBorders>
            <w:vAlign w:val="center"/>
          </w:tcPr>
          <w:p w14:paraId="49AF50C5">
            <w:pPr>
              <w:spacing w:line="440" w:lineRule="atLeast"/>
              <w:jc w:val="left"/>
              <w:rPr>
                <w:rFonts w:ascii="仿宋" w:hAnsi="仿宋" w:eastAsia="仿宋" w:cs="仿宋"/>
                <w:kern w:val="0"/>
                <w:sz w:val="24"/>
              </w:rPr>
            </w:pPr>
            <w:r>
              <w:rPr>
                <w:rFonts w:hint="eastAsia" w:ascii="仿宋" w:hAnsi="仿宋" w:eastAsia="仿宋" w:cs="仿宋"/>
                <w:kern w:val="0"/>
                <w:sz w:val="24"/>
              </w:rPr>
              <w:t>其他负债</w:t>
            </w:r>
          </w:p>
        </w:tc>
        <w:tc>
          <w:tcPr>
            <w:tcW w:w="831" w:type="pct"/>
            <w:tcBorders>
              <w:top w:val="nil"/>
              <w:left w:val="nil"/>
              <w:bottom w:val="single" w:color="auto" w:sz="4" w:space="0"/>
              <w:right w:val="single" w:color="auto" w:sz="4" w:space="0"/>
            </w:tcBorders>
            <w:vAlign w:val="center"/>
          </w:tcPr>
          <w:p w14:paraId="1C4B09A1">
            <w:pPr>
              <w:spacing w:line="440" w:lineRule="atLeast"/>
              <w:jc w:val="right"/>
              <w:rPr>
                <w:rFonts w:ascii="仿宋" w:hAnsi="仿宋" w:eastAsia="仿宋" w:cs="仿宋"/>
                <w:sz w:val="20"/>
                <w:szCs w:val="20"/>
              </w:rPr>
            </w:pPr>
            <w:r>
              <w:rPr>
                <w:rFonts w:hint="eastAsia" w:ascii="仿宋" w:hAnsi="仿宋" w:eastAsia="仿宋" w:cs="仿宋"/>
                <w:sz w:val="20"/>
                <w:szCs w:val="20"/>
              </w:rPr>
              <w:t>2,481,047.19</w:t>
            </w:r>
          </w:p>
        </w:tc>
        <w:tc>
          <w:tcPr>
            <w:tcW w:w="871" w:type="pct"/>
            <w:tcBorders>
              <w:top w:val="nil"/>
              <w:left w:val="nil"/>
              <w:bottom w:val="single" w:color="auto" w:sz="4" w:space="0"/>
              <w:right w:val="single" w:color="auto" w:sz="4" w:space="0"/>
            </w:tcBorders>
            <w:vAlign w:val="center"/>
          </w:tcPr>
          <w:p w14:paraId="35790331">
            <w:pPr>
              <w:spacing w:line="440" w:lineRule="atLeast"/>
              <w:jc w:val="right"/>
              <w:rPr>
                <w:rFonts w:ascii="仿宋" w:hAnsi="仿宋" w:eastAsia="仿宋" w:cs="仿宋"/>
                <w:sz w:val="20"/>
                <w:szCs w:val="20"/>
              </w:rPr>
            </w:pPr>
            <w:r>
              <w:rPr>
                <w:rFonts w:hint="eastAsia" w:ascii="仿宋" w:hAnsi="仿宋" w:eastAsia="仿宋" w:cs="仿宋"/>
                <w:sz w:val="20"/>
                <w:szCs w:val="20"/>
              </w:rPr>
              <w:t>2,481,047.19</w:t>
            </w:r>
          </w:p>
        </w:tc>
        <w:tc>
          <w:tcPr>
            <w:tcW w:w="763" w:type="pct"/>
            <w:tcBorders>
              <w:top w:val="nil"/>
              <w:left w:val="nil"/>
              <w:bottom w:val="single" w:color="auto" w:sz="4" w:space="0"/>
              <w:right w:val="single" w:color="auto" w:sz="4" w:space="0"/>
            </w:tcBorders>
            <w:vAlign w:val="center"/>
          </w:tcPr>
          <w:p w14:paraId="6B9AD4B2">
            <w:pPr>
              <w:spacing w:line="440" w:lineRule="atLeast"/>
              <w:jc w:val="right"/>
              <w:rPr>
                <w:rFonts w:ascii="仿宋" w:hAnsi="仿宋" w:eastAsia="仿宋" w:cs="仿宋"/>
                <w:sz w:val="20"/>
                <w:szCs w:val="20"/>
              </w:rPr>
            </w:pPr>
            <w:r>
              <w:rPr>
                <w:rFonts w:hint="eastAsia" w:ascii="仿宋" w:hAnsi="仿宋" w:eastAsia="仿宋" w:cs="仿宋"/>
                <w:sz w:val="20"/>
                <w:szCs w:val="20"/>
              </w:rPr>
              <w:t>2,481,047.19</w:t>
            </w:r>
          </w:p>
        </w:tc>
        <w:tc>
          <w:tcPr>
            <w:tcW w:w="753" w:type="pct"/>
            <w:tcBorders>
              <w:top w:val="nil"/>
              <w:left w:val="nil"/>
              <w:bottom w:val="single" w:color="auto" w:sz="4" w:space="0"/>
              <w:right w:val="single" w:color="auto" w:sz="4" w:space="0"/>
            </w:tcBorders>
            <w:vAlign w:val="center"/>
          </w:tcPr>
          <w:p w14:paraId="7BC47C88">
            <w:pPr>
              <w:spacing w:line="440" w:lineRule="atLeast"/>
              <w:jc w:val="right"/>
              <w:rPr>
                <w:rFonts w:ascii="仿宋" w:hAnsi="仿宋" w:eastAsia="仿宋" w:cs="仿宋"/>
                <w:sz w:val="20"/>
                <w:szCs w:val="20"/>
              </w:rPr>
            </w:pPr>
            <w:r>
              <w:rPr>
                <w:rFonts w:hint="eastAsia" w:ascii="仿宋" w:hAnsi="仿宋" w:eastAsia="仿宋" w:cs="仿宋"/>
                <w:sz w:val="20"/>
                <w:szCs w:val="20"/>
              </w:rPr>
              <w:t>2,481,047.19</w:t>
            </w:r>
          </w:p>
        </w:tc>
        <w:tc>
          <w:tcPr>
            <w:tcW w:w="753" w:type="pct"/>
            <w:tcBorders>
              <w:top w:val="nil"/>
              <w:left w:val="single" w:color="auto" w:sz="4" w:space="0"/>
              <w:bottom w:val="single" w:color="auto" w:sz="4" w:space="0"/>
              <w:right w:val="single" w:color="auto" w:sz="8" w:space="0"/>
            </w:tcBorders>
            <w:vAlign w:val="center"/>
          </w:tcPr>
          <w:p w14:paraId="22CDE71E">
            <w:pPr>
              <w:spacing w:line="440" w:lineRule="atLeast"/>
              <w:jc w:val="right"/>
              <w:rPr>
                <w:rFonts w:ascii="仿宋" w:hAnsi="仿宋" w:eastAsia="仿宋" w:cs="仿宋"/>
                <w:sz w:val="20"/>
                <w:szCs w:val="20"/>
              </w:rPr>
            </w:pPr>
            <w:r>
              <w:rPr>
                <w:rFonts w:hint="eastAsia" w:ascii="仿宋" w:hAnsi="仿宋" w:eastAsia="仿宋" w:cs="仿宋"/>
                <w:sz w:val="20"/>
                <w:szCs w:val="20"/>
              </w:rPr>
              <w:t>2,481,047.19</w:t>
            </w:r>
          </w:p>
        </w:tc>
      </w:tr>
      <w:tr w14:paraId="2551C80C">
        <w:tblPrEx>
          <w:tblCellMar>
            <w:top w:w="0" w:type="dxa"/>
            <w:left w:w="108" w:type="dxa"/>
            <w:bottom w:w="0" w:type="dxa"/>
            <w:right w:w="108" w:type="dxa"/>
          </w:tblCellMar>
        </w:tblPrEx>
        <w:trPr>
          <w:trHeight w:val="285" w:hRule="atLeast"/>
        </w:trPr>
        <w:tc>
          <w:tcPr>
            <w:tcW w:w="1027" w:type="pct"/>
            <w:tcBorders>
              <w:top w:val="nil"/>
              <w:left w:val="single" w:color="auto" w:sz="8" w:space="0"/>
              <w:bottom w:val="single" w:color="auto" w:sz="4" w:space="0"/>
              <w:right w:val="single" w:color="auto" w:sz="4" w:space="0"/>
            </w:tcBorders>
            <w:vAlign w:val="center"/>
          </w:tcPr>
          <w:p w14:paraId="79135EB2">
            <w:pPr>
              <w:spacing w:line="440" w:lineRule="atLeast"/>
              <w:jc w:val="left"/>
              <w:rPr>
                <w:rFonts w:ascii="仿宋" w:hAnsi="仿宋" w:eastAsia="仿宋" w:cs="仿宋"/>
                <w:kern w:val="0"/>
                <w:sz w:val="24"/>
              </w:rPr>
            </w:pPr>
            <w:r>
              <w:rPr>
                <w:rFonts w:hint="eastAsia" w:ascii="仿宋" w:hAnsi="仿宋" w:eastAsia="仿宋" w:cs="仿宋"/>
                <w:kern w:val="0"/>
                <w:sz w:val="24"/>
              </w:rPr>
              <w:t>负债合计</w:t>
            </w:r>
          </w:p>
        </w:tc>
        <w:tc>
          <w:tcPr>
            <w:tcW w:w="831" w:type="pct"/>
            <w:tcBorders>
              <w:top w:val="nil"/>
              <w:left w:val="nil"/>
              <w:bottom w:val="single" w:color="auto" w:sz="4" w:space="0"/>
              <w:right w:val="single" w:color="auto" w:sz="4" w:space="0"/>
            </w:tcBorders>
            <w:vAlign w:val="center"/>
          </w:tcPr>
          <w:p w14:paraId="56FC0016">
            <w:pPr>
              <w:spacing w:line="440" w:lineRule="atLeast"/>
              <w:jc w:val="right"/>
              <w:rPr>
                <w:rFonts w:ascii="仿宋" w:hAnsi="仿宋" w:eastAsia="仿宋" w:cs="仿宋"/>
                <w:sz w:val="20"/>
                <w:szCs w:val="20"/>
              </w:rPr>
            </w:pPr>
            <w:r>
              <w:rPr>
                <w:rFonts w:hint="eastAsia" w:ascii="仿宋" w:hAnsi="仿宋" w:eastAsia="仿宋" w:cs="仿宋"/>
                <w:sz w:val="20"/>
                <w:szCs w:val="20"/>
              </w:rPr>
              <w:t>246,945,737.65</w:t>
            </w:r>
          </w:p>
        </w:tc>
        <w:tc>
          <w:tcPr>
            <w:tcW w:w="871" w:type="pct"/>
            <w:tcBorders>
              <w:top w:val="nil"/>
              <w:left w:val="nil"/>
              <w:bottom w:val="single" w:color="auto" w:sz="4" w:space="0"/>
              <w:right w:val="single" w:color="auto" w:sz="4" w:space="0"/>
            </w:tcBorders>
            <w:vAlign w:val="center"/>
          </w:tcPr>
          <w:p w14:paraId="2AB008A0">
            <w:pPr>
              <w:spacing w:line="440" w:lineRule="atLeast"/>
              <w:jc w:val="right"/>
              <w:rPr>
                <w:rFonts w:ascii="仿宋" w:hAnsi="仿宋" w:eastAsia="仿宋" w:cs="仿宋"/>
                <w:sz w:val="20"/>
                <w:szCs w:val="20"/>
              </w:rPr>
            </w:pPr>
            <w:r>
              <w:rPr>
                <w:rFonts w:hint="eastAsia" w:ascii="仿宋" w:hAnsi="仿宋" w:eastAsia="仿宋" w:cs="仿宋"/>
                <w:sz w:val="20"/>
                <w:szCs w:val="20"/>
              </w:rPr>
              <w:t>270,545,348.59</w:t>
            </w:r>
          </w:p>
        </w:tc>
        <w:tc>
          <w:tcPr>
            <w:tcW w:w="763" w:type="pct"/>
            <w:tcBorders>
              <w:top w:val="nil"/>
              <w:left w:val="nil"/>
              <w:bottom w:val="single" w:color="auto" w:sz="4" w:space="0"/>
              <w:right w:val="single" w:color="auto" w:sz="4" w:space="0"/>
            </w:tcBorders>
            <w:vAlign w:val="center"/>
          </w:tcPr>
          <w:p w14:paraId="4383A86F">
            <w:pPr>
              <w:spacing w:line="440" w:lineRule="atLeast"/>
              <w:jc w:val="right"/>
              <w:rPr>
                <w:rFonts w:ascii="仿宋" w:hAnsi="仿宋" w:eastAsia="仿宋" w:cs="仿宋"/>
                <w:sz w:val="20"/>
                <w:szCs w:val="20"/>
              </w:rPr>
            </w:pPr>
            <w:r>
              <w:rPr>
                <w:rFonts w:hint="eastAsia" w:ascii="仿宋" w:hAnsi="仿宋" w:eastAsia="仿宋" w:cs="仿宋"/>
                <w:sz w:val="20"/>
                <w:szCs w:val="20"/>
              </w:rPr>
              <w:t>296,504,895.87</w:t>
            </w:r>
          </w:p>
        </w:tc>
        <w:tc>
          <w:tcPr>
            <w:tcW w:w="753" w:type="pct"/>
            <w:tcBorders>
              <w:top w:val="nil"/>
              <w:left w:val="nil"/>
              <w:bottom w:val="single" w:color="auto" w:sz="4" w:space="0"/>
              <w:right w:val="single" w:color="auto" w:sz="4" w:space="0"/>
            </w:tcBorders>
            <w:vAlign w:val="center"/>
          </w:tcPr>
          <w:p w14:paraId="0B104A76">
            <w:pPr>
              <w:spacing w:line="440" w:lineRule="atLeast"/>
              <w:jc w:val="right"/>
              <w:rPr>
                <w:rFonts w:ascii="仿宋" w:hAnsi="仿宋" w:eastAsia="仿宋" w:cs="仿宋"/>
                <w:sz w:val="20"/>
                <w:szCs w:val="20"/>
              </w:rPr>
            </w:pPr>
            <w:r>
              <w:rPr>
                <w:rFonts w:hint="eastAsia" w:ascii="仿宋" w:hAnsi="仿宋" w:eastAsia="仿宋" w:cs="仿宋"/>
                <w:sz w:val="20"/>
                <w:szCs w:val="20"/>
              </w:rPr>
              <w:t>322,204,877.32</w:t>
            </w:r>
          </w:p>
        </w:tc>
        <w:tc>
          <w:tcPr>
            <w:tcW w:w="753" w:type="pct"/>
            <w:tcBorders>
              <w:top w:val="nil"/>
              <w:left w:val="single" w:color="auto" w:sz="4" w:space="0"/>
              <w:bottom w:val="single" w:color="auto" w:sz="4" w:space="0"/>
              <w:right w:val="single" w:color="auto" w:sz="8" w:space="0"/>
            </w:tcBorders>
            <w:vAlign w:val="center"/>
          </w:tcPr>
          <w:p w14:paraId="043065D3">
            <w:pPr>
              <w:spacing w:line="440" w:lineRule="atLeast"/>
              <w:jc w:val="right"/>
              <w:rPr>
                <w:rFonts w:ascii="仿宋" w:hAnsi="仿宋" w:eastAsia="仿宋" w:cs="仿宋"/>
                <w:sz w:val="20"/>
                <w:szCs w:val="20"/>
              </w:rPr>
            </w:pPr>
            <w:r>
              <w:rPr>
                <w:rFonts w:hint="eastAsia" w:ascii="仿宋" w:hAnsi="仿宋" w:eastAsia="仿宋" w:cs="仿宋"/>
                <w:sz w:val="20"/>
                <w:szCs w:val="20"/>
              </w:rPr>
              <w:t>347,105,277.81</w:t>
            </w:r>
          </w:p>
        </w:tc>
      </w:tr>
    </w:tbl>
    <w:p w14:paraId="6C2E5805">
      <w:pPr>
        <w:shd w:val="clear" w:color="auto" w:fill="FFFFFF"/>
        <w:spacing w:line="440" w:lineRule="atLeast"/>
        <w:ind w:firstLine="482" w:firstLineChars="200"/>
        <w:rPr>
          <w:rFonts w:ascii="宋体" w:hAnsi="宋体" w:eastAsia="宋体" w:cs="宋体"/>
          <w:b/>
          <w:bCs/>
          <w:color w:val="000000"/>
          <w:kern w:val="0"/>
          <w:sz w:val="24"/>
          <w:shd w:val="clear" w:color="auto" w:fill="FFFFFF"/>
          <w:lang w:val="zh-TW" w:eastAsia="zh-TW"/>
        </w:rPr>
      </w:pPr>
      <w:r>
        <w:rPr>
          <w:rFonts w:hint="eastAsia" w:ascii="宋体" w:hAnsi="宋体" w:eastAsia="宋体" w:cs="宋体"/>
          <w:b/>
          <w:bCs/>
          <w:color w:val="000000"/>
          <w:kern w:val="0"/>
          <w:sz w:val="24"/>
          <w:shd w:val="clear" w:color="auto" w:fill="FFFFFF"/>
          <w:lang w:val="zh-TW" w:eastAsia="zh-TW"/>
        </w:rPr>
        <w:t>案例二：银行权益变动表预测</w:t>
      </w:r>
    </w:p>
    <w:p w14:paraId="76EBE65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根据xx银行资产、负债规模，结合股本、资本公积、一般风险准备及实现净利润对权益变动表进行预测。</w:t>
      </w:r>
    </w:p>
    <w:p w14:paraId="2FBBF2C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股本和资本公积在预测期保持评估基准日水平不变。盈余公积根据公司法关于提取盈余公积的相关规定，按净利润的10%进行提取，当提取的法定盈余公积金累计额超过注册资本的50%以上时，可以不再提取。一般风险准备根据监管政策按照净利润的10%进行提取。按照会计政策提取盈余公积和一般风险准备后，对xx银行的资本充足率进行测算，使资本充足率满足监管要求的前提下将利润最大程度进行分配。</w:t>
      </w:r>
    </w:p>
    <w:p w14:paraId="5756AB2C">
      <w:pPr>
        <w:shd w:val="clear" w:color="auto" w:fill="FFFFFF"/>
        <w:spacing w:line="440" w:lineRule="atLeast"/>
        <w:ind w:firstLine="480" w:firstLineChars="200"/>
        <w:rPr>
          <w:rFonts w:ascii="宋体" w:hAnsi="宋体" w:eastAsia="宋体" w:cs="宋体"/>
          <w:color w:val="000000"/>
          <w:kern w:val="0"/>
          <w:sz w:val="24"/>
          <w:shd w:val="clear" w:color="auto" w:fill="FFFFFF"/>
          <w:lang w:val="zh-CN"/>
        </w:rPr>
      </w:pPr>
      <w:r>
        <w:rPr>
          <w:rFonts w:hint="eastAsia" w:ascii="宋体" w:hAnsi="宋体" w:eastAsia="宋体" w:cs="宋体"/>
          <w:color w:val="000000"/>
          <w:kern w:val="0"/>
          <w:sz w:val="24"/>
          <w:shd w:val="clear" w:color="auto" w:fill="FFFFFF"/>
        </w:rPr>
        <w:t>2012年6月7日，银监会发布了《商业银行资本管理办法（试行）》（以下简称“《资本办法》”）。《资本办法》将于2013年1月1日起施行，要求商业银行在2018年底前达到规定的资本充足率监管要求。通过尽职调查了解到，</w:t>
      </w:r>
      <w:r>
        <w:rPr>
          <w:rFonts w:hint="eastAsia" w:ascii="宋体" w:hAnsi="宋体" w:eastAsia="宋体" w:cs="宋体"/>
          <w:color w:val="000000"/>
          <w:kern w:val="0"/>
          <w:sz w:val="24"/>
          <w:shd w:val="clear" w:color="auto" w:fill="FFFFFF"/>
          <w:lang w:val="zh-CN"/>
        </w:rPr>
        <w:t>xx银行在过渡年份资本充足率也会争取保持在10.5%的监管水平以上，资产评估师根据xx银行的发展速度，资产的扩张速度，为使盈利预测中的核心资本充足率达到要求，一方面在满足资本充足率监管要求，提取一般风险准备和盈余公积后，最大可能分配利润；另一方面在资本不足时进行资本补充。资本充足率根据历史年度风险资本占总资产比重进行测算。</w:t>
      </w:r>
    </w:p>
    <w:p w14:paraId="6350BA2A">
      <w:pPr>
        <w:spacing w:line="440" w:lineRule="atLeast"/>
        <w:jc w:val="center"/>
        <w:rPr>
          <w:rFonts w:ascii="仿宋" w:hAnsi="仿宋" w:eastAsia="仿宋" w:cs="仿宋"/>
          <w:sz w:val="24"/>
        </w:rPr>
      </w:pPr>
      <w:r>
        <w:rPr>
          <w:rFonts w:hint="eastAsia" w:ascii="仿宋" w:hAnsi="仿宋" w:eastAsia="仿宋" w:cs="仿宋"/>
          <w:sz w:val="24"/>
        </w:rPr>
        <w:t>资本充足率监管表</w:t>
      </w:r>
    </w:p>
    <w:tbl>
      <w:tblPr>
        <w:tblStyle w:val="2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9"/>
        <w:gridCol w:w="1297"/>
        <w:gridCol w:w="1297"/>
        <w:gridCol w:w="1297"/>
        <w:gridCol w:w="1297"/>
        <w:gridCol w:w="1295"/>
      </w:tblGrid>
      <w:tr w14:paraId="0DF67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039" w:type="dxa"/>
            <w:vAlign w:val="center"/>
          </w:tcPr>
          <w:p w14:paraId="7A612CD0">
            <w:pPr>
              <w:spacing w:line="440" w:lineRule="atLeast"/>
              <w:jc w:val="center"/>
              <w:rPr>
                <w:rFonts w:ascii="仿宋" w:hAnsi="仿宋" w:eastAsia="仿宋" w:cs="仿宋"/>
                <w:b/>
                <w:kern w:val="0"/>
                <w:sz w:val="24"/>
              </w:rPr>
            </w:pPr>
            <w:r>
              <w:rPr>
                <w:rFonts w:hint="eastAsia" w:ascii="仿宋" w:hAnsi="仿宋" w:eastAsia="仿宋" w:cs="仿宋"/>
                <w:b/>
                <w:kern w:val="0"/>
                <w:sz w:val="24"/>
              </w:rPr>
              <w:t>年份</w:t>
            </w:r>
          </w:p>
        </w:tc>
        <w:tc>
          <w:tcPr>
            <w:tcW w:w="1297" w:type="dxa"/>
            <w:vAlign w:val="center"/>
          </w:tcPr>
          <w:p w14:paraId="3593FAE0">
            <w:pPr>
              <w:spacing w:line="440" w:lineRule="atLeast"/>
              <w:jc w:val="center"/>
              <w:rPr>
                <w:rFonts w:ascii="仿宋" w:hAnsi="仿宋" w:eastAsia="仿宋" w:cs="仿宋"/>
                <w:b/>
                <w:kern w:val="0"/>
                <w:sz w:val="24"/>
              </w:rPr>
            </w:pPr>
            <w:r>
              <w:rPr>
                <w:rFonts w:hint="eastAsia" w:ascii="仿宋" w:hAnsi="仿宋" w:eastAsia="仿宋" w:cs="仿宋"/>
                <w:b/>
                <w:kern w:val="0"/>
                <w:sz w:val="24"/>
              </w:rPr>
              <w:t>20x4年</w:t>
            </w:r>
          </w:p>
        </w:tc>
        <w:tc>
          <w:tcPr>
            <w:tcW w:w="1297" w:type="dxa"/>
            <w:vAlign w:val="center"/>
          </w:tcPr>
          <w:p w14:paraId="41A7F497">
            <w:pPr>
              <w:spacing w:line="440" w:lineRule="atLeast"/>
              <w:jc w:val="center"/>
              <w:rPr>
                <w:rFonts w:ascii="仿宋" w:hAnsi="仿宋" w:eastAsia="仿宋" w:cs="仿宋"/>
                <w:b/>
                <w:kern w:val="0"/>
                <w:sz w:val="24"/>
              </w:rPr>
            </w:pPr>
            <w:r>
              <w:rPr>
                <w:rFonts w:hint="eastAsia" w:ascii="仿宋" w:hAnsi="仿宋" w:eastAsia="仿宋" w:cs="仿宋"/>
                <w:b/>
                <w:kern w:val="0"/>
                <w:sz w:val="24"/>
              </w:rPr>
              <w:t>20x5年</w:t>
            </w:r>
          </w:p>
        </w:tc>
        <w:tc>
          <w:tcPr>
            <w:tcW w:w="1297" w:type="dxa"/>
            <w:vAlign w:val="center"/>
          </w:tcPr>
          <w:p w14:paraId="4AA22343">
            <w:pPr>
              <w:spacing w:line="440" w:lineRule="atLeast"/>
              <w:jc w:val="center"/>
              <w:rPr>
                <w:rFonts w:ascii="仿宋" w:hAnsi="仿宋" w:eastAsia="仿宋" w:cs="仿宋"/>
                <w:b/>
                <w:kern w:val="0"/>
                <w:sz w:val="24"/>
              </w:rPr>
            </w:pPr>
            <w:r>
              <w:rPr>
                <w:rFonts w:hint="eastAsia" w:ascii="仿宋" w:hAnsi="仿宋" w:eastAsia="仿宋" w:cs="仿宋"/>
                <w:b/>
                <w:kern w:val="0"/>
                <w:sz w:val="24"/>
              </w:rPr>
              <w:t>20x6年</w:t>
            </w:r>
          </w:p>
        </w:tc>
        <w:tc>
          <w:tcPr>
            <w:tcW w:w="1297" w:type="dxa"/>
            <w:vAlign w:val="center"/>
          </w:tcPr>
          <w:p w14:paraId="2CB8F1AC">
            <w:pPr>
              <w:spacing w:line="440" w:lineRule="atLeast"/>
              <w:jc w:val="center"/>
              <w:rPr>
                <w:rFonts w:ascii="仿宋" w:hAnsi="仿宋" w:eastAsia="仿宋" w:cs="仿宋"/>
                <w:b/>
                <w:kern w:val="0"/>
                <w:sz w:val="24"/>
              </w:rPr>
            </w:pPr>
            <w:r>
              <w:rPr>
                <w:rFonts w:hint="eastAsia" w:ascii="仿宋" w:hAnsi="仿宋" w:eastAsia="仿宋" w:cs="仿宋"/>
                <w:b/>
                <w:kern w:val="0"/>
                <w:sz w:val="24"/>
              </w:rPr>
              <w:t>20x7年</w:t>
            </w:r>
          </w:p>
        </w:tc>
        <w:tc>
          <w:tcPr>
            <w:tcW w:w="1295" w:type="dxa"/>
            <w:vAlign w:val="center"/>
          </w:tcPr>
          <w:p w14:paraId="592DF580">
            <w:pPr>
              <w:spacing w:line="440" w:lineRule="atLeast"/>
              <w:jc w:val="center"/>
              <w:rPr>
                <w:rFonts w:ascii="仿宋" w:hAnsi="仿宋" w:eastAsia="仿宋" w:cs="仿宋"/>
                <w:b/>
                <w:kern w:val="0"/>
                <w:sz w:val="24"/>
              </w:rPr>
            </w:pPr>
            <w:r>
              <w:rPr>
                <w:rFonts w:hint="eastAsia" w:ascii="仿宋" w:hAnsi="仿宋" w:eastAsia="仿宋" w:cs="仿宋"/>
                <w:b/>
                <w:kern w:val="0"/>
                <w:sz w:val="24"/>
              </w:rPr>
              <w:t>20x8年</w:t>
            </w:r>
          </w:p>
        </w:tc>
      </w:tr>
      <w:tr w14:paraId="7F312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039" w:type="dxa"/>
            <w:vAlign w:val="center"/>
          </w:tcPr>
          <w:p w14:paraId="12A2D36A">
            <w:pPr>
              <w:spacing w:line="440" w:lineRule="atLeast"/>
              <w:jc w:val="left"/>
              <w:rPr>
                <w:rFonts w:ascii="仿宋" w:hAnsi="仿宋" w:eastAsia="仿宋" w:cs="仿宋"/>
                <w:kern w:val="0"/>
                <w:sz w:val="24"/>
              </w:rPr>
            </w:pPr>
            <w:r>
              <w:rPr>
                <w:rFonts w:hint="eastAsia" w:ascii="仿宋" w:hAnsi="仿宋" w:eastAsia="仿宋" w:cs="仿宋"/>
                <w:kern w:val="0"/>
                <w:sz w:val="24"/>
              </w:rPr>
              <w:t>核心一级资本充足率</w:t>
            </w:r>
          </w:p>
        </w:tc>
        <w:tc>
          <w:tcPr>
            <w:tcW w:w="1297" w:type="dxa"/>
            <w:vAlign w:val="center"/>
          </w:tcPr>
          <w:p w14:paraId="3011C3A7">
            <w:pPr>
              <w:spacing w:line="440" w:lineRule="atLeast"/>
              <w:jc w:val="right"/>
              <w:rPr>
                <w:rFonts w:ascii="仿宋" w:hAnsi="仿宋" w:eastAsia="仿宋" w:cs="仿宋"/>
                <w:sz w:val="24"/>
              </w:rPr>
            </w:pPr>
            <w:r>
              <w:rPr>
                <w:rFonts w:hint="eastAsia" w:ascii="仿宋" w:hAnsi="仿宋" w:eastAsia="仿宋" w:cs="仿宋"/>
                <w:sz w:val="24"/>
              </w:rPr>
              <w:t>8.56%</w:t>
            </w:r>
          </w:p>
        </w:tc>
        <w:tc>
          <w:tcPr>
            <w:tcW w:w="1297" w:type="dxa"/>
            <w:vAlign w:val="center"/>
          </w:tcPr>
          <w:p w14:paraId="4C0070D8">
            <w:pPr>
              <w:spacing w:line="440" w:lineRule="atLeast"/>
              <w:jc w:val="right"/>
              <w:rPr>
                <w:rFonts w:ascii="仿宋" w:hAnsi="仿宋" w:eastAsia="仿宋" w:cs="仿宋"/>
                <w:sz w:val="24"/>
              </w:rPr>
            </w:pPr>
            <w:r>
              <w:rPr>
                <w:rFonts w:hint="eastAsia" w:ascii="仿宋" w:hAnsi="仿宋" w:eastAsia="仿宋" w:cs="仿宋"/>
                <w:sz w:val="24"/>
              </w:rPr>
              <w:t>8.81%</w:t>
            </w:r>
          </w:p>
        </w:tc>
        <w:tc>
          <w:tcPr>
            <w:tcW w:w="1297" w:type="dxa"/>
            <w:vAlign w:val="center"/>
          </w:tcPr>
          <w:p w14:paraId="21BEDFED">
            <w:pPr>
              <w:spacing w:line="440" w:lineRule="atLeast"/>
              <w:jc w:val="right"/>
              <w:rPr>
                <w:rFonts w:ascii="仿宋" w:hAnsi="仿宋" w:eastAsia="仿宋" w:cs="仿宋"/>
                <w:sz w:val="24"/>
              </w:rPr>
            </w:pPr>
            <w:r>
              <w:rPr>
                <w:rFonts w:hint="eastAsia" w:ascii="仿宋" w:hAnsi="仿宋" w:eastAsia="仿宋" w:cs="仿宋"/>
                <w:sz w:val="24"/>
              </w:rPr>
              <w:t>9.03%</w:t>
            </w:r>
          </w:p>
        </w:tc>
        <w:tc>
          <w:tcPr>
            <w:tcW w:w="1297" w:type="dxa"/>
            <w:vAlign w:val="center"/>
          </w:tcPr>
          <w:p w14:paraId="40637977">
            <w:pPr>
              <w:spacing w:line="440" w:lineRule="atLeast"/>
              <w:jc w:val="right"/>
              <w:rPr>
                <w:rFonts w:ascii="仿宋" w:hAnsi="仿宋" w:eastAsia="仿宋" w:cs="仿宋"/>
                <w:sz w:val="24"/>
              </w:rPr>
            </w:pPr>
            <w:r>
              <w:rPr>
                <w:rFonts w:hint="eastAsia" w:ascii="仿宋" w:hAnsi="仿宋" w:eastAsia="仿宋" w:cs="仿宋"/>
                <w:sz w:val="24"/>
              </w:rPr>
              <w:t>9.22%</w:t>
            </w:r>
          </w:p>
        </w:tc>
        <w:tc>
          <w:tcPr>
            <w:tcW w:w="1295" w:type="dxa"/>
            <w:vAlign w:val="center"/>
          </w:tcPr>
          <w:p w14:paraId="63B31EC1">
            <w:pPr>
              <w:spacing w:line="440" w:lineRule="atLeast"/>
              <w:jc w:val="right"/>
              <w:rPr>
                <w:rFonts w:ascii="仿宋" w:hAnsi="仿宋" w:eastAsia="仿宋" w:cs="仿宋"/>
                <w:sz w:val="24"/>
              </w:rPr>
            </w:pPr>
            <w:r>
              <w:rPr>
                <w:rFonts w:hint="eastAsia" w:ascii="仿宋" w:hAnsi="仿宋" w:eastAsia="仿宋" w:cs="仿宋"/>
                <w:sz w:val="24"/>
              </w:rPr>
              <w:t>9.36%</w:t>
            </w:r>
          </w:p>
        </w:tc>
      </w:tr>
      <w:tr w14:paraId="77041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039" w:type="dxa"/>
            <w:vAlign w:val="center"/>
          </w:tcPr>
          <w:p w14:paraId="0B236AAC">
            <w:pPr>
              <w:spacing w:line="440" w:lineRule="atLeast"/>
              <w:jc w:val="left"/>
              <w:rPr>
                <w:rFonts w:ascii="仿宋" w:hAnsi="仿宋" w:eastAsia="仿宋" w:cs="仿宋"/>
                <w:kern w:val="0"/>
                <w:sz w:val="24"/>
              </w:rPr>
            </w:pPr>
            <w:r>
              <w:rPr>
                <w:rFonts w:hint="eastAsia" w:ascii="仿宋" w:hAnsi="仿宋" w:eastAsia="仿宋" w:cs="仿宋"/>
                <w:kern w:val="0"/>
                <w:sz w:val="24"/>
              </w:rPr>
              <w:t>一级资本充足率</w:t>
            </w:r>
          </w:p>
        </w:tc>
        <w:tc>
          <w:tcPr>
            <w:tcW w:w="1297" w:type="dxa"/>
            <w:vAlign w:val="center"/>
          </w:tcPr>
          <w:p w14:paraId="1BAC3911">
            <w:pPr>
              <w:spacing w:line="440" w:lineRule="atLeast"/>
              <w:jc w:val="right"/>
              <w:rPr>
                <w:rFonts w:ascii="仿宋" w:hAnsi="仿宋" w:eastAsia="仿宋" w:cs="仿宋"/>
                <w:sz w:val="24"/>
              </w:rPr>
            </w:pPr>
            <w:r>
              <w:rPr>
                <w:rFonts w:hint="eastAsia" w:ascii="仿宋" w:hAnsi="仿宋" w:eastAsia="仿宋" w:cs="仿宋"/>
                <w:sz w:val="24"/>
              </w:rPr>
              <w:t>8.56%</w:t>
            </w:r>
          </w:p>
        </w:tc>
        <w:tc>
          <w:tcPr>
            <w:tcW w:w="1297" w:type="dxa"/>
            <w:vAlign w:val="center"/>
          </w:tcPr>
          <w:p w14:paraId="7F8C7392">
            <w:pPr>
              <w:spacing w:line="440" w:lineRule="atLeast"/>
              <w:jc w:val="right"/>
              <w:rPr>
                <w:rFonts w:ascii="仿宋" w:hAnsi="仿宋" w:eastAsia="仿宋" w:cs="仿宋"/>
                <w:sz w:val="24"/>
              </w:rPr>
            </w:pPr>
            <w:r>
              <w:rPr>
                <w:rFonts w:hint="eastAsia" w:ascii="仿宋" w:hAnsi="仿宋" w:eastAsia="仿宋" w:cs="仿宋"/>
                <w:sz w:val="24"/>
              </w:rPr>
              <w:t>8.81%</w:t>
            </w:r>
          </w:p>
        </w:tc>
        <w:tc>
          <w:tcPr>
            <w:tcW w:w="1297" w:type="dxa"/>
            <w:vAlign w:val="center"/>
          </w:tcPr>
          <w:p w14:paraId="684B605F">
            <w:pPr>
              <w:spacing w:line="440" w:lineRule="atLeast"/>
              <w:jc w:val="right"/>
              <w:rPr>
                <w:rFonts w:ascii="仿宋" w:hAnsi="仿宋" w:eastAsia="仿宋" w:cs="仿宋"/>
                <w:sz w:val="24"/>
              </w:rPr>
            </w:pPr>
            <w:r>
              <w:rPr>
                <w:rFonts w:hint="eastAsia" w:ascii="仿宋" w:hAnsi="仿宋" w:eastAsia="仿宋" w:cs="仿宋"/>
                <w:sz w:val="24"/>
              </w:rPr>
              <w:t>9.03%</w:t>
            </w:r>
          </w:p>
        </w:tc>
        <w:tc>
          <w:tcPr>
            <w:tcW w:w="1297" w:type="dxa"/>
            <w:vAlign w:val="center"/>
          </w:tcPr>
          <w:p w14:paraId="32B0780A">
            <w:pPr>
              <w:spacing w:line="440" w:lineRule="atLeast"/>
              <w:jc w:val="right"/>
              <w:rPr>
                <w:rFonts w:ascii="仿宋" w:hAnsi="仿宋" w:eastAsia="仿宋" w:cs="仿宋"/>
                <w:sz w:val="24"/>
              </w:rPr>
            </w:pPr>
            <w:r>
              <w:rPr>
                <w:rFonts w:hint="eastAsia" w:ascii="仿宋" w:hAnsi="仿宋" w:eastAsia="仿宋" w:cs="仿宋"/>
                <w:sz w:val="24"/>
              </w:rPr>
              <w:t>9.22%</w:t>
            </w:r>
          </w:p>
        </w:tc>
        <w:tc>
          <w:tcPr>
            <w:tcW w:w="1295" w:type="dxa"/>
            <w:vAlign w:val="center"/>
          </w:tcPr>
          <w:p w14:paraId="4C6D5710">
            <w:pPr>
              <w:spacing w:line="440" w:lineRule="atLeast"/>
              <w:jc w:val="right"/>
              <w:rPr>
                <w:rFonts w:ascii="仿宋" w:hAnsi="仿宋" w:eastAsia="仿宋" w:cs="仿宋"/>
                <w:sz w:val="24"/>
              </w:rPr>
            </w:pPr>
            <w:r>
              <w:rPr>
                <w:rFonts w:hint="eastAsia" w:ascii="仿宋" w:hAnsi="仿宋" w:eastAsia="仿宋" w:cs="仿宋"/>
                <w:sz w:val="24"/>
              </w:rPr>
              <w:t>9.36%</w:t>
            </w:r>
          </w:p>
        </w:tc>
      </w:tr>
      <w:tr w14:paraId="50AA9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039" w:type="dxa"/>
            <w:vAlign w:val="center"/>
          </w:tcPr>
          <w:p w14:paraId="49382EA1">
            <w:pPr>
              <w:spacing w:line="440" w:lineRule="atLeast"/>
              <w:jc w:val="left"/>
              <w:rPr>
                <w:rFonts w:ascii="仿宋" w:hAnsi="仿宋" w:eastAsia="仿宋" w:cs="仿宋"/>
                <w:kern w:val="0"/>
                <w:sz w:val="24"/>
              </w:rPr>
            </w:pPr>
            <w:r>
              <w:rPr>
                <w:rFonts w:hint="eastAsia" w:ascii="仿宋" w:hAnsi="仿宋" w:eastAsia="仿宋" w:cs="仿宋"/>
                <w:kern w:val="0"/>
                <w:sz w:val="24"/>
              </w:rPr>
              <w:t>资本充足率</w:t>
            </w:r>
          </w:p>
        </w:tc>
        <w:tc>
          <w:tcPr>
            <w:tcW w:w="1297" w:type="dxa"/>
            <w:vAlign w:val="center"/>
          </w:tcPr>
          <w:p w14:paraId="0DF4B3B2">
            <w:pPr>
              <w:spacing w:line="440" w:lineRule="atLeast"/>
              <w:jc w:val="right"/>
              <w:rPr>
                <w:rFonts w:ascii="仿宋" w:hAnsi="仿宋" w:eastAsia="仿宋" w:cs="仿宋"/>
                <w:sz w:val="24"/>
              </w:rPr>
            </w:pPr>
            <w:r>
              <w:rPr>
                <w:rFonts w:hint="eastAsia" w:ascii="仿宋" w:hAnsi="仿宋" w:eastAsia="仿宋" w:cs="仿宋"/>
                <w:sz w:val="24"/>
              </w:rPr>
              <w:t>10.512%</w:t>
            </w:r>
          </w:p>
        </w:tc>
        <w:tc>
          <w:tcPr>
            <w:tcW w:w="1297" w:type="dxa"/>
            <w:vAlign w:val="center"/>
          </w:tcPr>
          <w:p w14:paraId="03B75FAA">
            <w:pPr>
              <w:spacing w:line="440" w:lineRule="atLeast"/>
              <w:jc w:val="right"/>
              <w:rPr>
                <w:rFonts w:ascii="仿宋" w:hAnsi="仿宋" w:eastAsia="仿宋" w:cs="仿宋"/>
                <w:sz w:val="24"/>
              </w:rPr>
            </w:pPr>
            <w:r>
              <w:rPr>
                <w:rFonts w:hint="eastAsia" w:ascii="仿宋" w:hAnsi="仿宋" w:eastAsia="仿宋" w:cs="仿宋"/>
                <w:sz w:val="24"/>
              </w:rPr>
              <w:t>10.503%</w:t>
            </w:r>
          </w:p>
        </w:tc>
        <w:tc>
          <w:tcPr>
            <w:tcW w:w="1297" w:type="dxa"/>
            <w:vAlign w:val="center"/>
          </w:tcPr>
          <w:p w14:paraId="21C3F45D">
            <w:pPr>
              <w:spacing w:line="440" w:lineRule="atLeast"/>
              <w:jc w:val="right"/>
              <w:rPr>
                <w:rFonts w:ascii="仿宋" w:hAnsi="仿宋" w:eastAsia="仿宋" w:cs="仿宋"/>
                <w:sz w:val="24"/>
              </w:rPr>
            </w:pPr>
            <w:r>
              <w:rPr>
                <w:rFonts w:hint="eastAsia" w:ascii="仿宋" w:hAnsi="仿宋" w:eastAsia="仿宋" w:cs="仿宋"/>
                <w:sz w:val="24"/>
              </w:rPr>
              <w:t>10.502%</w:t>
            </w:r>
          </w:p>
        </w:tc>
        <w:tc>
          <w:tcPr>
            <w:tcW w:w="1297" w:type="dxa"/>
            <w:vAlign w:val="center"/>
          </w:tcPr>
          <w:p w14:paraId="35348222">
            <w:pPr>
              <w:spacing w:line="440" w:lineRule="atLeast"/>
              <w:jc w:val="right"/>
              <w:rPr>
                <w:rFonts w:ascii="仿宋" w:hAnsi="仿宋" w:eastAsia="仿宋" w:cs="仿宋"/>
                <w:sz w:val="24"/>
              </w:rPr>
            </w:pPr>
            <w:r>
              <w:rPr>
                <w:rFonts w:hint="eastAsia" w:ascii="仿宋" w:hAnsi="仿宋" w:eastAsia="仿宋" w:cs="仿宋"/>
                <w:sz w:val="24"/>
              </w:rPr>
              <w:t>10.512%</w:t>
            </w:r>
          </w:p>
        </w:tc>
        <w:tc>
          <w:tcPr>
            <w:tcW w:w="1295" w:type="dxa"/>
            <w:vAlign w:val="center"/>
          </w:tcPr>
          <w:p w14:paraId="6DCF1875">
            <w:pPr>
              <w:spacing w:line="440" w:lineRule="atLeast"/>
              <w:jc w:val="right"/>
              <w:rPr>
                <w:rFonts w:ascii="仿宋" w:hAnsi="仿宋" w:eastAsia="仿宋" w:cs="仿宋"/>
                <w:sz w:val="24"/>
              </w:rPr>
            </w:pPr>
            <w:r>
              <w:rPr>
                <w:rFonts w:hint="eastAsia" w:ascii="仿宋" w:hAnsi="仿宋" w:eastAsia="仿宋" w:cs="仿宋"/>
                <w:sz w:val="24"/>
              </w:rPr>
              <w:t>10.505%</w:t>
            </w:r>
          </w:p>
        </w:tc>
      </w:tr>
    </w:tbl>
    <w:p w14:paraId="51D5778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综上，对xx银行所有者权益的预测如下表所示。</w:t>
      </w:r>
    </w:p>
    <w:tbl>
      <w:tblPr>
        <w:tblStyle w:val="24"/>
        <w:tblW w:w="5000" w:type="pct"/>
        <w:tblInd w:w="0" w:type="dxa"/>
        <w:tblLayout w:type="fixed"/>
        <w:tblCellMar>
          <w:top w:w="0" w:type="dxa"/>
          <w:left w:w="108" w:type="dxa"/>
          <w:bottom w:w="0" w:type="dxa"/>
          <w:right w:w="108" w:type="dxa"/>
        </w:tblCellMar>
      </w:tblPr>
      <w:tblGrid>
        <w:gridCol w:w="2035"/>
        <w:gridCol w:w="1300"/>
        <w:gridCol w:w="1300"/>
        <w:gridCol w:w="1300"/>
        <w:gridCol w:w="1298"/>
        <w:gridCol w:w="1283"/>
      </w:tblGrid>
      <w:tr w14:paraId="6C3D964B">
        <w:tblPrEx>
          <w:tblCellMar>
            <w:top w:w="0" w:type="dxa"/>
            <w:left w:w="108" w:type="dxa"/>
            <w:bottom w:w="0" w:type="dxa"/>
            <w:right w:w="108" w:type="dxa"/>
          </w:tblCellMar>
        </w:tblPrEx>
        <w:trPr>
          <w:trHeight w:val="285" w:hRule="atLeast"/>
          <w:tblHeader/>
        </w:trPr>
        <w:tc>
          <w:tcPr>
            <w:tcW w:w="1193" w:type="pct"/>
            <w:tcBorders>
              <w:top w:val="single" w:color="auto" w:sz="8" w:space="0"/>
              <w:left w:val="single" w:color="auto" w:sz="8" w:space="0"/>
              <w:bottom w:val="single" w:color="auto" w:sz="4" w:space="0"/>
              <w:right w:val="single" w:color="auto" w:sz="4" w:space="0"/>
            </w:tcBorders>
            <w:vAlign w:val="center"/>
          </w:tcPr>
          <w:p w14:paraId="4937D3A9">
            <w:pPr>
              <w:spacing w:line="440" w:lineRule="atLeast"/>
              <w:jc w:val="center"/>
              <w:rPr>
                <w:rFonts w:ascii="仿宋" w:hAnsi="仿宋" w:eastAsia="仿宋" w:cs="仿宋"/>
                <w:b/>
                <w:bCs/>
                <w:kern w:val="0"/>
                <w:sz w:val="24"/>
              </w:rPr>
            </w:pPr>
            <w:r>
              <w:rPr>
                <w:rFonts w:hint="eastAsia" w:ascii="仿宋" w:hAnsi="仿宋" w:eastAsia="仿宋" w:cs="仿宋"/>
                <w:b/>
                <w:bCs/>
                <w:kern w:val="0"/>
                <w:sz w:val="24"/>
              </w:rPr>
              <w:t>科目</w:t>
            </w:r>
          </w:p>
        </w:tc>
        <w:tc>
          <w:tcPr>
            <w:tcW w:w="763" w:type="pct"/>
            <w:tcBorders>
              <w:top w:val="single" w:color="auto" w:sz="8" w:space="0"/>
              <w:left w:val="nil"/>
              <w:bottom w:val="single" w:color="auto" w:sz="4" w:space="0"/>
              <w:right w:val="single" w:color="auto" w:sz="4" w:space="0"/>
            </w:tcBorders>
            <w:vAlign w:val="center"/>
          </w:tcPr>
          <w:p w14:paraId="7BF2D7F6">
            <w:pPr>
              <w:spacing w:line="440" w:lineRule="atLeast"/>
              <w:jc w:val="center"/>
              <w:rPr>
                <w:rFonts w:ascii="仿宋" w:hAnsi="仿宋" w:eastAsia="仿宋" w:cs="仿宋"/>
                <w:b/>
                <w:kern w:val="0"/>
                <w:sz w:val="24"/>
              </w:rPr>
            </w:pPr>
            <w:r>
              <w:rPr>
                <w:rFonts w:hint="eastAsia" w:ascii="仿宋" w:hAnsi="仿宋" w:eastAsia="仿宋" w:cs="仿宋"/>
                <w:b/>
                <w:kern w:val="0"/>
                <w:sz w:val="24"/>
              </w:rPr>
              <w:t>20x4年</w:t>
            </w:r>
          </w:p>
        </w:tc>
        <w:tc>
          <w:tcPr>
            <w:tcW w:w="763" w:type="pct"/>
            <w:tcBorders>
              <w:top w:val="single" w:color="auto" w:sz="8" w:space="0"/>
              <w:left w:val="nil"/>
              <w:bottom w:val="single" w:color="auto" w:sz="4" w:space="0"/>
              <w:right w:val="single" w:color="auto" w:sz="4" w:space="0"/>
            </w:tcBorders>
            <w:vAlign w:val="center"/>
          </w:tcPr>
          <w:p w14:paraId="07C990C9">
            <w:pPr>
              <w:spacing w:line="440" w:lineRule="atLeast"/>
              <w:jc w:val="center"/>
              <w:rPr>
                <w:rFonts w:ascii="仿宋" w:hAnsi="仿宋" w:eastAsia="仿宋" w:cs="仿宋"/>
                <w:b/>
                <w:kern w:val="0"/>
                <w:sz w:val="24"/>
              </w:rPr>
            </w:pPr>
            <w:r>
              <w:rPr>
                <w:rFonts w:hint="eastAsia" w:ascii="仿宋" w:hAnsi="仿宋" w:eastAsia="仿宋" w:cs="仿宋"/>
                <w:b/>
                <w:kern w:val="0"/>
                <w:sz w:val="24"/>
              </w:rPr>
              <w:t>20x5年</w:t>
            </w:r>
          </w:p>
        </w:tc>
        <w:tc>
          <w:tcPr>
            <w:tcW w:w="763" w:type="pct"/>
            <w:tcBorders>
              <w:top w:val="single" w:color="auto" w:sz="8" w:space="0"/>
              <w:left w:val="nil"/>
              <w:bottom w:val="single" w:color="auto" w:sz="4" w:space="0"/>
              <w:right w:val="single" w:color="auto" w:sz="4" w:space="0"/>
            </w:tcBorders>
            <w:vAlign w:val="center"/>
          </w:tcPr>
          <w:p w14:paraId="4C304A39">
            <w:pPr>
              <w:spacing w:line="440" w:lineRule="atLeast"/>
              <w:jc w:val="center"/>
              <w:rPr>
                <w:rFonts w:ascii="仿宋" w:hAnsi="仿宋" w:eastAsia="仿宋" w:cs="仿宋"/>
                <w:b/>
                <w:kern w:val="0"/>
                <w:sz w:val="24"/>
              </w:rPr>
            </w:pPr>
            <w:r>
              <w:rPr>
                <w:rFonts w:hint="eastAsia" w:ascii="仿宋" w:hAnsi="仿宋" w:eastAsia="仿宋" w:cs="仿宋"/>
                <w:b/>
                <w:kern w:val="0"/>
                <w:sz w:val="24"/>
              </w:rPr>
              <w:t>20x6年</w:t>
            </w:r>
          </w:p>
        </w:tc>
        <w:tc>
          <w:tcPr>
            <w:tcW w:w="762" w:type="pct"/>
            <w:tcBorders>
              <w:top w:val="single" w:color="auto" w:sz="8" w:space="0"/>
              <w:left w:val="nil"/>
              <w:bottom w:val="single" w:color="auto" w:sz="4" w:space="0"/>
              <w:right w:val="single" w:color="auto" w:sz="4" w:space="0"/>
            </w:tcBorders>
            <w:vAlign w:val="center"/>
          </w:tcPr>
          <w:p w14:paraId="53F2AA84">
            <w:pPr>
              <w:spacing w:line="440" w:lineRule="atLeast"/>
              <w:jc w:val="center"/>
              <w:rPr>
                <w:rFonts w:ascii="仿宋" w:hAnsi="仿宋" w:eastAsia="仿宋" w:cs="仿宋"/>
                <w:b/>
                <w:kern w:val="0"/>
                <w:sz w:val="24"/>
              </w:rPr>
            </w:pPr>
            <w:r>
              <w:rPr>
                <w:rFonts w:hint="eastAsia" w:ascii="仿宋" w:hAnsi="仿宋" w:eastAsia="仿宋" w:cs="仿宋"/>
                <w:b/>
                <w:kern w:val="0"/>
                <w:sz w:val="24"/>
              </w:rPr>
              <w:t>20x7年</w:t>
            </w:r>
          </w:p>
        </w:tc>
        <w:tc>
          <w:tcPr>
            <w:tcW w:w="753" w:type="pct"/>
            <w:tcBorders>
              <w:top w:val="single" w:color="auto" w:sz="8" w:space="0"/>
              <w:left w:val="nil"/>
              <w:bottom w:val="single" w:color="auto" w:sz="4" w:space="0"/>
              <w:right w:val="single" w:color="auto" w:sz="4" w:space="0"/>
            </w:tcBorders>
            <w:vAlign w:val="center"/>
          </w:tcPr>
          <w:p w14:paraId="0EFE1E28">
            <w:pPr>
              <w:spacing w:line="440" w:lineRule="atLeast"/>
              <w:jc w:val="center"/>
              <w:rPr>
                <w:rFonts w:ascii="仿宋" w:hAnsi="仿宋" w:eastAsia="仿宋" w:cs="仿宋"/>
                <w:b/>
                <w:kern w:val="0"/>
                <w:sz w:val="24"/>
              </w:rPr>
            </w:pPr>
            <w:r>
              <w:rPr>
                <w:rFonts w:hint="eastAsia" w:ascii="仿宋" w:hAnsi="仿宋" w:eastAsia="仿宋" w:cs="仿宋"/>
                <w:b/>
                <w:kern w:val="0"/>
                <w:sz w:val="24"/>
              </w:rPr>
              <w:t>20x8年</w:t>
            </w:r>
          </w:p>
        </w:tc>
      </w:tr>
      <w:tr w14:paraId="45613227">
        <w:tblPrEx>
          <w:tblCellMar>
            <w:top w:w="0" w:type="dxa"/>
            <w:left w:w="108" w:type="dxa"/>
            <w:bottom w:w="0" w:type="dxa"/>
            <w:right w:w="108" w:type="dxa"/>
          </w:tblCellMar>
        </w:tblPrEx>
        <w:trPr>
          <w:trHeight w:val="330" w:hRule="atLeast"/>
        </w:trPr>
        <w:tc>
          <w:tcPr>
            <w:tcW w:w="1193" w:type="pct"/>
            <w:tcBorders>
              <w:top w:val="nil"/>
              <w:left w:val="single" w:color="auto" w:sz="8" w:space="0"/>
              <w:bottom w:val="single" w:color="auto" w:sz="4" w:space="0"/>
              <w:right w:val="single" w:color="auto" w:sz="4" w:space="0"/>
            </w:tcBorders>
            <w:vAlign w:val="center"/>
          </w:tcPr>
          <w:p w14:paraId="2E610432">
            <w:pPr>
              <w:spacing w:line="440" w:lineRule="atLeast"/>
              <w:jc w:val="left"/>
              <w:rPr>
                <w:rFonts w:ascii="仿宋" w:hAnsi="仿宋" w:eastAsia="仿宋" w:cs="仿宋"/>
                <w:bCs/>
                <w:kern w:val="0"/>
                <w:sz w:val="24"/>
              </w:rPr>
            </w:pPr>
            <w:r>
              <w:rPr>
                <w:rFonts w:hint="eastAsia" w:ascii="仿宋" w:hAnsi="仿宋" w:eastAsia="仿宋" w:cs="仿宋"/>
                <w:bCs/>
                <w:kern w:val="0"/>
                <w:sz w:val="24"/>
              </w:rPr>
              <w:t>所有者权益：</w:t>
            </w:r>
          </w:p>
        </w:tc>
        <w:tc>
          <w:tcPr>
            <w:tcW w:w="763" w:type="pct"/>
            <w:tcBorders>
              <w:top w:val="single" w:color="auto" w:sz="4" w:space="0"/>
              <w:left w:val="nil"/>
              <w:bottom w:val="single" w:color="auto" w:sz="4" w:space="0"/>
              <w:right w:val="single" w:color="auto" w:sz="4" w:space="0"/>
            </w:tcBorders>
            <w:vAlign w:val="center"/>
          </w:tcPr>
          <w:p w14:paraId="12BF851A">
            <w:pPr>
              <w:spacing w:line="440" w:lineRule="atLeast"/>
              <w:jc w:val="right"/>
              <w:rPr>
                <w:rFonts w:ascii="仿宋" w:hAnsi="仿宋" w:eastAsia="仿宋" w:cs="仿宋"/>
                <w:kern w:val="0"/>
                <w:sz w:val="24"/>
              </w:rPr>
            </w:pPr>
          </w:p>
        </w:tc>
        <w:tc>
          <w:tcPr>
            <w:tcW w:w="763" w:type="pct"/>
            <w:tcBorders>
              <w:top w:val="single" w:color="auto" w:sz="4" w:space="0"/>
              <w:left w:val="nil"/>
              <w:bottom w:val="single" w:color="auto" w:sz="4" w:space="0"/>
              <w:right w:val="single" w:color="auto" w:sz="4" w:space="0"/>
            </w:tcBorders>
            <w:vAlign w:val="center"/>
          </w:tcPr>
          <w:p w14:paraId="56783490">
            <w:pPr>
              <w:spacing w:line="440" w:lineRule="atLeast"/>
              <w:jc w:val="right"/>
              <w:rPr>
                <w:rFonts w:ascii="仿宋" w:hAnsi="仿宋" w:eastAsia="仿宋" w:cs="仿宋"/>
                <w:kern w:val="0"/>
                <w:sz w:val="24"/>
              </w:rPr>
            </w:pPr>
          </w:p>
        </w:tc>
        <w:tc>
          <w:tcPr>
            <w:tcW w:w="763" w:type="pct"/>
            <w:tcBorders>
              <w:top w:val="single" w:color="auto" w:sz="4" w:space="0"/>
              <w:left w:val="nil"/>
              <w:bottom w:val="single" w:color="auto" w:sz="4" w:space="0"/>
              <w:right w:val="single" w:color="auto" w:sz="4" w:space="0"/>
            </w:tcBorders>
            <w:vAlign w:val="center"/>
          </w:tcPr>
          <w:p w14:paraId="6592B31C">
            <w:pPr>
              <w:spacing w:line="440" w:lineRule="atLeast"/>
              <w:jc w:val="right"/>
              <w:rPr>
                <w:rFonts w:ascii="仿宋" w:hAnsi="仿宋" w:eastAsia="仿宋" w:cs="仿宋"/>
                <w:kern w:val="0"/>
                <w:sz w:val="24"/>
              </w:rPr>
            </w:pPr>
          </w:p>
        </w:tc>
        <w:tc>
          <w:tcPr>
            <w:tcW w:w="762" w:type="pct"/>
            <w:tcBorders>
              <w:top w:val="single" w:color="auto" w:sz="4" w:space="0"/>
              <w:left w:val="nil"/>
              <w:bottom w:val="single" w:color="auto" w:sz="4" w:space="0"/>
              <w:right w:val="single" w:color="auto" w:sz="4" w:space="0"/>
            </w:tcBorders>
            <w:vAlign w:val="center"/>
          </w:tcPr>
          <w:p w14:paraId="7C3AD775">
            <w:pPr>
              <w:spacing w:line="440" w:lineRule="atLeast"/>
              <w:jc w:val="right"/>
              <w:rPr>
                <w:rFonts w:ascii="仿宋" w:hAnsi="仿宋" w:eastAsia="仿宋" w:cs="仿宋"/>
                <w:kern w:val="0"/>
                <w:sz w:val="24"/>
              </w:rPr>
            </w:pPr>
          </w:p>
        </w:tc>
        <w:tc>
          <w:tcPr>
            <w:tcW w:w="753" w:type="pct"/>
            <w:tcBorders>
              <w:top w:val="single" w:color="auto" w:sz="4" w:space="0"/>
              <w:left w:val="nil"/>
              <w:bottom w:val="single" w:color="auto" w:sz="4" w:space="0"/>
              <w:right w:val="single" w:color="auto" w:sz="4" w:space="0"/>
            </w:tcBorders>
            <w:vAlign w:val="center"/>
          </w:tcPr>
          <w:p w14:paraId="06D66ED5">
            <w:pPr>
              <w:spacing w:line="440" w:lineRule="atLeast"/>
              <w:jc w:val="right"/>
              <w:rPr>
                <w:rFonts w:ascii="仿宋" w:hAnsi="仿宋" w:eastAsia="仿宋" w:cs="仿宋"/>
                <w:kern w:val="0"/>
                <w:sz w:val="24"/>
              </w:rPr>
            </w:pPr>
          </w:p>
        </w:tc>
      </w:tr>
      <w:tr w14:paraId="27E87708">
        <w:tblPrEx>
          <w:tblCellMar>
            <w:top w:w="0" w:type="dxa"/>
            <w:left w:w="108" w:type="dxa"/>
            <w:bottom w:w="0" w:type="dxa"/>
            <w:right w:w="108" w:type="dxa"/>
          </w:tblCellMar>
        </w:tblPrEx>
        <w:trPr>
          <w:trHeight w:val="330" w:hRule="atLeast"/>
        </w:trPr>
        <w:tc>
          <w:tcPr>
            <w:tcW w:w="1193" w:type="pct"/>
            <w:tcBorders>
              <w:top w:val="nil"/>
              <w:left w:val="single" w:color="auto" w:sz="8" w:space="0"/>
              <w:bottom w:val="single" w:color="auto" w:sz="4" w:space="0"/>
              <w:right w:val="single" w:color="auto" w:sz="4" w:space="0"/>
            </w:tcBorders>
            <w:vAlign w:val="center"/>
          </w:tcPr>
          <w:p w14:paraId="14EF7FC5">
            <w:pPr>
              <w:spacing w:line="440" w:lineRule="atLeast"/>
              <w:jc w:val="left"/>
              <w:rPr>
                <w:rFonts w:ascii="仿宋" w:hAnsi="仿宋" w:eastAsia="仿宋" w:cs="仿宋"/>
                <w:bCs/>
                <w:kern w:val="0"/>
                <w:sz w:val="24"/>
              </w:rPr>
            </w:pPr>
            <w:r>
              <w:rPr>
                <w:rFonts w:hint="eastAsia" w:ascii="仿宋" w:hAnsi="仿宋" w:eastAsia="仿宋" w:cs="仿宋"/>
                <w:bCs/>
                <w:kern w:val="0"/>
                <w:sz w:val="24"/>
              </w:rPr>
              <w:t>股本:</w:t>
            </w:r>
          </w:p>
        </w:tc>
        <w:tc>
          <w:tcPr>
            <w:tcW w:w="763" w:type="pct"/>
            <w:tcBorders>
              <w:top w:val="nil"/>
              <w:left w:val="nil"/>
              <w:bottom w:val="single" w:color="auto" w:sz="4" w:space="0"/>
              <w:right w:val="single" w:color="auto" w:sz="4" w:space="0"/>
            </w:tcBorders>
            <w:vAlign w:val="center"/>
          </w:tcPr>
          <w:p w14:paraId="7A8BD835">
            <w:pPr>
              <w:spacing w:line="440" w:lineRule="atLeast"/>
              <w:jc w:val="right"/>
              <w:rPr>
                <w:rFonts w:ascii="仿宋" w:hAnsi="仿宋" w:eastAsia="仿宋" w:cs="仿宋"/>
                <w:sz w:val="20"/>
                <w:szCs w:val="20"/>
              </w:rPr>
            </w:pPr>
          </w:p>
        </w:tc>
        <w:tc>
          <w:tcPr>
            <w:tcW w:w="763" w:type="pct"/>
            <w:tcBorders>
              <w:top w:val="nil"/>
              <w:left w:val="nil"/>
              <w:bottom w:val="single" w:color="auto" w:sz="4" w:space="0"/>
              <w:right w:val="single" w:color="auto" w:sz="4" w:space="0"/>
            </w:tcBorders>
            <w:vAlign w:val="center"/>
          </w:tcPr>
          <w:p w14:paraId="5303911F">
            <w:pPr>
              <w:spacing w:line="440" w:lineRule="atLeast"/>
              <w:jc w:val="right"/>
              <w:rPr>
                <w:rFonts w:ascii="仿宋" w:hAnsi="仿宋" w:eastAsia="仿宋" w:cs="仿宋"/>
                <w:sz w:val="20"/>
                <w:szCs w:val="20"/>
              </w:rPr>
            </w:pPr>
          </w:p>
        </w:tc>
        <w:tc>
          <w:tcPr>
            <w:tcW w:w="763" w:type="pct"/>
            <w:tcBorders>
              <w:top w:val="nil"/>
              <w:left w:val="nil"/>
              <w:bottom w:val="single" w:color="auto" w:sz="4" w:space="0"/>
              <w:right w:val="single" w:color="auto" w:sz="4" w:space="0"/>
            </w:tcBorders>
            <w:vAlign w:val="center"/>
          </w:tcPr>
          <w:p w14:paraId="33AE7077">
            <w:pPr>
              <w:spacing w:line="440" w:lineRule="atLeast"/>
              <w:jc w:val="right"/>
              <w:rPr>
                <w:rFonts w:ascii="仿宋" w:hAnsi="仿宋" w:eastAsia="仿宋" w:cs="仿宋"/>
                <w:sz w:val="20"/>
                <w:szCs w:val="20"/>
              </w:rPr>
            </w:pPr>
          </w:p>
        </w:tc>
        <w:tc>
          <w:tcPr>
            <w:tcW w:w="762" w:type="pct"/>
            <w:tcBorders>
              <w:top w:val="nil"/>
              <w:left w:val="nil"/>
              <w:bottom w:val="single" w:color="auto" w:sz="4" w:space="0"/>
              <w:right w:val="single" w:color="auto" w:sz="4" w:space="0"/>
            </w:tcBorders>
            <w:vAlign w:val="center"/>
          </w:tcPr>
          <w:p w14:paraId="764B66E3">
            <w:pPr>
              <w:spacing w:line="440" w:lineRule="atLeast"/>
              <w:jc w:val="right"/>
              <w:rPr>
                <w:rFonts w:ascii="仿宋" w:hAnsi="仿宋" w:eastAsia="仿宋" w:cs="仿宋"/>
                <w:sz w:val="20"/>
                <w:szCs w:val="20"/>
              </w:rPr>
            </w:pPr>
          </w:p>
        </w:tc>
        <w:tc>
          <w:tcPr>
            <w:tcW w:w="753" w:type="pct"/>
            <w:tcBorders>
              <w:top w:val="nil"/>
              <w:left w:val="nil"/>
              <w:bottom w:val="single" w:color="auto" w:sz="4" w:space="0"/>
              <w:right w:val="single" w:color="auto" w:sz="4" w:space="0"/>
            </w:tcBorders>
            <w:vAlign w:val="center"/>
          </w:tcPr>
          <w:p w14:paraId="6021C714">
            <w:pPr>
              <w:spacing w:line="440" w:lineRule="atLeast"/>
              <w:jc w:val="right"/>
              <w:rPr>
                <w:rFonts w:ascii="仿宋" w:hAnsi="仿宋" w:eastAsia="仿宋" w:cs="仿宋"/>
                <w:sz w:val="20"/>
                <w:szCs w:val="20"/>
              </w:rPr>
            </w:pPr>
          </w:p>
        </w:tc>
      </w:tr>
      <w:tr w14:paraId="1CE6137B">
        <w:tblPrEx>
          <w:tblCellMar>
            <w:top w:w="0" w:type="dxa"/>
            <w:left w:w="108" w:type="dxa"/>
            <w:bottom w:w="0" w:type="dxa"/>
            <w:right w:w="108" w:type="dxa"/>
          </w:tblCellMar>
        </w:tblPrEx>
        <w:trPr>
          <w:trHeight w:val="330" w:hRule="atLeast"/>
        </w:trPr>
        <w:tc>
          <w:tcPr>
            <w:tcW w:w="1193" w:type="pct"/>
            <w:tcBorders>
              <w:top w:val="nil"/>
              <w:left w:val="single" w:color="auto" w:sz="8" w:space="0"/>
              <w:bottom w:val="single" w:color="auto" w:sz="4" w:space="0"/>
              <w:right w:val="single" w:color="auto" w:sz="4" w:space="0"/>
            </w:tcBorders>
            <w:vAlign w:val="center"/>
          </w:tcPr>
          <w:p w14:paraId="3DF0E46C">
            <w:pPr>
              <w:spacing w:line="440" w:lineRule="atLeast"/>
              <w:jc w:val="left"/>
              <w:rPr>
                <w:rFonts w:ascii="仿宋" w:hAnsi="仿宋" w:eastAsia="仿宋" w:cs="仿宋"/>
                <w:kern w:val="0"/>
                <w:sz w:val="24"/>
              </w:rPr>
            </w:pPr>
            <w:r>
              <w:rPr>
                <w:rFonts w:hint="eastAsia" w:ascii="仿宋" w:hAnsi="仿宋" w:eastAsia="仿宋" w:cs="仿宋"/>
                <w:kern w:val="0"/>
                <w:sz w:val="24"/>
              </w:rPr>
              <w:t>年末股本</w:t>
            </w:r>
          </w:p>
        </w:tc>
        <w:tc>
          <w:tcPr>
            <w:tcW w:w="763" w:type="pct"/>
            <w:tcBorders>
              <w:top w:val="nil"/>
              <w:left w:val="nil"/>
              <w:bottom w:val="single" w:color="auto" w:sz="4" w:space="0"/>
              <w:right w:val="single" w:color="auto" w:sz="4" w:space="0"/>
            </w:tcBorders>
            <w:vAlign w:val="center"/>
          </w:tcPr>
          <w:p w14:paraId="1937D6A3">
            <w:pPr>
              <w:spacing w:line="440" w:lineRule="atLeast"/>
              <w:jc w:val="right"/>
              <w:rPr>
                <w:rFonts w:ascii="仿宋" w:hAnsi="仿宋" w:eastAsia="仿宋" w:cs="仿宋"/>
                <w:sz w:val="20"/>
                <w:szCs w:val="20"/>
              </w:rPr>
            </w:pPr>
            <w:r>
              <w:rPr>
                <w:rFonts w:hint="eastAsia" w:ascii="仿宋" w:hAnsi="仿宋" w:eastAsia="仿宋" w:cs="仿宋"/>
                <w:sz w:val="20"/>
                <w:szCs w:val="20"/>
              </w:rPr>
              <w:t>4,627,679.00</w:t>
            </w:r>
          </w:p>
        </w:tc>
        <w:tc>
          <w:tcPr>
            <w:tcW w:w="763" w:type="pct"/>
            <w:tcBorders>
              <w:top w:val="nil"/>
              <w:left w:val="nil"/>
              <w:bottom w:val="single" w:color="auto" w:sz="4" w:space="0"/>
              <w:right w:val="single" w:color="auto" w:sz="4" w:space="0"/>
            </w:tcBorders>
            <w:vAlign w:val="center"/>
          </w:tcPr>
          <w:p w14:paraId="2D97F15B">
            <w:pPr>
              <w:spacing w:line="440" w:lineRule="atLeast"/>
              <w:jc w:val="right"/>
              <w:rPr>
                <w:rFonts w:ascii="仿宋" w:hAnsi="仿宋" w:eastAsia="仿宋" w:cs="仿宋"/>
                <w:sz w:val="20"/>
                <w:szCs w:val="20"/>
              </w:rPr>
            </w:pPr>
            <w:r>
              <w:rPr>
                <w:rFonts w:hint="eastAsia" w:ascii="仿宋" w:hAnsi="仿宋" w:eastAsia="仿宋" w:cs="仿宋"/>
                <w:sz w:val="20"/>
                <w:szCs w:val="20"/>
              </w:rPr>
              <w:t>4,627,679.00</w:t>
            </w:r>
          </w:p>
        </w:tc>
        <w:tc>
          <w:tcPr>
            <w:tcW w:w="763" w:type="pct"/>
            <w:tcBorders>
              <w:top w:val="nil"/>
              <w:left w:val="nil"/>
              <w:bottom w:val="single" w:color="auto" w:sz="4" w:space="0"/>
              <w:right w:val="single" w:color="auto" w:sz="4" w:space="0"/>
            </w:tcBorders>
            <w:vAlign w:val="center"/>
          </w:tcPr>
          <w:p w14:paraId="30957A68">
            <w:pPr>
              <w:spacing w:line="440" w:lineRule="atLeast"/>
              <w:jc w:val="right"/>
              <w:rPr>
                <w:rFonts w:ascii="仿宋" w:hAnsi="仿宋" w:eastAsia="仿宋" w:cs="仿宋"/>
                <w:sz w:val="20"/>
                <w:szCs w:val="20"/>
              </w:rPr>
            </w:pPr>
            <w:r>
              <w:rPr>
                <w:rFonts w:hint="eastAsia" w:ascii="仿宋" w:hAnsi="仿宋" w:eastAsia="仿宋" w:cs="仿宋"/>
                <w:sz w:val="20"/>
                <w:szCs w:val="20"/>
              </w:rPr>
              <w:t>4,627,679.00</w:t>
            </w:r>
          </w:p>
        </w:tc>
        <w:tc>
          <w:tcPr>
            <w:tcW w:w="762" w:type="pct"/>
            <w:tcBorders>
              <w:top w:val="nil"/>
              <w:left w:val="nil"/>
              <w:bottom w:val="single" w:color="auto" w:sz="4" w:space="0"/>
              <w:right w:val="single" w:color="auto" w:sz="4" w:space="0"/>
            </w:tcBorders>
            <w:vAlign w:val="center"/>
          </w:tcPr>
          <w:p w14:paraId="2B597838">
            <w:pPr>
              <w:spacing w:line="440" w:lineRule="atLeast"/>
              <w:jc w:val="right"/>
              <w:rPr>
                <w:rFonts w:ascii="仿宋" w:hAnsi="仿宋" w:eastAsia="仿宋" w:cs="仿宋"/>
                <w:sz w:val="20"/>
                <w:szCs w:val="20"/>
              </w:rPr>
            </w:pPr>
            <w:r>
              <w:rPr>
                <w:rFonts w:hint="eastAsia" w:ascii="仿宋" w:hAnsi="仿宋" w:eastAsia="仿宋" w:cs="仿宋"/>
                <w:sz w:val="20"/>
                <w:szCs w:val="20"/>
              </w:rPr>
              <w:t>4,627,679.00</w:t>
            </w:r>
          </w:p>
        </w:tc>
        <w:tc>
          <w:tcPr>
            <w:tcW w:w="753" w:type="pct"/>
            <w:tcBorders>
              <w:top w:val="nil"/>
              <w:left w:val="nil"/>
              <w:bottom w:val="single" w:color="auto" w:sz="4" w:space="0"/>
              <w:right w:val="single" w:color="auto" w:sz="4" w:space="0"/>
            </w:tcBorders>
            <w:vAlign w:val="center"/>
          </w:tcPr>
          <w:p w14:paraId="683FED1D">
            <w:pPr>
              <w:spacing w:line="440" w:lineRule="atLeast"/>
              <w:jc w:val="right"/>
              <w:rPr>
                <w:rFonts w:ascii="仿宋" w:hAnsi="仿宋" w:eastAsia="仿宋" w:cs="仿宋"/>
                <w:sz w:val="20"/>
                <w:szCs w:val="20"/>
              </w:rPr>
            </w:pPr>
            <w:r>
              <w:rPr>
                <w:rFonts w:hint="eastAsia" w:ascii="仿宋" w:hAnsi="仿宋" w:eastAsia="仿宋" w:cs="仿宋"/>
                <w:sz w:val="20"/>
                <w:szCs w:val="20"/>
              </w:rPr>
              <w:t>4,627,679.00</w:t>
            </w:r>
          </w:p>
        </w:tc>
      </w:tr>
      <w:tr w14:paraId="35BCFA86">
        <w:tblPrEx>
          <w:tblCellMar>
            <w:top w:w="0" w:type="dxa"/>
            <w:left w:w="108" w:type="dxa"/>
            <w:bottom w:w="0" w:type="dxa"/>
            <w:right w:w="108" w:type="dxa"/>
          </w:tblCellMar>
        </w:tblPrEx>
        <w:trPr>
          <w:trHeight w:val="330" w:hRule="atLeast"/>
        </w:trPr>
        <w:tc>
          <w:tcPr>
            <w:tcW w:w="1193" w:type="pct"/>
            <w:tcBorders>
              <w:top w:val="nil"/>
              <w:left w:val="single" w:color="auto" w:sz="8" w:space="0"/>
              <w:bottom w:val="single" w:color="auto" w:sz="4" w:space="0"/>
              <w:right w:val="single" w:color="auto" w:sz="4" w:space="0"/>
            </w:tcBorders>
            <w:vAlign w:val="center"/>
          </w:tcPr>
          <w:p w14:paraId="6558A22B">
            <w:pPr>
              <w:spacing w:line="440" w:lineRule="atLeast"/>
              <w:jc w:val="left"/>
              <w:rPr>
                <w:rFonts w:ascii="仿宋" w:hAnsi="仿宋" w:eastAsia="仿宋" w:cs="仿宋"/>
                <w:bCs/>
                <w:kern w:val="0"/>
                <w:sz w:val="24"/>
              </w:rPr>
            </w:pPr>
            <w:r>
              <w:rPr>
                <w:rFonts w:hint="eastAsia" w:ascii="仿宋" w:hAnsi="仿宋" w:eastAsia="仿宋" w:cs="仿宋"/>
                <w:bCs/>
                <w:kern w:val="0"/>
                <w:sz w:val="24"/>
              </w:rPr>
              <w:t>资本公积:</w:t>
            </w:r>
          </w:p>
        </w:tc>
        <w:tc>
          <w:tcPr>
            <w:tcW w:w="763" w:type="pct"/>
            <w:tcBorders>
              <w:top w:val="nil"/>
              <w:left w:val="nil"/>
              <w:bottom w:val="single" w:color="auto" w:sz="4" w:space="0"/>
              <w:right w:val="single" w:color="auto" w:sz="4" w:space="0"/>
            </w:tcBorders>
            <w:vAlign w:val="center"/>
          </w:tcPr>
          <w:p w14:paraId="68F04A0B">
            <w:pPr>
              <w:spacing w:line="440" w:lineRule="atLeast"/>
              <w:jc w:val="right"/>
              <w:rPr>
                <w:rFonts w:ascii="仿宋" w:hAnsi="仿宋" w:eastAsia="仿宋" w:cs="仿宋"/>
                <w:sz w:val="20"/>
                <w:szCs w:val="20"/>
              </w:rPr>
            </w:pPr>
          </w:p>
        </w:tc>
        <w:tc>
          <w:tcPr>
            <w:tcW w:w="763" w:type="pct"/>
            <w:tcBorders>
              <w:top w:val="nil"/>
              <w:left w:val="nil"/>
              <w:bottom w:val="single" w:color="auto" w:sz="4" w:space="0"/>
              <w:right w:val="single" w:color="auto" w:sz="4" w:space="0"/>
            </w:tcBorders>
            <w:vAlign w:val="center"/>
          </w:tcPr>
          <w:p w14:paraId="51FB18B3">
            <w:pPr>
              <w:spacing w:line="440" w:lineRule="atLeast"/>
              <w:jc w:val="right"/>
              <w:rPr>
                <w:rFonts w:ascii="仿宋" w:hAnsi="仿宋" w:eastAsia="仿宋" w:cs="仿宋"/>
                <w:sz w:val="20"/>
                <w:szCs w:val="20"/>
              </w:rPr>
            </w:pPr>
          </w:p>
        </w:tc>
        <w:tc>
          <w:tcPr>
            <w:tcW w:w="763" w:type="pct"/>
            <w:tcBorders>
              <w:top w:val="nil"/>
              <w:left w:val="nil"/>
              <w:bottom w:val="single" w:color="auto" w:sz="4" w:space="0"/>
              <w:right w:val="single" w:color="auto" w:sz="4" w:space="0"/>
            </w:tcBorders>
            <w:vAlign w:val="center"/>
          </w:tcPr>
          <w:p w14:paraId="3ACB4E4B">
            <w:pPr>
              <w:spacing w:line="440" w:lineRule="atLeast"/>
              <w:jc w:val="right"/>
              <w:rPr>
                <w:rFonts w:ascii="仿宋" w:hAnsi="仿宋" w:eastAsia="仿宋" w:cs="仿宋"/>
                <w:sz w:val="20"/>
                <w:szCs w:val="20"/>
              </w:rPr>
            </w:pPr>
          </w:p>
        </w:tc>
        <w:tc>
          <w:tcPr>
            <w:tcW w:w="762" w:type="pct"/>
            <w:tcBorders>
              <w:top w:val="nil"/>
              <w:left w:val="nil"/>
              <w:bottom w:val="single" w:color="auto" w:sz="4" w:space="0"/>
              <w:right w:val="single" w:color="auto" w:sz="4" w:space="0"/>
            </w:tcBorders>
            <w:vAlign w:val="center"/>
          </w:tcPr>
          <w:p w14:paraId="417E9249">
            <w:pPr>
              <w:spacing w:line="440" w:lineRule="atLeast"/>
              <w:jc w:val="right"/>
              <w:rPr>
                <w:rFonts w:ascii="仿宋" w:hAnsi="仿宋" w:eastAsia="仿宋" w:cs="仿宋"/>
                <w:sz w:val="20"/>
                <w:szCs w:val="20"/>
              </w:rPr>
            </w:pPr>
          </w:p>
        </w:tc>
        <w:tc>
          <w:tcPr>
            <w:tcW w:w="753" w:type="pct"/>
            <w:tcBorders>
              <w:top w:val="nil"/>
              <w:left w:val="nil"/>
              <w:bottom w:val="single" w:color="auto" w:sz="4" w:space="0"/>
              <w:right w:val="single" w:color="auto" w:sz="4" w:space="0"/>
            </w:tcBorders>
            <w:vAlign w:val="center"/>
          </w:tcPr>
          <w:p w14:paraId="0590FF3A">
            <w:pPr>
              <w:spacing w:line="440" w:lineRule="atLeast"/>
              <w:jc w:val="right"/>
              <w:rPr>
                <w:rFonts w:ascii="仿宋" w:hAnsi="仿宋" w:eastAsia="仿宋" w:cs="仿宋"/>
                <w:sz w:val="20"/>
                <w:szCs w:val="20"/>
              </w:rPr>
            </w:pPr>
          </w:p>
        </w:tc>
      </w:tr>
      <w:tr w14:paraId="77BE593B">
        <w:tblPrEx>
          <w:tblCellMar>
            <w:top w:w="0" w:type="dxa"/>
            <w:left w:w="108" w:type="dxa"/>
            <w:bottom w:w="0" w:type="dxa"/>
            <w:right w:w="108" w:type="dxa"/>
          </w:tblCellMar>
        </w:tblPrEx>
        <w:trPr>
          <w:trHeight w:val="330" w:hRule="atLeast"/>
        </w:trPr>
        <w:tc>
          <w:tcPr>
            <w:tcW w:w="1193" w:type="pct"/>
            <w:tcBorders>
              <w:top w:val="nil"/>
              <w:left w:val="single" w:color="auto" w:sz="8" w:space="0"/>
              <w:bottom w:val="single" w:color="auto" w:sz="4" w:space="0"/>
              <w:right w:val="single" w:color="auto" w:sz="4" w:space="0"/>
            </w:tcBorders>
            <w:vAlign w:val="center"/>
          </w:tcPr>
          <w:p w14:paraId="70335A10">
            <w:pPr>
              <w:spacing w:line="440" w:lineRule="atLeast"/>
              <w:jc w:val="left"/>
              <w:rPr>
                <w:rFonts w:ascii="仿宋" w:hAnsi="仿宋" w:eastAsia="仿宋" w:cs="仿宋"/>
                <w:kern w:val="0"/>
                <w:sz w:val="24"/>
              </w:rPr>
            </w:pPr>
            <w:r>
              <w:rPr>
                <w:rFonts w:hint="eastAsia" w:ascii="仿宋" w:hAnsi="仿宋" w:eastAsia="仿宋" w:cs="仿宋"/>
                <w:kern w:val="0"/>
                <w:sz w:val="24"/>
              </w:rPr>
              <w:t>年末资本公积</w:t>
            </w:r>
          </w:p>
        </w:tc>
        <w:tc>
          <w:tcPr>
            <w:tcW w:w="763" w:type="pct"/>
            <w:tcBorders>
              <w:top w:val="nil"/>
              <w:left w:val="nil"/>
              <w:bottom w:val="single" w:color="auto" w:sz="4" w:space="0"/>
              <w:right w:val="single" w:color="auto" w:sz="4" w:space="0"/>
            </w:tcBorders>
            <w:vAlign w:val="center"/>
          </w:tcPr>
          <w:p w14:paraId="0B2196D6">
            <w:pPr>
              <w:spacing w:line="440" w:lineRule="atLeast"/>
              <w:jc w:val="right"/>
              <w:rPr>
                <w:rFonts w:ascii="仿宋" w:hAnsi="仿宋" w:eastAsia="仿宋" w:cs="仿宋"/>
                <w:sz w:val="20"/>
                <w:szCs w:val="20"/>
              </w:rPr>
            </w:pPr>
            <w:r>
              <w:rPr>
                <w:rFonts w:hint="eastAsia" w:ascii="仿宋" w:hAnsi="仿宋" w:eastAsia="仿宋" w:cs="仿宋"/>
                <w:sz w:val="20"/>
                <w:szCs w:val="20"/>
              </w:rPr>
              <w:t>2,870,767.50</w:t>
            </w:r>
          </w:p>
        </w:tc>
        <w:tc>
          <w:tcPr>
            <w:tcW w:w="763" w:type="pct"/>
            <w:tcBorders>
              <w:top w:val="nil"/>
              <w:left w:val="nil"/>
              <w:bottom w:val="single" w:color="auto" w:sz="4" w:space="0"/>
              <w:right w:val="single" w:color="auto" w:sz="4" w:space="0"/>
            </w:tcBorders>
            <w:vAlign w:val="center"/>
          </w:tcPr>
          <w:p w14:paraId="765724A8">
            <w:pPr>
              <w:spacing w:line="440" w:lineRule="atLeast"/>
              <w:jc w:val="right"/>
              <w:rPr>
                <w:rFonts w:ascii="仿宋" w:hAnsi="仿宋" w:eastAsia="仿宋" w:cs="仿宋"/>
                <w:sz w:val="20"/>
                <w:szCs w:val="20"/>
              </w:rPr>
            </w:pPr>
            <w:r>
              <w:rPr>
                <w:rFonts w:hint="eastAsia" w:ascii="仿宋" w:hAnsi="仿宋" w:eastAsia="仿宋" w:cs="仿宋"/>
                <w:sz w:val="20"/>
                <w:szCs w:val="20"/>
              </w:rPr>
              <w:t>2,870,767.50</w:t>
            </w:r>
          </w:p>
        </w:tc>
        <w:tc>
          <w:tcPr>
            <w:tcW w:w="763" w:type="pct"/>
            <w:tcBorders>
              <w:top w:val="nil"/>
              <w:left w:val="nil"/>
              <w:bottom w:val="single" w:color="auto" w:sz="4" w:space="0"/>
              <w:right w:val="single" w:color="auto" w:sz="4" w:space="0"/>
            </w:tcBorders>
            <w:vAlign w:val="center"/>
          </w:tcPr>
          <w:p w14:paraId="1573782D">
            <w:pPr>
              <w:spacing w:line="440" w:lineRule="atLeast"/>
              <w:jc w:val="right"/>
              <w:rPr>
                <w:rFonts w:ascii="仿宋" w:hAnsi="仿宋" w:eastAsia="仿宋" w:cs="仿宋"/>
                <w:sz w:val="20"/>
                <w:szCs w:val="20"/>
              </w:rPr>
            </w:pPr>
            <w:r>
              <w:rPr>
                <w:rFonts w:hint="eastAsia" w:ascii="仿宋" w:hAnsi="仿宋" w:eastAsia="仿宋" w:cs="仿宋"/>
                <w:sz w:val="20"/>
                <w:szCs w:val="20"/>
              </w:rPr>
              <w:t>2,870,767.50</w:t>
            </w:r>
          </w:p>
        </w:tc>
        <w:tc>
          <w:tcPr>
            <w:tcW w:w="762" w:type="pct"/>
            <w:tcBorders>
              <w:top w:val="nil"/>
              <w:left w:val="nil"/>
              <w:bottom w:val="single" w:color="auto" w:sz="4" w:space="0"/>
              <w:right w:val="single" w:color="auto" w:sz="4" w:space="0"/>
            </w:tcBorders>
            <w:vAlign w:val="center"/>
          </w:tcPr>
          <w:p w14:paraId="0761CFA8">
            <w:pPr>
              <w:spacing w:line="440" w:lineRule="atLeast"/>
              <w:jc w:val="right"/>
              <w:rPr>
                <w:rFonts w:ascii="仿宋" w:hAnsi="仿宋" w:eastAsia="仿宋" w:cs="仿宋"/>
                <w:sz w:val="20"/>
                <w:szCs w:val="20"/>
              </w:rPr>
            </w:pPr>
            <w:r>
              <w:rPr>
                <w:rFonts w:hint="eastAsia" w:ascii="仿宋" w:hAnsi="仿宋" w:eastAsia="仿宋" w:cs="仿宋"/>
                <w:sz w:val="20"/>
                <w:szCs w:val="20"/>
              </w:rPr>
              <w:t>2,870,767.50</w:t>
            </w:r>
          </w:p>
        </w:tc>
        <w:tc>
          <w:tcPr>
            <w:tcW w:w="753" w:type="pct"/>
            <w:tcBorders>
              <w:top w:val="nil"/>
              <w:left w:val="nil"/>
              <w:bottom w:val="single" w:color="auto" w:sz="4" w:space="0"/>
              <w:right w:val="single" w:color="auto" w:sz="4" w:space="0"/>
            </w:tcBorders>
            <w:vAlign w:val="center"/>
          </w:tcPr>
          <w:p w14:paraId="58EB864D">
            <w:pPr>
              <w:spacing w:line="440" w:lineRule="atLeast"/>
              <w:jc w:val="right"/>
              <w:rPr>
                <w:rFonts w:ascii="仿宋" w:hAnsi="仿宋" w:eastAsia="仿宋" w:cs="仿宋"/>
                <w:sz w:val="20"/>
                <w:szCs w:val="20"/>
              </w:rPr>
            </w:pPr>
            <w:r>
              <w:rPr>
                <w:rFonts w:hint="eastAsia" w:ascii="仿宋" w:hAnsi="仿宋" w:eastAsia="仿宋" w:cs="仿宋"/>
                <w:sz w:val="20"/>
                <w:szCs w:val="20"/>
              </w:rPr>
              <w:t>2,870,767.50</w:t>
            </w:r>
          </w:p>
        </w:tc>
      </w:tr>
      <w:tr w14:paraId="26E2C8FF">
        <w:tblPrEx>
          <w:tblCellMar>
            <w:top w:w="0" w:type="dxa"/>
            <w:left w:w="108" w:type="dxa"/>
            <w:bottom w:w="0" w:type="dxa"/>
            <w:right w:w="108" w:type="dxa"/>
          </w:tblCellMar>
        </w:tblPrEx>
        <w:trPr>
          <w:trHeight w:val="330" w:hRule="atLeast"/>
        </w:trPr>
        <w:tc>
          <w:tcPr>
            <w:tcW w:w="1193" w:type="pct"/>
            <w:tcBorders>
              <w:top w:val="nil"/>
              <w:left w:val="single" w:color="auto" w:sz="8" w:space="0"/>
              <w:bottom w:val="single" w:color="auto" w:sz="4" w:space="0"/>
              <w:right w:val="single" w:color="auto" w:sz="4" w:space="0"/>
            </w:tcBorders>
            <w:vAlign w:val="center"/>
          </w:tcPr>
          <w:p w14:paraId="43BBE0D2">
            <w:pPr>
              <w:spacing w:line="440" w:lineRule="atLeast"/>
              <w:jc w:val="left"/>
              <w:rPr>
                <w:rFonts w:ascii="仿宋" w:hAnsi="仿宋" w:eastAsia="仿宋" w:cs="仿宋"/>
                <w:bCs/>
                <w:kern w:val="0"/>
                <w:sz w:val="24"/>
              </w:rPr>
            </w:pPr>
            <w:r>
              <w:rPr>
                <w:rFonts w:hint="eastAsia" w:ascii="仿宋" w:hAnsi="仿宋" w:eastAsia="仿宋" w:cs="仿宋"/>
                <w:bCs/>
                <w:kern w:val="0"/>
                <w:sz w:val="24"/>
              </w:rPr>
              <w:t>盈余公积:</w:t>
            </w:r>
          </w:p>
        </w:tc>
        <w:tc>
          <w:tcPr>
            <w:tcW w:w="763" w:type="pct"/>
            <w:tcBorders>
              <w:top w:val="nil"/>
              <w:left w:val="nil"/>
              <w:bottom w:val="single" w:color="auto" w:sz="4" w:space="0"/>
              <w:right w:val="single" w:color="auto" w:sz="4" w:space="0"/>
            </w:tcBorders>
            <w:vAlign w:val="center"/>
          </w:tcPr>
          <w:p w14:paraId="43AAF783">
            <w:pPr>
              <w:spacing w:line="440" w:lineRule="atLeast"/>
              <w:jc w:val="right"/>
              <w:rPr>
                <w:rFonts w:ascii="仿宋" w:hAnsi="仿宋" w:eastAsia="仿宋" w:cs="仿宋"/>
                <w:sz w:val="20"/>
                <w:szCs w:val="20"/>
              </w:rPr>
            </w:pPr>
          </w:p>
        </w:tc>
        <w:tc>
          <w:tcPr>
            <w:tcW w:w="763" w:type="pct"/>
            <w:tcBorders>
              <w:top w:val="nil"/>
              <w:left w:val="nil"/>
              <w:bottom w:val="single" w:color="auto" w:sz="4" w:space="0"/>
              <w:right w:val="single" w:color="auto" w:sz="4" w:space="0"/>
            </w:tcBorders>
            <w:vAlign w:val="center"/>
          </w:tcPr>
          <w:p w14:paraId="1E721CFE">
            <w:pPr>
              <w:spacing w:line="440" w:lineRule="atLeast"/>
              <w:jc w:val="right"/>
              <w:rPr>
                <w:rFonts w:ascii="仿宋" w:hAnsi="仿宋" w:eastAsia="仿宋" w:cs="仿宋"/>
                <w:sz w:val="20"/>
                <w:szCs w:val="20"/>
              </w:rPr>
            </w:pPr>
          </w:p>
        </w:tc>
        <w:tc>
          <w:tcPr>
            <w:tcW w:w="763" w:type="pct"/>
            <w:tcBorders>
              <w:top w:val="nil"/>
              <w:left w:val="nil"/>
              <w:bottom w:val="single" w:color="auto" w:sz="4" w:space="0"/>
              <w:right w:val="single" w:color="auto" w:sz="4" w:space="0"/>
            </w:tcBorders>
            <w:vAlign w:val="center"/>
          </w:tcPr>
          <w:p w14:paraId="32BF28B2">
            <w:pPr>
              <w:spacing w:line="440" w:lineRule="atLeast"/>
              <w:jc w:val="right"/>
              <w:rPr>
                <w:rFonts w:ascii="仿宋" w:hAnsi="仿宋" w:eastAsia="仿宋" w:cs="仿宋"/>
                <w:sz w:val="20"/>
                <w:szCs w:val="20"/>
              </w:rPr>
            </w:pPr>
          </w:p>
        </w:tc>
        <w:tc>
          <w:tcPr>
            <w:tcW w:w="762" w:type="pct"/>
            <w:tcBorders>
              <w:top w:val="nil"/>
              <w:left w:val="nil"/>
              <w:bottom w:val="single" w:color="auto" w:sz="4" w:space="0"/>
              <w:right w:val="single" w:color="auto" w:sz="4" w:space="0"/>
            </w:tcBorders>
            <w:vAlign w:val="center"/>
          </w:tcPr>
          <w:p w14:paraId="6EF89C00">
            <w:pPr>
              <w:spacing w:line="440" w:lineRule="atLeast"/>
              <w:jc w:val="right"/>
              <w:rPr>
                <w:rFonts w:ascii="仿宋" w:hAnsi="仿宋" w:eastAsia="仿宋" w:cs="仿宋"/>
                <w:sz w:val="20"/>
                <w:szCs w:val="20"/>
              </w:rPr>
            </w:pPr>
          </w:p>
        </w:tc>
        <w:tc>
          <w:tcPr>
            <w:tcW w:w="753" w:type="pct"/>
            <w:tcBorders>
              <w:top w:val="nil"/>
              <w:left w:val="nil"/>
              <w:bottom w:val="single" w:color="auto" w:sz="4" w:space="0"/>
              <w:right w:val="single" w:color="auto" w:sz="4" w:space="0"/>
            </w:tcBorders>
            <w:vAlign w:val="center"/>
          </w:tcPr>
          <w:p w14:paraId="2771434A">
            <w:pPr>
              <w:spacing w:line="440" w:lineRule="atLeast"/>
              <w:jc w:val="right"/>
              <w:rPr>
                <w:rFonts w:ascii="仿宋" w:hAnsi="仿宋" w:eastAsia="仿宋" w:cs="仿宋"/>
                <w:sz w:val="20"/>
                <w:szCs w:val="20"/>
              </w:rPr>
            </w:pPr>
          </w:p>
        </w:tc>
      </w:tr>
      <w:tr w14:paraId="661346AA">
        <w:tblPrEx>
          <w:tblCellMar>
            <w:top w:w="0" w:type="dxa"/>
            <w:left w:w="108" w:type="dxa"/>
            <w:bottom w:w="0" w:type="dxa"/>
            <w:right w:w="108" w:type="dxa"/>
          </w:tblCellMar>
        </w:tblPrEx>
        <w:trPr>
          <w:trHeight w:val="330" w:hRule="atLeast"/>
        </w:trPr>
        <w:tc>
          <w:tcPr>
            <w:tcW w:w="1193" w:type="pct"/>
            <w:tcBorders>
              <w:top w:val="nil"/>
              <w:left w:val="single" w:color="auto" w:sz="8" w:space="0"/>
              <w:bottom w:val="single" w:color="auto" w:sz="4" w:space="0"/>
              <w:right w:val="single" w:color="auto" w:sz="4" w:space="0"/>
            </w:tcBorders>
            <w:vAlign w:val="center"/>
          </w:tcPr>
          <w:p w14:paraId="3279CE38">
            <w:pPr>
              <w:spacing w:line="440" w:lineRule="atLeast"/>
              <w:jc w:val="left"/>
              <w:rPr>
                <w:rFonts w:ascii="仿宋" w:hAnsi="仿宋" w:eastAsia="仿宋" w:cs="仿宋"/>
                <w:kern w:val="0"/>
                <w:sz w:val="24"/>
              </w:rPr>
            </w:pPr>
            <w:r>
              <w:rPr>
                <w:rFonts w:hint="eastAsia" w:ascii="仿宋" w:hAnsi="仿宋" w:eastAsia="仿宋" w:cs="仿宋"/>
                <w:kern w:val="0"/>
                <w:sz w:val="24"/>
              </w:rPr>
              <w:t>年初数</w:t>
            </w:r>
          </w:p>
        </w:tc>
        <w:tc>
          <w:tcPr>
            <w:tcW w:w="763" w:type="pct"/>
            <w:tcBorders>
              <w:top w:val="nil"/>
              <w:left w:val="nil"/>
              <w:bottom w:val="single" w:color="auto" w:sz="4" w:space="0"/>
              <w:right w:val="single" w:color="auto" w:sz="4" w:space="0"/>
            </w:tcBorders>
            <w:vAlign w:val="center"/>
          </w:tcPr>
          <w:p w14:paraId="55651EF9">
            <w:pPr>
              <w:spacing w:line="440" w:lineRule="atLeast"/>
              <w:jc w:val="right"/>
              <w:rPr>
                <w:rFonts w:ascii="仿宋" w:hAnsi="仿宋" w:eastAsia="仿宋" w:cs="仿宋"/>
                <w:sz w:val="20"/>
                <w:szCs w:val="20"/>
              </w:rPr>
            </w:pPr>
            <w:r>
              <w:rPr>
                <w:rFonts w:hint="eastAsia" w:ascii="仿宋" w:hAnsi="仿宋" w:eastAsia="仿宋" w:cs="仿宋"/>
                <w:sz w:val="20"/>
                <w:szCs w:val="20"/>
              </w:rPr>
              <w:t>919,900.73</w:t>
            </w:r>
          </w:p>
        </w:tc>
        <w:tc>
          <w:tcPr>
            <w:tcW w:w="763" w:type="pct"/>
            <w:tcBorders>
              <w:top w:val="nil"/>
              <w:left w:val="nil"/>
              <w:bottom w:val="single" w:color="auto" w:sz="4" w:space="0"/>
              <w:right w:val="single" w:color="auto" w:sz="4" w:space="0"/>
            </w:tcBorders>
            <w:vAlign w:val="center"/>
          </w:tcPr>
          <w:p w14:paraId="4F339233">
            <w:pPr>
              <w:spacing w:line="440" w:lineRule="atLeast"/>
              <w:jc w:val="right"/>
              <w:rPr>
                <w:rFonts w:ascii="仿宋" w:hAnsi="仿宋" w:eastAsia="仿宋" w:cs="仿宋"/>
                <w:sz w:val="20"/>
                <w:szCs w:val="20"/>
              </w:rPr>
            </w:pPr>
            <w:r>
              <w:rPr>
                <w:rFonts w:hint="eastAsia" w:ascii="仿宋" w:hAnsi="仿宋" w:eastAsia="仿宋" w:cs="仿宋"/>
                <w:sz w:val="20"/>
                <w:szCs w:val="20"/>
              </w:rPr>
              <w:t>1,209,824.18</w:t>
            </w:r>
          </w:p>
        </w:tc>
        <w:tc>
          <w:tcPr>
            <w:tcW w:w="763" w:type="pct"/>
            <w:tcBorders>
              <w:top w:val="nil"/>
              <w:left w:val="nil"/>
              <w:bottom w:val="single" w:color="auto" w:sz="4" w:space="0"/>
              <w:right w:val="single" w:color="auto" w:sz="4" w:space="0"/>
            </w:tcBorders>
            <w:vAlign w:val="center"/>
          </w:tcPr>
          <w:p w14:paraId="6CE4CF3E">
            <w:pPr>
              <w:spacing w:line="440" w:lineRule="atLeast"/>
              <w:jc w:val="right"/>
              <w:rPr>
                <w:rFonts w:ascii="仿宋" w:hAnsi="仿宋" w:eastAsia="仿宋" w:cs="仿宋"/>
                <w:sz w:val="20"/>
                <w:szCs w:val="20"/>
              </w:rPr>
            </w:pPr>
            <w:r>
              <w:rPr>
                <w:rFonts w:hint="eastAsia" w:ascii="仿宋" w:hAnsi="仿宋" w:eastAsia="仿宋" w:cs="仿宋"/>
                <w:sz w:val="20"/>
                <w:szCs w:val="20"/>
              </w:rPr>
              <w:t>1,536,784.00</w:t>
            </w:r>
          </w:p>
        </w:tc>
        <w:tc>
          <w:tcPr>
            <w:tcW w:w="762" w:type="pct"/>
            <w:tcBorders>
              <w:top w:val="nil"/>
              <w:left w:val="nil"/>
              <w:bottom w:val="single" w:color="auto" w:sz="4" w:space="0"/>
              <w:right w:val="single" w:color="auto" w:sz="4" w:space="0"/>
            </w:tcBorders>
            <w:vAlign w:val="center"/>
          </w:tcPr>
          <w:p w14:paraId="72207844">
            <w:pPr>
              <w:spacing w:line="440" w:lineRule="atLeast"/>
              <w:jc w:val="right"/>
              <w:rPr>
                <w:rFonts w:ascii="仿宋" w:hAnsi="仿宋" w:eastAsia="仿宋" w:cs="仿宋"/>
                <w:sz w:val="20"/>
                <w:szCs w:val="20"/>
              </w:rPr>
            </w:pPr>
            <w:r>
              <w:rPr>
                <w:rFonts w:hint="eastAsia" w:ascii="仿宋" w:hAnsi="仿宋" w:eastAsia="仿宋" w:cs="仿宋"/>
                <w:sz w:val="20"/>
                <w:szCs w:val="20"/>
              </w:rPr>
              <w:t>1,900,517.84</w:t>
            </w:r>
          </w:p>
        </w:tc>
        <w:tc>
          <w:tcPr>
            <w:tcW w:w="753" w:type="pct"/>
            <w:tcBorders>
              <w:top w:val="nil"/>
              <w:left w:val="nil"/>
              <w:bottom w:val="single" w:color="auto" w:sz="4" w:space="0"/>
              <w:right w:val="single" w:color="auto" w:sz="4" w:space="0"/>
            </w:tcBorders>
            <w:vAlign w:val="center"/>
          </w:tcPr>
          <w:p w14:paraId="4132245C">
            <w:pPr>
              <w:spacing w:line="440" w:lineRule="atLeast"/>
              <w:jc w:val="right"/>
              <w:rPr>
                <w:rFonts w:ascii="仿宋" w:hAnsi="仿宋" w:eastAsia="仿宋" w:cs="仿宋"/>
                <w:sz w:val="20"/>
                <w:szCs w:val="20"/>
              </w:rPr>
            </w:pPr>
            <w:r>
              <w:rPr>
                <w:rFonts w:hint="eastAsia" w:ascii="仿宋" w:hAnsi="仿宋" w:eastAsia="仿宋" w:cs="仿宋"/>
                <w:sz w:val="20"/>
                <w:szCs w:val="20"/>
              </w:rPr>
              <w:t>2,302,113.27</w:t>
            </w:r>
          </w:p>
        </w:tc>
      </w:tr>
      <w:tr w14:paraId="1AE0DF8D">
        <w:tblPrEx>
          <w:tblCellMar>
            <w:top w:w="0" w:type="dxa"/>
            <w:left w:w="108" w:type="dxa"/>
            <w:bottom w:w="0" w:type="dxa"/>
            <w:right w:w="108" w:type="dxa"/>
          </w:tblCellMar>
        </w:tblPrEx>
        <w:trPr>
          <w:trHeight w:val="330" w:hRule="atLeast"/>
        </w:trPr>
        <w:tc>
          <w:tcPr>
            <w:tcW w:w="1193" w:type="pct"/>
            <w:tcBorders>
              <w:top w:val="nil"/>
              <w:left w:val="single" w:color="auto" w:sz="8" w:space="0"/>
              <w:bottom w:val="single" w:color="auto" w:sz="4" w:space="0"/>
              <w:right w:val="single" w:color="auto" w:sz="4" w:space="0"/>
            </w:tcBorders>
            <w:vAlign w:val="center"/>
          </w:tcPr>
          <w:p w14:paraId="3500077F">
            <w:pPr>
              <w:spacing w:line="440" w:lineRule="atLeast"/>
              <w:jc w:val="left"/>
              <w:rPr>
                <w:rFonts w:ascii="仿宋" w:hAnsi="仿宋" w:eastAsia="仿宋" w:cs="仿宋"/>
                <w:kern w:val="0"/>
                <w:sz w:val="24"/>
              </w:rPr>
            </w:pPr>
            <w:r>
              <w:rPr>
                <w:rFonts w:hint="eastAsia" w:ascii="仿宋" w:hAnsi="仿宋" w:eastAsia="仿宋" w:cs="仿宋"/>
                <w:kern w:val="0"/>
                <w:sz w:val="24"/>
              </w:rPr>
              <w:t>本年增加</w:t>
            </w:r>
          </w:p>
        </w:tc>
        <w:tc>
          <w:tcPr>
            <w:tcW w:w="763" w:type="pct"/>
            <w:tcBorders>
              <w:top w:val="nil"/>
              <w:left w:val="nil"/>
              <w:bottom w:val="single" w:color="auto" w:sz="4" w:space="0"/>
              <w:right w:val="single" w:color="auto" w:sz="4" w:space="0"/>
            </w:tcBorders>
            <w:vAlign w:val="center"/>
          </w:tcPr>
          <w:p w14:paraId="6F19EC17">
            <w:pPr>
              <w:spacing w:line="440" w:lineRule="atLeast"/>
              <w:jc w:val="right"/>
              <w:rPr>
                <w:rFonts w:ascii="仿宋" w:hAnsi="仿宋" w:eastAsia="仿宋" w:cs="仿宋"/>
                <w:sz w:val="20"/>
                <w:szCs w:val="20"/>
              </w:rPr>
            </w:pPr>
            <w:r>
              <w:rPr>
                <w:rFonts w:hint="eastAsia" w:ascii="仿宋" w:hAnsi="仿宋" w:eastAsia="仿宋" w:cs="仿宋"/>
                <w:sz w:val="20"/>
                <w:szCs w:val="20"/>
              </w:rPr>
              <w:t>289,923.45</w:t>
            </w:r>
          </w:p>
        </w:tc>
        <w:tc>
          <w:tcPr>
            <w:tcW w:w="763" w:type="pct"/>
            <w:tcBorders>
              <w:top w:val="nil"/>
              <w:left w:val="nil"/>
              <w:bottom w:val="single" w:color="auto" w:sz="4" w:space="0"/>
              <w:right w:val="single" w:color="auto" w:sz="4" w:space="0"/>
            </w:tcBorders>
            <w:vAlign w:val="center"/>
          </w:tcPr>
          <w:p w14:paraId="371938CC">
            <w:pPr>
              <w:spacing w:line="440" w:lineRule="atLeast"/>
              <w:jc w:val="right"/>
              <w:rPr>
                <w:rFonts w:ascii="仿宋" w:hAnsi="仿宋" w:eastAsia="仿宋" w:cs="仿宋"/>
                <w:sz w:val="20"/>
                <w:szCs w:val="20"/>
              </w:rPr>
            </w:pPr>
            <w:r>
              <w:rPr>
                <w:rFonts w:hint="eastAsia" w:ascii="仿宋" w:hAnsi="仿宋" w:eastAsia="仿宋" w:cs="仿宋"/>
                <w:sz w:val="20"/>
                <w:szCs w:val="20"/>
              </w:rPr>
              <w:t>326,959.82</w:t>
            </w:r>
          </w:p>
        </w:tc>
        <w:tc>
          <w:tcPr>
            <w:tcW w:w="763" w:type="pct"/>
            <w:tcBorders>
              <w:top w:val="nil"/>
              <w:left w:val="nil"/>
              <w:bottom w:val="single" w:color="auto" w:sz="4" w:space="0"/>
              <w:right w:val="single" w:color="auto" w:sz="4" w:space="0"/>
            </w:tcBorders>
            <w:vAlign w:val="center"/>
          </w:tcPr>
          <w:p w14:paraId="32FDFE0F">
            <w:pPr>
              <w:spacing w:line="440" w:lineRule="atLeast"/>
              <w:jc w:val="right"/>
              <w:rPr>
                <w:rFonts w:ascii="仿宋" w:hAnsi="仿宋" w:eastAsia="仿宋" w:cs="仿宋"/>
                <w:sz w:val="20"/>
                <w:szCs w:val="20"/>
              </w:rPr>
            </w:pPr>
            <w:r>
              <w:rPr>
                <w:rFonts w:hint="eastAsia" w:ascii="仿宋" w:hAnsi="仿宋" w:eastAsia="仿宋" w:cs="仿宋"/>
                <w:sz w:val="20"/>
                <w:szCs w:val="20"/>
              </w:rPr>
              <w:t>363,733.84</w:t>
            </w:r>
          </w:p>
        </w:tc>
        <w:tc>
          <w:tcPr>
            <w:tcW w:w="762" w:type="pct"/>
            <w:tcBorders>
              <w:top w:val="nil"/>
              <w:left w:val="nil"/>
              <w:bottom w:val="single" w:color="auto" w:sz="4" w:space="0"/>
              <w:right w:val="single" w:color="auto" w:sz="4" w:space="0"/>
            </w:tcBorders>
            <w:vAlign w:val="center"/>
          </w:tcPr>
          <w:p w14:paraId="7D1B6AE4">
            <w:pPr>
              <w:spacing w:line="440" w:lineRule="atLeast"/>
              <w:jc w:val="right"/>
              <w:rPr>
                <w:rFonts w:ascii="仿宋" w:hAnsi="仿宋" w:eastAsia="仿宋" w:cs="仿宋"/>
                <w:sz w:val="20"/>
                <w:szCs w:val="20"/>
              </w:rPr>
            </w:pPr>
            <w:r>
              <w:rPr>
                <w:rFonts w:hint="eastAsia" w:ascii="仿宋" w:hAnsi="仿宋" w:eastAsia="仿宋" w:cs="仿宋"/>
                <w:sz w:val="20"/>
                <w:szCs w:val="20"/>
              </w:rPr>
              <w:t>401,595.43</w:t>
            </w:r>
          </w:p>
        </w:tc>
        <w:tc>
          <w:tcPr>
            <w:tcW w:w="753" w:type="pct"/>
            <w:tcBorders>
              <w:top w:val="nil"/>
              <w:left w:val="nil"/>
              <w:bottom w:val="single" w:color="auto" w:sz="4" w:space="0"/>
              <w:right w:val="single" w:color="auto" w:sz="4" w:space="0"/>
            </w:tcBorders>
            <w:vAlign w:val="center"/>
          </w:tcPr>
          <w:p w14:paraId="73B41F63">
            <w:pPr>
              <w:spacing w:line="440" w:lineRule="atLeast"/>
              <w:jc w:val="right"/>
              <w:rPr>
                <w:rFonts w:ascii="仿宋" w:hAnsi="仿宋" w:eastAsia="仿宋" w:cs="仿宋"/>
                <w:sz w:val="20"/>
                <w:szCs w:val="20"/>
              </w:rPr>
            </w:pPr>
            <w:r>
              <w:rPr>
                <w:rFonts w:hint="eastAsia" w:ascii="仿宋" w:hAnsi="仿宋" w:eastAsia="仿宋" w:cs="仿宋"/>
                <w:sz w:val="20"/>
                <w:szCs w:val="20"/>
              </w:rPr>
              <w:t>439,012.30</w:t>
            </w:r>
          </w:p>
        </w:tc>
      </w:tr>
      <w:tr w14:paraId="68C129D5">
        <w:tblPrEx>
          <w:tblCellMar>
            <w:top w:w="0" w:type="dxa"/>
            <w:left w:w="108" w:type="dxa"/>
            <w:bottom w:w="0" w:type="dxa"/>
            <w:right w:w="108" w:type="dxa"/>
          </w:tblCellMar>
        </w:tblPrEx>
        <w:trPr>
          <w:trHeight w:val="330" w:hRule="atLeast"/>
        </w:trPr>
        <w:tc>
          <w:tcPr>
            <w:tcW w:w="1193" w:type="pct"/>
            <w:tcBorders>
              <w:top w:val="nil"/>
              <w:left w:val="single" w:color="auto" w:sz="8" w:space="0"/>
              <w:bottom w:val="single" w:color="auto" w:sz="4" w:space="0"/>
              <w:right w:val="single" w:color="auto" w:sz="4" w:space="0"/>
            </w:tcBorders>
            <w:vAlign w:val="center"/>
          </w:tcPr>
          <w:p w14:paraId="154CA95C">
            <w:pPr>
              <w:spacing w:line="440" w:lineRule="atLeast"/>
              <w:jc w:val="left"/>
              <w:rPr>
                <w:rFonts w:ascii="仿宋" w:hAnsi="仿宋" w:eastAsia="仿宋" w:cs="仿宋"/>
                <w:kern w:val="0"/>
                <w:sz w:val="24"/>
              </w:rPr>
            </w:pPr>
            <w:r>
              <w:rPr>
                <w:rFonts w:hint="eastAsia" w:ascii="仿宋" w:hAnsi="仿宋" w:eastAsia="仿宋" w:cs="仿宋"/>
                <w:kern w:val="0"/>
                <w:sz w:val="24"/>
              </w:rPr>
              <w:t>本年减少</w:t>
            </w:r>
          </w:p>
        </w:tc>
        <w:tc>
          <w:tcPr>
            <w:tcW w:w="763" w:type="pct"/>
            <w:tcBorders>
              <w:top w:val="nil"/>
              <w:left w:val="nil"/>
              <w:bottom w:val="single" w:color="auto" w:sz="4" w:space="0"/>
              <w:right w:val="single" w:color="auto" w:sz="4" w:space="0"/>
            </w:tcBorders>
            <w:vAlign w:val="center"/>
          </w:tcPr>
          <w:p w14:paraId="03916521">
            <w:pPr>
              <w:spacing w:line="440" w:lineRule="atLeast"/>
              <w:jc w:val="right"/>
              <w:rPr>
                <w:rFonts w:ascii="仿宋" w:hAnsi="仿宋" w:eastAsia="仿宋" w:cs="仿宋"/>
                <w:sz w:val="20"/>
                <w:szCs w:val="20"/>
              </w:rPr>
            </w:pPr>
          </w:p>
        </w:tc>
        <w:tc>
          <w:tcPr>
            <w:tcW w:w="763" w:type="pct"/>
            <w:tcBorders>
              <w:top w:val="nil"/>
              <w:left w:val="nil"/>
              <w:bottom w:val="single" w:color="auto" w:sz="4" w:space="0"/>
              <w:right w:val="single" w:color="auto" w:sz="4" w:space="0"/>
            </w:tcBorders>
            <w:vAlign w:val="center"/>
          </w:tcPr>
          <w:p w14:paraId="66AB365F">
            <w:pPr>
              <w:spacing w:line="440" w:lineRule="atLeast"/>
              <w:jc w:val="right"/>
              <w:rPr>
                <w:rFonts w:ascii="仿宋" w:hAnsi="仿宋" w:eastAsia="仿宋" w:cs="仿宋"/>
                <w:sz w:val="20"/>
                <w:szCs w:val="20"/>
              </w:rPr>
            </w:pPr>
          </w:p>
        </w:tc>
        <w:tc>
          <w:tcPr>
            <w:tcW w:w="763" w:type="pct"/>
            <w:tcBorders>
              <w:top w:val="nil"/>
              <w:left w:val="nil"/>
              <w:bottom w:val="single" w:color="auto" w:sz="4" w:space="0"/>
              <w:right w:val="single" w:color="auto" w:sz="4" w:space="0"/>
            </w:tcBorders>
            <w:vAlign w:val="center"/>
          </w:tcPr>
          <w:p w14:paraId="4E5FFEE4">
            <w:pPr>
              <w:spacing w:line="440" w:lineRule="atLeast"/>
              <w:jc w:val="right"/>
              <w:rPr>
                <w:rFonts w:ascii="仿宋" w:hAnsi="仿宋" w:eastAsia="仿宋" w:cs="仿宋"/>
                <w:sz w:val="20"/>
                <w:szCs w:val="20"/>
              </w:rPr>
            </w:pPr>
          </w:p>
        </w:tc>
        <w:tc>
          <w:tcPr>
            <w:tcW w:w="762" w:type="pct"/>
            <w:tcBorders>
              <w:top w:val="nil"/>
              <w:left w:val="nil"/>
              <w:bottom w:val="single" w:color="auto" w:sz="4" w:space="0"/>
              <w:right w:val="single" w:color="auto" w:sz="4" w:space="0"/>
            </w:tcBorders>
            <w:vAlign w:val="center"/>
          </w:tcPr>
          <w:p w14:paraId="40165D43">
            <w:pPr>
              <w:spacing w:line="440" w:lineRule="atLeast"/>
              <w:jc w:val="right"/>
              <w:rPr>
                <w:rFonts w:ascii="仿宋" w:hAnsi="仿宋" w:eastAsia="仿宋" w:cs="仿宋"/>
                <w:sz w:val="20"/>
                <w:szCs w:val="20"/>
              </w:rPr>
            </w:pPr>
          </w:p>
        </w:tc>
        <w:tc>
          <w:tcPr>
            <w:tcW w:w="753" w:type="pct"/>
            <w:tcBorders>
              <w:top w:val="nil"/>
              <w:left w:val="nil"/>
              <w:bottom w:val="single" w:color="auto" w:sz="4" w:space="0"/>
              <w:right w:val="single" w:color="auto" w:sz="4" w:space="0"/>
            </w:tcBorders>
            <w:vAlign w:val="center"/>
          </w:tcPr>
          <w:p w14:paraId="6E5F32A5">
            <w:pPr>
              <w:spacing w:line="440" w:lineRule="atLeast"/>
              <w:jc w:val="right"/>
              <w:rPr>
                <w:rFonts w:ascii="仿宋" w:hAnsi="仿宋" w:eastAsia="仿宋" w:cs="仿宋"/>
                <w:sz w:val="20"/>
                <w:szCs w:val="20"/>
              </w:rPr>
            </w:pPr>
          </w:p>
        </w:tc>
      </w:tr>
      <w:tr w14:paraId="5A55D70A">
        <w:tblPrEx>
          <w:tblCellMar>
            <w:top w:w="0" w:type="dxa"/>
            <w:left w:w="108" w:type="dxa"/>
            <w:bottom w:w="0" w:type="dxa"/>
            <w:right w:w="108" w:type="dxa"/>
          </w:tblCellMar>
        </w:tblPrEx>
        <w:trPr>
          <w:trHeight w:val="330" w:hRule="atLeast"/>
        </w:trPr>
        <w:tc>
          <w:tcPr>
            <w:tcW w:w="1193" w:type="pct"/>
            <w:tcBorders>
              <w:top w:val="nil"/>
              <w:left w:val="single" w:color="auto" w:sz="8" w:space="0"/>
              <w:bottom w:val="single" w:color="auto" w:sz="4" w:space="0"/>
              <w:right w:val="single" w:color="auto" w:sz="4" w:space="0"/>
            </w:tcBorders>
            <w:vAlign w:val="center"/>
          </w:tcPr>
          <w:p w14:paraId="5739EDE3">
            <w:pPr>
              <w:spacing w:line="440" w:lineRule="atLeast"/>
              <w:jc w:val="left"/>
              <w:rPr>
                <w:rFonts w:ascii="仿宋" w:hAnsi="仿宋" w:eastAsia="仿宋" w:cs="仿宋"/>
                <w:kern w:val="0"/>
                <w:sz w:val="24"/>
              </w:rPr>
            </w:pPr>
            <w:r>
              <w:rPr>
                <w:rFonts w:hint="eastAsia" w:ascii="仿宋" w:hAnsi="仿宋" w:eastAsia="仿宋" w:cs="仿宋"/>
                <w:kern w:val="0"/>
                <w:sz w:val="24"/>
              </w:rPr>
              <w:t>年末数</w:t>
            </w:r>
          </w:p>
        </w:tc>
        <w:tc>
          <w:tcPr>
            <w:tcW w:w="763" w:type="pct"/>
            <w:tcBorders>
              <w:top w:val="nil"/>
              <w:left w:val="nil"/>
              <w:bottom w:val="single" w:color="auto" w:sz="4" w:space="0"/>
              <w:right w:val="single" w:color="auto" w:sz="4" w:space="0"/>
            </w:tcBorders>
            <w:vAlign w:val="center"/>
          </w:tcPr>
          <w:p w14:paraId="52A36FFA">
            <w:pPr>
              <w:spacing w:line="440" w:lineRule="atLeast"/>
              <w:jc w:val="right"/>
              <w:rPr>
                <w:rFonts w:ascii="仿宋" w:hAnsi="仿宋" w:eastAsia="仿宋" w:cs="仿宋"/>
                <w:sz w:val="20"/>
                <w:szCs w:val="20"/>
              </w:rPr>
            </w:pPr>
            <w:r>
              <w:rPr>
                <w:rFonts w:hint="eastAsia" w:ascii="仿宋" w:hAnsi="仿宋" w:eastAsia="仿宋" w:cs="仿宋"/>
                <w:sz w:val="20"/>
                <w:szCs w:val="20"/>
              </w:rPr>
              <w:t>1,209,824.18</w:t>
            </w:r>
          </w:p>
        </w:tc>
        <w:tc>
          <w:tcPr>
            <w:tcW w:w="763" w:type="pct"/>
            <w:tcBorders>
              <w:top w:val="nil"/>
              <w:left w:val="nil"/>
              <w:bottom w:val="single" w:color="auto" w:sz="4" w:space="0"/>
              <w:right w:val="single" w:color="auto" w:sz="4" w:space="0"/>
            </w:tcBorders>
            <w:vAlign w:val="center"/>
          </w:tcPr>
          <w:p w14:paraId="7B03249A">
            <w:pPr>
              <w:spacing w:line="440" w:lineRule="atLeast"/>
              <w:jc w:val="right"/>
              <w:rPr>
                <w:rFonts w:ascii="仿宋" w:hAnsi="仿宋" w:eastAsia="仿宋" w:cs="仿宋"/>
                <w:sz w:val="20"/>
                <w:szCs w:val="20"/>
              </w:rPr>
            </w:pPr>
            <w:r>
              <w:rPr>
                <w:rFonts w:hint="eastAsia" w:ascii="仿宋" w:hAnsi="仿宋" w:eastAsia="仿宋" w:cs="仿宋"/>
                <w:sz w:val="20"/>
                <w:szCs w:val="20"/>
              </w:rPr>
              <w:t>1,536,784.00</w:t>
            </w:r>
          </w:p>
        </w:tc>
        <w:tc>
          <w:tcPr>
            <w:tcW w:w="763" w:type="pct"/>
            <w:tcBorders>
              <w:top w:val="nil"/>
              <w:left w:val="nil"/>
              <w:bottom w:val="single" w:color="auto" w:sz="4" w:space="0"/>
              <w:right w:val="single" w:color="auto" w:sz="4" w:space="0"/>
            </w:tcBorders>
            <w:vAlign w:val="center"/>
          </w:tcPr>
          <w:p w14:paraId="11EDC6B5">
            <w:pPr>
              <w:spacing w:line="440" w:lineRule="atLeast"/>
              <w:jc w:val="right"/>
              <w:rPr>
                <w:rFonts w:ascii="仿宋" w:hAnsi="仿宋" w:eastAsia="仿宋" w:cs="仿宋"/>
                <w:sz w:val="20"/>
                <w:szCs w:val="20"/>
              </w:rPr>
            </w:pPr>
            <w:r>
              <w:rPr>
                <w:rFonts w:hint="eastAsia" w:ascii="仿宋" w:hAnsi="仿宋" w:eastAsia="仿宋" w:cs="仿宋"/>
                <w:sz w:val="20"/>
                <w:szCs w:val="20"/>
              </w:rPr>
              <w:t>1,900,517.84</w:t>
            </w:r>
          </w:p>
        </w:tc>
        <w:tc>
          <w:tcPr>
            <w:tcW w:w="762" w:type="pct"/>
            <w:tcBorders>
              <w:top w:val="nil"/>
              <w:left w:val="nil"/>
              <w:bottom w:val="single" w:color="auto" w:sz="4" w:space="0"/>
              <w:right w:val="single" w:color="auto" w:sz="4" w:space="0"/>
            </w:tcBorders>
            <w:vAlign w:val="center"/>
          </w:tcPr>
          <w:p w14:paraId="45B522AA">
            <w:pPr>
              <w:spacing w:line="440" w:lineRule="atLeast"/>
              <w:jc w:val="right"/>
              <w:rPr>
                <w:rFonts w:ascii="仿宋" w:hAnsi="仿宋" w:eastAsia="仿宋" w:cs="仿宋"/>
                <w:sz w:val="20"/>
                <w:szCs w:val="20"/>
              </w:rPr>
            </w:pPr>
            <w:r>
              <w:rPr>
                <w:rFonts w:hint="eastAsia" w:ascii="仿宋" w:hAnsi="仿宋" w:eastAsia="仿宋" w:cs="仿宋"/>
                <w:sz w:val="20"/>
                <w:szCs w:val="20"/>
              </w:rPr>
              <w:t>2,302,113.27</w:t>
            </w:r>
          </w:p>
        </w:tc>
        <w:tc>
          <w:tcPr>
            <w:tcW w:w="753" w:type="pct"/>
            <w:tcBorders>
              <w:top w:val="nil"/>
              <w:left w:val="nil"/>
              <w:bottom w:val="single" w:color="auto" w:sz="4" w:space="0"/>
              <w:right w:val="single" w:color="auto" w:sz="4" w:space="0"/>
            </w:tcBorders>
            <w:vAlign w:val="center"/>
          </w:tcPr>
          <w:p w14:paraId="03E93485">
            <w:pPr>
              <w:spacing w:line="440" w:lineRule="atLeast"/>
              <w:jc w:val="right"/>
              <w:rPr>
                <w:rFonts w:ascii="仿宋" w:hAnsi="仿宋" w:eastAsia="仿宋" w:cs="仿宋"/>
                <w:sz w:val="20"/>
                <w:szCs w:val="20"/>
              </w:rPr>
            </w:pPr>
            <w:r>
              <w:rPr>
                <w:rFonts w:hint="eastAsia" w:ascii="仿宋" w:hAnsi="仿宋" w:eastAsia="仿宋" w:cs="仿宋"/>
                <w:sz w:val="20"/>
                <w:szCs w:val="20"/>
              </w:rPr>
              <w:t>2,741,125.57</w:t>
            </w:r>
          </w:p>
        </w:tc>
      </w:tr>
      <w:tr w14:paraId="428FC2A9">
        <w:tblPrEx>
          <w:tblCellMar>
            <w:top w:w="0" w:type="dxa"/>
            <w:left w:w="108" w:type="dxa"/>
            <w:bottom w:w="0" w:type="dxa"/>
            <w:right w:w="108" w:type="dxa"/>
          </w:tblCellMar>
        </w:tblPrEx>
        <w:trPr>
          <w:trHeight w:val="330" w:hRule="atLeast"/>
        </w:trPr>
        <w:tc>
          <w:tcPr>
            <w:tcW w:w="1193" w:type="pct"/>
            <w:tcBorders>
              <w:top w:val="nil"/>
              <w:left w:val="single" w:color="auto" w:sz="8" w:space="0"/>
              <w:bottom w:val="single" w:color="auto" w:sz="4" w:space="0"/>
              <w:right w:val="single" w:color="auto" w:sz="4" w:space="0"/>
            </w:tcBorders>
            <w:vAlign w:val="center"/>
          </w:tcPr>
          <w:p w14:paraId="5056718D">
            <w:pPr>
              <w:spacing w:line="440" w:lineRule="atLeast"/>
              <w:jc w:val="left"/>
              <w:rPr>
                <w:rFonts w:ascii="仿宋" w:hAnsi="仿宋" w:eastAsia="仿宋" w:cs="仿宋"/>
                <w:bCs/>
                <w:kern w:val="0"/>
                <w:sz w:val="24"/>
              </w:rPr>
            </w:pPr>
            <w:r>
              <w:rPr>
                <w:rFonts w:hint="eastAsia" w:ascii="仿宋" w:hAnsi="仿宋" w:eastAsia="仿宋" w:cs="仿宋"/>
                <w:bCs/>
                <w:kern w:val="0"/>
                <w:sz w:val="24"/>
              </w:rPr>
              <w:t>一般准备:</w:t>
            </w:r>
          </w:p>
        </w:tc>
        <w:tc>
          <w:tcPr>
            <w:tcW w:w="763" w:type="pct"/>
            <w:tcBorders>
              <w:top w:val="nil"/>
              <w:left w:val="nil"/>
              <w:bottom w:val="single" w:color="auto" w:sz="4" w:space="0"/>
              <w:right w:val="single" w:color="auto" w:sz="4" w:space="0"/>
            </w:tcBorders>
            <w:vAlign w:val="center"/>
          </w:tcPr>
          <w:p w14:paraId="48597008">
            <w:pPr>
              <w:spacing w:line="440" w:lineRule="atLeast"/>
              <w:jc w:val="right"/>
              <w:rPr>
                <w:rFonts w:ascii="仿宋" w:hAnsi="仿宋" w:eastAsia="仿宋" w:cs="仿宋"/>
                <w:sz w:val="20"/>
                <w:szCs w:val="20"/>
              </w:rPr>
            </w:pPr>
          </w:p>
        </w:tc>
        <w:tc>
          <w:tcPr>
            <w:tcW w:w="763" w:type="pct"/>
            <w:tcBorders>
              <w:top w:val="nil"/>
              <w:left w:val="nil"/>
              <w:bottom w:val="single" w:color="auto" w:sz="4" w:space="0"/>
              <w:right w:val="single" w:color="auto" w:sz="4" w:space="0"/>
            </w:tcBorders>
            <w:vAlign w:val="center"/>
          </w:tcPr>
          <w:p w14:paraId="475C2034">
            <w:pPr>
              <w:spacing w:line="440" w:lineRule="atLeast"/>
              <w:jc w:val="right"/>
              <w:rPr>
                <w:rFonts w:ascii="仿宋" w:hAnsi="仿宋" w:eastAsia="仿宋" w:cs="仿宋"/>
                <w:sz w:val="20"/>
                <w:szCs w:val="20"/>
              </w:rPr>
            </w:pPr>
          </w:p>
        </w:tc>
        <w:tc>
          <w:tcPr>
            <w:tcW w:w="763" w:type="pct"/>
            <w:tcBorders>
              <w:top w:val="nil"/>
              <w:left w:val="nil"/>
              <w:bottom w:val="single" w:color="auto" w:sz="4" w:space="0"/>
              <w:right w:val="single" w:color="auto" w:sz="4" w:space="0"/>
            </w:tcBorders>
            <w:vAlign w:val="center"/>
          </w:tcPr>
          <w:p w14:paraId="4BBC1A30">
            <w:pPr>
              <w:spacing w:line="440" w:lineRule="atLeast"/>
              <w:jc w:val="right"/>
              <w:rPr>
                <w:rFonts w:ascii="仿宋" w:hAnsi="仿宋" w:eastAsia="仿宋" w:cs="仿宋"/>
                <w:sz w:val="20"/>
                <w:szCs w:val="20"/>
              </w:rPr>
            </w:pPr>
          </w:p>
        </w:tc>
        <w:tc>
          <w:tcPr>
            <w:tcW w:w="762" w:type="pct"/>
            <w:tcBorders>
              <w:top w:val="nil"/>
              <w:left w:val="nil"/>
              <w:bottom w:val="single" w:color="auto" w:sz="4" w:space="0"/>
              <w:right w:val="single" w:color="auto" w:sz="4" w:space="0"/>
            </w:tcBorders>
            <w:vAlign w:val="center"/>
          </w:tcPr>
          <w:p w14:paraId="47763372">
            <w:pPr>
              <w:spacing w:line="440" w:lineRule="atLeast"/>
              <w:jc w:val="right"/>
              <w:rPr>
                <w:rFonts w:ascii="仿宋" w:hAnsi="仿宋" w:eastAsia="仿宋" w:cs="仿宋"/>
                <w:sz w:val="20"/>
                <w:szCs w:val="20"/>
              </w:rPr>
            </w:pPr>
          </w:p>
        </w:tc>
        <w:tc>
          <w:tcPr>
            <w:tcW w:w="753" w:type="pct"/>
            <w:tcBorders>
              <w:top w:val="nil"/>
              <w:left w:val="nil"/>
              <w:bottom w:val="single" w:color="auto" w:sz="4" w:space="0"/>
              <w:right w:val="single" w:color="auto" w:sz="4" w:space="0"/>
            </w:tcBorders>
            <w:vAlign w:val="center"/>
          </w:tcPr>
          <w:p w14:paraId="24631356">
            <w:pPr>
              <w:spacing w:line="440" w:lineRule="atLeast"/>
              <w:jc w:val="right"/>
              <w:rPr>
                <w:rFonts w:ascii="仿宋" w:hAnsi="仿宋" w:eastAsia="仿宋" w:cs="仿宋"/>
                <w:sz w:val="20"/>
                <w:szCs w:val="20"/>
              </w:rPr>
            </w:pPr>
          </w:p>
        </w:tc>
      </w:tr>
      <w:tr w14:paraId="28E5C251">
        <w:tblPrEx>
          <w:tblCellMar>
            <w:top w:w="0" w:type="dxa"/>
            <w:left w:w="108" w:type="dxa"/>
            <w:bottom w:w="0" w:type="dxa"/>
            <w:right w:w="108" w:type="dxa"/>
          </w:tblCellMar>
        </w:tblPrEx>
        <w:trPr>
          <w:trHeight w:val="330" w:hRule="atLeast"/>
        </w:trPr>
        <w:tc>
          <w:tcPr>
            <w:tcW w:w="1193" w:type="pct"/>
            <w:tcBorders>
              <w:top w:val="nil"/>
              <w:left w:val="single" w:color="auto" w:sz="8" w:space="0"/>
              <w:bottom w:val="single" w:color="auto" w:sz="4" w:space="0"/>
              <w:right w:val="single" w:color="auto" w:sz="4" w:space="0"/>
            </w:tcBorders>
            <w:vAlign w:val="center"/>
          </w:tcPr>
          <w:p w14:paraId="3BA52BEE">
            <w:pPr>
              <w:spacing w:line="440" w:lineRule="atLeast"/>
              <w:jc w:val="left"/>
              <w:rPr>
                <w:rFonts w:ascii="仿宋" w:hAnsi="仿宋" w:eastAsia="仿宋" w:cs="仿宋"/>
                <w:kern w:val="0"/>
                <w:sz w:val="24"/>
              </w:rPr>
            </w:pPr>
            <w:r>
              <w:rPr>
                <w:rFonts w:hint="eastAsia" w:ascii="仿宋" w:hAnsi="仿宋" w:eastAsia="仿宋" w:cs="仿宋"/>
                <w:kern w:val="0"/>
                <w:sz w:val="24"/>
              </w:rPr>
              <w:t>年初数</w:t>
            </w:r>
          </w:p>
        </w:tc>
        <w:tc>
          <w:tcPr>
            <w:tcW w:w="763" w:type="pct"/>
            <w:tcBorders>
              <w:top w:val="nil"/>
              <w:left w:val="nil"/>
              <w:bottom w:val="single" w:color="auto" w:sz="4" w:space="0"/>
              <w:right w:val="single" w:color="auto" w:sz="4" w:space="0"/>
            </w:tcBorders>
            <w:vAlign w:val="center"/>
          </w:tcPr>
          <w:p w14:paraId="4CC8D3D5">
            <w:pPr>
              <w:spacing w:line="440" w:lineRule="atLeast"/>
              <w:jc w:val="right"/>
              <w:rPr>
                <w:rFonts w:ascii="仿宋" w:hAnsi="仿宋" w:eastAsia="仿宋" w:cs="仿宋"/>
                <w:sz w:val="20"/>
                <w:szCs w:val="20"/>
              </w:rPr>
            </w:pPr>
            <w:r>
              <w:rPr>
                <w:rFonts w:hint="eastAsia" w:ascii="仿宋" w:hAnsi="仿宋" w:eastAsia="仿宋" w:cs="仿宋"/>
                <w:sz w:val="20"/>
                <w:szCs w:val="20"/>
              </w:rPr>
              <w:t>3,804,593.34</w:t>
            </w:r>
          </w:p>
        </w:tc>
        <w:tc>
          <w:tcPr>
            <w:tcW w:w="763" w:type="pct"/>
            <w:tcBorders>
              <w:top w:val="nil"/>
              <w:left w:val="nil"/>
              <w:bottom w:val="single" w:color="auto" w:sz="4" w:space="0"/>
              <w:right w:val="single" w:color="auto" w:sz="4" w:space="0"/>
            </w:tcBorders>
            <w:vAlign w:val="center"/>
          </w:tcPr>
          <w:p w14:paraId="137C442B">
            <w:pPr>
              <w:spacing w:line="440" w:lineRule="atLeast"/>
              <w:jc w:val="right"/>
              <w:rPr>
                <w:rFonts w:ascii="仿宋" w:hAnsi="仿宋" w:eastAsia="仿宋" w:cs="仿宋"/>
                <w:sz w:val="20"/>
                <w:szCs w:val="20"/>
              </w:rPr>
            </w:pPr>
            <w:r>
              <w:rPr>
                <w:rFonts w:hint="eastAsia" w:ascii="仿宋" w:hAnsi="仿宋" w:eastAsia="仿宋" w:cs="仿宋"/>
                <w:sz w:val="20"/>
                <w:szCs w:val="20"/>
              </w:rPr>
              <w:t>4,094,516.79</w:t>
            </w:r>
          </w:p>
        </w:tc>
        <w:tc>
          <w:tcPr>
            <w:tcW w:w="763" w:type="pct"/>
            <w:tcBorders>
              <w:top w:val="nil"/>
              <w:left w:val="nil"/>
              <w:bottom w:val="single" w:color="auto" w:sz="4" w:space="0"/>
              <w:right w:val="single" w:color="auto" w:sz="4" w:space="0"/>
            </w:tcBorders>
            <w:vAlign w:val="center"/>
          </w:tcPr>
          <w:p w14:paraId="74B934DB">
            <w:pPr>
              <w:spacing w:line="440" w:lineRule="atLeast"/>
              <w:jc w:val="right"/>
              <w:rPr>
                <w:rFonts w:ascii="仿宋" w:hAnsi="仿宋" w:eastAsia="仿宋" w:cs="仿宋"/>
                <w:sz w:val="20"/>
                <w:szCs w:val="20"/>
              </w:rPr>
            </w:pPr>
            <w:r>
              <w:rPr>
                <w:rFonts w:hint="eastAsia" w:ascii="仿宋" w:hAnsi="仿宋" w:eastAsia="仿宋" w:cs="仿宋"/>
                <w:sz w:val="20"/>
                <w:szCs w:val="20"/>
              </w:rPr>
              <w:t>4,421,476.61</w:t>
            </w:r>
          </w:p>
        </w:tc>
        <w:tc>
          <w:tcPr>
            <w:tcW w:w="762" w:type="pct"/>
            <w:tcBorders>
              <w:top w:val="nil"/>
              <w:left w:val="nil"/>
              <w:bottom w:val="single" w:color="auto" w:sz="4" w:space="0"/>
              <w:right w:val="single" w:color="auto" w:sz="4" w:space="0"/>
            </w:tcBorders>
            <w:vAlign w:val="center"/>
          </w:tcPr>
          <w:p w14:paraId="436AD924">
            <w:pPr>
              <w:spacing w:line="440" w:lineRule="atLeast"/>
              <w:jc w:val="right"/>
              <w:rPr>
                <w:rFonts w:ascii="仿宋" w:hAnsi="仿宋" w:eastAsia="仿宋" w:cs="仿宋"/>
                <w:sz w:val="20"/>
                <w:szCs w:val="20"/>
              </w:rPr>
            </w:pPr>
            <w:r>
              <w:rPr>
                <w:rFonts w:hint="eastAsia" w:ascii="仿宋" w:hAnsi="仿宋" w:eastAsia="仿宋" w:cs="仿宋"/>
                <w:sz w:val="20"/>
                <w:szCs w:val="20"/>
              </w:rPr>
              <w:t>4,785,210.45</w:t>
            </w:r>
          </w:p>
        </w:tc>
        <w:tc>
          <w:tcPr>
            <w:tcW w:w="753" w:type="pct"/>
            <w:tcBorders>
              <w:top w:val="nil"/>
              <w:left w:val="nil"/>
              <w:bottom w:val="single" w:color="auto" w:sz="4" w:space="0"/>
              <w:right w:val="single" w:color="auto" w:sz="4" w:space="0"/>
            </w:tcBorders>
            <w:vAlign w:val="center"/>
          </w:tcPr>
          <w:p w14:paraId="6528342E">
            <w:pPr>
              <w:spacing w:line="440" w:lineRule="atLeast"/>
              <w:jc w:val="right"/>
              <w:rPr>
                <w:rFonts w:ascii="仿宋" w:hAnsi="仿宋" w:eastAsia="仿宋" w:cs="仿宋"/>
                <w:sz w:val="20"/>
                <w:szCs w:val="20"/>
              </w:rPr>
            </w:pPr>
            <w:r>
              <w:rPr>
                <w:rFonts w:hint="eastAsia" w:ascii="仿宋" w:hAnsi="仿宋" w:eastAsia="仿宋" w:cs="仿宋"/>
                <w:sz w:val="20"/>
                <w:szCs w:val="20"/>
              </w:rPr>
              <w:t>5,186,805.88</w:t>
            </w:r>
          </w:p>
        </w:tc>
      </w:tr>
      <w:tr w14:paraId="02965F21">
        <w:tblPrEx>
          <w:tblCellMar>
            <w:top w:w="0" w:type="dxa"/>
            <w:left w:w="108" w:type="dxa"/>
            <w:bottom w:w="0" w:type="dxa"/>
            <w:right w:w="108" w:type="dxa"/>
          </w:tblCellMar>
        </w:tblPrEx>
        <w:trPr>
          <w:trHeight w:val="330" w:hRule="atLeast"/>
        </w:trPr>
        <w:tc>
          <w:tcPr>
            <w:tcW w:w="1193" w:type="pct"/>
            <w:tcBorders>
              <w:top w:val="nil"/>
              <w:left w:val="single" w:color="auto" w:sz="8" w:space="0"/>
              <w:bottom w:val="single" w:color="auto" w:sz="4" w:space="0"/>
              <w:right w:val="single" w:color="auto" w:sz="4" w:space="0"/>
            </w:tcBorders>
            <w:vAlign w:val="center"/>
          </w:tcPr>
          <w:p w14:paraId="23FB01DE">
            <w:pPr>
              <w:spacing w:line="440" w:lineRule="atLeast"/>
              <w:jc w:val="left"/>
              <w:rPr>
                <w:rFonts w:ascii="仿宋" w:hAnsi="仿宋" w:eastAsia="仿宋" w:cs="仿宋"/>
                <w:kern w:val="0"/>
                <w:sz w:val="24"/>
              </w:rPr>
            </w:pPr>
            <w:r>
              <w:rPr>
                <w:rFonts w:hint="eastAsia" w:ascii="仿宋" w:hAnsi="仿宋" w:eastAsia="仿宋" w:cs="仿宋"/>
                <w:kern w:val="0"/>
                <w:sz w:val="24"/>
              </w:rPr>
              <w:t>本年增加</w:t>
            </w:r>
          </w:p>
        </w:tc>
        <w:tc>
          <w:tcPr>
            <w:tcW w:w="763" w:type="pct"/>
            <w:tcBorders>
              <w:top w:val="nil"/>
              <w:left w:val="nil"/>
              <w:bottom w:val="single" w:color="auto" w:sz="4" w:space="0"/>
              <w:right w:val="single" w:color="auto" w:sz="4" w:space="0"/>
            </w:tcBorders>
            <w:vAlign w:val="center"/>
          </w:tcPr>
          <w:p w14:paraId="5DA654C6">
            <w:pPr>
              <w:spacing w:line="440" w:lineRule="atLeast"/>
              <w:jc w:val="right"/>
              <w:rPr>
                <w:rFonts w:ascii="仿宋" w:hAnsi="仿宋" w:eastAsia="仿宋" w:cs="仿宋"/>
                <w:sz w:val="20"/>
                <w:szCs w:val="20"/>
              </w:rPr>
            </w:pPr>
            <w:r>
              <w:rPr>
                <w:rFonts w:hint="eastAsia" w:ascii="仿宋" w:hAnsi="仿宋" w:eastAsia="仿宋" w:cs="仿宋"/>
                <w:sz w:val="20"/>
                <w:szCs w:val="20"/>
              </w:rPr>
              <w:t>289,923.45</w:t>
            </w:r>
          </w:p>
        </w:tc>
        <w:tc>
          <w:tcPr>
            <w:tcW w:w="763" w:type="pct"/>
            <w:tcBorders>
              <w:top w:val="nil"/>
              <w:left w:val="nil"/>
              <w:bottom w:val="single" w:color="auto" w:sz="4" w:space="0"/>
              <w:right w:val="single" w:color="auto" w:sz="4" w:space="0"/>
            </w:tcBorders>
            <w:vAlign w:val="center"/>
          </w:tcPr>
          <w:p w14:paraId="4C30ABF7">
            <w:pPr>
              <w:spacing w:line="440" w:lineRule="atLeast"/>
              <w:jc w:val="right"/>
              <w:rPr>
                <w:rFonts w:ascii="仿宋" w:hAnsi="仿宋" w:eastAsia="仿宋" w:cs="仿宋"/>
                <w:sz w:val="20"/>
                <w:szCs w:val="20"/>
              </w:rPr>
            </w:pPr>
            <w:r>
              <w:rPr>
                <w:rFonts w:hint="eastAsia" w:ascii="仿宋" w:hAnsi="仿宋" w:eastAsia="仿宋" w:cs="仿宋"/>
                <w:sz w:val="20"/>
                <w:szCs w:val="20"/>
              </w:rPr>
              <w:t>326,959.82</w:t>
            </w:r>
          </w:p>
        </w:tc>
        <w:tc>
          <w:tcPr>
            <w:tcW w:w="763" w:type="pct"/>
            <w:tcBorders>
              <w:top w:val="nil"/>
              <w:left w:val="nil"/>
              <w:bottom w:val="single" w:color="auto" w:sz="4" w:space="0"/>
              <w:right w:val="single" w:color="auto" w:sz="4" w:space="0"/>
            </w:tcBorders>
            <w:vAlign w:val="center"/>
          </w:tcPr>
          <w:p w14:paraId="2564F134">
            <w:pPr>
              <w:spacing w:line="440" w:lineRule="atLeast"/>
              <w:jc w:val="right"/>
              <w:rPr>
                <w:rFonts w:ascii="仿宋" w:hAnsi="仿宋" w:eastAsia="仿宋" w:cs="仿宋"/>
                <w:sz w:val="20"/>
                <w:szCs w:val="20"/>
              </w:rPr>
            </w:pPr>
            <w:r>
              <w:rPr>
                <w:rFonts w:hint="eastAsia" w:ascii="仿宋" w:hAnsi="仿宋" w:eastAsia="仿宋" w:cs="仿宋"/>
                <w:sz w:val="20"/>
                <w:szCs w:val="20"/>
              </w:rPr>
              <w:t>363,733.84</w:t>
            </w:r>
          </w:p>
        </w:tc>
        <w:tc>
          <w:tcPr>
            <w:tcW w:w="762" w:type="pct"/>
            <w:tcBorders>
              <w:top w:val="nil"/>
              <w:left w:val="nil"/>
              <w:bottom w:val="single" w:color="auto" w:sz="4" w:space="0"/>
              <w:right w:val="single" w:color="auto" w:sz="4" w:space="0"/>
            </w:tcBorders>
            <w:vAlign w:val="center"/>
          </w:tcPr>
          <w:p w14:paraId="781CC738">
            <w:pPr>
              <w:spacing w:line="440" w:lineRule="atLeast"/>
              <w:jc w:val="right"/>
              <w:rPr>
                <w:rFonts w:ascii="仿宋" w:hAnsi="仿宋" w:eastAsia="仿宋" w:cs="仿宋"/>
                <w:sz w:val="20"/>
                <w:szCs w:val="20"/>
              </w:rPr>
            </w:pPr>
            <w:r>
              <w:rPr>
                <w:rFonts w:hint="eastAsia" w:ascii="仿宋" w:hAnsi="仿宋" w:eastAsia="仿宋" w:cs="仿宋"/>
                <w:sz w:val="20"/>
                <w:szCs w:val="20"/>
              </w:rPr>
              <w:t>401,595.43</w:t>
            </w:r>
          </w:p>
        </w:tc>
        <w:tc>
          <w:tcPr>
            <w:tcW w:w="753" w:type="pct"/>
            <w:tcBorders>
              <w:top w:val="nil"/>
              <w:left w:val="nil"/>
              <w:bottom w:val="single" w:color="auto" w:sz="4" w:space="0"/>
              <w:right w:val="single" w:color="auto" w:sz="4" w:space="0"/>
            </w:tcBorders>
            <w:vAlign w:val="center"/>
          </w:tcPr>
          <w:p w14:paraId="4ED30FD7">
            <w:pPr>
              <w:spacing w:line="440" w:lineRule="atLeast"/>
              <w:jc w:val="right"/>
              <w:rPr>
                <w:rFonts w:ascii="仿宋" w:hAnsi="仿宋" w:eastAsia="仿宋" w:cs="仿宋"/>
                <w:sz w:val="20"/>
                <w:szCs w:val="20"/>
              </w:rPr>
            </w:pPr>
            <w:r>
              <w:rPr>
                <w:rFonts w:hint="eastAsia" w:ascii="仿宋" w:hAnsi="仿宋" w:eastAsia="仿宋" w:cs="仿宋"/>
                <w:sz w:val="20"/>
                <w:szCs w:val="20"/>
              </w:rPr>
              <w:t>439,012.30</w:t>
            </w:r>
          </w:p>
        </w:tc>
      </w:tr>
      <w:tr w14:paraId="49C1131D">
        <w:tblPrEx>
          <w:tblCellMar>
            <w:top w:w="0" w:type="dxa"/>
            <w:left w:w="108" w:type="dxa"/>
            <w:bottom w:w="0" w:type="dxa"/>
            <w:right w:w="108" w:type="dxa"/>
          </w:tblCellMar>
        </w:tblPrEx>
        <w:trPr>
          <w:trHeight w:val="330" w:hRule="atLeast"/>
        </w:trPr>
        <w:tc>
          <w:tcPr>
            <w:tcW w:w="1193" w:type="pct"/>
            <w:tcBorders>
              <w:top w:val="nil"/>
              <w:left w:val="single" w:color="auto" w:sz="8" w:space="0"/>
              <w:bottom w:val="single" w:color="auto" w:sz="4" w:space="0"/>
              <w:right w:val="single" w:color="auto" w:sz="4" w:space="0"/>
            </w:tcBorders>
            <w:vAlign w:val="center"/>
          </w:tcPr>
          <w:p w14:paraId="67467418">
            <w:pPr>
              <w:spacing w:line="440" w:lineRule="atLeast"/>
              <w:jc w:val="left"/>
              <w:rPr>
                <w:rFonts w:ascii="仿宋" w:hAnsi="仿宋" w:eastAsia="仿宋" w:cs="仿宋"/>
                <w:kern w:val="0"/>
                <w:sz w:val="24"/>
              </w:rPr>
            </w:pPr>
            <w:r>
              <w:rPr>
                <w:rFonts w:hint="eastAsia" w:ascii="仿宋" w:hAnsi="仿宋" w:eastAsia="仿宋" w:cs="仿宋"/>
                <w:kern w:val="0"/>
                <w:sz w:val="24"/>
              </w:rPr>
              <w:t>本年减少</w:t>
            </w:r>
          </w:p>
        </w:tc>
        <w:tc>
          <w:tcPr>
            <w:tcW w:w="763" w:type="pct"/>
            <w:tcBorders>
              <w:top w:val="nil"/>
              <w:left w:val="nil"/>
              <w:bottom w:val="single" w:color="auto" w:sz="4" w:space="0"/>
              <w:right w:val="single" w:color="auto" w:sz="4" w:space="0"/>
            </w:tcBorders>
            <w:vAlign w:val="center"/>
          </w:tcPr>
          <w:p w14:paraId="2DC38F01">
            <w:pPr>
              <w:spacing w:line="440" w:lineRule="atLeast"/>
              <w:jc w:val="right"/>
              <w:rPr>
                <w:rFonts w:ascii="仿宋" w:hAnsi="仿宋" w:eastAsia="仿宋" w:cs="仿宋"/>
                <w:sz w:val="20"/>
                <w:szCs w:val="20"/>
              </w:rPr>
            </w:pPr>
          </w:p>
        </w:tc>
        <w:tc>
          <w:tcPr>
            <w:tcW w:w="763" w:type="pct"/>
            <w:tcBorders>
              <w:top w:val="nil"/>
              <w:left w:val="nil"/>
              <w:bottom w:val="single" w:color="auto" w:sz="4" w:space="0"/>
              <w:right w:val="single" w:color="auto" w:sz="4" w:space="0"/>
            </w:tcBorders>
            <w:vAlign w:val="center"/>
          </w:tcPr>
          <w:p w14:paraId="01D8A726">
            <w:pPr>
              <w:spacing w:line="440" w:lineRule="atLeast"/>
              <w:jc w:val="right"/>
              <w:rPr>
                <w:rFonts w:ascii="仿宋" w:hAnsi="仿宋" w:eastAsia="仿宋" w:cs="仿宋"/>
                <w:sz w:val="20"/>
                <w:szCs w:val="20"/>
              </w:rPr>
            </w:pPr>
          </w:p>
        </w:tc>
        <w:tc>
          <w:tcPr>
            <w:tcW w:w="763" w:type="pct"/>
            <w:tcBorders>
              <w:top w:val="nil"/>
              <w:left w:val="nil"/>
              <w:bottom w:val="single" w:color="auto" w:sz="4" w:space="0"/>
              <w:right w:val="single" w:color="auto" w:sz="4" w:space="0"/>
            </w:tcBorders>
            <w:vAlign w:val="center"/>
          </w:tcPr>
          <w:p w14:paraId="0887DAE4">
            <w:pPr>
              <w:spacing w:line="440" w:lineRule="atLeast"/>
              <w:jc w:val="right"/>
              <w:rPr>
                <w:rFonts w:ascii="仿宋" w:hAnsi="仿宋" w:eastAsia="仿宋" w:cs="仿宋"/>
                <w:sz w:val="20"/>
                <w:szCs w:val="20"/>
              </w:rPr>
            </w:pPr>
          </w:p>
        </w:tc>
        <w:tc>
          <w:tcPr>
            <w:tcW w:w="762" w:type="pct"/>
            <w:tcBorders>
              <w:top w:val="nil"/>
              <w:left w:val="nil"/>
              <w:bottom w:val="single" w:color="auto" w:sz="4" w:space="0"/>
              <w:right w:val="single" w:color="auto" w:sz="4" w:space="0"/>
            </w:tcBorders>
            <w:vAlign w:val="center"/>
          </w:tcPr>
          <w:p w14:paraId="4A41D7AE">
            <w:pPr>
              <w:spacing w:line="440" w:lineRule="atLeast"/>
              <w:jc w:val="right"/>
              <w:rPr>
                <w:rFonts w:ascii="仿宋" w:hAnsi="仿宋" w:eastAsia="仿宋" w:cs="仿宋"/>
                <w:sz w:val="20"/>
                <w:szCs w:val="20"/>
              </w:rPr>
            </w:pPr>
          </w:p>
        </w:tc>
        <w:tc>
          <w:tcPr>
            <w:tcW w:w="753" w:type="pct"/>
            <w:tcBorders>
              <w:top w:val="nil"/>
              <w:left w:val="nil"/>
              <w:bottom w:val="single" w:color="auto" w:sz="4" w:space="0"/>
              <w:right w:val="single" w:color="auto" w:sz="4" w:space="0"/>
            </w:tcBorders>
            <w:vAlign w:val="center"/>
          </w:tcPr>
          <w:p w14:paraId="43804DCE">
            <w:pPr>
              <w:spacing w:line="440" w:lineRule="atLeast"/>
              <w:jc w:val="right"/>
              <w:rPr>
                <w:rFonts w:ascii="仿宋" w:hAnsi="仿宋" w:eastAsia="仿宋" w:cs="仿宋"/>
                <w:sz w:val="20"/>
                <w:szCs w:val="20"/>
              </w:rPr>
            </w:pPr>
          </w:p>
        </w:tc>
      </w:tr>
      <w:tr w14:paraId="1EDE865B">
        <w:tblPrEx>
          <w:tblCellMar>
            <w:top w:w="0" w:type="dxa"/>
            <w:left w:w="108" w:type="dxa"/>
            <w:bottom w:w="0" w:type="dxa"/>
            <w:right w:w="108" w:type="dxa"/>
          </w:tblCellMar>
        </w:tblPrEx>
        <w:trPr>
          <w:trHeight w:val="330" w:hRule="atLeast"/>
        </w:trPr>
        <w:tc>
          <w:tcPr>
            <w:tcW w:w="1193" w:type="pct"/>
            <w:tcBorders>
              <w:top w:val="nil"/>
              <w:left w:val="single" w:color="auto" w:sz="8" w:space="0"/>
              <w:bottom w:val="single" w:color="auto" w:sz="4" w:space="0"/>
              <w:right w:val="single" w:color="auto" w:sz="4" w:space="0"/>
            </w:tcBorders>
            <w:vAlign w:val="center"/>
          </w:tcPr>
          <w:p w14:paraId="11DF9307">
            <w:pPr>
              <w:spacing w:line="440" w:lineRule="atLeast"/>
              <w:jc w:val="left"/>
              <w:rPr>
                <w:rFonts w:ascii="仿宋" w:hAnsi="仿宋" w:eastAsia="仿宋" w:cs="仿宋"/>
                <w:kern w:val="0"/>
                <w:sz w:val="24"/>
              </w:rPr>
            </w:pPr>
            <w:r>
              <w:rPr>
                <w:rFonts w:hint="eastAsia" w:ascii="仿宋" w:hAnsi="仿宋" w:eastAsia="仿宋" w:cs="仿宋"/>
                <w:kern w:val="0"/>
                <w:sz w:val="24"/>
              </w:rPr>
              <w:t>年末数</w:t>
            </w:r>
          </w:p>
        </w:tc>
        <w:tc>
          <w:tcPr>
            <w:tcW w:w="763" w:type="pct"/>
            <w:tcBorders>
              <w:top w:val="nil"/>
              <w:left w:val="nil"/>
              <w:bottom w:val="single" w:color="auto" w:sz="4" w:space="0"/>
              <w:right w:val="single" w:color="auto" w:sz="4" w:space="0"/>
            </w:tcBorders>
            <w:vAlign w:val="center"/>
          </w:tcPr>
          <w:p w14:paraId="7927A356">
            <w:pPr>
              <w:spacing w:line="440" w:lineRule="atLeast"/>
              <w:jc w:val="right"/>
              <w:rPr>
                <w:rFonts w:ascii="仿宋" w:hAnsi="仿宋" w:eastAsia="仿宋" w:cs="仿宋"/>
                <w:sz w:val="20"/>
                <w:szCs w:val="20"/>
              </w:rPr>
            </w:pPr>
            <w:r>
              <w:rPr>
                <w:rFonts w:hint="eastAsia" w:ascii="仿宋" w:hAnsi="仿宋" w:eastAsia="仿宋" w:cs="仿宋"/>
                <w:sz w:val="20"/>
                <w:szCs w:val="20"/>
              </w:rPr>
              <w:t>4,094,516.79</w:t>
            </w:r>
          </w:p>
        </w:tc>
        <w:tc>
          <w:tcPr>
            <w:tcW w:w="763" w:type="pct"/>
            <w:tcBorders>
              <w:top w:val="nil"/>
              <w:left w:val="nil"/>
              <w:bottom w:val="single" w:color="auto" w:sz="4" w:space="0"/>
              <w:right w:val="single" w:color="auto" w:sz="4" w:space="0"/>
            </w:tcBorders>
            <w:vAlign w:val="center"/>
          </w:tcPr>
          <w:p w14:paraId="31D820A4">
            <w:pPr>
              <w:spacing w:line="440" w:lineRule="atLeast"/>
              <w:jc w:val="right"/>
              <w:rPr>
                <w:rFonts w:ascii="仿宋" w:hAnsi="仿宋" w:eastAsia="仿宋" w:cs="仿宋"/>
                <w:sz w:val="20"/>
                <w:szCs w:val="20"/>
              </w:rPr>
            </w:pPr>
            <w:r>
              <w:rPr>
                <w:rFonts w:hint="eastAsia" w:ascii="仿宋" w:hAnsi="仿宋" w:eastAsia="仿宋" w:cs="仿宋"/>
                <w:sz w:val="20"/>
                <w:szCs w:val="20"/>
              </w:rPr>
              <w:t>4,421,476.61</w:t>
            </w:r>
          </w:p>
        </w:tc>
        <w:tc>
          <w:tcPr>
            <w:tcW w:w="763" w:type="pct"/>
            <w:tcBorders>
              <w:top w:val="nil"/>
              <w:left w:val="nil"/>
              <w:bottom w:val="single" w:color="auto" w:sz="4" w:space="0"/>
              <w:right w:val="single" w:color="auto" w:sz="4" w:space="0"/>
            </w:tcBorders>
            <w:vAlign w:val="center"/>
          </w:tcPr>
          <w:p w14:paraId="781891A2">
            <w:pPr>
              <w:spacing w:line="440" w:lineRule="atLeast"/>
              <w:jc w:val="right"/>
              <w:rPr>
                <w:rFonts w:ascii="仿宋" w:hAnsi="仿宋" w:eastAsia="仿宋" w:cs="仿宋"/>
                <w:sz w:val="20"/>
                <w:szCs w:val="20"/>
              </w:rPr>
            </w:pPr>
            <w:r>
              <w:rPr>
                <w:rFonts w:hint="eastAsia" w:ascii="仿宋" w:hAnsi="仿宋" w:eastAsia="仿宋" w:cs="仿宋"/>
                <w:sz w:val="20"/>
                <w:szCs w:val="20"/>
              </w:rPr>
              <w:t>4,785,210.45</w:t>
            </w:r>
          </w:p>
        </w:tc>
        <w:tc>
          <w:tcPr>
            <w:tcW w:w="762" w:type="pct"/>
            <w:tcBorders>
              <w:top w:val="nil"/>
              <w:left w:val="nil"/>
              <w:bottom w:val="single" w:color="auto" w:sz="4" w:space="0"/>
              <w:right w:val="single" w:color="auto" w:sz="4" w:space="0"/>
            </w:tcBorders>
            <w:vAlign w:val="center"/>
          </w:tcPr>
          <w:p w14:paraId="2ADB981E">
            <w:pPr>
              <w:spacing w:line="440" w:lineRule="atLeast"/>
              <w:jc w:val="right"/>
              <w:rPr>
                <w:rFonts w:ascii="仿宋" w:hAnsi="仿宋" w:eastAsia="仿宋" w:cs="仿宋"/>
                <w:sz w:val="20"/>
                <w:szCs w:val="20"/>
              </w:rPr>
            </w:pPr>
            <w:r>
              <w:rPr>
                <w:rFonts w:hint="eastAsia" w:ascii="仿宋" w:hAnsi="仿宋" w:eastAsia="仿宋" w:cs="仿宋"/>
                <w:sz w:val="20"/>
                <w:szCs w:val="20"/>
              </w:rPr>
              <w:t>5,186,805.88</w:t>
            </w:r>
          </w:p>
        </w:tc>
        <w:tc>
          <w:tcPr>
            <w:tcW w:w="753" w:type="pct"/>
            <w:tcBorders>
              <w:top w:val="nil"/>
              <w:left w:val="nil"/>
              <w:bottom w:val="single" w:color="auto" w:sz="4" w:space="0"/>
              <w:right w:val="single" w:color="auto" w:sz="4" w:space="0"/>
            </w:tcBorders>
            <w:vAlign w:val="center"/>
          </w:tcPr>
          <w:p w14:paraId="54135BA5">
            <w:pPr>
              <w:spacing w:line="440" w:lineRule="atLeast"/>
              <w:jc w:val="right"/>
              <w:rPr>
                <w:rFonts w:ascii="仿宋" w:hAnsi="仿宋" w:eastAsia="仿宋" w:cs="仿宋"/>
                <w:sz w:val="20"/>
                <w:szCs w:val="20"/>
              </w:rPr>
            </w:pPr>
            <w:r>
              <w:rPr>
                <w:rFonts w:hint="eastAsia" w:ascii="仿宋" w:hAnsi="仿宋" w:eastAsia="仿宋" w:cs="仿宋"/>
                <w:sz w:val="20"/>
                <w:szCs w:val="20"/>
              </w:rPr>
              <w:t>5,625,818.18</w:t>
            </w:r>
          </w:p>
        </w:tc>
      </w:tr>
      <w:tr w14:paraId="0090F26C">
        <w:tblPrEx>
          <w:tblCellMar>
            <w:top w:w="0" w:type="dxa"/>
            <w:left w:w="108" w:type="dxa"/>
            <w:bottom w:w="0" w:type="dxa"/>
            <w:right w:w="108" w:type="dxa"/>
          </w:tblCellMar>
        </w:tblPrEx>
        <w:trPr>
          <w:trHeight w:val="330" w:hRule="atLeast"/>
        </w:trPr>
        <w:tc>
          <w:tcPr>
            <w:tcW w:w="1193" w:type="pct"/>
            <w:tcBorders>
              <w:top w:val="nil"/>
              <w:left w:val="single" w:color="auto" w:sz="8" w:space="0"/>
              <w:bottom w:val="single" w:color="auto" w:sz="4" w:space="0"/>
              <w:right w:val="single" w:color="auto" w:sz="4" w:space="0"/>
            </w:tcBorders>
            <w:vAlign w:val="center"/>
          </w:tcPr>
          <w:p w14:paraId="67ECEEED">
            <w:pPr>
              <w:spacing w:line="440" w:lineRule="atLeast"/>
              <w:jc w:val="left"/>
              <w:rPr>
                <w:rFonts w:ascii="仿宋" w:hAnsi="仿宋" w:eastAsia="仿宋" w:cs="仿宋"/>
                <w:bCs/>
                <w:kern w:val="0"/>
                <w:sz w:val="24"/>
              </w:rPr>
            </w:pPr>
            <w:r>
              <w:rPr>
                <w:rFonts w:hint="eastAsia" w:ascii="仿宋" w:hAnsi="仿宋" w:eastAsia="仿宋" w:cs="仿宋"/>
                <w:bCs/>
                <w:kern w:val="0"/>
                <w:sz w:val="24"/>
              </w:rPr>
              <w:t>未分配利润:</w:t>
            </w:r>
          </w:p>
        </w:tc>
        <w:tc>
          <w:tcPr>
            <w:tcW w:w="763" w:type="pct"/>
            <w:tcBorders>
              <w:top w:val="nil"/>
              <w:left w:val="nil"/>
              <w:bottom w:val="single" w:color="auto" w:sz="4" w:space="0"/>
              <w:right w:val="single" w:color="auto" w:sz="4" w:space="0"/>
            </w:tcBorders>
            <w:vAlign w:val="center"/>
          </w:tcPr>
          <w:p w14:paraId="2BD69943">
            <w:pPr>
              <w:spacing w:line="440" w:lineRule="atLeast"/>
              <w:jc w:val="right"/>
              <w:rPr>
                <w:rFonts w:ascii="仿宋" w:hAnsi="仿宋" w:eastAsia="仿宋" w:cs="仿宋"/>
                <w:sz w:val="20"/>
                <w:szCs w:val="20"/>
              </w:rPr>
            </w:pPr>
          </w:p>
        </w:tc>
        <w:tc>
          <w:tcPr>
            <w:tcW w:w="763" w:type="pct"/>
            <w:tcBorders>
              <w:top w:val="nil"/>
              <w:left w:val="nil"/>
              <w:bottom w:val="single" w:color="auto" w:sz="4" w:space="0"/>
              <w:right w:val="single" w:color="auto" w:sz="4" w:space="0"/>
            </w:tcBorders>
            <w:vAlign w:val="center"/>
          </w:tcPr>
          <w:p w14:paraId="019CE949">
            <w:pPr>
              <w:spacing w:line="440" w:lineRule="atLeast"/>
              <w:jc w:val="right"/>
              <w:rPr>
                <w:rFonts w:ascii="仿宋" w:hAnsi="仿宋" w:eastAsia="仿宋" w:cs="仿宋"/>
                <w:sz w:val="20"/>
                <w:szCs w:val="20"/>
              </w:rPr>
            </w:pPr>
          </w:p>
        </w:tc>
        <w:tc>
          <w:tcPr>
            <w:tcW w:w="763" w:type="pct"/>
            <w:tcBorders>
              <w:top w:val="nil"/>
              <w:left w:val="nil"/>
              <w:bottom w:val="single" w:color="auto" w:sz="4" w:space="0"/>
              <w:right w:val="single" w:color="auto" w:sz="4" w:space="0"/>
            </w:tcBorders>
            <w:vAlign w:val="center"/>
          </w:tcPr>
          <w:p w14:paraId="29DDD82D">
            <w:pPr>
              <w:spacing w:line="440" w:lineRule="atLeast"/>
              <w:jc w:val="right"/>
              <w:rPr>
                <w:rFonts w:ascii="仿宋" w:hAnsi="仿宋" w:eastAsia="仿宋" w:cs="仿宋"/>
                <w:sz w:val="20"/>
                <w:szCs w:val="20"/>
              </w:rPr>
            </w:pPr>
          </w:p>
        </w:tc>
        <w:tc>
          <w:tcPr>
            <w:tcW w:w="762" w:type="pct"/>
            <w:tcBorders>
              <w:top w:val="nil"/>
              <w:left w:val="nil"/>
              <w:bottom w:val="single" w:color="auto" w:sz="4" w:space="0"/>
              <w:right w:val="single" w:color="auto" w:sz="4" w:space="0"/>
            </w:tcBorders>
            <w:vAlign w:val="center"/>
          </w:tcPr>
          <w:p w14:paraId="4AD7D97A">
            <w:pPr>
              <w:spacing w:line="440" w:lineRule="atLeast"/>
              <w:jc w:val="right"/>
              <w:rPr>
                <w:rFonts w:ascii="仿宋" w:hAnsi="仿宋" w:eastAsia="仿宋" w:cs="仿宋"/>
                <w:sz w:val="20"/>
                <w:szCs w:val="20"/>
              </w:rPr>
            </w:pPr>
          </w:p>
        </w:tc>
        <w:tc>
          <w:tcPr>
            <w:tcW w:w="753" w:type="pct"/>
            <w:tcBorders>
              <w:top w:val="nil"/>
              <w:left w:val="nil"/>
              <w:bottom w:val="single" w:color="auto" w:sz="4" w:space="0"/>
              <w:right w:val="single" w:color="auto" w:sz="4" w:space="0"/>
            </w:tcBorders>
            <w:vAlign w:val="center"/>
          </w:tcPr>
          <w:p w14:paraId="31FF73A2">
            <w:pPr>
              <w:spacing w:line="440" w:lineRule="atLeast"/>
              <w:jc w:val="right"/>
              <w:rPr>
                <w:rFonts w:ascii="仿宋" w:hAnsi="仿宋" w:eastAsia="仿宋" w:cs="仿宋"/>
                <w:sz w:val="20"/>
                <w:szCs w:val="20"/>
              </w:rPr>
            </w:pPr>
          </w:p>
        </w:tc>
      </w:tr>
      <w:tr w14:paraId="6E725C7D">
        <w:trPr>
          <w:trHeight w:val="330" w:hRule="atLeast"/>
        </w:trPr>
        <w:tc>
          <w:tcPr>
            <w:tcW w:w="1193" w:type="pct"/>
            <w:tcBorders>
              <w:top w:val="nil"/>
              <w:left w:val="single" w:color="auto" w:sz="8" w:space="0"/>
              <w:bottom w:val="single" w:color="auto" w:sz="4" w:space="0"/>
              <w:right w:val="single" w:color="auto" w:sz="4" w:space="0"/>
            </w:tcBorders>
            <w:vAlign w:val="center"/>
          </w:tcPr>
          <w:p w14:paraId="7F1716C3">
            <w:pPr>
              <w:spacing w:line="440" w:lineRule="atLeast"/>
              <w:jc w:val="left"/>
              <w:rPr>
                <w:rFonts w:ascii="仿宋" w:hAnsi="仿宋" w:eastAsia="仿宋" w:cs="仿宋"/>
                <w:kern w:val="0"/>
                <w:sz w:val="24"/>
              </w:rPr>
            </w:pPr>
            <w:r>
              <w:rPr>
                <w:rFonts w:hint="eastAsia" w:ascii="仿宋" w:hAnsi="仿宋" w:eastAsia="仿宋" w:cs="仿宋"/>
                <w:kern w:val="0"/>
                <w:sz w:val="24"/>
              </w:rPr>
              <w:t>年初未分配利润</w:t>
            </w:r>
          </w:p>
        </w:tc>
        <w:tc>
          <w:tcPr>
            <w:tcW w:w="763" w:type="pct"/>
            <w:tcBorders>
              <w:top w:val="nil"/>
              <w:left w:val="nil"/>
              <w:bottom w:val="single" w:color="auto" w:sz="4" w:space="0"/>
              <w:right w:val="single" w:color="auto" w:sz="4" w:space="0"/>
            </w:tcBorders>
            <w:vAlign w:val="center"/>
          </w:tcPr>
          <w:p w14:paraId="0D49DF75">
            <w:pPr>
              <w:spacing w:line="440" w:lineRule="atLeast"/>
              <w:jc w:val="right"/>
              <w:rPr>
                <w:rFonts w:ascii="仿宋" w:hAnsi="仿宋" w:eastAsia="仿宋" w:cs="仿宋"/>
                <w:sz w:val="20"/>
                <w:szCs w:val="20"/>
              </w:rPr>
            </w:pPr>
            <w:r>
              <w:rPr>
                <w:rFonts w:hint="eastAsia" w:ascii="仿宋" w:hAnsi="仿宋" w:eastAsia="仿宋" w:cs="仿宋"/>
                <w:sz w:val="20"/>
                <w:szCs w:val="20"/>
              </w:rPr>
              <w:t>2,986,089.90</w:t>
            </w:r>
          </w:p>
        </w:tc>
        <w:tc>
          <w:tcPr>
            <w:tcW w:w="763" w:type="pct"/>
            <w:tcBorders>
              <w:top w:val="nil"/>
              <w:left w:val="nil"/>
              <w:bottom w:val="single" w:color="auto" w:sz="4" w:space="0"/>
              <w:right w:val="single" w:color="auto" w:sz="4" w:space="0"/>
            </w:tcBorders>
            <w:vAlign w:val="center"/>
          </w:tcPr>
          <w:p w14:paraId="3A8A91E2">
            <w:pPr>
              <w:spacing w:line="440" w:lineRule="atLeast"/>
              <w:jc w:val="right"/>
              <w:rPr>
                <w:rFonts w:ascii="仿宋" w:hAnsi="仿宋" w:eastAsia="仿宋" w:cs="仿宋"/>
                <w:sz w:val="20"/>
                <w:szCs w:val="20"/>
              </w:rPr>
            </w:pPr>
            <w:r>
              <w:rPr>
                <w:rFonts w:hint="eastAsia" w:ascii="仿宋" w:hAnsi="仿宋" w:eastAsia="仿宋" w:cs="仿宋"/>
                <w:sz w:val="20"/>
                <w:szCs w:val="20"/>
              </w:rPr>
              <w:t>3,768,883.23</w:t>
            </w:r>
          </w:p>
        </w:tc>
        <w:tc>
          <w:tcPr>
            <w:tcW w:w="763" w:type="pct"/>
            <w:tcBorders>
              <w:top w:val="nil"/>
              <w:left w:val="nil"/>
              <w:bottom w:val="single" w:color="auto" w:sz="4" w:space="0"/>
              <w:right w:val="single" w:color="auto" w:sz="4" w:space="0"/>
            </w:tcBorders>
            <w:vAlign w:val="center"/>
          </w:tcPr>
          <w:p w14:paraId="116E5F50">
            <w:pPr>
              <w:spacing w:line="440" w:lineRule="atLeast"/>
              <w:jc w:val="right"/>
              <w:rPr>
                <w:rFonts w:ascii="仿宋" w:hAnsi="仿宋" w:eastAsia="仿宋" w:cs="仿宋"/>
                <w:sz w:val="20"/>
                <w:szCs w:val="20"/>
              </w:rPr>
            </w:pPr>
            <w:r>
              <w:rPr>
                <w:rFonts w:hint="eastAsia" w:ascii="仿宋" w:hAnsi="仿宋" w:eastAsia="仿宋" w:cs="仿宋"/>
                <w:sz w:val="20"/>
                <w:szCs w:val="20"/>
              </w:rPr>
              <w:t>6,188,385.88</w:t>
            </w:r>
          </w:p>
        </w:tc>
        <w:tc>
          <w:tcPr>
            <w:tcW w:w="762" w:type="pct"/>
            <w:tcBorders>
              <w:top w:val="nil"/>
              <w:left w:val="nil"/>
              <w:bottom w:val="single" w:color="auto" w:sz="4" w:space="0"/>
              <w:right w:val="single" w:color="auto" w:sz="4" w:space="0"/>
            </w:tcBorders>
            <w:vAlign w:val="center"/>
          </w:tcPr>
          <w:p w14:paraId="7708423C">
            <w:pPr>
              <w:spacing w:line="440" w:lineRule="atLeast"/>
              <w:jc w:val="right"/>
              <w:rPr>
                <w:rFonts w:ascii="仿宋" w:hAnsi="仿宋" w:eastAsia="仿宋" w:cs="仿宋"/>
                <w:sz w:val="20"/>
                <w:szCs w:val="20"/>
              </w:rPr>
            </w:pPr>
            <w:r>
              <w:rPr>
                <w:rFonts w:hint="eastAsia" w:ascii="仿宋" w:hAnsi="仿宋" w:eastAsia="仿宋" w:cs="仿宋"/>
                <w:sz w:val="20"/>
                <w:szCs w:val="20"/>
              </w:rPr>
              <w:t>9,025,509.78</w:t>
            </w:r>
          </w:p>
        </w:tc>
        <w:tc>
          <w:tcPr>
            <w:tcW w:w="753" w:type="pct"/>
            <w:tcBorders>
              <w:top w:val="nil"/>
              <w:left w:val="nil"/>
              <w:bottom w:val="single" w:color="auto" w:sz="4" w:space="0"/>
              <w:right w:val="single" w:color="auto" w:sz="4" w:space="0"/>
            </w:tcBorders>
            <w:vAlign w:val="center"/>
          </w:tcPr>
          <w:p w14:paraId="485A859F">
            <w:pPr>
              <w:spacing w:line="440" w:lineRule="atLeast"/>
              <w:jc w:val="right"/>
              <w:rPr>
                <w:rFonts w:ascii="仿宋" w:hAnsi="仿宋" w:eastAsia="仿宋" w:cs="仿宋"/>
                <w:sz w:val="20"/>
                <w:szCs w:val="20"/>
              </w:rPr>
            </w:pPr>
            <w:r>
              <w:rPr>
                <w:rFonts w:hint="eastAsia" w:ascii="仿宋" w:hAnsi="仿宋" w:eastAsia="仿宋" w:cs="仿宋"/>
                <w:sz w:val="20"/>
                <w:szCs w:val="20"/>
              </w:rPr>
              <w:t>11,957,156.37</w:t>
            </w:r>
          </w:p>
        </w:tc>
      </w:tr>
      <w:tr w14:paraId="79518499">
        <w:tblPrEx>
          <w:tblCellMar>
            <w:top w:w="0" w:type="dxa"/>
            <w:left w:w="108" w:type="dxa"/>
            <w:bottom w:w="0" w:type="dxa"/>
            <w:right w:w="108" w:type="dxa"/>
          </w:tblCellMar>
        </w:tblPrEx>
        <w:trPr>
          <w:trHeight w:val="330" w:hRule="atLeast"/>
        </w:trPr>
        <w:tc>
          <w:tcPr>
            <w:tcW w:w="1193" w:type="pct"/>
            <w:tcBorders>
              <w:top w:val="nil"/>
              <w:left w:val="single" w:color="auto" w:sz="8" w:space="0"/>
              <w:bottom w:val="single" w:color="auto" w:sz="4" w:space="0"/>
              <w:right w:val="single" w:color="auto" w:sz="4" w:space="0"/>
            </w:tcBorders>
            <w:vAlign w:val="center"/>
          </w:tcPr>
          <w:p w14:paraId="14C4B06F">
            <w:pPr>
              <w:spacing w:line="440" w:lineRule="atLeast"/>
              <w:jc w:val="left"/>
              <w:rPr>
                <w:rFonts w:ascii="仿宋" w:hAnsi="仿宋" w:eastAsia="仿宋" w:cs="仿宋"/>
                <w:kern w:val="0"/>
                <w:sz w:val="24"/>
              </w:rPr>
            </w:pPr>
            <w:r>
              <w:rPr>
                <w:rFonts w:hint="eastAsia" w:ascii="仿宋" w:hAnsi="仿宋" w:eastAsia="仿宋" w:cs="仿宋"/>
                <w:kern w:val="0"/>
                <w:sz w:val="24"/>
              </w:rPr>
              <w:t>本年增加数</w:t>
            </w:r>
          </w:p>
        </w:tc>
        <w:tc>
          <w:tcPr>
            <w:tcW w:w="763" w:type="pct"/>
            <w:tcBorders>
              <w:top w:val="nil"/>
              <w:left w:val="nil"/>
              <w:bottom w:val="single" w:color="auto" w:sz="4" w:space="0"/>
              <w:right w:val="single" w:color="auto" w:sz="4" w:space="0"/>
            </w:tcBorders>
            <w:vAlign w:val="center"/>
          </w:tcPr>
          <w:p w14:paraId="59FB9B2D">
            <w:pPr>
              <w:spacing w:line="440" w:lineRule="atLeast"/>
              <w:jc w:val="right"/>
              <w:rPr>
                <w:rFonts w:ascii="仿宋" w:hAnsi="仿宋" w:eastAsia="仿宋" w:cs="仿宋"/>
                <w:sz w:val="20"/>
                <w:szCs w:val="20"/>
              </w:rPr>
            </w:pPr>
            <w:r>
              <w:rPr>
                <w:rFonts w:hint="eastAsia" w:ascii="仿宋" w:hAnsi="仿宋" w:eastAsia="仿宋" w:cs="仿宋"/>
                <w:sz w:val="20"/>
                <w:szCs w:val="20"/>
              </w:rPr>
              <w:t>2,899,234.54</w:t>
            </w:r>
          </w:p>
        </w:tc>
        <w:tc>
          <w:tcPr>
            <w:tcW w:w="763" w:type="pct"/>
            <w:tcBorders>
              <w:top w:val="nil"/>
              <w:left w:val="nil"/>
              <w:bottom w:val="single" w:color="auto" w:sz="4" w:space="0"/>
              <w:right w:val="single" w:color="auto" w:sz="4" w:space="0"/>
            </w:tcBorders>
            <w:vAlign w:val="center"/>
          </w:tcPr>
          <w:p w14:paraId="73246319">
            <w:pPr>
              <w:spacing w:line="440" w:lineRule="atLeast"/>
              <w:jc w:val="right"/>
              <w:rPr>
                <w:rFonts w:ascii="仿宋" w:hAnsi="仿宋" w:eastAsia="仿宋" w:cs="仿宋"/>
                <w:sz w:val="20"/>
                <w:szCs w:val="20"/>
              </w:rPr>
            </w:pPr>
            <w:r>
              <w:rPr>
                <w:rFonts w:hint="eastAsia" w:ascii="仿宋" w:hAnsi="仿宋" w:eastAsia="仿宋" w:cs="仿宋"/>
                <w:sz w:val="20"/>
                <w:szCs w:val="20"/>
              </w:rPr>
              <w:t>3,269,598.18</w:t>
            </w:r>
          </w:p>
        </w:tc>
        <w:tc>
          <w:tcPr>
            <w:tcW w:w="763" w:type="pct"/>
            <w:tcBorders>
              <w:top w:val="nil"/>
              <w:left w:val="nil"/>
              <w:bottom w:val="single" w:color="auto" w:sz="4" w:space="0"/>
              <w:right w:val="single" w:color="auto" w:sz="4" w:space="0"/>
            </w:tcBorders>
            <w:vAlign w:val="center"/>
          </w:tcPr>
          <w:p w14:paraId="6323733A">
            <w:pPr>
              <w:spacing w:line="440" w:lineRule="atLeast"/>
              <w:jc w:val="right"/>
              <w:rPr>
                <w:rFonts w:ascii="仿宋" w:hAnsi="仿宋" w:eastAsia="仿宋" w:cs="仿宋"/>
                <w:sz w:val="20"/>
                <w:szCs w:val="20"/>
              </w:rPr>
            </w:pPr>
            <w:r>
              <w:rPr>
                <w:rFonts w:hint="eastAsia" w:ascii="仿宋" w:hAnsi="仿宋" w:eastAsia="仿宋" w:cs="仿宋"/>
                <w:sz w:val="20"/>
                <w:szCs w:val="20"/>
              </w:rPr>
              <w:t>3,637,338.35</w:t>
            </w:r>
          </w:p>
        </w:tc>
        <w:tc>
          <w:tcPr>
            <w:tcW w:w="762" w:type="pct"/>
            <w:tcBorders>
              <w:top w:val="nil"/>
              <w:left w:val="nil"/>
              <w:bottom w:val="single" w:color="auto" w:sz="4" w:space="0"/>
              <w:right w:val="single" w:color="auto" w:sz="4" w:space="0"/>
            </w:tcBorders>
            <w:vAlign w:val="center"/>
          </w:tcPr>
          <w:p w14:paraId="1F464AC2">
            <w:pPr>
              <w:spacing w:line="440" w:lineRule="atLeast"/>
              <w:jc w:val="right"/>
              <w:rPr>
                <w:rFonts w:ascii="仿宋" w:hAnsi="仿宋" w:eastAsia="仿宋" w:cs="仿宋"/>
                <w:sz w:val="20"/>
                <w:szCs w:val="20"/>
              </w:rPr>
            </w:pPr>
            <w:r>
              <w:rPr>
                <w:rFonts w:hint="eastAsia" w:ascii="仿宋" w:hAnsi="仿宋" w:eastAsia="仿宋" w:cs="仿宋"/>
                <w:sz w:val="20"/>
                <w:szCs w:val="20"/>
              </w:rPr>
              <w:t>4,015,954.25</w:t>
            </w:r>
          </w:p>
        </w:tc>
        <w:tc>
          <w:tcPr>
            <w:tcW w:w="753" w:type="pct"/>
            <w:tcBorders>
              <w:top w:val="nil"/>
              <w:left w:val="nil"/>
              <w:bottom w:val="single" w:color="auto" w:sz="4" w:space="0"/>
              <w:right w:val="single" w:color="auto" w:sz="4" w:space="0"/>
            </w:tcBorders>
            <w:vAlign w:val="center"/>
          </w:tcPr>
          <w:p w14:paraId="36B530B8">
            <w:pPr>
              <w:spacing w:line="440" w:lineRule="atLeast"/>
              <w:jc w:val="right"/>
              <w:rPr>
                <w:rFonts w:ascii="仿宋" w:hAnsi="仿宋" w:eastAsia="仿宋" w:cs="仿宋"/>
                <w:sz w:val="20"/>
                <w:szCs w:val="20"/>
              </w:rPr>
            </w:pPr>
            <w:r>
              <w:rPr>
                <w:rFonts w:hint="eastAsia" w:ascii="仿宋" w:hAnsi="仿宋" w:eastAsia="仿宋" w:cs="仿宋"/>
                <w:sz w:val="20"/>
                <w:szCs w:val="20"/>
              </w:rPr>
              <w:t>4,390,122.98</w:t>
            </w:r>
          </w:p>
        </w:tc>
      </w:tr>
      <w:tr w14:paraId="7ED0FC66">
        <w:tblPrEx>
          <w:tblCellMar>
            <w:top w:w="0" w:type="dxa"/>
            <w:left w:w="108" w:type="dxa"/>
            <w:bottom w:w="0" w:type="dxa"/>
            <w:right w:w="108" w:type="dxa"/>
          </w:tblCellMar>
        </w:tblPrEx>
        <w:trPr>
          <w:trHeight w:val="330" w:hRule="atLeast"/>
        </w:trPr>
        <w:tc>
          <w:tcPr>
            <w:tcW w:w="1193" w:type="pct"/>
            <w:tcBorders>
              <w:top w:val="nil"/>
              <w:left w:val="single" w:color="auto" w:sz="8" w:space="0"/>
              <w:bottom w:val="single" w:color="auto" w:sz="4" w:space="0"/>
              <w:right w:val="single" w:color="auto" w:sz="4" w:space="0"/>
            </w:tcBorders>
            <w:vAlign w:val="center"/>
          </w:tcPr>
          <w:p w14:paraId="4638D3DF">
            <w:pPr>
              <w:spacing w:line="440" w:lineRule="atLeast"/>
              <w:jc w:val="left"/>
              <w:rPr>
                <w:rFonts w:ascii="仿宋" w:hAnsi="仿宋" w:eastAsia="仿宋" w:cs="仿宋"/>
                <w:kern w:val="0"/>
                <w:sz w:val="24"/>
              </w:rPr>
            </w:pPr>
            <w:r>
              <w:rPr>
                <w:rFonts w:hint="eastAsia" w:ascii="仿宋" w:hAnsi="仿宋" w:eastAsia="仿宋" w:cs="仿宋"/>
                <w:kern w:val="0"/>
                <w:sz w:val="24"/>
              </w:rPr>
              <w:t>净利润</w:t>
            </w:r>
          </w:p>
        </w:tc>
        <w:tc>
          <w:tcPr>
            <w:tcW w:w="763" w:type="pct"/>
            <w:tcBorders>
              <w:top w:val="nil"/>
              <w:left w:val="nil"/>
              <w:bottom w:val="single" w:color="auto" w:sz="4" w:space="0"/>
              <w:right w:val="single" w:color="auto" w:sz="4" w:space="0"/>
            </w:tcBorders>
            <w:vAlign w:val="center"/>
          </w:tcPr>
          <w:p w14:paraId="1E5A4D5A">
            <w:pPr>
              <w:spacing w:line="440" w:lineRule="atLeast"/>
              <w:jc w:val="right"/>
              <w:rPr>
                <w:rFonts w:ascii="仿宋" w:hAnsi="仿宋" w:eastAsia="仿宋" w:cs="仿宋"/>
                <w:sz w:val="20"/>
                <w:szCs w:val="20"/>
              </w:rPr>
            </w:pPr>
            <w:r>
              <w:rPr>
                <w:rFonts w:hint="eastAsia" w:ascii="仿宋" w:hAnsi="仿宋" w:eastAsia="仿宋" w:cs="仿宋"/>
                <w:sz w:val="20"/>
                <w:szCs w:val="20"/>
              </w:rPr>
              <w:t>2,899,234.54</w:t>
            </w:r>
          </w:p>
        </w:tc>
        <w:tc>
          <w:tcPr>
            <w:tcW w:w="763" w:type="pct"/>
            <w:tcBorders>
              <w:top w:val="nil"/>
              <w:left w:val="nil"/>
              <w:bottom w:val="single" w:color="auto" w:sz="4" w:space="0"/>
              <w:right w:val="single" w:color="auto" w:sz="4" w:space="0"/>
            </w:tcBorders>
            <w:vAlign w:val="center"/>
          </w:tcPr>
          <w:p w14:paraId="67B7E985">
            <w:pPr>
              <w:spacing w:line="440" w:lineRule="atLeast"/>
              <w:jc w:val="right"/>
              <w:rPr>
                <w:rFonts w:ascii="仿宋" w:hAnsi="仿宋" w:eastAsia="仿宋" w:cs="仿宋"/>
                <w:sz w:val="20"/>
                <w:szCs w:val="20"/>
              </w:rPr>
            </w:pPr>
            <w:r>
              <w:rPr>
                <w:rFonts w:hint="eastAsia" w:ascii="仿宋" w:hAnsi="仿宋" w:eastAsia="仿宋" w:cs="仿宋"/>
                <w:sz w:val="20"/>
                <w:szCs w:val="20"/>
              </w:rPr>
              <w:t>3,269,598.18</w:t>
            </w:r>
          </w:p>
        </w:tc>
        <w:tc>
          <w:tcPr>
            <w:tcW w:w="763" w:type="pct"/>
            <w:tcBorders>
              <w:top w:val="nil"/>
              <w:left w:val="nil"/>
              <w:bottom w:val="single" w:color="auto" w:sz="4" w:space="0"/>
              <w:right w:val="single" w:color="auto" w:sz="4" w:space="0"/>
            </w:tcBorders>
            <w:vAlign w:val="center"/>
          </w:tcPr>
          <w:p w14:paraId="08669D41">
            <w:pPr>
              <w:spacing w:line="440" w:lineRule="atLeast"/>
              <w:jc w:val="right"/>
              <w:rPr>
                <w:rFonts w:ascii="仿宋" w:hAnsi="仿宋" w:eastAsia="仿宋" w:cs="仿宋"/>
                <w:sz w:val="20"/>
                <w:szCs w:val="20"/>
              </w:rPr>
            </w:pPr>
            <w:r>
              <w:rPr>
                <w:rFonts w:hint="eastAsia" w:ascii="仿宋" w:hAnsi="仿宋" w:eastAsia="仿宋" w:cs="仿宋"/>
                <w:sz w:val="20"/>
                <w:szCs w:val="20"/>
              </w:rPr>
              <w:t>3,637,338.35</w:t>
            </w:r>
          </w:p>
        </w:tc>
        <w:tc>
          <w:tcPr>
            <w:tcW w:w="762" w:type="pct"/>
            <w:tcBorders>
              <w:top w:val="nil"/>
              <w:left w:val="nil"/>
              <w:bottom w:val="single" w:color="auto" w:sz="4" w:space="0"/>
              <w:right w:val="single" w:color="auto" w:sz="4" w:space="0"/>
            </w:tcBorders>
            <w:vAlign w:val="center"/>
          </w:tcPr>
          <w:p w14:paraId="20ECB2D4">
            <w:pPr>
              <w:spacing w:line="440" w:lineRule="atLeast"/>
              <w:jc w:val="right"/>
              <w:rPr>
                <w:rFonts w:ascii="仿宋" w:hAnsi="仿宋" w:eastAsia="仿宋" w:cs="仿宋"/>
                <w:sz w:val="20"/>
                <w:szCs w:val="20"/>
              </w:rPr>
            </w:pPr>
            <w:r>
              <w:rPr>
                <w:rFonts w:hint="eastAsia" w:ascii="仿宋" w:hAnsi="仿宋" w:eastAsia="仿宋" w:cs="仿宋"/>
                <w:sz w:val="20"/>
                <w:szCs w:val="20"/>
              </w:rPr>
              <w:t>4,015,954.25</w:t>
            </w:r>
          </w:p>
        </w:tc>
        <w:tc>
          <w:tcPr>
            <w:tcW w:w="753" w:type="pct"/>
            <w:tcBorders>
              <w:top w:val="nil"/>
              <w:left w:val="nil"/>
              <w:bottom w:val="single" w:color="auto" w:sz="4" w:space="0"/>
              <w:right w:val="single" w:color="auto" w:sz="4" w:space="0"/>
            </w:tcBorders>
            <w:vAlign w:val="center"/>
          </w:tcPr>
          <w:p w14:paraId="3F9454EC">
            <w:pPr>
              <w:spacing w:line="440" w:lineRule="atLeast"/>
              <w:jc w:val="right"/>
              <w:rPr>
                <w:rFonts w:ascii="仿宋" w:hAnsi="仿宋" w:eastAsia="仿宋" w:cs="仿宋"/>
                <w:sz w:val="20"/>
                <w:szCs w:val="20"/>
              </w:rPr>
            </w:pPr>
            <w:r>
              <w:rPr>
                <w:rFonts w:hint="eastAsia" w:ascii="仿宋" w:hAnsi="仿宋" w:eastAsia="仿宋" w:cs="仿宋"/>
                <w:sz w:val="20"/>
                <w:szCs w:val="20"/>
              </w:rPr>
              <w:t>4,390,122.98</w:t>
            </w:r>
          </w:p>
        </w:tc>
      </w:tr>
      <w:tr w14:paraId="697587F6">
        <w:tblPrEx>
          <w:tblCellMar>
            <w:top w:w="0" w:type="dxa"/>
            <w:left w:w="108" w:type="dxa"/>
            <w:bottom w:w="0" w:type="dxa"/>
            <w:right w:w="108" w:type="dxa"/>
          </w:tblCellMar>
        </w:tblPrEx>
        <w:trPr>
          <w:trHeight w:val="330" w:hRule="atLeast"/>
        </w:trPr>
        <w:tc>
          <w:tcPr>
            <w:tcW w:w="1193" w:type="pct"/>
            <w:tcBorders>
              <w:top w:val="nil"/>
              <w:left w:val="single" w:color="auto" w:sz="8" w:space="0"/>
              <w:bottom w:val="single" w:color="auto" w:sz="4" w:space="0"/>
              <w:right w:val="single" w:color="auto" w:sz="4" w:space="0"/>
            </w:tcBorders>
            <w:vAlign w:val="center"/>
          </w:tcPr>
          <w:p w14:paraId="6005DC66">
            <w:pPr>
              <w:spacing w:line="440" w:lineRule="atLeast"/>
              <w:jc w:val="left"/>
              <w:rPr>
                <w:rFonts w:ascii="仿宋" w:hAnsi="仿宋" w:eastAsia="仿宋" w:cs="仿宋"/>
                <w:kern w:val="0"/>
                <w:sz w:val="24"/>
              </w:rPr>
            </w:pPr>
            <w:r>
              <w:rPr>
                <w:rFonts w:hint="eastAsia" w:ascii="仿宋" w:hAnsi="仿宋" w:eastAsia="仿宋" w:cs="仿宋"/>
                <w:kern w:val="0"/>
                <w:sz w:val="24"/>
              </w:rPr>
              <w:t>其他</w:t>
            </w:r>
          </w:p>
        </w:tc>
        <w:tc>
          <w:tcPr>
            <w:tcW w:w="763" w:type="pct"/>
            <w:tcBorders>
              <w:top w:val="nil"/>
              <w:left w:val="nil"/>
              <w:bottom w:val="single" w:color="auto" w:sz="4" w:space="0"/>
              <w:right w:val="single" w:color="auto" w:sz="4" w:space="0"/>
            </w:tcBorders>
            <w:vAlign w:val="center"/>
          </w:tcPr>
          <w:p w14:paraId="1B447695">
            <w:pPr>
              <w:spacing w:line="440" w:lineRule="atLeast"/>
              <w:jc w:val="right"/>
              <w:rPr>
                <w:rFonts w:ascii="仿宋" w:hAnsi="仿宋" w:eastAsia="仿宋" w:cs="仿宋"/>
                <w:sz w:val="20"/>
                <w:szCs w:val="20"/>
              </w:rPr>
            </w:pPr>
          </w:p>
        </w:tc>
        <w:tc>
          <w:tcPr>
            <w:tcW w:w="763" w:type="pct"/>
            <w:tcBorders>
              <w:top w:val="nil"/>
              <w:left w:val="nil"/>
              <w:bottom w:val="single" w:color="auto" w:sz="4" w:space="0"/>
              <w:right w:val="single" w:color="auto" w:sz="4" w:space="0"/>
            </w:tcBorders>
            <w:vAlign w:val="center"/>
          </w:tcPr>
          <w:p w14:paraId="7E2641E0">
            <w:pPr>
              <w:spacing w:line="440" w:lineRule="atLeast"/>
              <w:jc w:val="right"/>
              <w:rPr>
                <w:rFonts w:ascii="仿宋" w:hAnsi="仿宋" w:eastAsia="仿宋" w:cs="仿宋"/>
                <w:sz w:val="20"/>
                <w:szCs w:val="20"/>
              </w:rPr>
            </w:pPr>
          </w:p>
        </w:tc>
        <w:tc>
          <w:tcPr>
            <w:tcW w:w="763" w:type="pct"/>
            <w:tcBorders>
              <w:top w:val="nil"/>
              <w:left w:val="nil"/>
              <w:bottom w:val="single" w:color="auto" w:sz="4" w:space="0"/>
              <w:right w:val="single" w:color="auto" w:sz="4" w:space="0"/>
            </w:tcBorders>
            <w:vAlign w:val="center"/>
          </w:tcPr>
          <w:p w14:paraId="2A6E153E">
            <w:pPr>
              <w:spacing w:line="440" w:lineRule="atLeast"/>
              <w:jc w:val="right"/>
              <w:rPr>
                <w:rFonts w:ascii="仿宋" w:hAnsi="仿宋" w:eastAsia="仿宋" w:cs="仿宋"/>
                <w:sz w:val="20"/>
                <w:szCs w:val="20"/>
              </w:rPr>
            </w:pPr>
          </w:p>
        </w:tc>
        <w:tc>
          <w:tcPr>
            <w:tcW w:w="762" w:type="pct"/>
            <w:tcBorders>
              <w:top w:val="nil"/>
              <w:left w:val="nil"/>
              <w:bottom w:val="single" w:color="auto" w:sz="4" w:space="0"/>
              <w:right w:val="single" w:color="auto" w:sz="4" w:space="0"/>
            </w:tcBorders>
            <w:vAlign w:val="center"/>
          </w:tcPr>
          <w:p w14:paraId="4DD81A4E">
            <w:pPr>
              <w:spacing w:line="440" w:lineRule="atLeast"/>
              <w:jc w:val="right"/>
              <w:rPr>
                <w:rFonts w:ascii="仿宋" w:hAnsi="仿宋" w:eastAsia="仿宋" w:cs="仿宋"/>
                <w:sz w:val="20"/>
                <w:szCs w:val="20"/>
              </w:rPr>
            </w:pPr>
          </w:p>
        </w:tc>
        <w:tc>
          <w:tcPr>
            <w:tcW w:w="753" w:type="pct"/>
            <w:tcBorders>
              <w:top w:val="nil"/>
              <w:left w:val="nil"/>
              <w:bottom w:val="single" w:color="auto" w:sz="4" w:space="0"/>
              <w:right w:val="single" w:color="auto" w:sz="4" w:space="0"/>
            </w:tcBorders>
            <w:vAlign w:val="center"/>
          </w:tcPr>
          <w:p w14:paraId="05B56799">
            <w:pPr>
              <w:spacing w:line="440" w:lineRule="atLeast"/>
              <w:jc w:val="right"/>
              <w:rPr>
                <w:rFonts w:ascii="仿宋" w:hAnsi="仿宋" w:eastAsia="仿宋" w:cs="仿宋"/>
                <w:sz w:val="20"/>
                <w:szCs w:val="20"/>
              </w:rPr>
            </w:pPr>
          </w:p>
        </w:tc>
      </w:tr>
      <w:tr w14:paraId="00D4CB9E">
        <w:tblPrEx>
          <w:tblCellMar>
            <w:top w:w="0" w:type="dxa"/>
            <w:left w:w="108" w:type="dxa"/>
            <w:bottom w:w="0" w:type="dxa"/>
            <w:right w:w="108" w:type="dxa"/>
          </w:tblCellMar>
        </w:tblPrEx>
        <w:trPr>
          <w:trHeight w:val="330" w:hRule="atLeast"/>
        </w:trPr>
        <w:tc>
          <w:tcPr>
            <w:tcW w:w="1193" w:type="pct"/>
            <w:tcBorders>
              <w:top w:val="nil"/>
              <w:left w:val="single" w:color="auto" w:sz="8" w:space="0"/>
              <w:bottom w:val="single" w:color="auto" w:sz="4" w:space="0"/>
              <w:right w:val="single" w:color="auto" w:sz="4" w:space="0"/>
            </w:tcBorders>
            <w:vAlign w:val="center"/>
          </w:tcPr>
          <w:p w14:paraId="5343BCC5">
            <w:pPr>
              <w:spacing w:line="440" w:lineRule="atLeast"/>
              <w:jc w:val="left"/>
              <w:rPr>
                <w:rFonts w:ascii="仿宋" w:hAnsi="仿宋" w:eastAsia="仿宋" w:cs="仿宋"/>
                <w:kern w:val="0"/>
                <w:sz w:val="24"/>
              </w:rPr>
            </w:pPr>
            <w:r>
              <w:rPr>
                <w:rFonts w:hint="eastAsia" w:ascii="仿宋" w:hAnsi="仿宋" w:eastAsia="仿宋" w:cs="仿宋"/>
                <w:kern w:val="0"/>
                <w:sz w:val="24"/>
              </w:rPr>
              <w:t>本年减少数</w:t>
            </w:r>
          </w:p>
        </w:tc>
        <w:tc>
          <w:tcPr>
            <w:tcW w:w="763" w:type="pct"/>
            <w:tcBorders>
              <w:top w:val="nil"/>
              <w:left w:val="nil"/>
              <w:bottom w:val="single" w:color="auto" w:sz="4" w:space="0"/>
              <w:right w:val="single" w:color="auto" w:sz="4" w:space="0"/>
            </w:tcBorders>
            <w:vAlign w:val="center"/>
          </w:tcPr>
          <w:p w14:paraId="09DDD3F9">
            <w:pPr>
              <w:spacing w:line="440" w:lineRule="atLeast"/>
              <w:jc w:val="right"/>
              <w:rPr>
                <w:rFonts w:ascii="仿宋" w:hAnsi="仿宋" w:eastAsia="仿宋" w:cs="仿宋"/>
                <w:sz w:val="20"/>
                <w:szCs w:val="20"/>
              </w:rPr>
            </w:pPr>
            <w:r>
              <w:rPr>
                <w:rFonts w:hint="eastAsia" w:ascii="仿宋" w:hAnsi="仿宋" w:eastAsia="仿宋" w:cs="仿宋"/>
                <w:sz w:val="20"/>
                <w:szCs w:val="20"/>
              </w:rPr>
              <w:t>2,116,441.21</w:t>
            </w:r>
          </w:p>
        </w:tc>
        <w:tc>
          <w:tcPr>
            <w:tcW w:w="763" w:type="pct"/>
            <w:tcBorders>
              <w:top w:val="nil"/>
              <w:left w:val="nil"/>
              <w:bottom w:val="single" w:color="auto" w:sz="4" w:space="0"/>
              <w:right w:val="single" w:color="auto" w:sz="4" w:space="0"/>
            </w:tcBorders>
            <w:vAlign w:val="center"/>
          </w:tcPr>
          <w:p w14:paraId="7F80147E">
            <w:pPr>
              <w:spacing w:line="440" w:lineRule="atLeast"/>
              <w:jc w:val="right"/>
              <w:rPr>
                <w:rFonts w:ascii="仿宋" w:hAnsi="仿宋" w:eastAsia="仿宋" w:cs="仿宋"/>
                <w:sz w:val="20"/>
                <w:szCs w:val="20"/>
              </w:rPr>
            </w:pPr>
            <w:r>
              <w:rPr>
                <w:rFonts w:hint="eastAsia" w:ascii="仿宋" w:hAnsi="仿宋" w:eastAsia="仿宋" w:cs="仿宋"/>
                <w:sz w:val="20"/>
                <w:szCs w:val="20"/>
              </w:rPr>
              <w:t>850,095.53</w:t>
            </w:r>
          </w:p>
        </w:tc>
        <w:tc>
          <w:tcPr>
            <w:tcW w:w="763" w:type="pct"/>
            <w:tcBorders>
              <w:top w:val="nil"/>
              <w:left w:val="nil"/>
              <w:bottom w:val="single" w:color="auto" w:sz="4" w:space="0"/>
              <w:right w:val="single" w:color="auto" w:sz="4" w:space="0"/>
            </w:tcBorders>
            <w:vAlign w:val="center"/>
          </w:tcPr>
          <w:p w14:paraId="70ABA6CB">
            <w:pPr>
              <w:spacing w:line="440" w:lineRule="atLeast"/>
              <w:jc w:val="right"/>
              <w:rPr>
                <w:rFonts w:ascii="仿宋" w:hAnsi="仿宋" w:eastAsia="仿宋" w:cs="仿宋"/>
                <w:sz w:val="20"/>
                <w:szCs w:val="20"/>
              </w:rPr>
            </w:pPr>
            <w:r>
              <w:rPr>
                <w:rFonts w:hint="eastAsia" w:ascii="仿宋" w:hAnsi="仿宋" w:eastAsia="仿宋" w:cs="仿宋"/>
                <w:sz w:val="20"/>
                <w:szCs w:val="20"/>
              </w:rPr>
              <w:t>800,214.45</w:t>
            </w:r>
          </w:p>
        </w:tc>
        <w:tc>
          <w:tcPr>
            <w:tcW w:w="762" w:type="pct"/>
            <w:tcBorders>
              <w:top w:val="nil"/>
              <w:left w:val="nil"/>
              <w:bottom w:val="single" w:color="auto" w:sz="4" w:space="0"/>
              <w:right w:val="single" w:color="auto" w:sz="4" w:space="0"/>
            </w:tcBorders>
            <w:vAlign w:val="center"/>
          </w:tcPr>
          <w:p w14:paraId="241FC9FA">
            <w:pPr>
              <w:spacing w:line="440" w:lineRule="atLeast"/>
              <w:jc w:val="right"/>
              <w:rPr>
                <w:rFonts w:ascii="仿宋" w:hAnsi="仿宋" w:eastAsia="仿宋" w:cs="仿宋"/>
                <w:sz w:val="20"/>
                <w:szCs w:val="20"/>
              </w:rPr>
            </w:pPr>
            <w:r>
              <w:rPr>
                <w:rFonts w:hint="eastAsia" w:ascii="仿宋" w:hAnsi="仿宋" w:eastAsia="仿宋" w:cs="仿宋"/>
                <w:sz w:val="20"/>
                <w:szCs w:val="20"/>
              </w:rPr>
              <w:t>1,084,307.66</w:t>
            </w:r>
          </w:p>
        </w:tc>
        <w:tc>
          <w:tcPr>
            <w:tcW w:w="753" w:type="pct"/>
            <w:tcBorders>
              <w:top w:val="nil"/>
              <w:left w:val="nil"/>
              <w:bottom w:val="single" w:color="auto" w:sz="4" w:space="0"/>
              <w:right w:val="single" w:color="auto" w:sz="4" w:space="0"/>
            </w:tcBorders>
            <w:vAlign w:val="center"/>
          </w:tcPr>
          <w:p w14:paraId="0EDCB66B">
            <w:pPr>
              <w:spacing w:line="440" w:lineRule="atLeast"/>
              <w:jc w:val="right"/>
              <w:rPr>
                <w:rFonts w:ascii="仿宋" w:hAnsi="仿宋" w:eastAsia="仿宋" w:cs="仿宋"/>
                <w:sz w:val="20"/>
                <w:szCs w:val="20"/>
              </w:rPr>
            </w:pPr>
            <w:r>
              <w:rPr>
                <w:rFonts w:hint="eastAsia" w:ascii="仿宋" w:hAnsi="仿宋" w:eastAsia="仿宋" w:cs="仿宋"/>
                <w:sz w:val="20"/>
                <w:szCs w:val="20"/>
              </w:rPr>
              <w:t>1,536,543.05</w:t>
            </w:r>
          </w:p>
        </w:tc>
      </w:tr>
      <w:tr w14:paraId="4D8B7961">
        <w:tblPrEx>
          <w:tblCellMar>
            <w:top w:w="0" w:type="dxa"/>
            <w:left w:w="108" w:type="dxa"/>
            <w:bottom w:w="0" w:type="dxa"/>
            <w:right w:w="108" w:type="dxa"/>
          </w:tblCellMar>
        </w:tblPrEx>
        <w:trPr>
          <w:trHeight w:val="330" w:hRule="atLeast"/>
        </w:trPr>
        <w:tc>
          <w:tcPr>
            <w:tcW w:w="1193" w:type="pct"/>
            <w:tcBorders>
              <w:top w:val="nil"/>
              <w:left w:val="single" w:color="auto" w:sz="8" w:space="0"/>
              <w:bottom w:val="single" w:color="auto" w:sz="4" w:space="0"/>
              <w:right w:val="single" w:color="auto" w:sz="4" w:space="0"/>
            </w:tcBorders>
            <w:vAlign w:val="center"/>
          </w:tcPr>
          <w:p w14:paraId="00D2C0C9">
            <w:pPr>
              <w:spacing w:line="440" w:lineRule="atLeast"/>
              <w:jc w:val="left"/>
              <w:rPr>
                <w:rFonts w:ascii="仿宋" w:hAnsi="仿宋" w:eastAsia="仿宋" w:cs="仿宋"/>
                <w:kern w:val="0"/>
                <w:sz w:val="24"/>
              </w:rPr>
            </w:pPr>
            <w:r>
              <w:rPr>
                <w:rFonts w:hint="eastAsia" w:ascii="仿宋" w:hAnsi="仿宋" w:eastAsia="仿宋" w:cs="仿宋"/>
                <w:kern w:val="0"/>
                <w:sz w:val="24"/>
              </w:rPr>
              <w:t>提取盈余公积</w:t>
            </w:r>
          </w:p>
        </w:tc>
        <w:tc>
          <w:tcPr>
            <w:tcW w:w="763" w:type="pct"/>
            <w:tcBorders>
              <w:top w:val="nil"/>
              <w:left w:val="nil"/>
              <w:bottom w:val="single" w:color="auto" w:sz="4" w:space="0"/>
              <w:right w:val="single" w:color="auto" w:sz="4" w:space="0"/>
            </w:tcBorders>
            <w:vAlign w:val="center"/>
          </w:tcPr>
          <w:p w14:paraId="77C71DA3">
            <w:pPr>
              <w:spacing w:line="440" w:lineRule="atLeast"/>
              <w:jc w:val="right"/>
              <w:rPr>
                <w:rFonts w:ascii="仿宋" w:hAnsi="仿宋" w:eastAsia="仿宋" w:cs="仿宋"/>
                <w:sz w:val="20"/>
                <w:szCs w:val="20"/>
              </w:rPr>
            </w:pPr>
            <w:r>
              <w:rPr>
                <w:rFonts w:hint="eastAsia" w:ascii="仿宋" w:hAnsi="仿宋" w:eastAsia="仿宋" w:cs="仿宋"/>
                <w:sz w:val="20"/>
                <w:szCs w:val="20"/>
              </w:rPr>
              <w:t>289,923.45</w:t>
            </w:r>
          </w:p>
        </w:tc>
        <w:tc>
          <w:tcPr>
            <w:tcW w:w="763" w:type="pct"/>
            <w:tcBorders>
              <w:top w:val="nil"/>
              <w:left w:val="nil"/>
              <w:bottom w:val="single" w:color="auto" w:sz="4" w:space="0"/>
              <w:right w:val="single" w:color="auto" w:sz="4" w:space="0"/>
            </w:tcBorders>
            <w:vAlign w:val="center"/>
          </w:tcPr>
          <w:p w14:paraId="173C73B3">
            <w:pPr>
              <w:spacing w:line="440" w:lineRule="atLeast"/>
              <w:jc w:val="right"/>
              <w:rPr>
                <w:rFonts w:ascii="仿宋" w:hAnsi="仿宋" w:eastAsia="仿宋" w:cs="仿宋"/>
                <w:sz w:val="20"/>
                <w:szCs w:val="20"/>
              </w:rPr>
            </w:pPr>
            <w:r>
              <w:rPr>
                <w:rFonts w:hint="eastAsia" w:ascii="仿宋" w:hAnsi="仿宋" w:eastAsia="仿宋" w:cs="仿宋"/>
                <w:sz w:val="20"/>
                <w:szCs w:val="20"/>
              </w:rPr>
              <w:t>326,959.82</w:t>
            </w:r>
          </w:p>
        </w:tc>
        <w:tc>
          <w:tcPr>
            <w:tcW w:w="763" w:type="pct"/>
            <w:tcBorders>
              <w:top w:val="nil"/>
              <w:left w:val="nil"/>
              <w:bottom w:val="single" w:color="auto" w:sz="4" w:space="0"/>
              <w:right w:val="single" w:color="auto" w:sz="4" w:space="0"/>
            </w:tcBorders>
            <w:vAlign w:val="center"/>
          </w:tcPr>
          <w:p w14:paraId="0B435FA0">
            <w:pPr>
              <w:spacing w:line="440" w:lineRule="atLeast"/>
              <w:jc w:val="right"/>
              <w:rPr>
                <w:rFonts w:ascii="仿宋" w:hAnsi="仿宋" w:eastAsia="仿宋" w:cs="仿宋"/>
                <w:sz w:val="20"/>
                <w:szCs w:val="20"/>
              </w:rPr>
            </w:pPr>
            <w:r>
              <w:rPr>
                <w:rFonts w:hint="eastAsia" w:ascii="仿宋" w:hAnsi="仿宋" w:eastAsia="仿宋" w:cs="仿宋"/>
                <w:sz w:val="20"/>
                <w:szCs w:val="20"/>
              </w:rPr>
              <w:t>363,733.84</w:t>
            </w:r>
          </w:p>
        </w:tc>
        <w:tc>
          <w:tcPr>
            <w:tcW w:w="762" w:type="pct"/>
            <w:tcBorders>
              <w:top w:val="nil"/>
              <w:left w:val="nil"/>
              <w:bottom w:val="single" w:color="auto" w:sz="4" w:space="0"/>
              <w:right w:val="single" w:color="auto" w:sz="4" w:space="0"/>
            </w:tcBorders>
            <w:vAlign w:val="center"/>
          </w:tcPr>
          <w:p w14:paraId="151918DB">
            <w:pPr>
              <w:spacing w:line="440" w:lineRule="atLeast"/>
              <w:jc w:val="right"/>
              <w:rPr>
                <w:rFonts w:ascii="仿宋" w:hAnsi="仿宋" w:eastAsia="仿宋" w:cs="仿宋"/>
                <w:sz w:val="20"/>
                <w:szCs w:val="20"/>
              </w:rPr>
            </w:pPr>
            <w:r>
              <w:rPr>
                <w:rFonts w:hint="eastAsia" w:ascii="仿宋" w:hAnsi="仿宋" w:eastAsia="仿宋" w:cs="仿宋"/>
                <w:sz w:val="20"/>
                <w:szCs w:val="20"/>
              </w:rPr>
              <w:t>401,595.43</w:t>
            </w:r>
          </w:p>
        </w:tc>
        <w:tc>
          <w:tcPr>
            <w:tcW w:w="753" w:type="pct"/>
            <w:tcBorders>
              <w:top w:val="nil"/>
              <w:left w:val="nil"/>
              <w:bottom w:val="single" w:color="auto" w:sz="4" w:space="0"/>
              <w:right w:val="single" w:color="auto" w:sz="4" w:space="0"/>
            </w:tcBorders>
            <w:vAlign w:val="center"/>
          </w:tcPr>
          <w:p w14:paraId="002DCA4A">
            <w:pPr>
              <w:spacing w:line="440" w:lineRule="atLeast"/>
              <w:jc w:val="right"/>
              <w:rPr>
                <w:rFonts w:ascii="仿宋" w:hAnsi="仿宋" w:eastAsia="仿宋" w:cs="仿宋"/>
                <w:sz w:val="20"/>
                <w:szCs w:val="20"/>
              </w:rPr>
            </w:pPr>
            <w:r>
              <w:rPr>
                <w:rFonts w:hint="eastAsia" w:ascii="仿宋" w:hAnsi="仿宋" w:eastAsia="仿宋" w:cs="仿宋"/>
                <w:sz w:val="20"/>
                <w:szCs w:val="20"/>
              </w:rPr>
              <w:t>439,012.30</w:t>
            </w:r>
          </w:p>
        </w:tc>
      </w:tr>
      <w:tr w14:paraId="36E1DF4B">
        <w:tblPrEx>
          <w:tblCellMar>
            <w:top w:w="0" w:type="dxa"/>
            <w:left w:w="108" w:type="dxa"/>
            <w:bottom w:w="0" w:type="dxa"/>
            <w:right w:w="108" w:type="dxa"/>
          </w:tblCellMar>
        </w:tblPrEx>
        <w:trPr>
          <w:trHeight w:val="330" w:hRule="atLeast"/>
        </w:trPr>
        <w:tc>
          <w:tcPr>
            <w:tcW w:w="1193" w:type="pct"/>
            <w:tcBorders>
              <w:top w:val="nil"/>
              <w:left w:val="single" w:color="auto" w:sz="8" w:space="0"/>
              <w:bottom w:val="single" w:color="auto" w:sz="4" w:space="0"/>
              <w:right w:val="single" w:color="auto" w:sz="4" w:space="0"/>
            </w:tcBorders>
            <w:vAlign w:val="center"/>
          </w:tcPr>
          <w:p w14:paraId="2CC4B6AF">
            <w:pPr>
              <w:spacing w:line="440" w:lineRule="atLeast"/>
              <w:jc w:val="left"/>
              <w:rPr>
                <w:rFonts w:ascii="仿宋" w:hAnsi="仿宋" w:eastAsia="仿宋" w:cs="仿宋"/>
                <w:kern w:val="0"/>
                <w:sz w:val="24"/>
              </w:rPr>
            </w:pPr>
            <w:r>
              <w:rPr>
                <w:rFonts w:hint="eastAsia" w:ascii="仿宋" w:hAnsi="仿宋" w:eastAsia="仿宋" w:cs="仿宋"/>
                <w:kern w:val="0"/>
                <w:sz w:val="24"/>
              </w:rPr>
              <w:t>一般风险准备</w:t>
            </w:r>
          </w:p>
        </w:tc>
        <w:tc>
          <w:tcPr>
            <w:tcW w:w="763" w:type="pct"/>
            <w:tcBorders>
              <w:top w:val="nil"/>
              <w:left w:val="nil"/>
              <w:bottom w:val="single" w:color="auto" w:sz="4" w:space="0"/>
              <w:right w:val="single" w:color="auto" w:sz="4" w:space="0"/>
            </w:tcBorders>
            <w:vAlign w:val="center"/>
          </w:tcPr>
          <w:p w14:paraId="58FCF0ED">
            <w:pPr>
              <w:spacing w:line="440" w:lineRule="atLeast"/>
              <w:jc w:val="right"/>
              <w:rPr>
                <w:rFonts w:ascii="仿宋" w:hAnsi="仿宋" w:eastAsia="仿宋" w:cs="仿宋"/>
                <w:sz w:val="20"/>
                <w:szCs w:val="20"/>
              </w:rPr>
            </w:pPr>
            <w:r>
              <w:rPr>
                <w:rFonts w:hint="eastAsia" w:ascii="仿宋" w:hAnsi="仿宋" w:eastAsia="仿宋" w:cs="仿宋"/>
                <w:sz w:val="20"/>
                <w:szCs w:val="20"/>
              </w:rPr>
              <w:t>289,923.45</w:t>
            </w:r>
          </w:p>
        </w:tc>
        <w:tc>
          <w:tcPr>
            <w:tcW w:w="763" w:type="pct"/>
            <w:tcBorders>
              <w:top w:val="nil"/>
              <w:left w:val="nil"/>
              <w:bottom w:val="single" w:color="auto" w:sz="4" w:space="0"/>
              <w:right w:val="single" w:color="auto" w:sz="4" w:space="0"/>
            </w:tcBorders>
            <w:vAlign w:val="center"/>
          </w:tcPr>
          <w:p w14:paraId="12684B73">
            <w:pPr>
              <w:spacing w:line="440" w:lineRule="atLeast"/>
              <w:jc w:val="right"/>
              <w:rPr>
                <w:rFonts w:ascii="仿宋" w:hAnsi="仿宋" w:eastAsia="仿宋" w:cs="仿宋"/>
                <w:sz w:val="20"/>
                <w:szCs w:val="20"/>
              </w:rPr>
            </w:pPr>
            <w:r>
              <w:rPr>
                <w:rFonts w:hint="eastAsia" w:ascii="仿宋" w:hAnsi="仿宋" w:eastAsia="仿宋" w:cs="仿宋"/>
                <w:sz w:val="20"/>
                <w:szCs w:val="20"/>
              </w:rPr>
              <w:t>326,959.82</w:t>
            </w:r>
          </w:p>
        </w:tc>
        <w:tc>
          <w:tcPr>
            <w:tcW w:w="763" w:type="pct"/>
            <w:tcBorders>
              <w:top w:val="nil"/>
              <w:left w:val="nil"/>
              <w:bottom w:val="single" w:color="auto" w:sz="4" w:space="0"/>
              <w:right w:val="single" w:color="auto" w:sz="4" w:space="0"/>
            </w:tcBorders>
            <w:vAlign w:val="center"/>
          </w:tcPr>
          <w:p w14:paraId="2C93AC05">
            <w:pPr>
              <w:spacing w:line="440" w:lineRule="atLeast"/>
              <w:jc w:val="right"/>
              <w:rPr>
                <w:rFonts w:ascii="仿宋" w:hAnsi="仿宋" w:eastAsia="仿宋" w:cs="仿宋"/>
                <w:sz w:val="20"/>
                <w:szCs w:val="20"/>
              </w:rPr>
            </w:pPr>
            <w:r>
              <w:rPr>
                <w:rFonts w:hint="eastAsia" w:ascii="仿宋" w:hAnsi="仿宋" w:eastAsia="仿宋" w:cs="仿宋"/>
                <w:sz w:val="20"/>
                <w:szCs w:val="20"/>
              </w:rPr>
              <w:t>363,733.84</w:t>
            </w:r>
          </w:p>
        </w:tc>
        <w:tc>
          <w:tcPr>
            <w:tcW w:w="762" w:type="pct"/>
            <w:tcBorders>
              <w:top w:val="nil"/>
              <w:left w:val="nil"/>
              <w:bottom w:val="single" w:color="auto" w:sz="4" w:space="0"/>
              <w:right w:val="single" w:color="auto" w:sz="4" w:space="0"/>
            </w:tcBorders>
            <w:vAlign w:val="center"/>
          </w:tcPr>
          <w:p w14:paraId="3C511177">
            <w:pPr>
              <w:spacing w:line="440" w:lineRule="atLeast"/>
              <w:jc w:val="right"/>
              <w:rPr>
                <w:rFonts w:ascii="仿宋" w:hAnsi="仿宋" w:eastAsia="仿宋" w:cs="仿宋"/>
                <w:sz w:val="20"/>
                <w:szCs w:val="20"/>
              </w:rPr>
            </w:pPr>
            <w:r>
              <w:rPr>
                <w:rFonts w:hint="eastAsia" w:ascii="仿宋" w:hAnsi="仿宋" w:eastAsia="仿宋" w:cs="仿宋"/>
                <w:sz w:val="20"/>
                <w:szCs w:val="20"/>
              </w:rPr>
              <w:t>401,595.43</w:t>
            </w:r>
          </w:p>
        </w:tc>
        <w:tc>
          <w:tcPr>
            <w:tcW w:w="753" w:type="pct"/>
            <w:tcBorders>
              <w:top w:val="nil"/>
              <w:left w:val="nil"/>
              <w:bottom w:val="single" w:color="auto" w:sz="4" w:space="0"/>
              <w:right w:val="single" w:color="auto" w:sz="4" w:space="0"/>
            </w:tcBorders>
            <w:vAlign w:val="center"/>
          </w:tcPr>
          <w:p w14:paraId="004A6A17">
            <w:pPr>
              <w:spacing w:line="440" w:lineRule="atLeast"/>
              <w:jc w:val="right"/>
              <w:rPr>
                <w:rFonts w:ascii="仿宋" w:hAnsi="仿宋" w:eastAsia="仿宋" w:cs="仿宋"/>
                <w:sz w:val="20"/>
                <w:szCs w:val="20"/>
              </w:rPr>
            </w:pPr>
            <w:r>
              <w:rPr>
                <w:rFonts w:hint="eastAsia" w:ascii="仿宋" w:hAnsi="仿宋" w:eastAsia="仿宋" w:cs="仿宋"/>
                <w:sz w:val="20"/>
                <w:szCs w:val="20"/>
              </w:rPr>
              <w:t>439,012.30</w:t>
            </w:r>
          </w:p>
        </w:tc>
      </w:tr>
      <w:tr w14:paraId="0F1D439F">
        <w:tblPrEx>
          <w:tblCellMar>
            <w:top w:w="0" w:type="dxa"/>
            <w:left w:w="108" w:type="dxa"/>
            <w:bottom w:w="0" w:type="dxa"/>
            <w:right w:w="108" w:type="dxa"/>
          </w:tblCellMar>
        </w:tblPrEx>
        <w:trPr>
          <w:trHeight w:val="330" w:hRule="atLeast"/>
        </w:trPr>
        <w:tc>
          <w:tcPr>
            <w:tcW w:w="1193" w:type="pct"/>
            <w:tcBorders>
              <w:top w:val="nil"/>
              <w:left w:val="single" w:color="auto" w:sz="8" w:space="0"/>
              <w:bottom w:val="single" w:color="auto" w:sz="4" w:space="0"/>
              <w:right w:val="single" w:color="auto" w:sz="4" w:space="0"/>
            </w:tcBorders>
            <w:vAlign w:val="center"/>
          </w:tcPr>
          <w:p w14:paraId="3FEA1579">
            <w:pPr>
              <w:spacing w:line="440" w:lineRule="atLeast"/>
              <w:jc w:val="left"/>
              <w:rPr>
                <w:rFonts w:ascii="仿宋" w:hAnsi="仿宋" w:eastAsia="仿宋" w:cs="仿宋"/>
                <w:kern w:val="0"/>
                <w:sz w:val="24"/>
              </w:rPr>
            </w:pPr>
            <w:r>
              <w:rPr>
                <w:rFonts w:hint="eastAsia" w:ascii="仿宋" w:hAnsi="仿宋" w:eastAsia="仿宋" w:cs="仿宋"/>
                <w:kern w:val="0"/>
                <w:sz w:val="24"/>
              </w:rPr>
              <w:t>分配股利</w:t>
            </w:r>
          </w:p>
        </w:tc>
        <w:tc>
          <w:tcPr>
            <w:tcW w:w="763" w:type="pct"/>
            <w:tcBorders>
              <w:top w:val="nil"/>
              <w:left w:val="nil"/>
              <w:bottom w:val="single" w:color="auto" w:sz="4" w:space="0"/>
              <w:right w:val="single" w:color="auto" w:sz="4" w:space="0"/>
            </w:tcBorders>
            <w:vAlign w:val="center"/>
          </w:tcPr>
          <w:p w14:paraId="064634A5">
            <w:pPr>
              <w:spacing w:line="440" w:lineRule="atLeast"/>
              <w:jc w:val="right"/>
              <w:rPr>
                <w:rFonts w:ascii="仿宋" w:hAnsi="仿宋" w:eastAsia="仿宋" w:cs="仿宋"/>
                <w:sz w:val="20"/>
                <w:szCs w:val="20"/>
              </w:rPr>
            </w:pPr>
            <w:r>
              <w:rPr>
                <w:rFonts w:hint="eastAsia" w:ascii="仿宋" w:hAnsi="仿宋" w:eastAsia="仿宋" w:cs="仿宋"/>
                <w:sz w:val="20"/>
                <w:szCs w:val="20"/>
              </w:rPr>
              <w:t>1,536,594.31</w:t>
            </w:r>
          </w:p>
        </w:tc>
        <w:tc>
          <w:tcPr>
            <w:tcW w:w="763" w:type="pct"/>
            <w:tcBorders>
              <w:top w:val="nil"/>
              <w:left w:val="nil"/>
              <w:bottom w:val="single" w:color="auto" w:sz="4" w:space="0"/>
              <w:right w:val="single" w:color="auto" w:sz="4" w:space="0"/>
            </w:tcBorders>
            <w:vAlign w:val="center"/>
          </w:tcPr>
          <w:p w14:paraId="2F2D00F4">
            <w:pPr>
              <w:spacing w:line="440" w:lineRule="atLeast"/>
              <w:jc w:val="right"/>
              <w:rPr>
                <w:rFonts w:ascii="仿宋" w:hAnsi="仿宋" w:eastAsia="仿宋" w:cs="仿宋"/>
                <w:sz w:val="20"/>
                <w:szCs w:val="20"/>
              </w:rPr>
            </w:pPr>
            <w:r>
              <w:rPr>
                <w:rFonts w:hint="eastAsia" w:ascii="仿宋" w:hAnsi="仿宋" w:eastAsia="仿宋" w:cs="仿宋"/>
                <w:sz w:val="20"/>
                <w:szCs w:val="20"/>
              </w:rPr>
              <w:t>196,175.89</w:t>
            </w:r>
          </w:p>
        </w:tc>
        <w:tc>
          <w:tcPr>
            <w:tcW w:w="763" w:type="pct"/>
            <w:tcBorders>
              <w:top w:val="nil"/>
              <w:left w:val="nil"/>
              <w:bottom w:val="single" w:color="auto" w:sz="4" w:space="0"/>
              <w:right w:val="single" w:color="auto" w:sz="4" w:space="0"/>
            </w:tcBorders>
            <w:vAlign w:val="center"/>
          </w:tcPr>
          <w:p w14:paraId="429C7DA0">
            <w:pPr>
              <w:spacing w:line="440" w:lineRule="atLeast"/>
              <w:jc w:val="right"/>
              <w:rPr>
                <w:rFonts w:ascii="仿宋" w:hAnsi="仿宋" w:eastAsia="仿宋" w:cs="仿宋"/>
                <w:sz w:val="20"/>
                <w:szCs w:val="20"/>
              </w:rPr>
            </w:pPr>
            <w:r>
              <w:rPr>
                <w:rFonts w:hint="eastAsia" w:ascii="仿宋" w:hAnsi="仿宋" w:eastAsia="仿宋" w:cs="仿宋"/>
                <w:sz w:val="20"/>
                <w:szCs w:val="20"/>
              </w:rPr>
              <w:t>72,746.77</w:t>
            </w:r>
          </w:p>
        </w:tc>
        <w:tc>
          <w:tcPr>
            <w:tcW w:w="762" w:type="pct"/>
            <w:tcBorders>
              <w:top w:val="nil"/>
              <w:left w:val="nil"/>
              <w:bottom w:val="single" w:color="auto" w:sz="4" w:space="0"/>
              <w:right w:val="single" w:color="auto" w:sz="4" w:space="0"/>
            </w:tcBorders>
            <w:vAlign w:val="center"/>
          </w:tcPr>
          <w:p w14:paraId="53779A5B">
            <w:pPr>
              <w:spacing w:line="440" w:lineRule="atLeast"/>
              <w:jc w:val="right"/>
              <w:rPr>
                <w:rFonts w:ascii="仿宋" w:hAnsi="仿宋" w:eastAsia="仿宋" w:cs="仿宋"/>
                <w:sz w:val="20"/>
                <w:szCs w:val="20"/>
              </w:rPr>
            </w:pPr>
            <w:r>
              <w:rPr>
                <w:rFonts w:hint="eastAsia" w:ascii="仿宋" w:hAnsi="仿宋" w:eastAsia="仿宋" w:cs="仿宋"/>
                <w:sz w:val="20"/>
                <w:szCs w:val="20"/>
              </w:rPr>
              <w:t>281,116.80</w:t>
            </w:r>
          </w:p>
        </w:tc>
        <w:tc>
          <w:tcPr>
            <w:tcW w:w="753" w:type="pct"/>
            <w:tcBorders>
              <w:top w:val="nil"/>
              <w:left w:val="nil"/>
              <w:bottom w:val="single" w:color="auto" w:sz="4" w:space="0"/>
              <w:right w:val="single" w:color="auto" w:sz="4" w:space="0"/>
            </w:tcBorders>
            <w:vAlign w:val="center"/>
          </w:tcPr>
          <w:p w14:paraId="7BF89934">
            <w:pPr>
              <w:spacing w:line="440" w:lineRule="atLeast"/>
              <w:jc w:val="right"/>
              <w:rPr>
                <w:rFonts w:ascii="仿宋" w:hAnsi="仿宋" w:eastAsia="仿宋" w:cs="仿宋"/>
                <w:sz w:val="20"/>
                <w:szCs w:val="20"/>
              </w:rPr>
            </w:pPr>
            <w:r>
              <w:rPr>
                <w:rFonts w:hint="eastAsia" w:ascii="仿宋" w:hAnsi="仿宋" w:eastAsia="仿宋" w:cs="仿宋"/>
                <w:sz w:val="20"/>
                <w:szCs w:val="20"/>
              </w:rPr>
              <w:t>658,518.45</w:t>
            </w:r>
          </w:p>
        </w:tc>
      </w:tr>
      <w:tr w14:paraId="5C9DBAE5">
        <w:tblPrEx>
          <w:tblCellMar>
            <w:top w:w="0" w:type="dxa"/>
            <w:left w:w="108" w:type="dxa"/>
            <w:bottom w:w="0" w:type="dxa"/>
            <w:right w:w="108" w:type="dxa"/>
          </w:tblCellMar>
        </w:tblPrEx>
        <w:trPr>
          <w:trHeight w:val="330" w:hRule="atLeast"/>
        </w:trPr>
        <w:tc>
          <w:tcPr>
            <w:tcW w:w="1193" w:type="pct"/>
            <w:tcBorders>
              <w:top w:val="nil"/>
              <w:left w:val="single" w:color="auto" w:sz="8" w:space="0"/>
              <w:bottom w:val="single" w:color="auto" w:sz="4" w:space="0"/>
              <w:right w:val="single" w:color="auto" w:sz="4" w:space="0"/>
            </w:tcBorders>
            <w:vAlign w:val="center"/>
          </w:tcPr>
          <w:p w14:paraId="45763A79">
            <w:pPr>
              <w:spacing w:line="440" w:lineRule="atLeast"/>
              <w:jc w:val="left"/>
              <w:rPr>
                <w:rFonts w:ascii="仿宋" w:hAnsi="仿宋" w:eastAsia="仿宋" w:cs="仿宋"/>
                <w:kern w:val="0"/>
                <w:sz w:val="24"/>
              </w:rPr>
            </w:pPr>
            <w:r>
              <w:rPr>
                <w:rFonts w:hint="eastAsia" w:ascii="仿宋" w:hAnsi="仿宋" w:eastAsia="仿宋" w:cs="仿宋"/>
                <w:kern w:val="0"/>
                <w:sz w:val="24"/>
              </w:rPr>
              <w:t>转增资本</w:t>
            </w:r>
          </w:p>
        </w:tc>
        <w:tc>
          <w:tcPr>
            <w:tcW w:w="763" w:type="pct"/>
            <w:tcBorders>
              <w:top w:val="nil"/>
              <w:left w:val="nil"/>
              <w:bottom w:val="single" w:color="auto" w:sz="4" w:space="0"/>
              <w:right w:val="single" w:color="auto" w:sz="4" w:space="0"/>
            </w:tcBorders>
            <w:vAlign w:val="center"/>
          </w:tcPr>
          <w:p w14:paraId="5286E4ED">
            <w:pPr>
              <w:spacing w:line="440" w:lineRule="atLeast"/>
              <w:jc w:val="right"/>
              <w:rPr>
                <w:rFonts w:ascii="仿宋" w:hAnsi="仿宋" w:eastAsia="仿宋" w:cs="仿宋"/>
                <w:sz w:val="20"/>
                <w:szCs w:val="20"/>
              </w:rPr>
            </w:pPr>
          </w:p>
        </w:tc>
        <w:tc>
          <w:tcPr>
            <w:tcW w:w="763" w:type="pct"/>
            <w:tcBorders>
              <w:top w:val="nil"/>
              <w:left w:val="nil"/>
              <w:bottom w:val="single" w:color="auto" w:sz="4" w:space="0"/>
              <w:right w:val="single" w:color="auto" w:sz="4" w:space="0"/>
            </w:tcBorders>
            <w:vAlign w:val="center"/>
          </w:tcPr>
          <w:p w14:paraId="1444607F">
            <w:pPr>
              <w:spacing w:line="440" w:lineRule="atLeast"/>
              <w:jc w:val="right"/>
              <w:rPr>
                <w:rFonts w:ascii="仿宋" w:hAnsi="仿宋" w:eastAsia="仿宋" w:cs="仿宋"/>
                <w:sz w:val="20"/>
                <w:szCs w:val="20"/>
              </w:rPr>
            </w:pPr>
          </w:p>
        </w:tc>
        <w:tc>
          <w:tcPr>
            <w:tcW w:w="763" w:type="pct"/>
            <w:tcBorders>
              <w:top w:val="nil"/>
              <w:left w:val="nil"/>
              <w:bottom w:val="single" w:color="auto" w:sz="4" w:space="0"/>
              <w:right w:val="single" w:color="auto" w:sz="4" w:space="0"/>
            </w:tcBorders>
            <w:vAlign w:val="center"/>
          </w:tcPr>
          <w:p w14:paraId="60EAB04B">
            <w:pPr>
              <w:spacing w:line="440" w:lineRule="atLeast"/>
              <w:jc w:val="right"/>
              <w:rPr>
                <w:rFonts w:ascii="仿宋" w:hAnsi="仿宋" w:eastAsia="仿宋" w:cs="仿宋"/>
                <w:sz w:val="20"/>
                <w:szCs w:val="20"/>
              </w:rPr>
            </w:pPr>
          </w:p>
        </w:tc>
        <w:tc>
          <w:tcPr>
            <w:tcW w:w="762" w:type="pct"/>
            <w:tcBorders>
              <w:top w:val="nil"/>
              <w:left w:val="nil"/>
              <w:bottom w:val="single" w:color="auto" w:sz="4" w:space="0"/>
              <w:right w:val="single" w:color="auto" w:sz="4" w:space="0"/>
            </w:tcBorders>
            <w:vAlign w:val="center"/>
          </w:tcPr>
          <w:p w14:paraId="2ED9D036">
            <w:pPr>
              <w:spacing w:line="440" w:lineRule="atLeast"/>
              <w:jc w:val="right"/>
              <w:rPr>
                <w:rFonts w:ascii="仿宋" w:hAnsi="仿宋" w:eastAsia="仿宋" w:cs="仿宋"/>
                <w:sz w:val="20"/>
                <w:szCs w:val="20"/>
              </w:rPr>
            </w:pPr>
          </w:p>
        </w:tc>
        <w:tc>
          <w:tcPr>
            <w:tcW w:w="753" w:type="pct"/>
            <w:tcBorders>
              <w:top w:val="nil"/>
              <w:left w:val="nil"/>
              <w:bottom w:val="single" w:color="auto" w:sz="4" w:space="0"/>
              <w:right w:val="single" w:color="auto" w:sz="4" w:space="0"/>
            </w:tcBorders>
            <w:vAlign w:val="center"/>
          </w:tcPr>
          <w:p w14:paraId="4082D4C6">
            <w:pPr>
              <w:spacing w:line="440" w:lineRule="atLeast"/>
              <w:jc w:val="right"/>
              <w:rPr>
                <w:rFonts w:ascii="仿宋" w:hAnsi="仿宋" w:eastAsia="仿宋" w:cs="仿宋"/>
                <w:sz w:val="20"/>
                <w:szCs w:val="20"/>
              </w:rPr>
            </w:pPr>
          </w:p>
        </w:tc>
      </w:tr>
      <w:tr w14:paraId="07C9003A">
        <w:trPr>
          <w:trHeight w:val="330" w:hRule="atLeast"/>
        </w:trPr>
        <w:tc>
          <w:tcPr>
            <w:tcW w:w="1193" w:type="pct"/>
            <w:tcBorders>
              <w:top w:val="nil"/>
              <w:left w:val="single" w:color="auto" w:sz="8" w:space="0"/>
              <w:bottom w:val="single" w:color="auto" w:sz="4" w:space="0"/>
              <w:right w:val="single" w:color="auto" w:sz="4" w:space="0"/>
            </w:tcBorders>
            <w:vAlign w:val="center"/>
          </w:tcPr>
          <w:p w14:paraId="237A4544">
            <w:pPr>
              <w:spacing w:line="440" w:lineRule="atLeast"/>
              <w:jc w:val="left"/>
              <w:rPr>
                <w:rFonts w:ascii="仿宋" w:hAnsi="仿宋" w:eastAsia="仿宋" w:cs="仿宋"/>
                <w:kern w:val="0"/>
                <w:sz w:val="24"/>
              </w:rPr>
            </w:pPr>
            <w:r>
              <w:rPr>
                <w:rFonts w:hint="eastAsia" w:ascii="仿宋" w:hAnsi="仿宋" w:eastAsia="仿宋" w:cs="仿宋"/>
                <w:kern w:val="0"/>
                <w:sz w:val="24"/>
              </w:rPr>
              <w:t>其他</w:t>
            </w:r>
          </w:p>
        </w:tc>
        <w:tc>
          <w:tcPr>
            <w:tcW w:w="763" w:type="pct"/>
            <w:tcBorders>
              <w:top w:val="nil"/>
              <w:left w:val="nil"/>
              <w:bottom w:val="single" w:color="auto" w:sz="4" w:space="0"/>
              <w:right w:val="single" w:color="auto" w:sz="4" w:space="0"/>
            </w:tcBorders>
            <w:vAlign w:val="center"/>
          </w:tcPr>
          <w:p w14:paraId="52C0310C">
            <w:pPr>
              <w:spacing w:line="440" w:lineRule="atLeast"/>
              <w:jc w:val="right"/>
              <w:rPr>
                <w:rFonts w:ascii="仿宋" w:hAnsi="仿宋" w:eastAsia="仿宋" w:cs="仿宋"/>
                <w:sz w:val="20"/>
                <w:szCs w:val="20"/>
              </w:rPr>
            </w:pPr>
          </w:p>
        </w:tc>
        <w:tc>
          <w:tcPr>
            <w:tcW w:w="763" w:type="pct"/>
            <w:tcBorders>
              <w:top w:val="nil"/>
              <w:left w:val="nil"/>
              <w:bottom w:val="single" w:color="auto" w:sz="4" w:space="0"/>
              <w:right w:val="single" w:color="auto" w:sz="4" w:space="0"/>
            </w:tcBorders>
            <w:vAlign w:val="center"/>
          </w:tcPr>
          <w:p w14:paraId="0194A688">
            <w:pPr>
              <w:spacing w:line="440" w:lineRule="atLeast"/>
              <w:jc w:val="right"/>
              <w:rPr>
                <w:rFonts w:ascii="仿宋" w:hAnsi="仿宋" w:eastAsia="仿宋" w:cs="仿宋"/>
                <w:sz w:val="20"/>
                <w:szCs w:val="20"/>
              </w:rPr>
            </w:pPr>
          </w:p>
        </w:tc>
        <w:tc>
          <w:tcPr>
            <w:tcW w:w="763" w:type="pct"/>
            <w:tcBorders>
              <w:top w:val="nil"/>
              <w:left w:val="nil"/>
              <w:bottom w:val="single" w:color="auto" w:sz="4" w:space="0"/>
              <w:right w:val="single" w:color="auto" w:sz="4" w:space="0"/>
            </w:tcBorders>
            <w:vAlign w:val="center"/>
          </w:tcPr>
          <w:p w14:paraId="609C4D85">
            <w:pPr>
              <w:spacing w:line="440" w:lineRule="atLeast"/>
              <w:jc w:val="right"/>
              <w:rPr>
                <w:rFonts w:ascii="仿宋" w:hAnsi="仿宋" w:eastAsia="仿宋" w:cs="仿宋"/>
                <w:sz w:val="20"/>
                <w:szCs w:val="20"/>
              </w:rPr>
            </w:pPr>
          </w:p>
        </w:tc>
        <w:tc>
          <w:tcPr>
            <w:tcW w:w="762" w:type="pct"/>
            <w:tcBorders>
              <w:top w:val="nil"/>
              <w:left w:val="nil"/>
              <w:bottom w:val="single" w:color="auto" w:sz="4" w:space="0"/>
              <w:right w:val="single" w:color="auto" w:sz="4" w:space="0"/>
            </w:tcBorders>
            <w:vAlign w:val="center"/>
          </w:tcPr>
          <w:p w14:paraId="61FEB1B4">
            <w:pPr>
              <w:spacing w:line="440" w:lineRule="atLeast"/>
              <w:jc w:val="right"/>
              <w:rPr>
                <w:rFonts w:ascii="仿宋" w:hAnsi="仿宋" w:eastAsia="仿宋" w:cs="仿宋"/>
                <w:sz w:val="20"/>
                <w:szCs w:val="20"/>
              </w:rPr>
            </w:pPr>
          </w:p>
        </w:tc>
        <w:tc>
          <w:tcPr>
            <w:tcW w:w="753" w:type="pct"/>
            <w:tcBorders>
              <w:top w:val="nil"/>
              <w:left w:val="nil"/>
              <w:bottom w:val="single" w:color="auto" w:sz="4" w:space="0"/>
              <w:right w:val="single" w:color="auto" w:sz="4" w:space="0"/>
            </w:tcBorders>
            <w:vAlign w:val="center"/>
          </w:tcPr>
          <w:p w14:paraId="0C0D914A">
            <w:pPr>
              <w:spacing w:line="440" w:lineRule="atLeast"/>
              <w:jc w:val="right"/>
              <w:rPr>
                <w:rFonts w:ascii="仿宋" w:hAnsi="仿宋" w:eastAsia="仿宋" w:cs="仿宋"/>
                <w:sz w:val="20"/>
                <w:szCs w:val="20"/>
              </w:rPr>
            </w:pPr>
          </w:p>
        </w:tc>
      </w:tr>
      <w:tr w14:paraId="1B584AC4">
        <w:tblPrEx>
          <w:tblCellMar>
            <w:top w:w="0" w:type="dxa"/>
            <w:left w:w="108" w:type="dxa"/>
            <w:bottom w:w="0" w:type="dxa"/>
            <w:right w:w="108" w:type="dxa"/>
          </w:tblCellMar>
        </w:tblPrEx>
        <w:trPr>
          <w:trHeight w:val="330" w:hRule="atLeast"/>
        </w:trPr>
        <w:tc>
          <w:tcPr>
            <w:tcW w:w="1193" w:type="pct"/>
            <w:tcBorders>
              <w:top w:val="nil"/>
              <w:left w:val="single" w:color="auto" w:sz="8" w:space="0"/>
              <w:bottom w:val="single" w:color="auto" w:sz="4" w:space="0"/>
              <w:right w:val="single" w:color="auto" w:sz="4" w:space="0"/>
            </w:tcBorders>
            <w:vAlign w:val="center"/>
          </w:tcPr>
          <w:p w14:paraId="42EF0E13">
            <w:pPr>
              <w:spacing w:line="440" w:lineRule="atLeast"/>
              <w:jc w:val="left"/>
              <w:rPr>
                <w:rFonts w:ascii="仿宋" w:hAnsi="仿宋" w:eastAsia="仿宋" w:cs="仿宋"/>
                <w:kern w:val="0"/>
                <w:sz w:val="24"/>
              </w:rPr>
            </w:pPr>
            <w:r>
              <w:rPr>
                <w:rFonts w:hint="eastAsia" w:ascii="仿宋" w:hAnsi="仿宋" w:eastAsia="仿宋" w:cs="仿宋"/>
                <w:kern w:val="0"/>
                <w:sz w:val="24"/>
              </w:rPr>
              <w:t>年末未分配利润</w:t>
            </w:r>
          </w:p>
        </w:tc>
        <w:tc>
          <w:tcPr>
            <w:tcW w:w="763" w:type="pct"/>
            <w:tcBorders>
              <w:top w:val="nil"/>
              <w:left w:val="nil"/>
              <w:bottom w:val="single" w:color="auto" w:sz="4" w:space="0"/>
              <w:right w:val="single" w:color="auto" w:sz="4" w:space="0"/>
            </w:tcBorders>
            <w:vAlign w:val="center"/>
          </w:tcPr>
          <w:p w14:paraId="195BA1B5">
            <w:pPr>
              <w:spacing w:line="440" w:lineRule="atLeast"/>
              <w:jc w:val="right"/>
              <w:rPr>
                <w:rFonts w:ascii="仿宋" w:hAnsi="仿宋" w:eastAsia="仿宋" w:cs="仿宋"/>
                <w:sz w:val="20"/>
                <w:szCs w:val="20"/>
              </w:rPr>
            </w:pPr>
            <w:r>
              <w:rPr>
                <w:rFonts w:hint="eastAsia" w:ascii="仿宋" w:hAnsi="仿宋" w:eastAsia="仿宋" w:cs="仿宋"/>
                <w:sz w:val="20"/>
                <w:szCs w:val="20"/>
              </w:rPr>
              <w:t>3,768,883.23</w:t>
            </w:r>
          </w:p>
        </w:tc>
        <w:tc>
          <w:tcPr>
            <w:tcW w:w="763" w:type="pct"/>
            <w:tcBorders>
              <w:top w:val="nil"/>
              <w:left w:val="nil"/>
              <w:bottom w:val="single" w:color="auto" w:sz="4" w:space="0"/>
              <w:right w:val="single" w:color="auto" w:sz="4" w:space="0"/>
            </w:tcBorders>
            <w:vAlign w:val="center"/>
          </w:tcPr>
          <w:p w14:paraId="00A22106">
            <w:pPr>
              <w:spacing w:line="440" w:lineRule="atLeast"/>
              <w:jc w:val="right"/>
              <w:rPr>
                <w:rFonts w:ascii="仿宋" w:hAnsi="仿宋" w:eastAsia="仿宋" w:cs="仿宋"/>
                <w:sz w:val="20"/>
                <w:szCs w:val="20"/>
              </w:rPr>
            </w:pPr>
            <w:r>
              <w:rPr>
                <w:rFonts w:hint="eastAsia" w:ascii="仿宋" w:hAnsi="仿宋" w:eastAsia="仿宋" w:cs="仿宋"/>
                <w:sz w:val="20"/>
                <w:szCs w:val="20"/>
              </w:rPr>
              <w:t>6,188,385.88</w:t>
            </w:r>
          </w:p>
        </w:tc>
        <w:tc>
          <w:tcPr>
            <w:tcW w:w="763" w:type="pct"/>
            <w:tcBorders>
              <w:top w:val="nil"/>
              <w:left w:val="nil"/>
              <w:bottom w:val="single" w:color="auto" w:sz="4" w:space="0"/>
              <w:right w:val="single" w:color="auto" w:sz="4" w:space="0"/>
            </w:tcBorders>
            <w:vAlign w:val="center"/>
          </w:tcPr>
          <w:p w14:paraId="49D8CAE7">
            <w:pPr>
              <w:spacing w:line="440" w:lineRule="atLeast"/>
              <w:jc w:val="right"/>
              <w:rPr>
                <w:rFonts w:ascii="仿宋" w:hAnsi="仿宋" w:eastAsia="仿宋" w:cs="仿宋"/>
                <w:sz w:val="20"/>
                <w:szCs w:val="20"/>
              </w:rPr>
            </w:pPr>
            <w:r>
              <w:rPr>
                <w:rFonts w:hint="eastAsia" w:ascii="仿宋" w:hAnsi="仿宋" w:eastAsia="仿宋" w:cs="仿宋"/>
                <w:sz w:val="20"/>
                <w:szCs w:val="20"/>
              </w:rPr>
              <w:t>9,025,509.78</w:t>
            </w:r>
          </w:p>
        </w:tc>
        <w:tc>
          <w:tcPr>
            <w:tcW w:w="762" w:type="pct"/>
            <w:tcBorders>
              <w:top w:val="nil"/>
              <w:left w:val="nil"/>
              <w:bottom w:val="single" w:color="auto" w:sz="4" w:space="0"/>
              <w:right w:val="single" w:color="auto" w:sz="4" w:space="0"/>
            </w:tcBorders>
            <w:vAlign w:val="center"/>
          </w:tcPr>
          <w:p w14:paraId="61434E99">
            <w:pPr>
              <w:spacing w:line="440" w:lineRule="atLeast"/>
              <w:jc w:val="right"/>
              <w:rPr>
                <w:rFonts w:ascii="仿宋" w:hAnsi="仿宋" w:eastAsia="仿宋" w:cs="仿宋"/>
                <w:sz w:val="20"/>
                <w:szCs w:val="20"/>
              </w:rPr>
            </w:pPr>
            <w:r>
              <w:rPr>
                <w:rFonts w:hint="eastAsia" w:ascii="仿宋" w:hAnsi="仿宋" w:eastAsia="仿宋" w:cs="仿宋"/>
                <w:sz w:val="20"/>
                <w:szCs w:val="20"/>
              </w:rPr>
              <w:t>11,957,156.37</w:t>
            </w:r>
          </w:p>
        </w:tc>
        <w:tc>
          <w:tcPr>
            <w:tcW w:w="753" w:type="pct"/>
            <w:tcBorders>
              <w:top w:val="nil"/>
              <w:left w:val="nil"/>
              <w:bottom w:val="single" w:color="auto" w:sz="4" w:space="0"/>
              <w:right w:val="single" w:color="auto" w:sz="4" w:space="0"/>
            </w:tcBorders>
            <w:vAlign w:val="center"/>
          </w:tcPr>
          <w:p w14:paraId="5C8421B7">
            <w:pPr>
              <w:spacing w:line="440" w:lineRule="atLeast"/>
              <w:jc w:val="right"/>
              <w:rPr>
                <w:rFonts w:ascii="仿宋" w:hAnsi="仿宋" w:eastAsia="仿宋" w:cs="仿宋"/>
                <w:sz w:val="20"/>
                <w:szCs w:val="20"/>
              </w:rPr>
            </w:pPr>
            <w:r>
              <w:rPr>
                <w:rFonts w:hint="eastAsia" w:ascii="仿宋" w:hAnsi="仿宋" w:eastAsia="仿宋" w:cs="仿宋"/>
                <w:sz w:val="20"/>
                <w:szCs w:val="20"/>
              </w:rPr>
              <w:t>14,810,736.30</w:t>
            </w:r>
          </w:p>
        </w:tc>
      </w:tr>
      <w:tr w14:paraId="458A4CA9">
        <w:tblPrEx>
          <w:tblCellMar>
            <w:top w:w="0" w:type="dxa"/>
            <w:left w:w="108" w:type="dxa"/>
            <w:bottom w:w="0" w:type="dxa"/>
            <w:right w:w="108" w:type="dxa"/>
          </w:tblCellMar>
        </w:tblPrEx>
        <w:trPr>
          <w:trHeight w:val="330" w:hRule="atLeast"/>
        </w:trPr>
        <w:tc>
          <w:tcPr>
            <w:tcW w:w="1193" w:type="pct"/>
            <w:tcBorders>
              <w:top w:val="nil"/>
              <w:left w:val="single" w:color="auto" w:sz="8" w:space="0"/>
              <w:bottom w:val="single" w:color="auto" w:sz="4" w:space="0"/>
              <w:right w:val="single" w:color="auto" w:sz="4" w:space="0"/>
            </w:tcBorders>
            <w:vAlign w:val="center"/>
          </w:tcPr>
          <w:p w14:paraId="5E4AFECD">
            <w:pPr>
              <w:spacing w:line="440" w:lineRule="atLeast"/>
              <w:jc w:val="left"/>
              <w:rPr>
                <w:rFonts w:ascii="仿宋" w:hAnsi="仿宋" w:eastAsia="仿宋" w:cs="仿宋"/>
                <w:bCs/>
                <w:kern w:val="0"/>
                <w:sz w:val="24"/>
              </w:rPr>
            </w:pPr>
            <w:r>
              <w:rPr>
                <w:rFonts w:hint="eastAsia" w:ascii="仿宋" w:hAnsi="仿宋" w:eastAsia="仿宋" w:cs="仿宋"/>
                <w:bCs/>
                <w:kern w:val="0"/>
                <w:sz w:val="24"/>
              </w:rPr>
              <w:t>外币报表折算差额</w:t>
            </w:r>
          </w:p>
        </w:tc>
        <w:tc>
          <w:tcPr>
            <w:tcW w:w="763" w:type="pct"/>
            <w:tcBorders>
              <w:top w:val="nil"/>
              <w:left w:val="nil"/>
              <w:bottom w:val="single" w:color="auto" w:sz="4" w:space="0"/>
              <w:right w:val="single" w:color="auto" w:sz="4" w:space="0"/>
            </w:tcBorders>
            <w:vAlign w:val="center"/>
          </w:tcPr>
          <w:p w14:paraId="56F36E1D">
            <w:pPr>
              <w:spacing w:line="440" w:lineRule="atLeast"/>
              <w:jc w:val="right"/>
              <w:rPr>
                <w:rFonts w:ascii="仿宋" w:hAnsi="仿宋" w:eastAsia="仿宋" w:cs="仿宋"/>
                <w:sz w:val="20"/>
                <w:szCs w:val="20"/>
              </w:rPr>
            </w:pPr>
          </w:p>
        </w:tc>
        <w:tc>
          <w:tcPr>
            <w:tcW w:w="763" w:type="pct"/>
            <w:tcBorders>
              <w:top w:val="nil"/>
              <w:left w:val="nil"/>
              <w:bottom w:val="single" w:color="auto" w:sz="4" w:space="0"/>
              <w:right w:val="single" w:color="auto" w:sz="4" w:space="0"/>
            </w:tcBorders>
            <w:vAlign w:val="center"/>
          </w:tcPr>
          <w:p w14:paraId="1F66EF26">
            <w:pPr>
              <w:spacing w:line="440" w:lineRule="atLeast"/>
              <w:jc w:val="right"/>
              <w:rPr>
                <w:rFonts w:ascii="仿宋" w:hAnsi="仿宋" w:eastAsia="仿宋" w:cs="仿宋"/>
                <w:sz w:val="20"/>
                <w:szCs w:val="20"/>
              </w:rPr>
            </w:pPr>
          </w:p>
        </w:tc>
        <w:tc>
          <w:tcPr>
            <w:tcW w:w="763" w:type="pct"/>
            <w:tcBorders>
              <w:top w:val="nil"/>
              <w:left w:val="nil"/>
              <w:bottom w:val="single" w:color="auto" w:sz="4" w:space="0"/>
              <w:right w:val="single" w:color="auto" w:sz="4" w:space="0"/>
            </w:tcBorders>
            <w:vAlign w:val="center"/>
          </w:tcPr>
          <w:p w14:paraId="083B225B">
            <w:pPr>
              <w:spacing w:line="440" w:lineRule="atLeast"/>
              <w:jc w:val="right"/>
              <w:rPr>
                <w:rFonts w:ascii="仿宋" w:hAnsi="仿宋" w:eastAsia="仿宋" w:cs="仿宋"/>
                <w:sz w:val="20"/>
                <w:szCs w:val="20"/>
              </w:rPr>
            </w:pPr>
          </w:p>
        </w:tc>
        <w:tc>
          <w:tcPr>
            <w:tcW w:w="762" w:type="pct"/>
            <w:tcBorders>
              <w:top w:val="nil"/>
              <w:left w:val="nil"/>
              <w:bottom w:val="single" w:color="auto" w:sz="4" w:space="0"/>
              <w:right w:val="single" w:color="auto" w:sz="4" w:space="0"/>
            </w:tcBorders>
            <w:vAlign w:val="center"/>
          </w:tcPr>
          <w:p w14:paraId="2154FE90">
            <w:pPr>
              <w:spacing w:line="440" w:lineRule="atLeast"/>
              <w:jc w:val="right"/>
              <w:rPr>
                <w:rFonts w:ascii="仿宋" w:hAnsi="仿宋" w:eastAsia="仿宋" w:cs="仿宋"/>
                <w:sz w:val="20"/>
                <w:szCs w:val="20"/>
              </w:rPr>
            </w:pPr>
          </w:p>
        </w:tc>
        <w:tc>
          <w:tcPr>
            <w:tcW w:w="753" w:type="pct"/>
            <w:tcBorders>
              <w:top w:val="nil"/>
              <w:left w:val="nil"/>
              <w:bottom w:val="single" w:color="auto" w:sz="4" w:space="0"/>
              <w:right w:val="single" w:color="auto" w:sz="4" w:space="0"/>
            </w:tcBorders>
            <w:vAlign w:val="center"/>
          </w:tcPr>
          <w:p w14:paraId="7EB2B512">
            <w:pPr>
              <w:spacing w:line="440" w:lineRule="atLeast"/>
              <w:jc w:val="right"/>
              <w:rPr>
                <w:rFonts w:ascii="仿宋" w:hAnsi="仿宋" w:eastAsia="仿宋" w:cs="仿宋"/>
                <w:sz w:val="20"/>
                <w:szCs w:val="20"/>
              </w:rPr>
            </w:pPr>
          </w:p>
        </w:tc>
      </w:tr>
      <w:tr w14:paraId="6A72894A">
        <w:tblPrEx>
          <w:tblCellMar>
            <w:top w:w="0" w:type="dxa"/>
            <w:left w:w="108" w:type="dxa"/>
            <w:bottom w:w="0" w:type="dxa"/>
            <w:right w:w="108" w:type="dxa"/>
          </w:tblCellMar>
        </w:tblPrEx>
        <w:trPr>
          <w:trHeight w:val="330" w:hRule="atLeast"/>
        </w:trPr>
        <w:tc>
          <w:tcPr>
            <w:tcW w:w="1193" w:type="pct"/>
            <w:tcBorders>
              <w:top w:val="nil"/>
              <w:left w:val="single" w:color="auto" w:sz="8" w:space="0"/>
              <w:bottom w:val="single" w:color="auto" w:sz="4" w:space="0"/>
              <w:right w:val="single" w:color="auto" w:sz="4" w:space="0"/>
            </w:tcBorders>
            <w:vAlign w:val="center"/>
          </w:tcPr>
          <w:p w14:paraId="0119C406">
            <w:pPr>
              <w:spacing w:line="440" w:lineRule="atLeast"/>
              <w:jc w:val="left"/>
              <w:rPr>
                <w:rFonts w:ascii="仿宋" w:hAnsi="仿宋" w:eastAsia="仿宋" w:cs="仿宋"/>
                <w:kern w:val="0"/>
                <w:sz w:val="24"/>
              </w:rPr>
            </w:pPr>
            <w:r>
              <w:rPr>
                <w:rFonts w:hint="eastAsia" w:ascii="仿宋" w:hAnsi="仿宋" w:eastAsia="仿宋" w:cs="仿宋"/>
                <w:kern w:val="0"/>
                <w:sz w:val="24"/>
              </w:rPr>
              <w:t>年末数</w:t>
            </w:r>
          </w:p>
        </w:tc>
        <w:tc>
          <w:tcPr>
            <w:tcW w:w="763" w:type="pct"/>
            <w:tcBorders>
              <w:top w:val="nil"/>
              <w:left w:val="nil"/>
              <w:bottom w:val="single" w:color="auto" w:sz="4" w:space="0"/>
              <w:right w:val="single" w:color="auto" w:sz="4" w:space="0"/>
            </w:tcBorders>
            <w:vAlign w:val="center"/>
          </w:tcPr>
          <w:p w14:paraId="43B5C1D4">
            <w:pPr>
              <w:spacing w:line="440" w:lineRule="atLeast"/>
              <w:jc w:val="right"/>
              <w:rPr>
                <w:rFonts w:ascii="仿宋" w:hAnsi="仿宋" w:eastAsia="仿宋" w:cs="仿宋"/>
                <w:sz w:val="20"/>
                <w:szCs w:val="20"/>
              </w:rPr>
            </w:pPr>
            <w:r>
              <w:rPr>
                <w:rFonts w:hint="eastAsia" w:ascii="仿宋" w:hAnsi="仿宋" w:eastAsia="仿宋" w:cs="仿宋"/>
                <w:sz w:val="20"/>
                <w:szCs w:val="20"/>
              </w:rPr>
              <w:t>-</w:t>
            </w:r>
          </w:p>
        </w:tc>
        <w:tc>
          <w:tcPr>
            <w:tcW w:w="763" w:type="pct"/>
            <w:tcBorders>
              <w:top w:val="nil"/>
              <w:left w:val="nil"/>
              <w:bottom w:val="single" w:color="auto" w:sz="4" w:space="0"/>
              <w:right w:val="single" w:color="auto" w:sz="4" w:space="0"/>
            </w:tcBorders>
            <w:vAlign w:val="center"/>
          </w:tcPr>
          <w:p w14:paraId="51F52599">
            <w:pPr>
              <w:spacing w:line="440" w:lineRule="atLeast"/>
              <w:jc w:val="right"/>
              <w:rPr>
                <w:rFonts w:ascii="仿宋" w:hAnsi="仿宋" w:eastAsia="仿宋" w:cs="仿宋"/>
                <w:sz w:val="20"/>
                <w:szCs w:val="20"/>
              </w:rPr>
            </w:pPr>
            <w:r>
              <w:rPr>
                <w:rFonts w:hint="eastAsia" w:ascii="仿宋" w:hAnsi="仿宋" w:eastAsia="仿宋" w:cs="仿宋"/>
                <w:sz w:val="20"/>
                <w:szCs w:val="20"/>
              </w:rPr>
              <w:t>-</w:t>
            </w:r>
          </w:p>
        </w:tc>
        <w:tc>
          <w:tcPr>
            <w:tcW w:w="763" w:type="pct"/>
            <w:tcBorders>
              <w:top w:val="nil"/>
              <w:left w:val="nil"/>
              <w:bottom w:val="single" w:color="auto" w:sz="4" w:space="0"/>
              <w:right w:val="single" w:color="auto" w:sz="4" w:space="0"/>
            </w:tcBorders>
            <w:vAlign w:val="center"/>
          </w:tcPr>
          <w:p w14:paraId="1A7372AC">
            <w:pPr>
              <w:spacing w:line="440" w:lineRule="atLeast"/>
              <w:jc w:val="right"/>
              <w:rPr>
                <w:rFonts w:ascii="仿宋" w:hAnsi="仿宋" w:eastAsia="仿宋" w:cs="仿宋"/>
                <w:sz w:val="20"/>
                <w:szCs w:val="20"/>
              </w:rPr>
            </w:pPr>
            <w:r>
              <w:rPr>
                <w:rFonts w:hint="eastAsia" w:ascii="仿宋" w:hAnsi="仿宋" w:eastAsia="仿宋" w:cs="仿宋"/>
                <w:sz w:val="20"/>
                <w:szCs w:val="20"/>
              </w:rPr>
              <w:t>-</w:t>
            </w:r>
          </w:p>
        </w:tc>
        <w:tc>
          <w:tcPr>
            <w:tcW w:w="762" w:type="pct"/>
            <w:tcBorders>
              <w:top w:val="nil"/>
              <w:left w:val="nil"/>
              <w:bottom w:val="single" w:color="auto" w:sz="4" w:space="0"/>
              <w:right w:val="single" w:color="auto" w:sz="4" w:space="0"/>
            </w:tcBorders>
            <w:vAlign w:val="center"/>
          </w:tcPr>
          <w:p w14:paraId="59F4D2F7">
            <w:pPr>
              <w:spacing w:line="440" w:lineRule="atLeast"/>
              <w:jc w:val="right"/>
              <w:rPr>
                <w:rFonts w:ascii="仿宋" w:hAnsi="仿宋" w:eastAsia="仿宋" w:cs="仿宋"/>
                <w:sz w:val="20"/>
                <w:szCs w:val="20"/>
              </w:rPr>
            </w:pPr>
            <w:r>
              <w:rPr>
                <w:rFonts w:hint="eastAsia" w:ascii="仿宋" w:hAnsi="仿宋" w:eastAsia="仿宋" w:cs="仿宋"/>
                <w:sz w:val="20"/>
                <w:szCs w:val="20"/>
              </w:rPr>
              <w:t>-</w:t>
            </w:r>
          </w:p>
        </w:tc>
        <w:tc>
          <w:tcPr>
            <w:tcW w:w="753" w:type="pct"/>
            <w:tcBorders>
              <w:top w:val="nil"/>
              <w:left w:val="nil"/>
              <w:bottom w:val="single" w:color="auto" w:sz="4" w:space="0"/>
              <w:right w:val="single" w:color="auto" w:sz="4" w:space="0"/>
            </w:tcBorders>
            <w:vAlign w:val="center"/>
          </w:tcPr>
          <w:p w14:paraId="31E222A2">
            <w:pPr>
              <w:spacing w:line="440" w:lineRule="atLeast"/>
              <w:jc w:val="right"/>
              <w:rPr>
                <w:rFonts w:ascii="仿宋" w:hAnsi="仿宋" w:eastAsia="仿宋" w:cs="仿宋"/>
                <w:sz w:val="20"/>
                <w:szCs w:val="20"/>
              </w:rPr>
            </w:pPr>
            <w:r>
              <w:rPr>
                <w:rFonts w:hint="eastAsia" w:ascii="仿宋" w:hAnsi="仿宋" w:eastAsia="仿宋" w:cs="仿宋"/>
                <w:sz w:val="20"/>
                <w:szCs w:val="20"/>
              </w:rPr>
              <w:t>-</w:t>
            </w:r>
          </w:p>
        </w:tc>
      </w:tr>
      <w:tr w14:paraId="437A1670">
        <w:tblPrEx>
          <w:tblCellMar>
            <w:top w:w="0" w:type="dxa"/>
            <w:left w:w="108" w:type="dxa"/>
            <w:bottom w:w="0" w:type="dxa"/>
            <w:right w:w="108" w:type="dxa"/>
          </w:tblCellMar>
        </w:tblPrEx>
        <w:trPr>
          <w:trHeight w:val="345" w:hRule="atLeast"/>
        </w:trPr>
        <w:tc>
          <w:tcPr>
            <w:tcW w:w="1193" w:type="pct"/>
            <w:tcBorders>
              <w:top w:val="nil"/>
              <w:left w:val="single" w:color="auto" w:sz="8" w:space="0"/>
              <w:bottom w:val="single" w:color="auto" w:sz="8" w:space="0"/>
              <w:right w:val="single" w:color="auto" w:sz="4" w:space="0"/>
            </w:tcBorders>
            <w:vAlign w:val="center"/>
          </w:tcPr>
          <w:p w14:paraId="6F66CCF2">
            <w:pPr>
              <w:spacing w:line="440" w:lineRule="atLeast"/>
              <w:jc w:val="left"/>
              <w:rPr>
                <w:rFonts w:ascii="仿宋" w:hAnsi="仿宋" w:eastAsia="仿宋" w:cs="仿宋"/>
                <w:bCs/>
                <w:kern w:val="0"/>
                <w:sz w:val="24"/>
              </w:rPr>
            </w:pPr>
            <w:r>
              <w:rPr>
                <w:rFonts w:hint="eastAsia" w:ascii="仿宋" w:hAnsi="仿宋" w:eastAsia="仿宋" w:cs="仿宋"/>
                <w:bCs/>
                <w:kern w:val="0"/>
                <w:sz w:val="24"/>
              </w:rPr>
              <w:t>年末所有者权益合计</w:t>
            </w:r>
          </w:p>
        </w:tc>
        <w:tc>
          <w:tcPr>
            <w:tcW w:w="763" w:type="pct"/>
            <w:tcBorders>
              <w:top w:val="single" w:color="auto" w:sz="4" w:space="0"/>
              <w:left w:val="nil"/>
              <w:bottom w:val="single" w:color="auto" w:sz="8" w:space="0"/>
              <w:right w:val="single" w:color="auto" w:sz="4" w:space="0"/>
            </w:tcBorders>
            <w:vAlign w:val="center"/>
          </w:tcPr>
          <w:p w14:paraId="4BAC500F">
            <w:pPr>
              <w:spacing w:line="440" w:lineRule="atLeast"/>
              <w:jc w:val="right"/>
              <w:rPr>
                <w:rFonts w:ascii="仿宋" w:hAnsi="仿宋" w:eastAsia="仿宋" w:cs="仿宋"/>
                <w:sz w:val="20"/>
                <w:szCs w:val="20"/>
              </w:rPr>
            </w:pPr>
            <w:r>
              <w:rPr>
                <w:rFonts w:hint="eastAsia" w:ascii="仿宋" w:hAnsi="仿宋" w:eastAsia="仿宋" w:cs="仿宋"/>
                <w:sz w:val="20"/>
                <w:szCs w:val="20"/>
              </w:rPr>
              <w:t>16,571,670.70</w:t>
            </w:r>
          </w:p>
        </w:tc>
        <w:tc>
          <w:tcPr>
            <w:tcW w:w="763" w:type="pct"/>
            <w:tcBorders>
              <w:top w:val="single" w:color="auto" w:sz="4" w:space="0"/>
              <w:left w:val="nil"/>
              <w:bottom w:val="single" w:color="auto" w:sz="8" w:space="0"/>
              <w:right w:val="single" w:color="auto" w:sz="4" w:space="0"/>
            </w:tcBorders>
            <w:vAlign w:val="center"/>
          </w:tcPr>
          <w:p w14:paraId="2FD4C675">
            <w:pPr>
              <w:spacing w:line="440" w:lineRule="atLeast"/>
              <w:jc w:val="right"/>
              <w:rPr>
                <w:rFonts w:ascii="仿宋" w:hAnsi="仿宋" w:eastAsia="仿宋" w:cs="仿宋"/>
                <w:sz w:val="20"/>
                <w:szCs w:val="20"/>
              </w:rPr>
            </w:pPr>
            <w:r>
              <w:rPr>
                <w:rFonts w:hint="eastAsia" w:ascii="仿宋" w:hAnsi="仿宋" w:eastAsia="仿宋" w:cs="仿宋"/>
                <w:sz w:val="20"/>
                <w:szCs w:val="20"/>
              </w:rPr>
              <w:t>19,645,092.99</w:t>
            </w:r>
          </w:p>
        </w:tc>
        <w:tc>
          <w:tcPr>
            <w:tcW w:w="763" w:type="pct"/>
            <w:tcBorders>
              <w:top w:val="single" w:color="auto" w:sz="4" w:space="0"/>
              <w:left w:val="nil"/>
              <w:bottom w:val="single" w:color="auto" w:sz="8" w:space="0"/>
              <w:right w:val="single" w:color="auto" w:sz="4" w:space="0"/>
            </w:tcBorders>
            <w:vAlign w:val="center"/>
          </w:tcPr>
          <w:p w14:paraId="38F20A9C">
            <w:pPr>
              <w:spacing w:line="440" w:lineRule="atLeast"/>
              <w:jc w:val="right"/>
              <w:rPr>
                <w:rFonts w:ascii="仿宋" w:hAnsi="仿宋" w:eastAsia="仿宋" w:cs="仿宋"/>
                <w:sz w:val="20"/>
                <w:szCs w:val="20"/>
              </w:rPr>
            </w:pPr>
            <w:r>
              <w:rPr>
                <w:rFonts w:hint="eastAsia" w:ascii="仿宋" w:hAnsi="仿宋" w:eastAsia="仿宋" w:cs="仿宋"/>
                <w:sz w:val="20"/>
                <w:szCs w:val="20"/>
              </w:rPr>
              <w:t>23,209,684.57</w:t>
            </w:r>
          </w:p>
        </w:tc>
        <w:tc>
          <w:tcPr>
            <w:tcW w:w="762" w:type="pct"/>
            <w:tcBorders>
              <w:top w:val="single" w:color="auto" w:sz="4" w:space="0"/>
              <w:left w:val="nil"/>
              <w:bottom w:val="single" w:color="auto" w:sz="8" w:space="0"/>
              <w:right w:val="single" w:color="auto" w:sz="4" w:space="0"/>
            </w:tcBorders>
            <w:vAlign w:val="center"/>
          </w:tcPr>
          <w:p w14:paraId="3ECE02D6">
            <w:pPr>
              <w:spacing w:line="440" w:lineRule="atLeast"/>
              <w:jc w:val="right"/>
              <w:rPr>
                <w:rFonts w:ascii="仿宋" w:hAnsi="仿宋" w:eastAsia="仿宋" w:cs="仿宋"/>
                <w:sz w:val="20"/>
                <w:szCs w:val="20"/>
              </w:rPr>
            </w:pPr>
            <w:r>
              <w:rPr>
                <w:rFonts w:hint="eastAsia" w:ascii="仿宋" w:hAnsi="仿宋" w:eastAsia="仿宋" w:cs="仿宋"/>
                <w:sz w:val="20"/>
                <w:szCs w:val="20"/>
              </w:rPr>
              <w:t>26,944,522.02</w:t>
            </w:r>
          </w:p>
        </w:tc>
        <w:tc>
          <w:tcPr>
            <w:tcW w:w="753" w:type="pct"/>
            <w:tcBorders>
              <w:top w:val="single" w:color="auto" w:sz="4" w:space="0"/>
              <w:left w:val="nil"/>
              <w:bottom w:val="single" w:color="auto" w:sz="8" w:space="0"/>
              <w:right w:val="single" w:color="auto" w:sz="4" w:space="0"/>
            </w:tcBorders>
            <w:vAlign w:val="center"/>
          </w:tcPr>
          <w:p w14:paraId="3CB365F4">
            <w:pPr>
              <w:spacing w:line="440" w:lineRule="atLeast"/>
              <w:jc w:val="right"/>
              <w:rPr>
                <w:rFonts w:ascii="仿宋" w:hAnsi="仿宋" w:eastAsia="仿宋" w:cs="仿宋"/>
                <w:sz w:val="20"/>
                <w:szCs w:val="20"/>
              </w:rPr>
            </w:pPr>
            <w:r>
              <w:rPr>
                <w:rFonts w:hint="eastAsia" w:ascii="仿宋" w:hAnsi="仿宋" w:eastAsia="仿宋" w:cs="仿宋"/>
                <w:sz w:val="20"/>
                <w:szCs w:val="20"/>
              </w:rPr>
              <w:t>30,676,126.55</w:t>
            </w:r>
          </w:p>
        </w:tc>
      </w:tr>
    </w:tbl>
    <w:p w14:paraId="7E54587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权益增加额=本年所有者权益合计－上年所有者权益合计</w:t>
      </w:r>
    </w:p>
    <w:p w14:paraId="5BC75CF1">
      <w:pPr>
        <w:shd w:val="clear" w:color="auto" w:fill="FFFFFF"/>
        <w:spacing w:line="440" w:lineRule="atLeast"/>
        <w:ind w:firstLine="482" w:firstLineChars="200"/>
        <w:rPr>
          <w:rFonts w:ascii="宋体" w:hAnsi="宋体" w:eastAsia="宋体" w:cs="宋体"/>
          <w:b/>
          <w:bCs/>
          <w:color w:val="000000"/>
          <w:kern w:val="0"/>
          <w:sz w:val="24"/>
          <w:shd w:val="clear" w:color="auto" w:fill="FFFFFF"/>
          <w:lang w:val="zh-TW" w:eastAsia="zh-TW"/>
        </w:rPr>
      </w:pPr>
      <w:r>
        <w:rPr>
          <w:rFonts w:hint="eastAsia" w:ascii="宋体" w:hAnsi="宋体" w:eastAsia="宋体" w:cs="宋体"/>
          <w:b/>
          <w:bCs/>
          <w:color w:val="000000"/>
          <w:kern w:val="0"/>
          <w:sz w:val="24"/>
          <w:shd w:val="clear" w:color="auto" w:fill="FFFFFF"/>
          <w:lang w:val="zh-TW" w:eastAsia="zh-TW"/>
        </w:rPr>
        <w:t>案例三：银行的利息收入和手续费收入预测</w:t>
      </w:r>
    </w:p>
    <w:p w14:paraId="1002E9D7">
      <w:pPr>
        <w:shd w:val="clear" w:color="auto" w:fill="FFFFFF"/>
        <w:spacing w:line="440" w:lineRule="atLeast"/>
        <w:ind w:firstLine="480" w:firstLineChars="200"/>
        <w:rPr>
          <w:rFonts w:ascii="宋体" w:hAnsi="宋体" w:eastAsia="宋体" w:cs="宋体"/>
          <w:color w:val="000000"/>
          <w:kern w:val="0"/>
          <w:sz w:val="24"/>
          <w:shd w:val="clear" w:color="auto" w:fill="FFFFFF"/>
          <w:lang w:val="zh-TW"/>
        </w:rPr>
      </w:pPr>
      <w:r>
        <w:rPr>
          <w:rFonts w:hint="eastAsia" w:ascii="宋体" w:hAnsi="宋体" w:eastAsia="宋体" w:cs="宋体"/>
          <w:color w:val="000000"/>
          <w:kern w:val="0"/>
          <w:sz w:val="24"/>
          <w:shd w:val="clear" w:color="auto" w:fill="FFFFFF"/>
          <w:lang w:val="zh-TW"/>
        </w:rPr>
        <w:t>1．利息收入预测</w:t>
      </w:r>
    </w:p>
    <w:p w14:paraId="4CCE62B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lang w:val="zh-TW"/>
        </w:rPr>
        <w:t>xx</w:t>
      </w:r>
      <w:r>
        <w:rPr>
          <w:rFonts w:hint="eastAsia" w:ascii="宋体" w:hAnsi="宋体" w:eastAsia="宋体" w:cs="宋体"/>
          <w:color w:val="000000"/>
          <w:kern w:val="0"/>
          <w:sz w:val="24"/>
          <w:shd w:val="clear" w:color="auto" w:fill="FFFFFF"/>
        </w:rPr>
        <w:t>银行是一家快速成长的金融企业，具有较强的超额收益能力、完备的管理体制、成熟的团队及较高的市场开拓能力，自成立以来一直保持了较高的成长速度。客户存款快速增长，从20y6年到20x0年6月复合增长率达到27.2%；20y6到20x0年贷款增长虽然受监管部门规模的控制，但增长仍快于市场，从20y6年到20x0年6月复合增长率达到30.5%；营业收入已从20y6年的21.11亿元达到20y9年的42.82亿元，截止到20x0年6月营业收入已达到28.92亿元。</w:t>
      </w:r>
    </w:p>
    <w:p w14:paraId="7C555A8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（1）同行业商业银行上市后贷款复合增长速度比较表</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03"/>
        <w:gridCol w:w="2515"/>
        <w:gridCol w:w="1894"/>
        <w:gridCol w:w="1301"/>
      </w:tblGrid>
      <w:tr w14:paraId="64BDB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7" w:hRule="atLeast"/>
          <w:jc w:val="center"/>
        </w:trPr>
        <w:tc>
          <w:tcPr>
            <w:tcW w:w="1646" w:type="pct"/>
            <w:vAlign w:val="center"/>
          </w:tcPr>
          <w:p w14:paraId="266048D5">
            <w:pPr>
              <w:spacing w:line="440" w:lineRule="atLeast"/>
              <w:jc w:val="center"/>
              <w:rPr>
                <w:rFonts w:ascii="仿宋" w:hAnsi="仿宋" w:eastAsia="仿宋" w:cs="仿宋"/>
                <w:b/>
                <w:bCs/>
                <w:kern w:val="0"/>
                <w:sz w:val="24"/>
              </w:rPr>
            </w:pPr>
            <w:r>
              <w:rPr>
                <w:rFonts w:hint="eastAsia" w:ascii="仿宋" w:hAnsi="仿宋" w:eastAsia="仿宋" w:cs="仿宋"/>
                <w:b/>
                <w:bCs/>
                <w:kern w:val="0"/>
                <w:sz w:val="24"/>
              </w:rPr>
              <w:t>证券代码</w:t>
            </w:r>
          </w:p>
        </w:tc>
        <w:tc>
          <w:tcPr>
            <w:tcW w:w="1476" w:type="pct"/>
            <w:vAlign w:val="center"/>
          </w:tcPr>
          <w:p w14:paraId="4DFB6876">
            <w:pPr>
              <w:spacing w:line="440" w:lineRule="atLeast"/>
              <w:jc w:val="center"/>
              <w:rPr>
                <w:rFonts w:ascii="仿宋" w:hAnsi="仿宋" w:eastAsia="仿宋" w:cs="仿宋"/>
                <w:b/>
                <w:bCs/>
                <w:kern w:val="0"/>
                <w:sz w:val="24"/>
              </w:rPr>
            </w:pPr>
            <w:r>
              <w:rPr>
                <w:rFonts w:hint="eastAsia" w:ascii="仿宋" w:hAnsi="仿宋" w:eastAsia="仿宋" w:cs="仿宋"/>
                <w:b/>
                <w:bCs/>
                <w:kern w:val="0"/>
                <w:sz w:val="24"/>
              </w:rPr>
              <w:t>证券简称</w:t>
            </w:r>
          </w:p>
        </w:tc>
        <w:tc>
          <w:tcPr>
            <w:tcW w:w="1112" w:type="pct"/>
            <w:vAlign w:val="center"/>
          </w:tcPr>
          <w:p w14:paraId="4A0599A9">
            <w:pPr>
              <w:spacing w:line="440" w:lineRule="atLeast"/>
              <w:jc w:val="center"/>
              <w:rPr>
                <w:rFonts w:ascii="仿宋" w:hAnsi="仿宋" w:eastAsia="仿宋" w:cs="仿宋"/>
                <w:b/>
                <w:bCs/>
                <w:kern w:val="0"/>
                <w:sz w:val="24"/>
              </w:rPr>
            </w:pPr>
            <w:r>
              <w:rPr>
                <w:rFonts w:hint="eastAsia" w:ascii="仿宋" w:hAnsi="仿宋" w:eastAsia="仿宋" w:cs="仿宋"/>
                <w:b/>
                <w:bCs/>
                <w:kern w:val="0"/>
                <w:sz w:val="24"/>
              </w:rPr>
              <w:t>贷款</w:t>
            </w:r>
          </w:p>
        </w:tc>
        <w:tc>
          <w:tcPr>
            <w:tcW w:w="764" w:type="pct"/>
            <w:vAlign w:val="center"/>
          </w:tcPr>
          <w:p w14:paraId="6A6A0527">
            <w:pPr>
              <w:spacing w:line="440" w:lineRule="atLeast"/>
              <w:jc w:val="center"/>
              <w:rPr>
                <w:rFonts w:ascii="仿宋" w:hAnsi="仿宋" w:eastAsia="仿宋" w:cs="仿宋"/>
                <w:b/>
                <w:bCs/>
                <w:kern w:val="0"/>
                <w:sz w:val="24"/>
              </w:rPr>
            </w:pPr>
            <w:r>
              <w:rPr>
                <w:rFonts w:hint="eastAsia" w:ascii="仿宋" w:hAnsi="仿宋" w:eastAsia="仿宋" w:cs="仿宋"/>
                <w:b/>
                <w:bCs/>
                <w:kern w:val="0"/>
                <w:sz w:val="24"/>
              </w:rPr>
              <w:t>年限</w:t>
            </w:r>
          </w:p>
        </w:tc>
      </w:tr>
      <w:tr w14:paraId="1DB18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1646" w:type="pct"/>
            <w:vAlign w:val="center"/>
          </w:tcPr>
          <w:p w14:paraId="63EA29AA">
            <w:pPr>
              <w:spacing w:line="440" w:lineRule="atLeast"/>
              <w:jc w:val="left"/>
              <w:rPr>
                <w:rFonts w:ascii="仿宋" w:hAnsi="仿宋" w:eastAsia="仿宋" w:cs="仿宋"/>
                <w:kern w:val="0"/>
                <w:sz w:val="24"/>
              </w:rPr>
            </w:pPr>
            <w:r>
              <w:rPr>
                <w:rFonts w:hint="eastAsia" w:ascii="仿宋" w:hAnsi="仿宋" w:eastAsia="仿宋" w:cs="仿宋"/>
                <w:kern w:val="0"/>
                <w:sz w:val="24"/>
              </w:rPr>
              <w:t>000001.SZ</w:t>
            </w:r>
          </w:p>
        </w:tc>
        <w:tc>
          <w:tcPr>
            <w:tcW w:w="1476" w:type="pct"/>
            <w:vAlign w:val="center"/>
          </w:tcPr>
          <w:p w14:paraId="3DA373DB">
            <w:pPr>
              <w:spacing w:line="440" w:lineRule="atLeast"/>
              <w:jc w:val="left"/>
              <w:rPr>
                <w:rFonts w:ascii="仿宋" w:hAnsi="仿宋" w:eastAsia="仿宋" w:cs="仿宋"/>
                <w:kern w:val="0"/>
                <w:sz w:val="24"/>
              </w:rPr>
            </w:pPr>
            <w:r>
              <w:rPr>
                <w:rFonts w:hint="eastAsia" w:ascii="仿宋" w:hAnsi="仿宋" w:eastAsia="仿宋" w:cs="仿宋"/>
                <w:kern w:val="0"/>
                <w:sz w:val="24"/>
              </w:rPr>
              <w:t>深发展A</w:t>
            </w:r>
          </w:p>
        </w:tc>
        <w:tc>
          <w:tcPr>
            <w:tcW w:w="1112" w:type="pct"/>
            <w:vAlign w:val="center"/>
          </w:tcPr>
          <w:p w14:paraId="1AA43A69">
            <w:pPr>
              <w:spacing w:line="440" w:lineRule="atLeast"/>
              <w:jc w:val="right"/>
              <w:rPr>
                <w:rFonts w:ascii="仿宋" w:hAnsi="仿宋" w:eastAsia="仿宋" w:cs="仿宋"/>
                <w:kern w:val="0"/>
                <w:sz w:val="24"/>
              </w:rPr>
            </w:pPr>
            <w:r>
              <w:rPr>
                <w:rFonts w:hint="eastAsia" w:ascii="仿宋" w:hAnsi="仿宋" w:eastAsia="仿宋" w:cs="仿宋"/>
                <w:kern w:val="0"/>
                <w:sz w:val="24"/>
              </w:rPr>
              <w:t>29.77%</w:t>
            </w:r>
          </w:p>
        </w:tc>
        <w:tc>
          <w:tcPr>
            <w:tcW w:w="764" w:type="pct"/>
            <w:vAlign w:val="center"/>
          </w:tcPr>
          <w:p w14:paraId="32EEF647">
            <w:pPr>
              <w:spacing w:line="440" w:lineRule="atLeast"/>
              <w:jc w:val="right"/>
              <w:rPr>
                <w:rFonts w:ascii="仿宋" w:hAnsi="仿宋" w:eastAsia="仿宋" w:cs="仿宋"/>
                <w:kern w:val="0"/>
                <w:sz w:val="24"/>
              </w:rPr>
            </w:pPr>
            <w:r>
              <w:rPr>
                <w:rFonts w:hint="eastAsia" w:ascii="仿宋" w:hAnsi="仿宋" w:eastAsia="仿宋" w:cs="仿宋"/>
                <w:kern w:val="0"/>
                <w:sz w:val="24"/>
              </w:rPr>
              <w:t>10</w:t>
            </w:r>
          </w:p>
        </w:tc>
      </w:tr>
      <w:tr w14:paraId="554C0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1646" w:type="pct"/>
            <w:vAlign w:val="center"/>
          </w:tcPr>
          <w:p w14:paraId="0D93AD2C">
            <w:pPr>
              <w:spacing w:line="440" w:lineRule="atLeast"/>
              <w:jc w:val="left"/>
              <w:rPr>
                <w:rFonts w:ascii="仿宋" w:hAnsi="仿宋" w:eastAsia="仿宋" w:cs="仿宋"/>
                <w:kern w:val="0"/>
                <w:sz w:val="24"/>
              </w:rPr>
            </w:pPr>
            <w:r>
              <w:rPr>
                <w:rFonts w:hint="eastAsia" w:ascii="仿宋" w:hAnsi="仿宋" w:eastAsia="仿宋" w:cs="仿宋"/>
                <w:kern w:val="0"/>
                <w:sz w:val="24"/>
              </w:rPr>
              <w:t>002142.SZ</w:t>
            </w:r>
          </w:p>
        </w:tc>
        <w:tc>
          <w:tcPr>
            <w:tcW w:w="1476" w:type="pct"/>
            <w:vAlign w:val="center"/>
          </w:tcPr>
          <w:p w14:paraId="1B91DD22">
            <w:pPr>
              <w:spacing w:line="440" w:lineRule="atLeast"/>
              <w:jc w:val="left"/>
              <w:rPr>
                <w:rFonts w:ascii="仿宋" w:hAnsi="仿宋" w:eastAsia="仿宋" w:cs="仿宋"/>
                <w:kern w:val="0"/>
                <w:sz w:val="24"/>
              </w:rPr>
            </w:pPr>
            <w:r>
              <w:rPr>
                <w:rFonts w:hint="eastAsia" w:ascii="仿宋" w:hAnsi="仿宋" w:eastAsia="仿宋" w:cs="仿宋"/>
                <w:kern w:val="0"/>
                <w:sz w:val="24"/>
              </w:rPr>
              <w:t>宁波银行</w:t>
            </w:r>
          </w:p>
        </w:tc>
        <w:tc>
          <w:tcPr>
            <w:tcW w:w="1112" w:type="pct"/>
            <w:vAlign w:val="center"/>
          </w:tcPr>
          <w:p w14:paraId="3100D79B">
            <w:pPr>
              <w:spacing w:line="440" w:lineRule="atLeast"/>
              <w:jc w:val="right"/>
              <w:rPr>
                <w:rFonts w:ascii="仿宋" w:hAnsi="仿宋" w:eastAsia="仿宋" w:cs="仿宋"/>
                <w:kern w:val="0"/>
                <w:sz w:val="24"/>
              </w:rPr>
            </w:pPr>
            <w:r>
              <w:rPr>
                <w:rFonts w:hint="eastAsia" w:ascii="仿宋" w:hAnsi="仿宋" w:eastAsia="仿宋" w:cs="仿宋"/>
                <w:kern w:val="0"/>
                <w:sz w:val="24"/>
              </w:rPr>
              <w:t>36.47%</w:t>
            </w:r>
          </w:p>
        </w:tc>
        <w:tc>
          <w:tcPr>
            <w:tcW w:w="764" w:type="pct"/>
            <w:vAlign w:val="center"/>
          </w:tcPr>
          <w:p w14:paraId="6280FEA8">
            <w:pPr>
              <w:spacing w:line="440" w:lineRule="atLeast"/>
              <w:jc w:val="right"/>
              <w:rPr>
                <w:rFonts w:ascii="仿宋" w:hAnsi="仿宋" w:eastAsia="仿宋" w:cs="仿宋"/>
                <w:kern w:val="0"/>
                <w:sz w:val="24"/>
              </w:rPr>
            </w:pPr>
            <w:r>
              <w:rPr>
                <w:rFonts w:hint="eastAsia" w:ascii="仿宋" w:hAnsi="仿宋" w:eastAsia="仿宋" w:cs="仿宋"/>
                <w:kern w:val="0"/>
                <w:sz w:val="24"/>
              </w:rPr>
              <w:t>5</w:t>
            </w:r>
          </w:p>
        </w:tc>
      </w:tr>
      <w:tr w14:paraId="49361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1646" w:type="pct"/>
            <w:vAlign w:val="center"/>
          </w:tcPr>
          <w:p w14:paraId="3E73389E">
            <w:pPr>
              <w:spacing w:line="440" w:lineRule="atLeast"/>
              <w:jc w:val="left"/>
              <w:rPr>
                <w:rFonts w:ascii="仿宋" w:hAnsi="仿宋" w:eastAsia="仿宋" w:cs="仿宋"/>
                <w:kern w:val="0"/>
                <w:sz w:val="24"/>
              </w:rPr>
            </w:pPr>
            <w:r>
              <w:rPr>
                <w:rFonts w:hint="eastAsia" w:ascii="仿宋" w:hAnsi="仿宋" w:eastAsia="仿宋" w:cs="仿宋"/>
                <w:kern w:val="0"/>
                <w:sz w:val="24"/>
              </w:rPr>
              <w:t>600000.SH</w:t>
            </w:r>
          </w:p>
        </w:tc>
        <w:tc>
          <w:tcPr>
            <w:tcW w:w="1476" w:type="pct"/>
            <w:vAlign w:val="center"/>
          </w:tcPr>
          <w:p w14:paraId="61F273F0">
            <w:pPr>
              <w:spacing w:line="440" w:lineRule="atLeast"/>
              <w:jc w:val="left"/>
              <w:rPr>
                <w:rFonts w:ascii="仿宋" w:hAnsi="仿宋" w:eastAsia="仿宋" w:cs="仿宋"/>
                <w:kern w:val="0"/>
                <w:sz w:val="24"/>
              </w:rPr>
            </w:pPr>
            <w:r>
              <w:rPr>
                <w:rFonts w:hint="eastAsia" w:ascii="仿宋" w:hAnsi="仿宋" w:eastAsia="仿宋" w:cs="仿宋"/>
                <w:kern w:val="0"/>
                <w:sz w:val="24"/>
              </w:rPr>
              <w:t>浦发银行</w:t>
            </w:r>
          </w:p>
        </w:tc>
        <w:tc>
          <w:tcPr>
            <w:tcW w:w="1112" w:type="pct"/>
            <w:vAlign w:val="center"/>
          </w:tcPr>
          <w:p w14:paraId="1B8E4743">
            <w:pPr>
              <w:spacing w:line="440" w:lineRule="atLeast"/>
              <w:jc w:val="right"/>
              <w:rPr>
                <w:rFonts w:ascii="仿宋" w:hAnsi="仿宋" w:eastAsia="仿宋" w:cs="仿宋"/>
                <w:kern w:val="0"/>
                <w:sz w:val="24"/>
              </w:rPr>
            </w:pPr>
            <w:r>
              <w:rPr>
                <w:rFonts w:hint="eastAsia" w:ascii="仿宋" w:hAnsi="仿宋" w:eastAsia="仿宋" w:cs="仿宋"/>
                <w:kern w:val="0"/>
                <w:sz w:val="24"/>
              </w:rPr>
              <w:t>32.73%</w:t>
            </w:r>
          </w:p>
        </w:tc>
        <w:tc>
          <w:tcPr>
            <w:tcW w:w="764" w:type="pct"/>
            <w:vAlign w:val="center"/>
          </w:tcPr>
          <w:p w14:paraId="4A4F4848">
            <w:pPr>
              <w:spacing w:line="440" w:lineRule="atLeast"/>
              <w:jc w:val="right"/>
              <w:rPr>
                <w:rFonts w:ascii="仿宋" w:hAnsi="仿宋" w:eastAsia="仿宋" w:cs="仿宋"/>
                <w:kern w:val="0"/>
                <w:sz w:val="24"/>
              </w:rPr>
            </w:pPr>
            <w:r>
              <w:rPr>
                <w:rFonts w:hint="eastAsia" w:ascii="仿宋" w:hAnsi="仿宋" w:eastAsia="仿宋" w:cs="仿宋"/>
                <w:kern w:val="0"/>
                <w:sz w:val="24"/>
              </w:rPr>
              <w:t>10</w:t>
            </w:r>
          </w:p>
        </w:tc>
      </w:tr>
      <w:tr w14:paraId="6E404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1646" w:type="pct"/>
            <w:vAlign w:val="center"/>
          </w:tcPr>
          <w:p w14:paraId="2500652E">
            <w:pPr>
              <w:spacing w:line="440" w:lineRule="atLeast"/>
              <w:jc w:val="left"/>
              <w:rPr>
                <w:rFonts w:ascii="仿宋" w:hAnsi="仿宋" w:eastAsia="仿宋" w:cs="仿宋"/>
                <w:kern w:val="0"/>
                <w:sz w:val="24"/>
              </w:rPr>
            </w:pPr>
            <w:r>
              <w:rPr>
                <w:rFonts w:hint="eastAsia" w:ascii="仿宋" w:hAnsi="仿宋" w:eastAsia="仿宋" w:cs="仿宋"/>
                <w:kern w:val="0"/>
                <w:sz w:val="24"/>
              </w:rPr>
              <w:t>600015.SH</w:t>
            </w:r>
          </w:p>
        </w:tc>
        <w:tc>
          <w:tcPr>
            <w:tcW w:w="1476" w:type="pct"/>
            <w:vAlign w:val="center"/>
          </w:tcPr>
          <w:p w14:paraId="49F28493">
            <w:pPr>
              <w:spacing w:line="440" w:lineRule="atLeast"/>
              <w:jc w:val="left"/>
              <w:rPr>
                <w:rFonts w:ascii="仿宋" w:hAnsi="仿宋" w:eastAsia="仿宋" w:cs="仿宋"/>
                <w:kern w:val="0"/>
                <w:sz w:val="24"/>
              </w:rPr>
            </w:pPr>
            <w:r>
              <w:rPr>
                <w:rFonts w:hint="eastAsia" w:ascii="仿宋" w:hAnsi="仿宋" w:eastAsia="仿宋" w:cs="仿宋"/>
                <w:kern w:val="0"/>
                <w:sz w:val="24"/>
              </w:rPr>
              <w:t>华夏银行</w:t>
            </w:r>
          </w:p>
        </w:tc>
        <w:tc>
          <w:tcPr>
            <w:tcW w:w="1112" w:type="pct"/>
            <w:vAlign w:val="center"/>
          </w:tcPr>
          <w:p w14:paraId="687B3E5A">
            <w:pPr>
              <w:spacing w:line="440" w:lineRule="atLeast"/>
              <w:jc w:val="right"/>
              <w:rPr>
                <w:rFonts w:ascii="仿宋" w:hAnsi="仿宋" w:eastAsia="仿宋" w:cs="仿宋"/>
                <w:kern w:val="0"/>
                <w:sz w:val="24"/>
              </w:rPr>
            </w:pPr>
            <w:r>
              <w:rPr>
                <w:rFonts w:hint="eastAsia" w:ascii="仿宋" w:hAnsi="仿宋" w:eastAsia="仿宋" w:cs="仿宋"/>
                <w:kern w:val="0"/>
                <w:sz w:val="24"/>
              </w:rPr>
              <w:t>25.28%</w:t>
            </w:r>
          </w:p>
        </w:tc>
        <w:tc>
          <w:tcPr>
            <w:tcW w:w="764" w:type="pct"/>
            <w:vAlign w:val="center"/>
          </w:tcPr>
          <w:p w14:paraId="703812EB">
            <w:pPr>
              <w:spacing w:line="440" w:lineRule="atLeast"/>
              <w:jc w:val="right"/>
              <w:rPr>
                <w:rFonts w:ascii="仿宋" w:hAnsi="仿宋" w:eastAsia="仿宋" w:cs="仿宋"/>
                <w:kern w:val="0"/>
                <w:sz w:val="24"/>
              </w:rPr>
            </w:pPr>
            <w:r>
              <w:rPr>
                <w:rFonts w:hint="eastAsia" w:ascii="仿宋" w:hAnsi="仿宋" w:eastAsia="仿宋" w:cs="仿宋"/>
                <w:kern w:val="0"/>
                <w:sz w:val="24"/>
              </w:rPr>
              <w:t>9</w:t>
            </w:r>
          </w:p>
        </w:tc>
      </w:tr>
      <w:tr w14:paraId="114A5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1646" w:type="pct"/>
            <w:vAlign w:val="center"/>
          </w:tcPr>
          <w:p w14:paraId="29F9A994">
            <w:pPr>
              <w:spacing w:line="440" w:lineRule="atLeast"/>
              <w:jc w:val="left"/>
              <w:rPr>
                <w:rFonts w:ascii="仿宋" w:hAnsi="仿宋" w:eastAsia="仿宋" w:cs="仿宋"/>
                <w:kern w:val="0"/>
                <w:sz w:val="24"/>
              </w:rPr>
            </w:pPr>
            <w:r>
              <w:rPr>
                <w:rFonts w:hint="eastAsia" w:ascii="仿宋" w:hAnsi="仿宋" w:eastAsia="仿宋" w:cs="仿宋"/>
                <w:kern w:val="0"/>
                <w:sz w:val="24"/>
              </w:rPr>
              <w:t>600016.SH</w:t>
            </w:r>
          </w:p>
        </w:tc>
        <w:tc>
          <w:tcPr>
            <w:tcW w:w="1476" w:type="pct"/>
            <w:vAlign w:val="center"/>
          </w:tcPr>
          <w:p w14:paraId="205FE5FD">
            <w:pPr>
              <w:spacing w:line="440" w:lineRule="atLeast"/>
              <w:jc w:val="left"/>
              <w:rPr>
                <w:rFonts w:ascii="仿宋" w:hAnsi="仿宋" w:eastAsia="仿宋" w:cs="仿宋"/>
                <w:kern w:val="0"/>
                <w:sz w:val="24"/>
              </w:rPr>
            </w:pPr>
            <w:r>
              <w:rPr>
                <w:rFonts w:hint="eastAsia" w:ascii="仿宋" w:hAnsi="仿宋" w:eastAsia="仿宋" w:cs="仿宋"/>
                <w:kern w:val="0"/>
                <w:sz w:val="24"/>
              </w:rPr>
              <w:t>民生银行</w:t>
            </w:r>
          </w:p>
        </w:tc>
        <w:tc>
          <w:tcPr>
            <w:tcW w:w="1112" w:type="pct"/>
            <w:vAlign w:val="center"/>
          </w:tcPr>
          <w:p w14:paraId="7AF59D77">
            <w:pPr>
              <w:spacing w:line="440" w:lineRule="atLeast"/>
              <w:jc w:val="right"/>
              <w:rPr>
                <w:rFonts w:ascii="仿宋" w:hAnsi="仿宋" w:eastAsia="仿宋" w:cs="仿宋"/>
                <w:kern w:val="0"/>
                <w:sz w:val="24"/>
              </w:rPr>
            </w:pPr>
            <w:r>
              <w:rPr>
                <w:rFonts w:hint="eastAsia" w:ascii="仿宋" w:hAnsi="仿宋" w:eastAsia="仿宋" w:cs="仿宋"/>
                <w:kern w:val="0"/>
                <w:sz w:val="24"/>
              </w:rPr>
              <w:t>48.63%</w:t>
            </w:r>
          </w:p>
        </w:tc>
        <w:tc>
          <w:tcPr>
            <w:tcW w:w="764" w:type="pct"/>
            <w:vAlign w:val="center"/>
          </w:tcPr>
          <w:p w14:paraId="423397DD">
            <w:pPr>
              <w:spacing w:line="440" w:lineRule="atLeast"/>
              <w:jc w:val="right"/>
              <w:rPr>
                <w:rFonts w:ascii="仿宋" w:hAnsi="仿宋" w:eastAsia="仿宋" w:cs="仿宋"/>
                <w:kern w:val="0"/>
                <w:sz w:val="24"/>
              </w:rPr>
            </w:pPr>
            <w:r>
              <w:rPr>
                <w:rFonts w:hint="eastAsia" w:ascii="仿宋" w:hAnsi="仿宋" w:eastAsia="仿宋" w:cs="仿宋"/>
                <w:kern w:val="0"/>
                <w:sz w:val="24"/>
              </w:rPr>
              <w:t>10</w:t>
            </w:r>
          </w:p>
        </w:tc>
      </w:tr>
      <w:tr w14:paraId="23838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1646" w:type="pct"/>
            <w:vAlign w:val="center"/>
          </w:tcPr>
          <w:p w14:paraId="3F3EA9D1">
            <w:pPr>
              <w:spacing w:line="440" w:lineRule="atLeast"/>
              <w:jc w:val="left"/>
              <w:rPr>
                <w:rFonts w:ascii="仿宋" w:hAnsi="仿宋" w:eastAsia="仿宋" w:cs="仿宋"/>
                <w:kern w:val="0"/>
                <w:sz w:val="24"/>
              </w:rPr>
            </w:pPr>
            <w:r>
              <w:rPr>
                <w:rFonts w:hint="eastAsia" w:ascii="仿宋" w:hAnsi="仿宋" w:eastAsia="仿宋" w:cs="仿宋"/>
                <w:kern w:val="0"/>
                <w:sz w:val="24"/>
              </w:rPr>
              <w:t>600036.SH</w:t>
            </w:r>
          </w:p>
        </w:tc>
        <w:tc>
          <w:tcPr>
            <w:tcW w:w="1476" w:type="pct"/>
            <w:vAlign w:val="center"/>
          </w:tcPr>
          <w:p w14:paraId="44E9FEBC">
            <w:pPr>
              <w:spacing w:line="440" w:lineRule="atLeast"/>
              <w:jc w:val="left"/>
              <w:rPr>
                <w:rFonts w:ascii="仿宋" w:hAnsi="仿宋" w:eastAsia="仿宋" w:cs="仿宋"/>
                <w:kern w:val="0"/>
                <w:sz w:val="24"/>
              </w:rPr>
            </w:pPr>
            <w:r>
              <w:rPr>
                <w:rFonts w:hint="eastAsia" w:ascii="仿宋" w:hAnsi="仿宋" w:eastAsia="仿宋" w:cs="仿宋"/>
                <w:kern w:val="0"/>
                <w:sz w:val="24"/>
              </w:rPr>
              <w:t>招商银行</w:t>
            </w:r>
          </w:p>
        </w:tc>
        <w:tc>
          <w:tcPr>
            <w:tcW w:w="1112" w:type="pct"/>
            <w:vAlign w:val="center"/>
          </w:tcPr>
          <w:p w14:paraId="45FC9DF6">
            <w:pPr>
              <w:spacing w:line="440" w:lineRule="atLeast"/>
              <w:jc w:val="right"/>
              <w:rPr>
                <w:rFonts w:ascii="仿宋" w:hAnsi="仿宋" w:eastAsia="仿宋" w:cs="仿宋"/>
                <w:kern w:val="0"/>
                <w:sz w:val="24"/>
              </w:rPr>
            </w:pPr>
            <w:r>
              <w:rPr>
                <w:rFonts w:hint="eastAsia" w:ascii="仿宋" w:hAnsi="仿宋" w:eastAsia="仿宋" w:cs="仿宋"/>
                <w:kern w:val="0"/>
                <w:sz w:val="24"/>
              </w:rPr>
              <w:t>30.49%</w:t>
            </w:r>
          </w:p>
        </w:tc>
        <w:tc>
          <w:tcPr>
            <w:tcW w:w="764" w:type="pct"/>
            <w:vAlign w:val="center"/>
          </w:tcPr>
          <w:p w14:paraId="4CB50645">
            <w:pPr>
              <w:spacing w:line="440" w:lineRule="atLeast"/>
              <w:jc w:val="right"/>
              <w:rPr>
                <w:rFonts w:ascii="仿宋" w:hAnsi="仿宋" w:eastAsia="仿宋" w:cs="仿宋"/>
                <w:kern w:val="0"/>
                <w:sz w:val="24"/>
              </w:rPr>
            </w:pPr>
            <w:r>
              <w:rPr>
                <w:rFonts w:hint="eastAsia" w:ascii="仿宋" w:hAnsi="仿宋" w:eastAsia="仿宋" w:cs="仿宋"/>
                <w:kern w:val="0"/>
                <w:sz w:val="24"/>
              </w:rPr>
              <w:t>10</w:t>
            </w:r>
          </w:p>
        </w:tc>
      </w:tr>
      <w:tr w14:paraId="5D8EE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1646" w:type="pct"/>
            <w:vAlign w:val="center"/>
          </w:tcPr>
          <w:p w14:paraId="171BB53C">
            <w:pPr>
              <w:spacing w:line="440" w:lineRule="atLeast"/>
              <w:jc w:val="left"/>
              <w:rPr>
                <w:rFonts w:ascii="仿宋" w:hAnsi="仿宋" w:eastAsia="仿宋" w:cs="仿宋"/>
                <w:kern w:val="0"/>
                <w:sz w:val="24"/>
              </w:rPr>
            </w:pPr>
            <w:r>
              <w:rPr>
                <w:rFonts w:hint="eastAsia" w:ascii="仿宋" w:hAnsi="仿宋" w:eastAsia="仿宋" w:cs="仿宋"/>
                <w:kern w:val="0"/>
                <w:sz w:val="24"/>
              </w:rPr>
              <w:t>601009.SH</w:t>
            </w:r>
          </w:p>
        </w:tc>
        <w:tc>
          <w:tcPr>
            <w:tcW w:w="1476" w:type="pct"/>
            <w:vAlign w:val="center"/>
          </w:tcPr>
          <w:p w14:paraId="25CBE936">
            <w:pPr>
              <w:spacing w:line="440" w:lineRule="atLeast"/>
              <w:jc w:val="left"/>
              <w:rPr>
                <w:rFonts w:ascii="仿宋" w:hAnsi="仿宋" w:eastAsia="仿宋" w:cs="仿宋"/>
                <w:kern w:val="0"/>
                <w:sz w:val="24"/>
              </w:rPr>
            </w:pPr>
            <w:r>
              <w:rPr>
                <w:rFonts w:hint="eastAsia" w:ascii="仿宋" w:hAnsi="仿宋" w:eastAsia="仿宋" w:cs="仿宋"/>
                <w:kern w:val="0"/>
                <w:sz w:val="24"/>
              </w:rPr>
              <w:t>南京银行</w:t>
            </w:r>
          </w:p>
        </w:tc>
        <w:tc>
          <w:tcPr>
            <w:tcW w:w="1112" w:type="pct"/>
            <w:vAlign w:val="center"/>
          </w:tcPr>
          <w:p w14:paraId="6CF886AD">
            <w:pPr>
              <w:spacing w:line="440" w:lineRule="atLeast"/>
              <w:jc w:val="right"/>
              <w:rPr>
                <w:rFonts w:ascii="仿宋" w:hAnsi="仿宋" w:eastAsia="仿宋" w:cs="仿宋"/>
                <w:kern w:val="0"/>
                <w:sz w:val="24"/>
              </w:rPr>
            </w:pPr>
            <w:r>
              <w:rPr>
                <w:rFonts w:hint="eastAsia" w:ascii="仿宋" w:hAnsi="仿宋" w:eastAsia="仿宋" w:cs="仿宋"/>
                <w:kern w:val="0"/>
                <w:sz w:val="24"/>
              </w:rPr>
              <w:t>36.98%</w:t>
            </w:r>
          </w:p>
        </w:tc>
        <w:tc>
          <w:tcPr>
            <w:tcW w:w="764" w:type="pct"/>
            <w:vAlign w:val="center"/>
          </w:tcPr>
          <w:p w14:paraId="45BDE47B">
            <w:pPr>
              <w:spacing w:line="440" w:lineRule="atLeast"/>
              <w:jc w:val="right"/>
              <w:rPr>
                <w:rFonts w:ascii="仿宋" w:hAnsi="仿宋" w:eastAsia="仿宋" w:cs="仿宋"/>
                <w:kern w:val="0"/>
                <w:sz w:val="24"/>
              </w:rPr>
            </w:pPr>
            <w:r>
              <w:rPr>
                <w:rFonts w:hint="eastAsia" w:ascii="仿宋" w:hAnsi="仿宋" w:eastAsia="仿宋" w:cs="仿宋"/>
                <w:kern w:val="0"/>
                <w:sz w:val="24"/>
              </w:rPr>
              <w:t>7</w:t>
            </w:r>
          </w:p>
        </w:tc>
      </w:tr>
      <w:tr w14:paraId="1C581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1646" w:type="pct"/>
            <w:vAlign w:val="center"/>
          </w:tcPr>
          <w:p w14:paraId="38C10F03">
            <w:pPr>
              <w:spacing w:line="440" w:lineRule="atLeast"/>
              <w:jc w:val="left"/>
              <w:rPr>
                <w:rFonts w:ascii="仿宋" w:hAnsi="仿宋" w:eastAsia="仿宋" w:cs="仿宋"/>
                <w:kern w:val="0"/>
                <w:sz w:val="24"/>
              </w:rPr>
            </w:pPr>
            <w:r>
              <w:rPr>
                <w:rFonts w:hint="eastAsia" w:ascii="仿宋" w:hAnsi="仿宋" w:eastAsia="仿宋" w:cs="仿宋"/>
                <w:kern w:val="0"/>
                <w:sz w:val="24"/>
              </w:rPr>
              <w:t>601166.SH</w:t>
            </w:r>
          </w:p>
        </w:tc>
        <w:tc>
          <w:tcPr>
            <w:tcW w:w="1476" w:type="pct"/>
            <w:vAlign w:val="center"/>
          </w:tcPr>
          <w:p w14:paraId="09E88607">
            <w:pPr>
              <w:spacing w:line="440" w:lineRule="atLeast"/>
              <w:jc w:val="left"/>
              <w:rPr>
                <w:rFonts w:ascii="仿宋" w:hAnsi="仿宋" w:eastAsia="仿宋" w:cs="仿宋"/>
                <w:kern w:val="0"/>
                <w:sz w:val="24"/>
              </w:rPr>
            </w:pPr>
            <w:r>
              <w:rPr>
                <w:rFonts w:hint="eastAsia" w:ascii="仿宋" w:hAnsi="仿宋" w:eastAsia="仿宋" w:cs="仿宋"/>
                <w:kern w:val="0"/>
                <w:sz w:val="24"/>
              </w:rPr>
              <w:t>兴业银行</w:t>
            </w:r>
          </w:p>
        </w:tc>
        <w:tc>
          <w:tcPr>
            <w:tcW w:w="1112" w:type="pct"/>
            <w:vAlign w:val="center"/>
          </w:tcPr>
          <w:p w14:paraId="5DE9D870">
            <w:pPr>
              <w:spacing w:line="440" w:lineRule="atLeast"/>
              <w:jc w:val="right"/>
              <w:rPr>
                <w:rFonts w:ascii="仿宋" w:hAnsi="仿宋" w:eastAsia="仿宋" w:cs="仿宋"/>
                <w:kern w:val="0"/>
                <w:sz w:val="24"/>
              </w:rPr>
            </w:pPr>
            <w:r>
              <w:rPr>
                <w:rFonts w:hint="eastAsia" w:ascii="仿宋" w:hAnsi="仿宋" w:eastAsia="仿宋" w:cs="仿宋"/>
                <w:kern w:val="0"/>
                <w:sz w:val="24"/>
              </w:rPr>
              <w:t>32.18%</w:t>
            </w:r>
          </w:p>
        </w:tc>
        <w:tc>
          <w:tcPr>
            <w:tcW w:w="764" w:type="pct"/>
            <w:vAlign w:val="center"/>
          </w:tcPr>
          <w:p w14:paraId="05C2A8C8">
            <w:pPr>
              <w:spacing w:line="440" w:lineRule="atLeast"/>
              <w:jc w:val="right"/>
              <w:rPr>
                <w:rFonts w:ascii="仿宋" w:hAnsi="仿宋" w:eastAsia="仿宋" w:cs="仿宋"/>
                <w:kern w:val="0"/>
                <w:sz w:val="24"/>
              </w:rPr>
            </w:pPr>
            <w:r>
              <w:rPr>
                <w:rFonts w:hint="eastAsia" w:ascii="仿宋" w:hAnsi="仿宋" w:eastAsia="仿宋" w:cs="仿宋"/>
                <w:kern w:val="0"/>
                <w:sz w:val="24"/>
              </w:rPr>
              <w:t>7</w:t>
            </w:r>
          </w:p>
        </w:tc>
      </w:tr>
      <w:tr w14:paraId="0BCC3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1646" w:type="pct"/>
            <w:vAlign w:val="center"/>
          </w:tcPr>
          <w:p w14:paraId="6F9EFBA3">
            <w:pPr>
              <w:spacing w:line="440" w:lineRule="atLeast"/>
              <w:jc w:val="left"/>
              <w:rPr>
                <w:rFonts w:ascii="仿宋" w:hAnsi="仿宋" w:eastAsia="仿宋" w:cs="仿宋"/>
                <w:kern w:val="0"/>
                <w:sz w:val="24"/>
              </w:rPr>
            </w:pPr>
            <w:r>
              <w:rPr>
                <w:rFonts w:hint="eastAsia" w:ascii="仿宋" w:hAnsi="仿宋" w:eastAsia="仿宋" w:cs="仿宋"/>
                <w:kern w:val="0"/>
                <w:sz w:val="24"/>
              </w:rPr>
              <w:t>601169.SH</w:t>
            </w:r>
          </w:p>
        </w:tc>
        <w:tc>
          <w:tcPr>
            <w:tcW w:w="1476" w:type="pct"/>
            <w:vAlign w:val="center"/>
          </w:tcPr>
          <w:p w14:paraId="4396657B">
            <w:pPr>
              <w:spacing w:line="440" w:lineRule="atLeast"/>
              <w:jc w:val="left"/>
              <w:rPr>
                <w:rFonts w:ascii="仿宋" w:hAnsi="仿宋" w:eastAsia="仿宋" w:cs="仿宋"/>
                <w:kern w:val="0"/>
                <w:sz w:val="24"/>
              </w:rPr>
            </w:pPr>
            <w:r>
              <w:rPr>
                <w:rFonts w:hint="eastAsia" w:ascii="仿宋" w:hAnsi="仿宋" w:eastAsia="仿宋" w:cs="仿宋"/>
                <w:kern w:val="0"/>
                <w:sz w:val="24"/>
              </w:rPr>
              <w:t>北京银行</w:t>
            </w:r>
          </w:p>
        </w:tc>
        <w:tc>
          <w:tcPr>
            <w:tcW w:w="1112" w:type="pct"/>
            <w:vAlign w:val="center"/>
          </w:tcPr>
          <w:p w14:paraId="5166E252">
            <w:pPr>
              <w:spacing w:line="440" w:lineRule="atLeast"/>
              <w:jc w:val="right"/>
              <w:rPr>
                <w:rFonts w:ascii="仿宋" w:hAnsi="仿宋" w:eastAsia="仿宋" w:cs="仿宋"/>
                <w:kern w:val="0"/>
                <w:sz w:val="24"/>
              </w:rPr>
            </w:pPr>
            <w:r>
              <w:rPr>
                <w:rFonts w:hint="eastAsia" w:ascii="仿宋" w:hAnsi="仿宋" w:eastAsia="仿宋" w:cs="仿宋"/>
                <w:kern w:val="0"/>
                <w:sz w:val="24"/>
              </w:rPr>
              <w:t>20.19%</w:t>
            </w:r>
          </w:p>
        </w:tc>
        <w:tc>
          <w:tcPr>
            <w:tcW w:w="764" w:type="pct"/>
            <w:vAlign w:val="center"/>
          </w:tcPr>
          <w:p w14:paraId="3A77B371">
            <w:pPr>
              <w:spacing w:line="440" w:lineRule="atLeast"/>
              <w:jc w:val="right"/>
              <w:rPr>
                <w:rFonts w:ascii="仿宋" w:hAnsi="仿宋" w:eastAsia="仿宋" w:cs="仿宋"/>
                <w:kern w:val="0"/>
                <w:sz w:val="24"/>
              </w:rPr>
            </w:pPr>
            <w:r>
              <w:rPr>
                <w:rFonts w:hint="eastAsia" w:ascii="仿宋" w:hAnsi="仿宋" w:eastAsia="仿宋" w:cs="仿宋"/>
                <w:kern w:val="0"/>
                <w:sz w:val="24"/>
              </w:rPr>
              <w:t>5</w:t>
            </w:r>
          </w:p>
        </w:tc>
      </w:tr>
      <w:tr w14:paraId="0EF8C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1646" w:type="pct"/>
            <w:vAlign w:val="center"/>
          </w:tcPr>
          <w:p w14:paraId="3D574E9F">
            <w:pPr>
              <w:spacing w:line="440" w:lineRule="atLeast"/>
              <w:jc w:val="left"/>
              <w:rPr>
                <w:rFonts w:ascii="仿宋" w:hAnsi="仿宋" w:eastAsia="仿宋" w:cs="仿宋"/>
                <w:kern w:val="0"/>
                <w:sz w:val="24"/>
              </w:rPr>
            </w:pPr>
            <w:r>
              <w:rPr>
                <w:rFonts w:hint="eastAsia" w:ascii="仿宋" w:hAnsi="仿宋" w:eastAsia="仿宋" w:cs="仿宋"/>
                <w:kern w:val="0"/>
                <w:sz w:val="24"/>
              </w:rPr>
              <w:t>601998.SH</w:t>
            </w:r>
          </w:p>
        </w:tc>
        <w:tc>
          <w:tcPr>
            <w:tcW w:w="1476" w:type="pct"/>
            <w:vAlign w:val="center"/>
          </w:tcPr>
          <w:p w14:paraId="170B720E">
            <w:pPr>
              <w:spacing w:line="440" w:lineRule="atLeast"/>
              <w:jc w:val="left"/>
              <w:rPr>
                <w:rFonts w:ascii="仿宋" w:hAnsi="仿宋" w:eastAsia="仿宋" w:cs="仿宋"/>
                <w:kern w:val="0"/>
                <w:sz w:val="24"/>
              </w:rPr>
            </w:pPr>
            <w:r>
              <w:rPr>
                <w:rFonts w:hint="eastAsia" w:ascii="仿宋" w:hAnsi="仿宋" w:eastAsia="仿宋" w:cs="仿宋"/>
                <w:kern w:val="0"/>
                <w:sz w:val="24"/>
              </w:rPr>
              <w:t>中信银行</w:t>
            </w:r>
          </w:p>
        </w:tc>
        <w:tc>
          <w:tcPr>
            <w:tcW w:w="1112" w:type="pct"/>
            <w:vAlign w:val="center"/>
          </w:tcPr>
          <w:p w14:paraId="743C9A80">
            <w:pPr>
              <w:spacing w:line="440" w:lineRule="atLeast"/>
              <w:jc w:val="right"/>
              <w:rPr>
                <w:rFonts w:ascii="仿宋" w:hAnsi="仿宋" w:eastAsia="仿宋" w:cs="仿宋"/>
                <w:kern w:val="0"/>
                <w:sz w:val="24"/>
              </w:rPr>
            </w:pPr>
            <w:r>
              <w:rPr>
                <w:rFonts w:hint="eastAsia" w:ascii="仿宋" w:hAnsi="仿宋" w:eastAsia="仿宋" w:cs="仿宋"/>
                <w:kern w:val="0"/>
                <w:sz w:val="24"/>
              </w:rPr>
              <w:t>26.35%</w:t>
            </w:r>
          </w:p>
        </w:tc>
        <w:tc>
          <w:tcPr>
            <w:tcW w:w="764" w:type="pct"/>
            <w:vAlign w:val="center"/>
          </w:tcPr>
          <w:p w14:paraId="3AECC904">
            <w:pPr>
              <w:spacing w:line="440" w:lineRule="atLeast"/>
              <w:jc w:val="right"/>
              <w:rPr>
                <w:rFonts w:ascii="仿宋" w:hAnsi="仿宋" w:eastAsia="仿宋" w:cs="仿宋"/>
                <w:kern w:val="0"/>
                <w:sz w:val="24"/>
              </w:rPr>
            </w:pPr>
            <w:r>
              <w:rPr>
                <w:rFonts w:hint="eastAsia" w:ascii="仿宋" w:hAnsi="仿宋" w:eastAsia="仿宋" w:cs="仿宋"/>
                <w:kern w:val="0"/>
                <w:sz w:val="24"/>
              </w:rPr>
              <w:t>5</w:t>
            </w:r>
          </w:p>
        </w:tc>
      </w:tr>
      <w:tr w14:paraId="032F7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3123" w:type="pct"/>
            <w:gridSpan w:val="2"/>
            <w:vAlign w:val="center"/>
          </w:tcPr>
          <w:p w14:paraId="7C189DFA">
            <w:pPr>
              <w:spacing w:line="440" w:lineRule="atLeast"/>
              <w:jc w:val="center"/>
              <w:rPr>
                <w:rFonts w:ascii="仿宋" w:hAnsi="仿宋" w:eastAsia="仿宋" w:cs="仿宋"/>
                <w:kern w:val="0"/>
                <w:sz w:val="24"/>
              </w:rPr>
            </w:pPr>
            <w:r>
              <w:rPr>
                <w:rFonts w:hint="eastAsia" w:ascii="仿宋" w:hAnsi="仿宋" w:eastAsia="仿宋" w:cs="仿宋"/>
                <w:kern w:val="0"/>
                <w:sz w:val="24"/>
              </w:rPr>
              <w:t>合计</w:t>
            </w:r>
          </w:p>
        </w:tc>
        <w:tc>
          <w:tcPr>
            <w:tcW w:w="1112" w:type="pct"/>
            <w:vAlign w:val="center"/>
          </w:tcPr>
          <w:p w14:paraId="52336123">
            <w:pPr>
              <w:spacing w:line="440" w:lineRule="atLeast"/>
              <w:jc w:val="right"/>
              <w:rPr>
                <w:rFonts w:ascii="仿宋" w:hAnsi="仿宋" w:eastAsia="仿宋" w:cs="仿宋"/>
                <w:kern w:val="0"/>
                <w:sz w:val="24"/>
              </w:rPr>
            </w:pPr>
            <w:r>
              <w:rPr>
                <w:rFonts w:hint="eastAsia" w:ascii="仿宋" w:hAnsi="仿宋" w:eastAsia="仿宋" w:cs="仿宋"/>
                <w:kern w:val="0"/>
                <w:sz w:val="24"/>
              </w:rPr>
              <w:t>31.91%</w:t>
            </w:r>
          </w:p>
        </w:tc>
        <w:tc>
          <w:tcPr>
            <w:tcW w:w="764" w:type="pct"/>
            <w:vAlign w:val="center"/>
          </w:tcPr>
          <w:p w14:paraId="1B2D1DAD">
            <w:pPr>
              <w:spacing w:line="440" w:lineRule="atLeast"/>
              <w:jc w:val="right"/>
              <w:rPr>
                <w:rFonts w:ascii="仿宋" w:hAnsi="仿宋" w:eastAsia="仿宋" w:cs="仿宋"/>
                <w:kern w:val="0"/>
                <w:sz w:val="24"/>
              </w:rPr>
            </w:pPr>
            <w:r>
              <w:rPr>
                <w:rFonts w:hint="eastAsia" w:ascii="仿宋" w:hAnsi="仿宋" w:eastAsia="仿宋" w:cs="仿宋"/>
                <w:kern w:val="0"/>
                <w:sz w:val="24"/>
              </w:rPr>
              <w:t>6</w:t>
            </w:r>
          </w:p>
        </w:tc>
      </w:tr>
    </w:tbl>
    <w:p w14:paraId="53F78CF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（2）评估对象贷款分析及预测</w:t>
      </w:r>
    </w:p>
    <w:p w14:paraId="5B13701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资产评估师通过尽职调查、访谈和企业提供的盈利预测了解到：企业的贷款平均余额在最近几年中迅速发展，其中企业贷款平均余额在20y9年增长率达到45%；零售贷款的发展速度也达到了16%；信用卡贷款的发展速度更是达到了224%，综合平均余额达到了40%。预计20x0年综合平均余额达到27%，20x1年达到23%。而贷款年末余额预计在20x0年xx银行因宏观调控，将比20y9年增长22%，而其中超过50%的贷款已在上半年发放。预计20x1年在宏观调控因素下，企业贷款年末余额增长约为30%。资产评估师结合企业未来发展规划和同业上市银行的发展速度，预计20x1年后贷款增长水平仍维持在较高的水平，但伴随着企业规模的增加和成熟，增长水平逐步降低并稳定。</w:t>
      </w:r>
    </w:p>
    <w:p w14:paraId="088CBB78">
      <w:pPr>
        <w:shd w:val="clear" w:color="auto" w:fill="FFFFFF"/>
        <w:spacing w:line="440" w:lineRule="atLeast"/>
        <w:ind w:firstLine="480" w:firstLineChars="200"/>
        <w:rPr>
          <w:rFonts w:ascii="宋体" w:hAnsi="宋体" w:eastAsia="宋体" w:cs="宋体"/>
          <w:color w:val="000000"/>
          <w:kern w:val="0"/>
          <w:sz w:val="24"/>
          <w:shd w:val="clear" w:color="auto" w:fill="FFFFFF"/>
          <w:lang w:val="zh-CN"/>
        </w:rPr>
      </w:pPr>
      <w:r>
        <w:rPr>
          <w:rFonts w:hint="eastAsia" w:ascii="宋体" w:hAnsi="宋体" w:eastAsia="宋体" w:cs="宋体"/>
          <w:color w:val="000000"/>
          <w:kern w:val="0"/>
          <w:sz w:val="24"/>
          <w:shd w:val="clear" w:color="auto" w:fill="FFFFFF"/>
        </w:rPr>
        <w:t>而同时从20x0年以来企业加强定价管理已逐步出现效果，对各种不同风险级别的客户逐步具有更高的定价能力，使贷款利率有一定幅度的提高。20x0年上半年贷款利率比20y9年上升13个基点，预计20x0年贷款全年平均利率维持20x0年上半年水平，而20x1年考虑到资本充足率的监管要求，企业将对贷款结构作适当调整，预计贷款综合利率将略有下降，预计20x1年全年贷款平均利率较20x0年下降5个基点。具体盈利预测如下</w:t>
      </w:r>
      <w:r>
        <w:rPr>
          <w:rFonts w:hint="eastAsia" w:ascii="宋体" w:hAnsi="宋体" w:eastAsia="宋体" w:cs="宋体"/>
          <w:color w:val="000000"/>
          <w:kern w:val="0"/>
          <w:sz w:val="24"/>
          <w:shd w:val="clear" w:color="auto" w:fill="FFFFFF"/>
          <w:lang w:val="zh-CN"/>
        </w:rPr>
        <w:t>。</w:t>
      </w:r>
    </w:p>
    <w:p w14:paraId="6887AFB2">
      <w:pPr>
        <w:spacing w:line="440" w:lineRule="atLeast"/>
        <w:ind w:firstLine="480" w:firstLineChars="200"/>
        <w:jc w:val="center"/>
        <w:rPr>
          <w:rFonts w:ascii="仿宋" w:hAnsi="仿宋" w:eastAsia="仿宋" w:cs="仿宋"/>
          <w:sz w:val="24"/>
          <w:lang w:val="zh-CN"/>
        </w:rPr>
      </w:pPr>
      <w:r>
        <w:rPr>
          <w:rFonts w:hint="eastAsia" w:ascii="仿宋" w:hAnsi="仿宋" w:eastAsia="仿宋" w:cs="仿宋"/>
          <w:sz w:val="24"/>
          <w:lang w:val="zh-CN"/>
        </w:rPr>
        <w:t>贷款平均余额及利息收入预测表</w:t>
      </w:r>
    </w:p>
    <w:p w14:paraId="063E6B46">
      <w:pPr>
        <w:spacing w:line="440" w:lineRule="atLeast"/>
        <w:ind w:firstLine="480" w:firstLineChars="200"/>
        <w:jc w:val="right"/>
        <w:rPr>
          <w:rFonts w:ascii="仿宋" w:hAnsi="仿宋" w:eastAsia="仿宋" w:cs="仿宋"/>
          <w:kern w:val="0"/>
          <w:sz w:val="24"/>
        </w:rPr>
      </w:pPr>
      <w:r>
        <w:rPr>
          <w:rFonts w:hint="eastAsia" w:ascii="仿宋" w:hAnsi="仿宋" w:eastAsia="仿宋" w:cs="仿宋"/>
          <w:kern w:val="0"/>
          <w:sz w:val="24"/>
        </w:rPr>
        <w:t>金额单位：百万元</w:t>
      </w:r>
    </w:p>
    <w:tbl>
      <w:tblPr>
        <w:tblStyle w:val="24"/>
        <w:tblW w:w="4998" w:type="pct"/>
        <w:tblInd w:w="0" w:type="dxa"/>
        <w:tblLayout w:type="autofit"/>
        <w:tblCellMar>
          <w:top w:w="0" w:type="dxa"/>
          <w:left w:w="108" w:type="dxa"/>
          <w:bottom w:w="0" w:type="dxa"/>
          <w:right w:w="108" w:type="dxa"/>
        </w:tblCellMar>
      </w:tblPr>
      <w:tblGrid>
        <w:gridCol w:w="1183"/>
        <w:gridCol w:w="916"/>
        <w:gridCol w:w="916"/>
        <w:gridCol w:w="916"/>
        <w:gridCol w:w="916"/>
        <w:gridCol w:w="916"/>
        <w:gridCol w:w="916"/>
        <w:gridCol w:w="917"/>
        <w:gridCol w:w="917"/>
      </w:tblGrid>
      <w:tr w14:paraId="4BB2BAC3">
        <w:tblPrEx>
          <w:tblCellMar>
            <w:top w:w="0" w:type="dxa"/>
            <w:left w:w="108" w:type="dxa"/>
            <w:bottom w:w="0" w:type="dxa"/>
            <w:right w:w="108" w:type="dxa"/>
          </w:tblCellMar>
        </w:tblPrEx>
        <w:trPr>
          <w:trHeight w:val="330" w:hRule="atLeast"/>
        </w:trPr>
        <w:tc>
          <w:tcPr>
            <w:tcW w:w="830" w:type="pct"/>
            <w:tcBorders>
              <w:top w:val="single" w:color="auto" w:sz="4" w:space="0"/>
              <w:left w:val="single" w:color="auto" w:sz="4" w:space="0"/>
              <w:bottom w:val="single" w:color="auto" w:sz="4" w:space="0"/>
              <w:right w:val="single" w:color="auto" w:sz="4" w:space="0"/>
            </w:tcBorders>
            <w:vAlign w:val="center"/>
          </w:tcPr>
          <w:p w14:paraId="28B52A24">
            <w:pPr>
              <w:spacing w:line="440" w:lineRule="atLeast"/>
              <w:jc w:val="center"/>
              <w:rPr>
                <w:rFonts w:ascii="仿宋" w:hAnsi="仿宋" w:eastAsia="仿宋" w:cs="仿宋"/>
                <w:b/>
                <w:kern w:val="0"/>
                <w:sz w:val="24"/>
              </w:rPr>
            </w:pPr>
            <w:r>
              <w:rPr>
                <w:rFonts w:hint="eastAsia" w:ascii="仿宋" w:hAnsi="仿宋" w:eastAsia="仿宋" w:cs="仿宋"/>
                <w:b/>
                <w:kern w:val="0"/>
                <w:sz w:val="24"/>
              </w:rPr>
              <w:t>项目</w:t>
            </w:r>
          </w:p>
        </w:tc>
        <w:tc>
          <w:tcPr>
            <w:tcW w:w="603" w:type="pct"/>
            <w:tcBorders>
              <w:top w:val="single" w:color="auto" w:sz="4" w:space="0"/>
              <w:left w:val="nil"/>
              <w:bottom w:val="single" w:color="auto" w:sz="4" w:space="0"/>
              <w:right w:val="single" w:color="auto" w:sz="4" w:space="0"/>
            </w:tcBorders>
            <w:vAlign w:val="center"/>
          </w:tcPr>
          <w:p w14:paraId="24F6EF9A">
            <w:pPr>
              <w:spacing w:line="440" w:lineRule="atLeast"/>
              <w:jc w:val="center"/>
              <w:rPr>
                <w:rFonts w:ascii="仿宋" w:hAnsi="仿宋" w:eastAsia="仿宋" w:cs="仿宋"/>
                <w:b/>
                <w:kern w:val="0"/>
                <w:sz w:val="24"/>
              </w:rPr>
            </w:pPr>
            <w:r>
              <w:rPr>
                <w:rFonts w:hint="eastAsia" w:ascii="仿宋" w:hAnsi="仿宋" w:eastAsia="仿宋" w:cs="仿宋"/>
                <w:b/>
                <w:kern w:val="0"/>
                <w:sz w:val="24"/>
              </w:rPr>
              <w:t>20x0下</w:t>
            </w:r>
          </w:p>
        </w:tc>
        <w:tc>
          <w:tcPr>
            <w:tcW w:w="509" w:type="pct"/>
            <w:tcBorders>
              <w:top w:val="single" w:color="auto" w:sz="4" w:space="0"/>
              <w:left w:val="nil"/>
              <w:bottom w:val="single" w:color="auto" w:sz="4" w:space="0"/>
              <w:right w:val="single" w:color="auto" w:sz="4" w:space="0"/>
            </w:tcBorders>
            <w:vAlign w:val="center"/>
          </w:tcPr>
          <w:p w14:paraId="0A1A2852">
            <w:pPr>
              <w:spacing w:line="440" w:lineRule="atLeast"/>
              <w:jc w:val="center"/>
              <w:rPr>
                <w:rFonts w:ascii="仿宋" w:hAnsi="仿宋" w:eastAsia="仿宋" w:cs="仿宋"/>
                <w:b/>
                <w:kern w:val="0"/>
                <w:sz w:val="24"/>
              </w:rPr>
            </w:pPr>
            <w:r>
              <w:rPr>
                <w:rFonts w:hint="eastAsia" w:ascii="仿宋" w:hAnsi="仿宋" w:eastAsia="仿宋" w:cs="仿宋"/>
                <w:b/>
                <w:kern w:val="0"/>
                <w:sz w:val="24"/>
              </w:rPr>
              <w:t>20x1</w:t>
            </w:r>
          </w:p>
        </w:tc>
        <w:tc>
          <w:tcPr>
            <w:tcW w:w="509" w:type="pct"/>
            <w:tcBorders>
              <w:top w:val="single" w:color="auto" w:sz="4" w:space="0"/>
              <w:left w:val="nil"/>
              <w:bottom w:val="single" w:color="auto" w:sz="4" w:space="0"/>
              <w:right w:val="single" w:color="auto" w:sz="4" w:space="0"/>
            </w:tcBorders>
            <w:vAlign w:val="center"/>
          </w:tcPr>
          <w:p w14:paraId="73C9614D">
            <w:pPr>
              <w:spacing w:line="440" w:lineRule="atLeast"/>
              <w:jc w:val="center"/>
              <w:rPr>
                <w:rFonts w:ascii="仿宋" w:hAnsi="仿宋" w:eastAsia="仿宋" w:cs="仿宋"/>
                <w:b/>
                <w:kern w:val="0"/>
                <w:sz w:val="24"/>
              </w:rPr>
            </w:pPr>
            <w:r>
              <w:rPr>
                <w:rFonts w:hint="eastAsia" w:ascii="仿宋" w:hAnsi="仿宋" w:eastAsia="仿宋" w:cs="仿宋"/>
                <w:b/>
                <w:kern w:val="0"/>
                <w:sz w:val="24"/>
              </w:rPr>
              <w:t>20x2</w:t>
            </w:r>
          </w:p>
        </w:tc>
        <w:tc>
          <w:tcPr>
            <w:tcW w:w="509" w:type="pct"/>
            <w:tcBorders>
              <w:top w:val="single" w:color="auto" w:sz="4" w:space="0"/>
              <w:left w:val="nil"/>
              <w:bottom w:val="single" w:color="auto" w:sz="4" w:space="0"/>
              <w:right w:val="single" w:color="auto" w:sz="4" w:space="0"/>
            </w:tcBorders>
            <w:vAlign w:val="center"/>
          </w:tcPr>
          <w:p w14:paraId="0CC9637B">
            <w:pPr>
              <w:spacing w:line="440" w:lineRule="atLeast"/>
              <w:jc w:val="center"/>
              <w:rPr>
                <w:rFonts w:ascii="仿宋" w:hAnsi="仿宋" w:eastAsia="仿宋" w:cs="仿宋"/>
                <w:b/>
                <w:kern w:val="0"/>
                <w:sz w:val="24"/>
              </w:rPr>
            </w:pPr>
            <w:r>
              <w:rPr>
                <w:rFonts w:hint="eastAsia" w:ascii="仿宋" w:hAnsi="仿宋" w:eastAsia="仿宋" w:cs="仿宋"/>
                <w:b/>
                <w:kern w:val="0"/>
                <w:sz w:val="24"/>
              </w:rPr>
              <w:t>20x3</w:t>
            </w:r>
          </w:p>
        </w:tc>
        <w:tc>
          <w:tcPr>
            <w:tcW w:w="509" w:type="pct"/>
            <w:tcBorders>
              <w:top w:val="single" w:color="auto" w:sz="4" w:space="0"/>
              <w:left w:val="nil"/>
              <w:bottom w:val="single" w:color="auto" w:sz="4" w:space="0"/>
              <w:right w:val="single" w:color="auto" w:sz="4" w:space="0"/>
            </w:tcBorders>
            <w:vAlign w:val="center"/>
          </w:tcPr>
          <w:p w14:paraId="19904FAF">
            <w:pPr>
              <w:spacing w:line="440" w:lineRule="atLeast"/>
              <w:jc w:val="center"/>
              <w:rPr>
                <w:rFonts w:ascii="仿宋" w:hAnsi="仿宋" w:eastAsia="仿宋" w:cs="仿宋"/>
                <w:b/>
                <w:kern w:val="0"/>
                <w:sz w:val="24"/>
              </w:rPr>
            </w:pPr>
            <w:r>
              <w:rPr>
                <w:rFonts w:hint="eastAsia" w:ascii="仿宋" w:hAnsi="仿宋" w:eastAsia="仿宋" w:cs="仿宋"/>
                <w:b/>
                <w:kern w:val="0"/>
                <w:sz w:val="24"/>
              </w:rPr>
              <w:t>20x4</w:t>
            </w:r>
          </w:p>
        </w:tc>
        <w:tc>
          <w:tcPr>
            <w:tcW w:w="509" w:type="pct"/>
            <w:tcBorders>
              <w:top w:val="single" w:color="auto" w:sz="4" w:space="0"/>
              <w:left w:val="nil"/>
              <w:bottom w:val="single" w:color="auto" w:sz="4" w:space="0"/>
              <w:right w:val="single" w:color="auto" w:sz="4" w:space="0"/>
            </w:tcBorders>
            <w:vAlign w:val="center"/>
          </w:tcPr>
          <w:p w14:paraId="06369F9C">
            <w:pPr>
              <w:spacing w:line="440" w:lineRule="atLeast"/>
              <w:jc w:val="center"/>
              <w:rPr>
                <w:rFonts w:ascii="仿宋" w:hAnsi="仿宋" w:eastAsia="仿宋" w:cs="仿宋"/>
                <w:b/>
                <w:kern w:val="0"/>
                <w:sz w:val="24"/>
              </w:rPr>
            </w:pPr>
            <w:r>
              <w:rPr>
                <w:rFonts w:hint="eastAsia" w:ascii="仿宋" w:hAnsi="仿宋" w:eastAsia="仿宋" w:cs="仿宋"/>
                <w:b/>
                <w:kern w:val="0"/>
                <w:sz w:val="24"/>
              </w:rPr>
              <w:t>20x5</w:t>
            </w:r>
          </w:p>
        </w:tc>
        <w:tc>
          <w:tcPr>
            <w:tcW w:w="509" w:type="pct"/>
            <w:tcBorders>
              <w:top w:val="single" w:color="auto" w:sz="4" w:space="0"/>
              <w:left w:val="nil"/>
              <w:bottom w:val="single" w:color="auto" w:sz="4" w:space="0"/>
              <w:right w:val="single" w:color="auto" w:sz="4" w:space="0"/>
            </w:tcBorders>
            <w:vAlign w:val="center"/>
          </w:tcPr>
          <w:p w14:paraId="08B51019">
            <w:pPr>
              <w:spacing w:line="440" w:lineRule="atLeast"/>
              <w:jc w:val="center"/>
              <w:rPr>
                <w:rFonts w:ascii="仿宋" w:hAnsi="仿宋" w:eastAsia="仿宋" w:cs="仿宋"/>
                <w:b/>
                <w:kern w:val="0"/>
                <w:sz w:val="24"/>
              </w:rPr>
            </w:pPr>
            <w:r>
              <w:rPr>
                <w:rFonts w:hint="eastAsia" w:ascii="仿宋" w:hAnsi="仿宋" w:eastAsia="仿宋" w:cs="仿宋"/>
                <w:b/>
                <w:kern w:val="0"/>
                <w:sz w:val="24"/>
              </w:rPr>
              <w:t>20x6</w:t>
            </w:r>
          </w:p>
        </w:tc>
        <w:tc>
          <w:tcPr>
            <w:tcW w:w="510" w:type="pct"/>
            <w:tcBorders>
              <w:top w:val="single" w:color="auto" w:sz="4" w:space="0"/>
              <w:left w:val="nil"/>
              <w:bottom w:val="single" w:color="auto" w:sz="4" w:space="0"/>
              <w:right w:val="single" w:color="auto" w:sz="4" w:space="0"/>
            </w:tcBorders>
            <w:vAlign w:val="center"/>
          </w:tcPr>
          <w:p w14:paraId="65E653F7">
            <w:pPr>
              <w:spacing w:line="440" w:lineRule="atLeast"/>
              <w:jc w:val="center"/>
              <w:rPr>
                <w:rFonts w:ascii="仿宋" w:hAnsi="仿宋" w:eastAsia="仿宋" w:cs="仿宋"/>
                <w:b/>
                <w:kern w:val="0"/>
                <w:sz w:val="24"/>
              </w:rPr>
            </w:pPr>
            <w:r>
              <w:rPr>
                <w:rFonts w:hint="eastAsia" w:ascii="仿宋" w:hAnsi="仿宋" w:eastAsia="仿宋" w:cs="仿宋"/>
                <w:b/>
                <w:kern w:val="0"/>
                <w:sz w:val="24"/>
              </w:rPr>
              <w:t>20x7</w:t>
            </w:r>
          </w:p>
        </w:tc>
      </w:tr>
      <w:tr w14:paraId="56A40F5D">
        <w:tblPrEx>
          <w:tblCellMar>
            <w:top w:w="0" w:type="dxa"/>
            <w:left w:w="108" w:type="dxa"/>
            <w:bottom w:w="0" w:type="dxa"/>
            <w:right w:w="108" w:type="dxa"/>
          </w:tblCellMar>
        </w:tblPrEx>
        <w:trPr>
          <w:trHeight w:val="330" w:hRule="atLeast"/>
        </w:trPr>
        <w:tc>
          <w:tcPr>
            <w:tcW w:w="830" w:type="pct"/>
            <w:tcBorders>
              <w:top w:val="nil"/>
              <w:left w:val="single" w:color="auto" w:sz="4" w:space="0"/>
              <w:bottom w:val="single" w:color="auto" w:sz="4" w:space="0"/>
              <w:right w:val="single" w:color="auto" w:sz="4" w:space="0"/>
            </w:tcBorders>
            <w:vAlign w:val="center"/>
          </w:tcPr>
          <w:p w14:paraId="13730321">
            <w:pPr>
              <w:spacing w:line="440" w:lineRule="atLeast"/>
              <w:jc w:val="center"/>
              <w:rPr>
                <w:rFonts w:ascii="仿宋" w:hAnsi="仿宋" w:eastAsia="仿宋" w:cs="仿宋"/>
                <w:kern w:val="0"/>
                <w:sz w:val="24"/>
              </w:rPr>
            </w:pPr>
            <w:r>
              <w:rPr>
                <w:rFonts w:hint="eastAsia" w:ascii="仿宋" w:hAnsi="仿宋" w:eastAsia="仿宋" w:cs="仿宋"/>
                <w:kern w:val="0"/>
                <w:sz w:val="24"/>
              </w:rPr>
              <w:t>贷款平均余额</w:t>
            </w:r>
          </w:p>
        </w:tc>
        <w:tc>
          <w:tcPr>
            <w:tcW w:w="603" w:type="pct"/>
            <w:tcBorders>
              <w:top w:val="nil"/>
              <w:left w:val="nil"/>
              <w:bottom w:val="single" w:color="auto" w:sz="4" w:space="0"/>
              <w:right w:val="single" w:color="auto" w:sz="4" w:space="0"/>
            </w:tcBorders>
            <w:vAlign w:val="center"/>
          </w:tcPr>
          <w:p w14:paraId="374D64B5">
            <w:pPr>
              <w:spacing w:line="440" w:lineRule="atLeast"/>
              <w:jc w:val="right"/>
              <w:rPr>
                <w:rFonts w:ascii="仿宋" w:hAnsi="仿宋" w:eastAsia="仿宋" w:cs="仿宋"/>
                <w:kern w:val="0"/>
                <w:sz w:val="20"/>
                <w:szCs w:val="20"/>
              </w:rPr>
            </w:pPr>
            <w:r>
              <w:rPr>
                <w:rFonts w:hint="eastAsia" w:ascii="仿宋" w:hAnsi="仿宋" w:eastAsia="仿宋" w:cs="仿宋"/>
                <w:kern w:val="0"/>
                <w:sz w:val="20"/>
                <w:szCs w:val="20"/>
              </w:rPr>
              <w:t>128,867</w:t>
            </w:r>
          </w:p>
        </w:tc>
        <w:tc>
          <w:tcPr>
            <w:tcW w:w="509" w:type="pct"/>
            <w:tcBorders>
              <w:top w:val="nil"/>
              <w:left w:val="nil"/>
              <w:bottom w:val="single" w:color="auto" w:sz="4" w:space="0"/>
              <w:right w:val="single" w:color="auto" w:sz="4" w:space="0"/>
            </w:tcBorders>
            <w:vAlign w:val="center"/>
          </w:tcPr>
          <w:p w14:paraId="57AA5C14">
            <w:pPr>
              <w:spacing w:line="440" w:lineRule="atLeast"/>
              <w:jc w:val="right"/>
              <w:rPr>
                <w:rFonts w:ascii="仿宋" w:hAnsi="仿宋" w:eastAsia="仿宋" w:cs="仿宋"/>
                <w:kern w:val="0"/>
                <w:sz w:val="20"/>
                <w:szCs w:val="20"/>
              </w:rPr>
            </w:pPr>
            <w:r>
              <w:rPr>
                <w:rFonts w:hint="eastAsia" w:ascii="仿宋" w:hAnsi="仿宋" w:eastAsia="仿宋" w:cs="仿宋"/>
                <w:kern w:val="0"/>
                <w:sz w:val="20"/>
                <w:szCs w:val="20"/>
              </w:rPr>
              <w:t>151,082</w:t>
            </w:r>
          </w:p>
        </w:tc>
        <w:tc>
          <w:tcPr>
            <w:tcW w:w="509" w:type="pct"/>
            <w:tcBorders>
              <w:top w:val="nil"/>
              <w:left w:val="nil"/>
              <w:bottom w:val="single" w:color="auto" w:sz="4" w:space="0"/>
              <w:right w:val="single" w:color="auto" w:sz="4" w:space="0"/>
            </w:tcBorders>
            <w:vAlign w:val="center"/>
          </w:tcPr>
          <w:p w14:paraId="7DDCD0D2">
            <w:pPr>
              <w:spacing w:line="440" w:lineRule="atLeast"/>
              <w:jc w:val="right"/>
              <w:rPr>
                <w:rFonts w:ascii="仿宋" w:hAnsi="仿宋" w:eastAsia="仿宋" w:cs="仿宋"/>
                <w:kern w:val="0"/>
                <w:sz w:val="20"/>
                <w:szCs w:val="20"/>
              </w:rPr>
            </w:pPr>
            <w:r>
              <w:rPr>
                <w:rFonts w:hint="eastAsia" w:ascii="仿宋" w:hAnsi="仿宋" w:eastAsia="仿宋" w:cs="仿宋"/>
                <w:kern w:val="0"/>
                <w:sz w:val="20"/>
                <w:szCs w:val="20"/>
              </w:rPr>
              <w:t>178,898</w:t>
            </w:r>
          </w:p>
        </w:tc>
        <w:tc>
          <w:tcPr>
            <w:tcW w:w="509" w:type="pct"/>
            <w:tcBorders>
              <w:top w:val="nil"/>
              <w:left w:val="nil"/>
              <w:bottom w:val="single" w:color="auto" w:sz="4" w:space="0"/>
              <w:right w:val="single" w:color="auto" w:sz="4" w:space="0"/>
            </w:tcBorders>
            <w:vAlign w:val="center"/>
          </w:tcPr>
          <w:p w14:paraId="5498F3B1">
            <w:pPr>
              <w:spacing w:line="440" w:lineRule="atLeast"/>
              <w:jc w:val="right"/>
              <w:rPr>
                <w:rFonts w:ascii="仿宋" w:hAnsi="仿宋" w:eastAsia="仿宋" w:cs="仿宋"/>
                <w:kern w:val="0"/>
                <w:sz w:val="20"/>
                <w:szCs w:val="20"/>
              </w:rPr>
            </w:pPr>
            <w:r>
              <w:rPr>
                <w:rFonts w:hint="eastAsia" w:ascii="仿宋" w:hAnsi="仿宋" w:eastAsia="仿宋" w:cs="仿宋"/>
                <w:kern w:val="0"/>
                <w:sz w:val="20"/>
                <w:szCs w:val="20"/>
              </w:rPr>
              <w:t>209,872</w:t>
            </w:r>
          </w:p>
        </w:tc>
        <w:tc>
          <w:tcPr>
            <w:tcW w:w="509" w:type="pct"/>
            <w:tcBorders>
              <w:top w:val="nil"/>
              <w:left w:val="nil"/>
              <w:bottom w:val="single" w:color="auto" w:sz="4" w:space="0"/>
              <w:right w:val="single" w:color="auto" w:sz="4" w:space="0"/>
            </w:tcBorders>
            <w:vAlign w:val="center"/>
          </w:tcPr>
          <w:p w14:paraId="688A5277">
            <w:pPr>
              <w:spacing w:line="440" w:lineRule="atLeast"/>
              <w:jc w:val="right"/>
              <w:rPr>
                <w:rFonts w:ascii="仿宋" w:hAnsi="仿宋" w:eastAsia="仿宋" w:cs="仿宋"/>
                <w:kern w:val="0"/>
                <w:sz w:val="20"/>
                <w:szCs w:val="20"/>
              </w:rPr>
            </w:pPr>
            <w:r>
              <w:rPr>
                <w:rFonts w:hint="eastAsia" w:ascii="仿宋" w:hAnsi="仿宋" w:eastAsia="仿宋" w:cs="仿宋"/>
                <w:kern w:val="0"/>
                <w:sz w:val="20"/>
                <w:szCs w:val="20"/>
              </w:rPr>
              <w:t>240,962</w:t>
            </w:r>
          </w:p>
        </w:tc>
        <w:tc>
          <w:tcPr>
            <w:tcW w:w="509" w:type="pct"/>
            <w:tcBorders>
              <w:top w:val="nil"/>
              <w:left w:val="nil"/>
              <w:bottom w:val="single" w:color="auto" w:sz="4" w:space="0"/>
              <w:right w:val="single" w:color="auto" w:sz="4" w:space="0"/>
            </w:tcBorders>
            <w:vAlign w:val="center"/>
          </w:tcPr>
          <w:p w14:paraId="358FE424">
            <w:pPr>
              <w:spacing w:line="440" w:lineRule="atLeast"/>
              <w:jc w:val="right"/>
              <w:rPr>
                <w:rFonts w:ascii="仿宋" w:hAnsi="仿宋" w:eastAsia="仿宋" w:cs="仿宋"/>
                <w:kern w:val="0"/>
                <w:sz w:val="20"/>
                <w:szCs w:val="20"/>
              </w:rPr>
            </w:pPr>
            <w:r>
              <w:rPr>
                <w:rFonts w:hint="eastAsia" w:ascii="仿宋" w:hAnsi="仿宋" w:eastAsia="仿宋" w:cs="仿宋"/>
                <w:kern w:val="0"/>
                <w:sz w:val="20"/>
                <w:szCs w:val="20"/>
              </w:rPr>
              <w:t>273,577</w:t>
            </w:r>
          </w:p>
        </w:tc>
        <w:tc>
          <w:tcPr>
            <w:tcW w:w="509" w:type="pct"/>
            <w:tcBorders>
              <w:top w:val="nil"/>
              <w:left w:val="nil"/>
              <w:bottom w:val="single" w:color="auto" w:sz="4" w:space="0"/>
              <w:right w:val="single" w:color="auto" w:sz="4" w:space="0"/>
            </w:tcBorders>
            <w:vAlign w:val="center"/>
          </w:tcPr>
          <w:p w14:paraId="6B36DC6B">
            <w:pPr>
              <w:spacing w:line="440" w:lineRule="atLeast"/>
              <w:jc w:val="right"/>
              <w:rPr>
                <w:rFonts w:ascii="仿宋" w:hAnsi="仿宋" w:eastAsia="仿宋" w:cs="仿宋"/>
                <w:kern w:val="0"/>
                <w:sz w:val="20"/>
                <w:szCs w:val="20"/>
              </w:rPr>
            </w:pPr>
            <w:r>
              <w:rPr>
                <w:rFonts w:hint="eastAsia" w:ascii="仿宋" w:hAnsi="仿宋" w:eastAsia="仿宋" w:cs="仿宋"/>
                <w:kern w:val="0"/>
                <w:sz w:val="20"/>
                <w:szCs w:val="20"/>
              </w:rPr>
              <w:t>304,993</w:t>
            </w:r>
          </w:p>
        </w:tc>
        <w:tc>
          <w:tcPr>
            <w:tcW w:w="510" w:type="pct"/>
            <w:tcBorders>
              <w:top w:val="nil"/>
              <w:left w:val="nil"/>
              <w:bottom w:val="single" w:color="auto" w:sz="4" w:space="0"/>
              <w:right w:val="single" w:color="auto" w:sz="4" w:space="0"/>
            </w:tcBorders>
            <w:vAlign w:val="center"/>
          </w:tcPr>
          <w:p w14:paraId="42960710">
            <w:pPr>
              <w:spacing w:line="440" w:lineRule="atLeast"/>
              <w:jc w:val="right"/>
              <w:rPr>
                <w:rFonts w:ascii="仿宋" w:hAnsi="仿宋" w:eastAsia="仿宋" w:cs="仿宋"/>
                <w:kern w:val="0"/>
                <w:sz w:val="20"/>
                <w:szCs w:val="20"/>
              </w:rPr>
            </w:pPr>
            <w:r>
              <w:rPr>
                <w:rFonts w:hint="eastAsia" w:ascii="仿宋" w:hAnsi="仿宋" w:eastAsia="仿宋" w:cs="仿宋"/>
                <w:kern w:val="0"/>
                <w:sz w:val="20"/>
                <w:szCs w:val="20"/>
              </w:rPr>
              <w:t>334,768</w:t>
            </w:r>
          </w:p>
        </w:tc>
      </w:tr>
      <w:tr w14:paraId="17D46F79">
        <w:tblPrEx>
          <w:tblCellMar>
            <w:top w:w="0" w:type="dxa"/>
            <w:left w:w="108" w:type="dxa"/>
            <w:bottom w:w="0" w:type="dxa"/>
            <w:right w:w="108" w:type="dxa"/>
          </w:tblCellMar>
        </w:tblPrEx>
        <w:trPr>
          <w:trHeight w:val="330" w:hRule="atLeast"/>
        </w:trPr>
        <w:tc>
          <w:tcPr>
            <w:tcW w:w="830" w:type="pct"/>
            <w:tcBorders>
              <w:top w:val="nil"/>
              <w:left w:val="single" w:color="auto" w:sz="4" w:space="0"/>
              <w:bottom w:val="single" w:color="auto" w:sz="4" w:space="0"/>
              <w:right w:val="single" w:color="auto" w:sz="4" w:space="0"/>
            </w:tcBorders>
            <w:vAlign w:val="center"/>
          </w:tcPr>
          <w:p w14:paraId="06F218ED">
            <w:pPr>
              <w:spacing w:line="440" w:lineRule="atLeast"/>
              <w:jc w:val="center"/>
              <w:rPr>
                <w:rFonts w:ascii="仿宋" w:hAnsi="仿宋" w:eastAsia="仿宋" w:cs="仿宋"/>
                <w:kern w:val="0"/>
                <w:sz w:val="24"/>
              </w:rPr>
            </w:pPr>
            <w:r>
              <w:rPr>
                <w:rFonts w:hint="eastAsia" w:ascii="仿宋" w:hAnsi="仿宋" w:eastAsia="仿宋" w:cs="仿宋"/>
                <w:kern w:val="0"/>
                <w:sz w:val="24"/>
              </w:rPr>
              <w:t>贷款利息收入</w:t>
            </w:r>
          </w:p>
        </w:tc>
        <w:tc>
          <w:tcPr>
            <w:tcW w:w="603" w:type="pct"/>
            <w:tcBorders>
              <w:top w:val="nil"/>
              <w:left w:val="nil"/>
              <w:bottom w:val="single" w:color="auto" w:sz="4" w:space="0"/>
              <w:right w:val="single" w:color="auto" w:sz="4" w:space="0"/>
            </w:tcBorders>
            <w:vAlign w:val="center"/>
          </w:tcPr>
          <w:p w14:paraId="39CA3661">
            <w:pPr>
              <w:spacing w:line="440" w:lineRule="atLeast"/>
              <w:jc w:val="right"/>
              <w:rPr>
                <w:rFonts w:ascii="仿宋" w:hAnsi="仿宋" w:eastAsia="仿宋" w:cs="仿宋"/>
                <w:kern w:val="0"/>
                <w:sz w:val="20"/>
                <w:szCs w:val="20"/>
              </w:rPr>
            </w:pPr>
            <w:r>
              <w:rPr>
                <w:rFonts w:hint="eastAsia" w:ascii="仿宋" w:hAnsi="仿宋" w:eastAsia="仿宋" w:cs="仿宋"/>
                <w:kern w:val="0"/>
                <w:sz w:val="20"/>
                <w:szCs w:val="20"/>
              </w:rPr>
              <w:t>3,336</w:t>
            </w:r>
          </w:p>
        </w:tc>
        <w:tc>
          <w:tcPr>
            <w:tcW w:w="509" w:type="pct"/>
            <w:tcBorders>
              <w:top w:val="nil"/>
              <w:left w:val="nil"/>
              <w:bottom w:val="single" w:color="auto" w:sz="4" w:space="0"/>
              <w:right w:val="single" w:color="auto" w:sz="4" w:space="0"/>
            </w:tcBorders>
            <w:vAlign w:val="center"/>
          </w:tcPr>
          <w:p w14:paraId="7005A18A">
            <w:pPr>
              <w:spacing w:line="440" w:lineRule="atLeast"/>
              <w:jc w:val="right"/>
              <w:rPr>
                <w:rFonts w:ascii="仿宋" w:hAnsi="仿宋" w:eastAsia="仿宋" w:cs="仿宋"/>
                <w:kern w:val="0"/>
                <w:sz w:val="20"/>
                <w:szCs w:val="20"/>
              </w:rPr>
            </w:pPr>
            <w:r>
              <w:rPr>
                <w:rFonts w:hint="eastAsia" w:ascii="仿宋" w:hAnsi="仿宋" w:eastAsia="仿宋" w:cs="仿宋"/>
                <w:kern w:val="0"/>
                <w:sz w:val="20"/>
                <w:szCs w:val="20"/>
              </w:rPr>
              <w:t>7,755</w:t>
            </w:r>
          </w:p>
        </w:tc>
        <w:tc>
          <w:tcPr>
            <w:tcW w:w="509" w:type="pct"/>
            <w:tcBorders>
              <w:top w:val="nil"/>
              <w:left w:val="nil"/>
              <w:bottom w:val="single" w:color="auto" w:sz="4" w:space="0"/>
              <w:right w:val="single" w:color="auto" w:sz="4" w:space="0"/>
            </w:tcBorders>
            <w:vAlign w:val="center"/>
          </w:tcPr>
          <w:p w14:paraId="232445A2">
            <w:pPr>
              <w:spacing w:line="440" w:lineRule="atLeast"/>
              <w:jc w:val="right"/>
              <w:rPr>
                <w:rFonts w:ascii="仿宋" w:hAnsi="仿宋" w:eastAsia="仿宋" w:cs="仿宋"/>
                <w:kern w:val="0"/>
                <w:sz w:val="20"/>
                <w:szCs w:val="20"/>
              </w:rPr>
            </w:pPr>
            <w:r>
              <w:rPr>
                <w:rFonts w:hint="eastAsia" w:ascii="仿宋" w:hAnsi="仿宋" w:eastAsia="仿宋" w:cs="仿宋"/>
                <w:kern w:val="0"/>
                <w:sz w:val="20"/>
                <w:szCs w:val="20"/>
              </w:rPr>
              <w:t>9,183</w:t>
            </w:r>
          </w:p>
        </w:tc>
        <w:tc>
          <w:tcPr>
            <w:tcW w:w="509" w:type="pct"/>
            <w:tcBorders>
              <w:top w:val="nil"/>
              <w:left w:val="nil"/>
              <w:bottom w:val="single" w:color="auto" w:sz="4" w:space="0"/>
              <w:right w:val="single" w:color="auto" w:sz="4" w:space="0"/>
            </w:tcBorders>
            <w:vAlign w:val="center"/>
          </w:tcPr>
          <w:p w14:paraId="14C56636">
            <w:pPr>
              <w:spacing w:line="440" w:lineRule="atLeast"/>
              <w:jc w:val="right"/>
              <w:rPr>
                <w:rFonts w:ascii="仿宋" w:hAnsi="仿宋" w:eastAsia="仿宋" w:cs="仿宋"/>
                <w:kern w:val="0"/>
                <w:sz w:val="20"/>
                <w:szCs w:val="20"/>
              </w:rPr>
            </w:pPr>
            <w:r>
              <w:rPr>
                <w:rFonts w:hint="eastAsia" w:ascii="仿宋" w:hAnsi="仿宋" w:eastAsia="仿宋" w:cs="仿宋"/>
                <w:kern w:val="0"/>
                <w:sz w:val="20"/>
                <w:szCs w:val="20"/>
              </w:rPr>
              <w:t>10,773</w:t>
            </w:r>
          </w:p>
        </w:tc>
        <w:tc>
          <w:tcPr>
            <w:tcW w:w="509" w:type="pct"/>
            <w:tcBorders>
              <w:top w:val="nil"/>
              <w:left w:val="nil"/>
              <w:bottom w:val="single" w:color="auto" w:sz="4" w:space="0"/>
              <w:right w:val="single" w:color="auto" w:sz="4" w:space="0"/>
            </w:tcBorders>
            <w:vAlign w:val="center"/>
          </w:tcPr>
          <w:p w14:paraId="55F65763">
            <w:pPr>
              <w:spacing w:line="440" w:lineRule="atLeast"/>
              <w:jc w:val="right"/>
              <w:rPr>
                <w:rFonts w:ascii="仿宋" w:hAnsi="仿宋" w:eastAsia="仿宋" w:cs="仿宋"/>
                <w:kern w:val="0"/>
                <w:sz w:val="20"/>
                <w:szCs w:val="20"/>
              </w:rPr>
            </w:pPr>
            <w:r>
              <w:rPr>
                <w:rFonts w:hint="eastAsia" w:ascii="仿宋" w:hAnsi="仿宋" w:eastAsia="仿宋" w:cs="仿宋"/>
                <w:kern w:val="0"/>
                <w:sz w:val="20"/>
                <w:szCs w:val="20"/>
              </w:rPr>
              <w:t>12,369</w:t>
            </w:r>
          </w:p>
        </w:tc>
        <w:tc>
          <w:tcPr>
            <w:tcW w:w="509" w:type="pct"/>
            <w:tcBorders>
              <w:top w:val="nil"/>
              <w:left w:val="nil"/>
              <w:bottom w:val="single" w:color="auto" w:sz="4" w:space="0"/>
              <w:right w:val="single" w:color="auto" w:sz="4" w:space="0"/>
            </w:tcBorders>
            <w:vAlign w:val="center"/>
          </w:tcPr>
          <w:p w14:paraId="28E75490">
            <w:pPr>
              <w:spacing w:line="440" w:lineRule="atLeast"/>
              <w:jc w:val="right"/>
              <w:rPr>
                <w:rFonts w:ascii="仿宋" w:hAnsi="仿宋" w:eastAsia="仿宋" w:cs="仿宋"/>
                <w:kern w:val="0"/>
                <w:sz w:val="20"/>
                <w:szCs w:val="20"/>
              </w:rPr>
            </w:pPr>
            <w:r>
              <w:rPr>
                <w:rFonts w:hint="eastAsia" w:ascii="仿宋" w:hAnsi="仿宋" w:eastAsia="仿宋" w:cs="仿宋"/>
                <w:kern w:val="0"/>
                <w:sz w:val="20"/>
                <w:szCs w:val="20"/>
              </w:rPr>
              <w:t>14,043</w:t>
            </w:r>
          </w:p>
        </w:tc>
        <w:tc>
          <w:tcPr>
            <w:tcW w:w="509" w:type="pct"/>
            <w:tcBorders>
              <w:top w:val="nil"/>
              <w:left w:val="nil"/>
              <w:bottom w:val="single" w:color="auto" w:sz="4" w:space="0"/>
              <w:right w:val="single" w:color="auto" w:sz="4" w:space="0"/>
            </w:tcBorders>
            <w:vAlign w:val="center"/>
          </w:tcPr>
          <w:p w14:paraId="5819E43E">
            <w:pPr>
              <w:spacing w:line="440" w:lineRule="atLeast"/>
              <w:jc w:val="right"/>
              <w:rPr>
                <w:rFonts w:ascii="仿宋" w:hAnsi="仿宋" w:eastAsia="仿宋" w:cs="仿宋"/>
                <w:kern w:val="0"/>
                <w:sz w:val="20"/>
                <w:szCs w:val="20"/>
              </w:rPr>
            </w:pPr>
            <w:r>
              <w:rPr>
                <w:rFonts w:hint="eastAsia" w:ascii="仿宋" w:hAnsi="仿宋" w:eastAsia="仿宋" w:cs="仿宋"/>
                <w:kern w:val="0"/>
                <w:sz w:val="20"/>
                <w:szCs w:val="20"/>
              </w:rPr>
              <w:t>15,655</w:t>
            </w:r>
          </w:p>
        </w:tc>
        <w:tc>
          <w:tcPr>
            <w:tcW w:w="510" w:type="pct"/>
            <w:tcBorders>
              <w:top w:val="nil"/>
              <w:left w:val="nil"/>
              <w:bottom w:val="single" w:color="auto" w:sz="4" w:space="0"/>
              <w:right w:val="single" w:color="auto" w:sz="4" w:space="0"/>
            </w:tcBorders>
            <w:vAlign w:val="center"/>
          </w:tcPr>
          <w:p w14:paraId="7883E068">
            <w:pPr>
              <w:spacing w:line="440" w:lineRule="atLeast"/>
              <w:jc w:val="right"/>
              <w:rPr>
                <w:rFonts w:ascii="仿宋" w:hAnsi="仿宋" w:eastAsia="仿宋" w:cs="仿宋"/>
                <w:kern w:val="0"/>
                <w:sz w:val="20"/>
                <w:szCs w:val="20"/>
              </w:rPr>
            </w:pPr>
            <w:r>
              <w:rPr>
                <w:rFonts w:hint="eastAsia" w:ascii="仿宋" w:hAnsi="仿宋" w:eastAsia="仿宋" w:cs="仿宋"/>
                <w:kern w:val="0"/>
                <w:sz w:val="20"/>
                <w:szCs w:val="20"/>
              </w:rPr>
              <w:t>17,184</w:t>
            </w:r>
          </w:p>
        </w:tc>
      </w:tr>
      <w:tr w14:paraId="5CD1D1A5">
        <w:tblPrEx>
          <w:tblCellMar>
            <w:top w:w="0" w:type="dxa"/>
            <w:left w:w="108" w:type="dxa"/>
            <w:bottom w:w="0" w:type="dxa"/>
            <w:right w:w="108" w:type="dxa"/>
          </w:tblCellMar>
        </w:tblPrEx>
        <w:trPr>
          <w:trHeight w:val="330" w:hRule="atLeast"/>
        </w:trPr>
        <w:tc>
          <w:tcPr>
            <w:tcW w:w="830" w:type="pct"/>
            <w:tcBorders>
              <w:top w:val="nil"/>
              <w:left w:val="single" w:color="auto" w:sz="4" w:space="0"/>
              <w:bottom w:val="single" w:color="auto" w:sz="4" w:space="0"/>
              <w:right w:val="single" w:color="auto" w:sz="4" w:space="0"/>
            </w:tcBorders>
            <w:vAlign w:val="center"/>
          </w:tcPr>
          <w:p w14:paraId="73049D30">
            <w:pPr>
              <w:spacing w:line="440" w:lineRule="atLeast"/>
              <w:jc w:val="center"/>
              <w:rPr>
                <w:rFonts w:ascii="仿宋" w:hAnsi="仿宋" w:eastAsia="仿宋" w:cs="仿宋"/>
                <w:kern w:val="0"/>
                <w:sz w:val="24"/>
              </w:rPr>
            </w:pPr>
            <w:r>
              <w:rPr>
                <w:rFonts w:hint="eastAsia" w:ascii="仿宋" w:hAnsi="仿宋" w:eastAsia="仿宋" w:cs="仿宋"/>
                <w:kern w:val="0"/>
                <w:sz w:val="24"/>
              </w:rPr>
              <w:t>平均利率（%）</w:t>
            </w:r>
          </w:p>
        </w:tc>
        <w:tc>
          <w:tcPr>
            <w:tcW w:w="603" w:type="pct"/>
            <w:tcBorders>
              <w:top w:val="nil"/>
              <w:left w:val="nil"/>
              <w:bottom w:val="single" w:color="auto" w:sz="4" w:space="0"/>
              <w:right w:val="single" w:color="auto" w:sz="4" w:space="0"/>
            </w:tcBorders>
            <w:vAlign w:val="center"/>
          </w:tcPr>
          <w:p w14:paraId="13DA0A16">
            <w:pPr>
              <w:spacing w:line="440" w:lineRule="atLeast"/>
              <w:jc w:val="right"/>
              <w:rPr>
                <w:rFonts w:ascii="仿宋" w:hAnsi="仿宋" w:eastAsia="仿宋" w:cs="仿宋"/>
                <w:kern w:val="0"/>
                <w:sz w:val="20"/>
                <w:szCs w:val="20"/>
              </w:rPr>
            </w:pPr>
            <w:r>
              <w:rPr>
                <w:rFonts w:hint="eastAsia" w:ascii="仿宋" w:hAnsi="仿宋" w:eastAsia="仿宋" w:cs="仿宋"/>
                <w:kern w:val="0"/>
                <w:sz w:val="20"/>
                <w:szCs w:val="20"/>
              </w:rPr>
              <w:t>2.59</w:t>
            </w:r>
          </w:p>
        </w:tc>
        <w:tc>
          <w:tcPr>
            <w:tcW w:w="509" w:type="pct"/>
            <w:tcBorders>
              <w:top w:val="nil"/>
              <w:left w:val="nil"/>
              <w:bottom w:val="single" w:color="auto" w:sz="4" w:space="0"/>
              <w:right w:val="single" w:color="auto" w:sz="4" w:space="0"/>
            </w:tcBorders>
            <w:vAlign w:val="center"/>
          </w:tcPr>
          <w:p w14:paraId="6C3C2612">
            <w:pPr>
              <w:spacing w:line="440" w:lineRule="atLeast"/>
              <w:jc w:val="right"/>
              <w:rPr>
                <w:rFonts w:ascii="仿宋" w:hAnsi="仿宋" w:eastAsia="仿宋" w:cs="仿宋"/>
                <w:kern w:val="0"/>
                <w:sz w:val="20"/>
                <w:szCs w:val="20"/>
              </w:rPr>
            </w:pPr>
            <w:r>
              <w:rPr>
                <w:rFonts w:hint="eastAsia" w:ascii="仿宋" w:hAnsi="仿宋" w:eastAsia="仿宋" w:cs="仿宋"/>
                <w:kern w:val="0"/>
                <w:sz w:val="20"/>
                <w:szCs w:val="20"/>
              </w:rPr>
              <w:t>5.13</w:t>
            </w:r>
          </w:p>
        </w:tc>
        <w:tc>
          <w:tcPr>
            <w:tcW w:w="509" w:type="pct"/>
            <w:tcBorders>
              <w:top w:val="nil"/>
              <w:left w:val="nil"/>
              <w:bottom w:val="single" w:color="auto" w:sz="4" w:space="0"/>
              <w:right w:val="single" w:color="auto" w:sz="4" w:space="0"/>
            </w:tcBorders>
            <w:vAlign w:val="center"/>
          </w:tcPr>
          <w:p w14:paraId="71273771">
            <w:pPr>
              <w:spacing w:line="440" w:lineRule="atLeast"/>
              <w:jc w:val="right"/>
              <w:rPr>
                <w:rFonts w:ascii="仿宋" w:hAnsi="仿宋" w:eastAsia="仿宋" w:cs="仿宋"/>
                <w:kern w:val="0"/>
                <w:sz w:val="20"/>
                <w:szCs w:val="20"/>
              </w:rPr>
            </w:pPr>
            <w:r>
              <w:rPr>
                <w:rFonts w:hint="eastAsia" w:ascii="仿宋" w:hAnsi="仿宋" w:eastAsia="仿宋" w:cs="仿宋"/>
                <w:kern w:val="0"/>
                <w:sz w:val="20"/>
                <w:szCs w:val="20"/>
              </w:rPr>
              <w:t>5.13</w:t>
            </w:r>
          </w:p>
        </w:tc>
        <w:tc>
          <w:tcPr>
            <w:tcW w:w="509" w:type="pct"/>
            <w:tcBorders>
              <w:top w:val="nil"/>
              <w:left w:val="nil"/>
              <w:bottom w:val="single" w:color="auto" w:sz="4" w:space="0"/>
              <w:right w:val="single" w:color="auto" w:sz="4" w:space="0"/>
            </w:tcBorders>
            <w:vAlign w:val="center"/>
          </w:tcPr>
          <w:p w14:paraId="034CF6F6">
            <w:pPr>
              <w:spacing w:line="440" w:lineRule="atLeast"/>
              <w:jc w:val="right"/>
              <w:rPr>
                <w:rFonts w:ascii="仿宋" w:hAnsi="仿宋" w:eastAsia="仿宋" w:cs="仿宋"/>
                <w:kern w:val="0"/>
                <w:sz w:val="20"/>
                <w:szCs w:val="20"/>
              </w:rPr>
            </w:pPr>
            <w:r>
              <w:rPr>
                <w:rFonts w:hint="eastAsia" w:ascii="仿宋" w:hAnsi="仿宋" w:eastAsia="仿宋" w:cs="仿宋"/>
                <w:kern w:val="0"/>
                <w:sz w:val="20"/>
                <w:szCs w:val="20"/>
              </w:rPr>
              <w:t>5.13</w:t>
            </w:r>
          </w:p>
        </w:tc>
        <w:tc>
          <w:tcPr>
            <w:tcW w:w="509" w:type="pct"/>
            <w:tcBorders>
              <w:top w:val="nil"/>
              <w:left w:val="nil"/>
              <w:bottom w:val="single" w:color="auto" w:sz="4" w:space="0"/>
              <w:right w:val="single" w:color="auto" w:sz="4" w:space="0"/>
            </w:tcBorders>
            <w:vAlign w:val="center"/>
          </w:tcPr>
          <w:p w14:paraId="687E2DB7">
            <w:pPr>
              <w:spacing w:line="440" w:lineRule="atLeast"/>
              <w:jc w:val="right"/>
              <w:rPr>
                <w:rFonts w:ascii="仿宋" w:hAnsi="仿宋" w:eastAsia="仿宋" w:cs="仿宋"/>
                <w:kern w:val="0"/>
                <w:sz w:val="20"/>
                <w:szCs w:val="20"/>
              </w:rPr>
            </w:pPr>
            <w:r>
              <w:rPr>
                <w:rFonts w:hint="eastAsia" w:ascii="仿宋" w:hAnsi="仿宋" w:eastAsia="仿宋" w:cs="仿宋"/>
                <w:kern w:val="0"/>
                <w:sz w:val="20"/>
                <w:szCs w:val="20"/>
              </w:rPr>
              <w:t>5.13</w:t>
            </w:r>
          </w:p>
        </w:tc>
        <w:tc>
          <w:tcPr>
            <w:tcW w:w="509" w:type="pct"/>
            <w:tcBorders>
              <w:top w:val="nil"/>
              <w:left w:val="nil"/>
              <w:bottom w:val="single" w:color="auto" w:sz="4" w:space="0"/>
              <w:right w:val="single" w:color="auto" w:sz="4" w:space="0"/>
            </w:tcBorders>
            <w:vAlign w:val="center"/>
          </w:tcPr>
          <w:p w14:paraId="032C57BC">
            <w:pPr>
              <w:spacing w:line="440" w:lineRule="atLeast"/>
              <w:jc w:val="right"/>
              <w:rPr>
                <w:rFonts w:ascii="仿宋" w:hAnsi="仿宋" w:eastAsia="仿宋" w:cs="仿宋"/>
                <w:kern w:val="0"/>
                <w:sz w:val="20"/>
                <w:szCs w:val="20"/>
              </w:rPr>
            </w:pPr>
            <w:r>
              <w:rPr>
                <w:rFonts w:hint="eastAsia" w:ascii="仿宋" w:hAnsi="仿宋" w:eastAsia="仿宋" w:cs="仿宋"/>
                <w:kern w:val="0"/>
                <w:sz w:val="20"/>
                <w:szCs w:val="20"/>
              </w:rPr>
              <w:t>5.13</w:t>
            </w:r>
          </w:p>
        </w:tc>
        <w:tc>
          <w:tcPr>
            <w:tcW w:w="509" w:type="pct"/>
            <w:tcBorders>
              <w:top w:val="nil"/>
              <w:left w:val="nil"/>
              <w:bottom w:val="single" w:color="auto" w:sz="4" w:space="0"/>
              <w:right w:val="single" w:color="auto" w:sz="4" w:space="0"/>
            </w:tcBorders>
            <w:vAlign w:val="center"/>
          </w:tcPr>
          <w:p w14:paraId="33A7190E">
            <w:pPr>
              <w:spacing w:line="440" w:lineRule="atLeast"/>
              <w:jc w:val="right"/>
              <w:rPr>
                <w:rFonts w:ascii="仿宋" w:hAnsi="仿宋" w:eastAsia="仿宋" w:cs="仿宋"/>
                <w:kern w:val="0"/>
                <w:sz w:val="20"/>
                <w:szCs w:val="20"/>
              </w:rPr>
            </w:pPr>
            <w:r>
              <w:rPr>
                <w:rFonts w:hint="eastAsia" w:ascii="仿宋" w:hAnsi="仿宋" w:eastAsia="仿宋" w:cs="仿宋"/>
                <w:kern w:val="0"/>
                <w:sz w:val="20"/>
                <w:szCs w:val="20"/>
              </w:rPr>
              <w:t>5.13</w:t>
            </w:r>
          </w:p>
        </w:tc>
        <w:tc>
          <w:tcPr>
            <w:tcW w:w="510" w:type="pct"/>
            <w:tcBorders>
              <w:top w:val="nil"/>
              <w:left w:val="nil"/>
              <w:bottom w:val="single" w:color="auto" w:sz="4" w:space="0"/>
              <w:right w:val="single" w:color="auto" w:sz="4" w:space="0"/>
            </w:tcBorders>
            <w:vAlign w:val="center"/>
          </w:tcPr>
          <w:p w14:paraId="635286CF">
            <w:pPr>
              <w:spacing w:line="440" w:lineRule="atLeast"/>
              <w:jc w:val="right"/>
              <w:rPr>
                <w:rFonts w:ascii="仿宋" w:hAnsi="仿宋" w:eastAsia="仿宋" w:cs="仿宋"/>
                <w:kern w:val="0"/>
                <w:sz w:val="20"/>
                <w:szCs w:val="20"/>
              </w:rPr>
            </w:pPr>
            <w:r>
              <w:rPr>
                <w:rFonts w:hint="eastAsia" w:ascii="仿宋" w:hAnsi="仿宋" w:eastAsia="仿宋" w:cs="仿宋"/>
                <w:kern w:val="0"/>
                <w:sz w:val="20"/>
                <w:szCs w:val="20"/>
              </w:rPr>
              <w:t>5.13</w:t>
            </w:r>
          </w:p>
        </w:tc>
      </w:tr>
    </w:tbl>
    <w:p w14:paraId="2858111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2．手续费及佣金收入预测</w:t>
      </w:r>
    </w:p>
    <w:p w14:paraId="7C9F777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xx银行的手续费及佣金收入主要为结算和清算手续费收入、代理业务手续费收入、银行卡手续费收入、托管及其他受托业务收入及其他业务收入。</w:t>
      </w:r>
    </w:p>
    <w:p w14:paraId="4255369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我国上市银行手续费及佣金净收入的增长速度很快，10家上市银行复合增长速度达到了57.18%，资产评估师对xx银行的手续费及佣金收入的预测一方面考虑xx银行自身的因素，另一方面也受此因素的影响。</w:t>
      </w:r>
    </w:p>
    <w:p w14:paraId="7E2EF33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（1）同行业商业银行手续费及佣金净收入复合增长速度表</w:t>
      </w:r>
    </w:p>
    <w:tbl>
      <w:tblPr>
        <w:tblStyle w:val="24"/>
        <w:tblW w:w="79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50"/>
        <w:gridCol w:w="2107"/>
        <w:gridCol w:w="2403"/>
        <w:gridCol w:w="1092"/>
      </w:tblGrid>
      <w:tr w14:paraId="24FC2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2350" w:type="dxa"/>
            <w:vAlign w:val="center"/>
          </w:tcPr>
          <w:p w14:paraId="0BB166D5">
            <w:pPr>
              <w:spacing w:line="440" w:lineRule="atLeast"/>
              <w:jc w:val="center"/>
              <w:rPr>
                <w:rFonts w:ascii="仿宋" w:hAnsi="仿宋" w:eastAsia="仿宋" w:cs="仿宋"/>
                <w:b/>
                <w:bCs/>
                <w:kern w:val="0"/>
                <w:sz w:val="24"/>
              </w:rPr>
            </w:pPr>
            <w:r>
              <w:rPr>
                <w:rFonts w:hint="eastAsia" w:ascii="仿宋" w:hAnsi="仿宋" w:eastAsia="仿宋" w:cs="仿宋"/>
                <w:b/>
                <w:bCs/>
                <w:kern w:val="0"/>
                <w:sz w:val="24"/>
              </w:rPr>
              <w:t>证券代码</w:t>
            </w:r>
          </w:p>
        </w:tc>
        <w:tc>
          <w:tcPr>
            <w:tcW w:w="2107" w:type="dxa"/>
            <w:vAlign w:val="center"/>
          </w:tcPr>
          <w:p w14:paraId="7ECAB450">
            <w:pPr>
              <w:spacing w:line="440" w:lineRule="atLeast"/>
              <w:jc w:val="center"/>
              <w:rPr>
                <w:rFonts w:ascii="仿宋" w:hAnsi="仿宋" w:eastAsia="仿宋" w:cs="仿宋"/>
                <w:b/>
                <w:bCs/>
                <w:kern w:val="0"/>
                <w:sz w:val="24"/>
              </w:rPr>
            </w:pPr>
            <w:r>
              <w:rPr>
                <w:rFonts w:hint="eastAsia" w:ascii="仿宋" w:hAnsi="仿宋" w:eastAsia="仿宋" w:cs="仿宋"/>
                <w:b/>
                <w:bCs/>
                <w:kern w:val="0"/>
                <w:sz w:val="24"/>
              </w:rPr>
              <w:t>证券简称</w:t>
            </w:r>
          </w:p>
        </w:tc>
        <w:tc>
          <w:tcPr>
            <w:tcW w:w="2403" w:type="dxa"/>
            <w:vAlign w:val="center"/>
          </w:tcPr>
          <w:p w14:paraId="64B08888">
            <w:pPr>
              <w:spacing w:line="440" w:lineRule="atLeast"/>
              <w:jc w:val="center"/>
              <w:rPr>
                <w:rFonts w:ascii="仿宋" w:hAnsi="仿宋" w:eastAsia="仿宋" w:cs="仿宋"/>
                <w:b/>
                <w:bCs/>
                <w:kern w:val="0"/>
                <w:sz w:val="24"/>
              </w:rPr>
            </w:pPr>
            <w:r>
              <w:rPr>
                <w:rFonts w:hint="eastAsia" w:ascii="仿宋" w:hAnsi="仿宋" w:eastAsia="仿宋" w:cs="仿宋"/>
                <w:b/>
                <w:bCs/>
                <w:kern w:val="0"/>
                <w:sz w:val="24"/>
              </w:rPr>
              <w:t>手续费及佣金净收入</w:t>
            </w:r>
          </w:p>
        </w:tc>
        <w:tc>
          <w:tcPr>
            <w:tcW w:w="1092" w:type="dxa"/>
            <w:vAlign w:val="center"/>
          </w:tcPr>
          <w:p w14:paraId="2FB9DD78">
            <w:pPr>
              <w:spacing w:line="440" w:lineRule="atLeast"/>
              <w:jc w:val="center"/>
              <w:rPr>
                <w:rFonts w:ascii="仿宋" w:hAnsi="仿宋" w:eastAsia="仿宋" w:cs="仿宋"/>
                <w:b/>
                <w:bCs/>
                <w:kern w:val="0"/>
                <w:sz w:val="24"/>
              </w:rPr>
            </w:pPr>
            <w:r>
              <w:rPr>
                <w:rFonts w:hint="eastAsia" w:ascii="仿宋" w:hAnsi="仿宋" w:eastAsia="仿宋" w:cs="仿宋"/>
                <w:b/>
                <w:bCs/>
                <w:kern w:val="0"/>
                <w:sz w:val="24"/>
              </w:rPr>
              <w:t>年限</w:t>
            </w:r>
          </w:p>
        </w:tc>
      </w:tr>
      <w:tr w14:paraId="2BBD8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2350" w:type="dxa"/>
            <w:vAlign w:val="center"/>
          </w:tcPr>
          <w:p w14:paraId="32B94232">
            <w:pPr>
              <w:spacing w:line="440" w:lineRule="atLeast"/>
              <w:jc w:val="center"/>
              <w:rPr>
                <w:rFonts w:ascii="仿宋" w:hAnsi="仿宋" w:eastAsia="仿宋" w:cs="仿宋"/>
                <w:kern w:val="0"/>
                <w:sz w:val="24"/>
              </w:rPr>
            </w:pPr>
            <w:r>
              <w:rPr>
                <w:rFonts w:hint="eastAsia" w:ascii="仿宋" w:hAnsi="仿宋" w:eastAsia="仿宋" w:cs="仿宋"/>
                <w:kern w:val="0"/>
                <w:sz w:val="24"/>
              </w:rPr>
              <w:t>000001.SZ</w:t>
            </w:r>
          </w:p>
        </w:tc>
        <w:tc>
          <w:tcPr>
            <w:tcW w:w="2107" w:type="dxa"/>
            <w:vAlign w:val="center"/>
          </w:tcPr>
          <w:p w14:paraId="17712969">
            <w:pPr>
              <w:spacing w:line="440" w:lineRule="atLeast"/>
              <w:jc w:val="center"/>
              <w:rPr>
                <w:rFonts w:ascii="仿宋" w:hAnsi="仿宋" w:eastAsia="仿宋" w:cs="仿宋"/>
                <w:kern w:val="0"/>
                <w:sz w:val="24"/>
              </w:rPr>
            </w:pPr>
            <w:r>
              <w:rPr>
                <w:rFonts w:hint="eastAsia" w:ascii="仿宋" w:hAnsi="仿宋" w:eastAsia="仿宋" w:cs="仿宋"/>
                <w:kern w:val="0"/>
                <w:sz w:val="24"/>
              </w:rPr>
              <w:t>深发展A</w:t>
            </w:r>
          </w:p>
        </w:tc>
        <w:tc>
          <w:tcPr>
            <w:tcW w:w="2403" w:type="dxa"/>
            <w:vAlign w:val="center"/>
          </w:tcPr>
          <w:p w14:paraId="1A2E8AD9">
            <w:pPr>
              <w:spacing w:line="440" w:lineRule="atLeast"/>
              <w:jc w:val="right"/>
              <w:rPr>
                <w:rFonts w:ascii="仿宋" w:hAnsi="仿宋" w:eastAsia="仿宋" w:cs="仿宋"/>
                <w:kern w:val="0"/>
                <w:sz w:val="24"/>
              </w:rPr>
            </w:pPr>
            <w:r>
              <w:rPr>
                <w:rFonts w:hint="eastAsia" w:ascii="仿宋" w:hAnsi="仿宋" w:eastAsia="仿宋" w:cs="仿宋"/>
                <w:kern w:val="0"/>
                <w:sz w:val="24"/>
              </w:rPr>
              <w:t>52.77%</w:t>
            </w:r>
          </w:p>
        </w:tc>
        <w:tc>
          <w:tcPr>
            <w:tcW w:w="1092" w:type="dxa"/>
            <w:vAlign w:val="center"/>
          </w:tcPr>
          <w:p w14:paraId="0639A64D">
            <w:pPr>
              <w:spacing w:line="440" w:lineRule="atLeast"/>
              <w:jc w:val="right"/>
              <w:rPr>
                <w:rFonts w:ascii="仿宋" w:hAnsi="仿宋" w:eastAsia="仿宋" w:cs="仿宋"/>
                <w:kern w:val="0"/>
                <w:sz w:val="24"/>
              </w:rPr>
            </w:pPr>
            <w:r>
              <w:rPr>
                <w:rFonts w:hint="eastAsia" w:ascii="仿宋" w:hAnsi="仿宋" w:eastAsia="仿宋" w:cs="仿宋"/>
                <w:kern w:val="0"/>
                <w:sz w:val="24"/>
              </w:rPr>
              <w:t>10</w:t>
            </w:r>
          </w:p>
        </w:tc>
      </w:tr>
      <w:tr w14:paraId="62772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2350" w:type="dxa"/>
            <w:vAlign w:val="center"/>
          </w:tcPr>
          <w:p w14:paraId="5C7D4D95">
            <w:pPr>
              <w:spacing w:line="440" w:lineRule="atLeast"/>
              <w:jc w:val="center"/>
              <w:rPr>
                <w:rFonts w:ascii="仿宋" w:hAnsi="仿宋" w:eastAsia="仿宋" w:cs="仿宋"/>
                <w:kern w:val="0"/>
                <w:sz w:val="24"/>
              </w:rPr>
            </w:pPr>
            <w:r>
              <w:rPr>
                <w:rFonts w:hint="eastAsia" w:ascii="仿宋" w:hAnsi="仿宋" w:eastAsia="仿宋" w:cs="仿宋"/>
                <w:kern w:val="0"/>
                <w:sz w:val="24"/>
              </w:rPr>
              <w:t>002142.SZ</w:t>
            </w:r>
          </w:p>
        </w:tc>
        <w:tc>
          <w:tcPr>
            <w:tcW w:w="2107" w:type="dxa"/>
            <w:vAlign w:val="center"/>
          </w:tcPr>
          <w:p w14:paraId="0D536DCD">
            <w:pPr>
              <w:spacing w:line="440" w:lineRule="atLeast"/>
              <w:jc w:val="center"/>
              <w:rPr>
                <w:rFonts w:ascii="仿宋" w:hAnsi="仿宋" w:eastAsia="仿宋" w:cs="仿宋"/>
                <w:kern w:val="0"/>
                <w:sz w:val="24"/>
              </w:rPr>
            </w:pPr>
            <w:r>
              <w:rPr>
                <w:rFonts w:hint="eastAsia" w:ascii="仿宋" w:hAnsi="仿宋" w:eastAsia="仿宋" w:cs="仿宋"/>
                <w:kern w:val="0"/>
                <w:sz w:val="24"/>
              </w:rPr>
              <w:t>宁波银行</w:t>
            </w:r>
          </w:p>
        </w:tc>
        <w:tc>
          <w:tcPr>
            <w:tcW w:w="2403" w:type="dxa"/>
            <w:vAlign w:val="center"/>
          </w:tcPr>
          <w:p w14:paraId="44DBD3BD">
            <w:pPr>
              <w:spacing w:line="440" w:lineRule="atLeast"/>
              <w:jc w:val="right"/>
              <w:rPr>
                <w:rFonts w:ascii="仿宋" w:hAnsi="仿宋" w:eastAsia="仿宋" w:cs="仿宋"/>
                <w:kern w:val="0"/>
                <w:sz w:val="24"/>
              </w:rPr>
            </w:pPr>
            <w:r>
              <w:rPr>
                <w:rFonts w:hint="eastAsia" w:ascii="仿宋" w:hAnsi="仿宋" w:eastAsia="仿宋" w:cs="仿宋"/>
                <w:kern w:val="0"/>
                <w:sz w:val="24"/>
              </w:rPr>
              <w:t>51.53%</w:t>
            </w:r>
          </w:p>
        </w:tc>
        <w:tc>
          <w:tcPr>
            <w:tcW w:w="1092" w:type="dxa"/>
            <w:vAlign w:val="center"/>
          </w:tcPr>
          <w:p w14:paraId="47C9DA6F">
            <w:pPr>
              <w:spacing w:line="440" w:lineRule="atLeast"/>
              <w:jc w:val="right"/>
              <w:rPr>
                <w:rFonts w:ascii="仿宋" w:hAnsi="仿宋" w:eastAsia="仿宋" w:cs="仿宋"/>
                <w:kern w:val="0"/>
                <w:sz w:val="24"/>
              </w:rPr>
            </w:pPr>
            <w:r>
              <w:rPr>
                <w:rFonts w:hint="eastAsia" w:ascii="仿宋" w:hAnsi="仿宋" w:eastAsia="仿宋" w:cs="仿宋"/>
                <w:kern w:val="0"/>
                <w:sz w:val="24"/>
              </w:rPr>
              <w:t>5</w:t>
            </w:r>
          </w:p>
        </w:tc>
      </w:tr>
      <w:tr w14:paraId="7992C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2350" w:type="dxa"/>
            <w:vAlign w:val="center"/>
          </w:tcPr>
          <w:p w14:paraId="51AF4992">
            <w:pPr>
              <w:spacing w:line="440" w:lineRule="atLeast"/>
              <w:jc w:val="center"/>
              <w:rPr>
                <w:rFonts w:ascii="仿宋" w:hAnsi="仿宋" w:eastAsia="仿宋" w:cs="仿宋"/>
                <w:kern w:val="0"/>
                <w:sz w:val="24"/>
              </w:rPr>
            </w:pPr>
            <w:r>
              <w:rPr>
                <w:rFonts w:hint="eastAsia" w:ascii="仿宋" w:hAnsi="仿宋" w:eastAsia="仿宋" w:cs="仿宋"/>
                <w:kern w:val="0"/>
                <w:sz w:val="24"/>
              </w:rPr>
              <w:t>600000.SH</w:t>
            </w:r>
          </w:p>
        </w:tc>
        <w:tc>
          <w:tcPr>
            <w:tcW w:w="2107" w:type="dxa"/>
            <w:vAlign w:val="center"/>
          </w:tcPr>
          <w:p w14:paraId="1AEDD826">
            <w:pPr>
              <w:spacing w:line="440" w:lineRule="atLeast"/>
              <w:jc w:val="center"/>
              <w:rPr>
                <w:rFonts w:ascii="仿宋" w:hAnsi="仿宋" w:eastAsia="仿宋" w:cs="仿宋"/>
                <w:kern w:val="0"/>
                <w:sz w:val="24"/>
              </w:rPr>
            </w:pPr>
            <w:r>
              <w:rPr>
                <w:rFonts w:hint="eastAsia" w:ascii="仿宋" w:hAnsi="仿宋" w:eastAsia="仿宋" w:cs="仿宋"/>
                <w:kern w:val="0"/>
                <w:sz w:val="24"/>
              </w:rPr>
              <w:t>浦发银行</w:t>
            </w:r>
          </w:p>
        </w:tc>
        <w:tc>
          <w:tcPr>
            <w:tcW w:w="2403" w:type="dxa"/>
            <w:vAlign w:val="center"/>
          </w:tcPr>
          <w:p w14:paraId="02019CB8">
            <w:pPr>
              <w:spacing w:line="440" w:lineRule="atLeast"/>
              <w:jc w:val="right"/>
              <w:rPr>
                <w:rFonts w:ascii="仿宋" w:hAnsi="仿宋" w:eastAsia="仿宋" w:cs="仿宋"/>
                <w:kern w:val="0"/>
                <w:sz w:val="24"/>
              </w:rPr>
            </w:pPr>
            <w:r>
              <w:rPr>
                <w:rFonts w:hint="eastAsia" w:ascii="仿宋" w:hAnsi="仿宋" w:eastAsia="仿宋" w:cs="仿宋"/>
                <w:kern w:val="0"/>
                <w:sz w:val="24"/>
              </w:rPr>
              <w:t>47.43%</w:t>
            </w:r>
          </w:p>
        </w:tc>
        <w:tc>
          <w:tcPr>
            <w:tcW w:w="1092" w:type="dxa"/>
            <w:vAlign w:val="center"/>
          </w:tcPr>
          <w:p w14:paraId="6F8067FD">
            <w:pPr>
              <w:spacing w:line="440" w:lineRule="atLeast"/>
              <w:jc w:val="right"/>
              <w:rPr>
                <w:rFonts w:ascii="仿宋" w:hAnsi="仿宋" w:eastAsia="仿宋" w:cs="仿宋"/>
                <w:kern w:val="0"/>
                <w:sz w:val="24"/>
              </w:rPr>
            </w:pPr>
            <w:r>
              <w:rPr>
                <w:rFonts w:hint="eastAsia" w:ascii="仿宋" w:hAnsi="仿宋" w:eastAsia="仿宋" w:cs="仿宋"/>
                <w:kern w:val="0"/>
                <w:sz w:val="24"/>
              </w:rPr>
              <w:t>10</w:t>
            </w:r>
          </w:p>
        </w:tc>
      </w:tr>
      <w:tr w14:paraId="41996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2350" w:type="dxa"/>
            <w:vAlign w:val="center"/>
          </w:tcPr>
          <w:p w14:paraId="34A442F4">
            <w:pPr>
              <w:spacing w:line="440" w:lineRule="atLeast"/>
              <w:jc w:val="center"/>
              <w:rPr>
                <w:rFonts w:ascii="仿宋" w:hAnsi="仿宋" w:eastAsia="仿宋" w:cs="仿宋"/>
                <w:kern w:val="0"/>
                <w:sz w:val="24"/>
              </w:rPr>
            </w:pPr>
            <w:r>
              <w:rPr>
                <w:rFonts w:hint="eastAsia" w:ascii="仿宋" w:hAnsi="仿宋" w:eastAsia="仿宋" w:cs="仿宋"/>
                <w:kern w:val="0"/>
                <w:sz w:val="24"/>
              </w:rPr>
              <w:t>600015.SH</w:t>
            </w:r>
          </w:p>
        </w:tc>
        <w:tc>
          <w:tcPr>
            <w:tcW w:w="2107" w:type="dxa"/>
            <w:vAlign w:val="center"/>
          </w:tcPr>
          <w:p w14:paraId="40D7AFCD">
            <w:pPr>
              <w:spacing w:line="440" w:lineRule="atLeast"/>
              <w:jc w:val="center"/>
              <w:rPr>
                <w:rFonts w:ascii="仿宋" w:hAnsi="仿宋" w:eastAsia="仿宋" w:cs="仿宋"/>
                <w:kern w:val="0"/>
                <w:sz w:val="24"/>
              </w:rPr>
            </w:pPr>
            <w:r>
              <w:rPr>
                <w:rFonts w:hint="eastAsia" w:ascii="仿宋" w:hAnsi="仿宋" w:eastAsia="仿宋" w:cs="仿宋"/>
                <w:kern w:val="0"/>
                <w:sz w:val="24"/>
              </w:rPr>
              <w:t>华夏银行</w:t>
            </w:r>
          </w:p>
        </w:tc>
        <w:tc>
          <w:tcPr>
            <w:tcW w:w="2403" w:type="dxa"/>
            <w:vAlign w:val="center"/>
          </w:tcPr>
          <w:p w14:paraId="4A1F269F">
            <w:pPr>
              <w:spacing w:line="440" w:lineRule="atLeast"/>
              <w:jc w:val="right"/>
              <w:rPr>
                <w:rFonts w:ascii="仿宋" w:hAnsi="仿宋" w:eastAsia="仿宋" w:cs="仿宋"/>
                <w:kern w:val="0"/>
                <w:sz w:val="24"/>
              </w:rPr>
            </w:pPr>
            <w:r>
              <w:rPr>
                <w:rFonts w:hint="eastAsia" w:ascii="仿宋" w:hAnsi="仿宋" w:eastAsia="仿宋" w:cs="仿宋"/>
                <w:kern w:val="0"/>
                <w:sz w:val="24"/>
              </w:rPr>
              <w:t>36.27%</w:t>
            </w:r>
          </w:p>
        </w:tc>
        <w:tc>
          <w:tcPr>
            <w:tcW w:w="1092" w:type="dxa"/>
            <w:vAlign w:val="center"/>
          </w:tcPr>
          <w:p w14:paraId="66BFCA05">
            <w:pPr>
              <w:spacing w:line="440" w:lineRule="atLeast"/>
              <w:jc w:val="right"/>
              <w:rPr>
                <w:rFonts w:ascii="仿宋" w:hAnsi="仿宋" w:eastAsia="仿宋" w:cs="仿宋"/>
                <w:kern w:val="0"/>
                <w:sz w:val="24"/>
              </w:rPr>
            </w:pPr>
            <w:r>
              <w:rPr>
                <w:rFonts w:hint="eastAsia" w:ascii="仿宋" w:hAnsi="仿宋" w:eastAsia="仿宋" w:cs="仿宋"/>
                <w:kern w:val="0"/>
                <w:sz w:val="24"/>
              </w:rPr>
              <w:t>9</w:t>
            </w:r>
          </w:p>
        </w:tc>
      </w:tr>
      <w:tr w14:paraId="43787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2350" w:type="dxa"/>
            <w:vAlign w:val="center"/>
          </w:tcPr>
          <w:p w14:paraId="3C9F12CE">
            <w:pPr>
              <w:spacing w:line="440" w:lineRule="atLeast"/>
              <w:jc w:val="center"/>
              <w:rPr>
                <w:rFonts w:ascii="仿宋" w:hAnsi="仿宋" w:eastAsia="仿宋" w:cs="仿宋"/>
                <w:kern w:val="0"/>
                <w:sz w:val="24"/>
              </w:rPr>
            </w:pPr>
            <w:r>
              <w:rPr>
                <w:rFonts w:hint="eastAsia" w:ascii="仿宋" w:hAnsi="仿宋" w:eastAsia="仿宋" w:cs="仿宋"/>
                <w:kern w:val="0"/>
                <w:sz w:val="24"/>
              </w:rPr>
              <w:t>600016.SH</w:t>
            </w:r>
          </w:p>
        </w:tc>
        <w:tc>
          <w:tcPr>
            <w:tcW w:w="2107" w:type="dxa"/>
            <w:vAlign w:val="center"/>
          </w:tcPr>
          <w:p w14:paraId="72EC0A7E">
            <w:pPr>
              <w:spacing w:line="440" w:lineRule="atLeast"/>
              <w:jc w:val="center"/>
              <w:rPr>
                <w:rFonts w:ascii="仿宋" w:hAnsi="仿宋" w:eastAsia="仿宋" w:cs="仿宋"/>
                <w:kern w:val="0"/>
                <w:sz w:val="24"/>
              </w:rPr>
            </w:pPr>
            <w:r>
              <w:rPr>
                <w:rFonts w:hint="eastAsia" w:ascii="仿宋" w:hAnsi="仿宋" w:eastAsia="仿宋" w:cs="仿宋"/>
                <w:kern w:val="0"/>
                <w:sz w:val="24"/>
              </w:rPr>
              <w:t>民生银行</w:t>
            </w:r>
          </w:p>
        </w:tc>
        <w:tc>
          <w:tcPr>
            <w:tcW w:w="2403" w:type="dxa"/>
            <w:vAlign w:val="center"/>
          </w:tcPr>
          <w:p w14:paraId="2CC93AF6">
            <w:pPr>
              <w:spacing w:line="440" w:lineRule="atLeast"/>
              <w:jc w:val="right"/>
              <w:rPr>
                <w:rFonts w:ascii="仿宋" w:hAnsi="仿宋" w:eastAsia="仿宋" w:cs="仿宋"/>
                <w:kern w:val="0"/>
                <w:sz w:val="24"/>
              </w:rPr>
            </w:pPr>
            <w:r>
              <w:rPr>
                <w:rFonts w:hint="eastAsia" w:ascii="仿宋" w:hAnsi="仿宋" w:eastAsia="仿宋" w:cs="仿宋"/>
                <w:kern w:val="0"/>
                <w:sz w:val="24"/>
              </w:rPr>
              <w:t>81.40%</w:t>
            </w:r>
          </w:p>
        </w:tc>
        <w:tc>
          <w:tcPr>
            <w:tcW w:w="1092" w:type="dxa"/>
            <w:vAlign w:val="center"/>
          </w:tcPr>
          <w:p w14:paraId="6F679ABF">
            <w:pPr>
              <w:spacing w:line="440" w:lineRule="atLeast"/>
              <w:jc w:val="right"/>
              <w:rPr>
                <w:rFonts w:ascii="仿宋" w:hAnsi="仿宋" w:eastAsia="仿宋" w:cs="仿宋"/>
                <w:kern w:val="0"/>
                <w:sz w:val="24"/>
              </w:rPr>
            </w:pPr>
            <w:r>
              <w:rPr>
                <w:rFonts w:hint="eastAsia" w:ascii="仿宋" w:hAnsi="仿宋" w:eastAsia="仿宋" w:cs="仿宋"/>
                <w:kern w:val="0"/>
                <w:sz w:val="24"/>
              </w:rPr>
              <w:t>10</w:t>
            </w:r>
          </w:p>
        </w:tc>
      </w:tr>
      <w:tr w14:paraId="154F8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2350" w:type="dxa"/>
            <w:vAlign w:val="center"/>
          </w:tcPr>
          <w:p w14:paraId="341C3A0F">
            <w:pPr>
              <w:spacing w:line="440" w:lineRule="atLeast"/>
              <w:jc w:val="center"/>
              <w:rPr>
                <w:rFonts w:ascii="仿宋" w:hAnsi="仿宋" w:eastAsia="仿宋" w:cs="仿宋"/>
                <w:kern w:val="0"/>
                <w:sz w:val="24"/>
              </w:rPr>
            </w:pPr>
            <w:r>
              <w:rPr>
                <w:rFonts w:hint="eastAsia" w:ascii="仿宋" w:hAnsi="仿宋" w:eastAsia="仿宋" w:cs="仿宋"/>
                <w:kern w:val="0"/>
                <w:sz w:val="24"/>
              </w:rPr>
              <w:t>600036.SH</w:t>
            </w:r>
          </w:p>
        </w:tc>
        <w:tc>
          <w:tcPr>
            <w:tcW w:w="2107" w:type="dxa"/>
            <w:vAlign w:val="center"/>
          </w:tcPr>
          <w:p w14:paraId="024EA360">
            <w:pPr>
              <w:spacing w:line="440" w:lineRule="atLeast"/>
              <w:jc w:val="center"/>
              <w:rPr>
                <w:rFonts w:ascii="仿宋" w:hAnsi="仿宋" w:eastAsia="仿宋" w:cs="仿宋"/>
                <w:kern w:val="0"/>
                <w:sz w:val="24"/>
              </w:rPr>
            </w:pPr>
            <w:r>
              <w:rPr>
                <w:rFonts w:hint="eastAsia" w:ascii="仿宋" w:hAnsi="仿宋" w:eastAsia="仿宋" w:cs="仿宋"/>
                <w:kern w:val="0"/>
                <w:sz w:val="24"/>
              </w:rPr>
              <w:t>招商银行</w:t>
            </w:r>
          </w:p>
        </w:tc>
        <w:tc>
          <w:tcPr>
            <w:tcW w:w="2403" w:type="dxa"/>
            <w:vAlign w:val="center"/>
          </w:tcPr>
          <w:p w14:paraId="65828A9A">
            <w:pPr>
              <w:spacing w:line="440" w:lineRule="atLeast"/>
              <w:jc w:val="right"/>
              <w:rPr>
                <w:rFonts w:ascii="仿宋" w:hAnsi="仿宋" w:eastAsia="仿宋" w:cs="仿宋"/>
                <w:kern w:val="0"/>
                <w:sz w:val="24"/>
              </w:rPr>
            </w:pPr>
            <w:r>
              <w:rPr>
                <w:rFonts w:hint="eastAsia" w:ascii="仿宋" w:hAnsi="仿宋" w:eastAsia="仿宋" w:cs="仿宋"/>
                <w:kern w:val="0"/>
                <w:sz w:val="24"/>
              </w:rPr>
              <w:t>49.31%</w:t>
            </w:r>
          </w:p>
        </w:tc>
        <w:tc>
          <w:tcPr>
            <w:tcW w:w="1092" w:type="dxa"/>
            <w:vAlign w:val="center"/>
          </w:tcPr>
          <w:p w14:paraId="2F6BF6B2">
            <w:pPr>
              <w:spacing w:line="440" w:lineRule="atLeast"/>
              <w:jc w:val="right"/>
              <w:rPr>
                <w:rFonts w:ascii="仿宋" w:hAnsi="仿宋" w:eastAsia="仿宋" w:cs="仿宋"/>
                <w:kern w:val="0"/>
                <w:sz w:val="24"/>
              </w:rPr>
            </w:pPr>
            <w:r>
              <w:rPr>
                <w:rFonts w:hint="eastAsia" w:ascii="仿宋" w:hAnsi="仿宋" w:eastAsia="仿宋" w:cs="仿宋"/>
                <w:kern w:val="0"/>
                <w:sz w:val="24"/>
              </w:rPr>
              <w:t>10</w:t>
            </w:r>
          </w:p>
        </w:tc>
      </w:tr>
      <w:tr w14:paraId="30370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2350" w:type="dxa"/>
            <w:vAlign w:val="center"/>
          </w:tcPr>
          <w:p w14:paraId="359D06DE">
            <w:pPr>
              <w:spacing w:line="440" w:lineRule="atLeast"/>
              <w:jc w:val="center"/>
              <w:rPr>
                <w:rFonts w:ascii="仿宋" w:hAnsi="仿宋" w:eastAsia="仿宋" w:cs="仿宋"/>
                <w:kern w:val="0"/>
                <w:sz w:val="24"/>
              </w:rPr>
            </w:pPr>
            <w:r>
              <w:rPr>
                <w:rFonts w:hint="eastAsia" w:ascii="仿宋" w:hAnsi="仿宋" w:eastAsia="仿宋" w:cs="仿宋"/>
                <w:kern w:val="0"/>
                <w:sz w:val="24"/>
              </w:rPr>
              <w:t>601009.SH</w:t>
            </w:r>
          </w:p>
        </w:tc>
        <w:tc>
          <w:tcPr>
            <w:tcW w:w="2107" w:type="dxa"/>
            <w:vAlign w:val="center"/>
          </w:tcPr>
          <w:p w14:paraId="23E14158">
            <w:pPr>
              <w:spacing w:line="440" w:lineRule="atLeast"/>
              <w:jc w:val="center"/>
              <w:rPr>
                <w:rFonts w:ascii="仿宋" w:hAnsi="仿宋" w:eastAsia="仿宋" w:cs="仿宋"/>
                <w:kern w:val="0"/>
                <w:sz w:val="24"/>
              </w:rPr>
            </w:pPr>
            <w:r>
              <w:rPr>
                <w:rFonts w:hint="eastAsia" w:ascii="仿宋" w:hAnsi="仿宋" w:eastAsia="仿宋" w:cs="仿宋"/>
                <w:kern w:val="0"/>
                <w:sz w:val="24"/>
              </w:rPr>
              <w:t>南京银行</w:t>
            </w:r>
          </w:p>
        </w:tc>
        <w:tc>
          <w:tcPr>
            <w:tcW w:w="2403" w:type="dxa"/>
            <w:vAlign w:val="center"/>
          </w:tcPr>
          <w:p w14:paraId="16A4797D">
            <w:pPr>
              <w:spacing w:line="440" w:lineRule="atLeast"/>
              <w:jc w:val="right"/>
              <w:rPr>
                <w:rFonts w:ascii="仿宋" w:hAnsi="仿宋" w:eastAsia="仿宋" w:cs="仿宋"/>
                <w:kern w:val="0"/>
                <w:sz w:val="24"/>
              </w:rPr>
            </w:pPr>
            <w:r>
              <w:rPr>
                <w:rFonts w:hint="eastAsia" w:ascii="仿宋" w:hAnsi="仿宋" w:eastAsia="仿宋" w:cs="仿宋"/>
                <w:kern w:val="0"/>
                <w:sz w:val="24"/>
              </w:rPr>
              <w:t>53.93%</w:t>
            </w:r>
          </w:p>
        </w:tc>
        <w:tc>
          <w:tcPr>
            <w:tcW w:w="1092" w:type="dxa"/>
            <w:vAlign w:val="center"/>
          </w:tcPr>
          <w:p w14:paraId="7763C004">
            <w:pPr>
              <w:spacing w:line="440" w:lineRule="atLeast"/>
              <w:jc w:val="right"/>
              <w:rPr>
                <w:rFonts w:ascii="仿宋" w:hAnsi="仿宋" w:eastAsia="仿宋" w:cs="仿宋"/>
                <w:kern w:val="0"/>
                <w:sz w:val="24"/>
              </w:rPr>
            </w:pPr>
            <w:r>
              <w:rPr>
                <w:rFonts w:hint="eastAsia" w:ascii="仿宋" w:hAnsi="仿宋" w:eastAsia="仿宋" w:cs="仿宋"/>
                <w:kern w:val="0"/>
                <w:sz w:val="24"/>
              </w:rPr>
              <w:t>7</w:t>
            </w:r>
          </w:p>
        </w:tc>
      </w:tr>
      <w:tr w14:paraId="651B9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2350" w:type="dxa"/>
            <w:vAlign w:val="center"/>
          </w:tcPr>
          <w:p w14:paraId="02E22EDA">
            <w:pPr>
              <w:spacing w:line="440" w:lineRule="atLeast"/>
              <w:jc w:val="center"/>
              <w:rPr>
                <w:rFonts w:ascii="仿宋" w:hAnsi="仿宋" w:eastAsia="仿宋" w:cs="仿宋"/>
                <w:kern w:val="0"/>
                <w:sz w:val="24"/>
              </w:rPr>
            </w:pPr>
            <w:r>
              <w:rPr>
                <w:rFonts w:hint="eastAsia" w:ascii="仿宋" w:hAnsi="仿宋" w:eastAsia="仿宋" w:cs="仿宋"/>
                <w:kern w:val="0"/>
                <w:sz w:val="24"/>
              </w:rPr>
              <w:t>601166.SH</w:t>
            </w:r>
          </w:p>
        </w:tc>
        <w:tc>
          <w:tcPr>
            <w:tcW w:w="2107" w:type="dxa"/>
            <w:vAlign w:val="center"/>
          </w:tcPr>
          <w:p w14:paraId="4237D991">
            <w:pPr>
              <w:spacing w:line="440" w:lineRule="atLeast"/>
              <w:jc w:val="center"/>
              <w:rPr>
                <w:rFonts w:ascii="仿宋" w:hAnsi="仿宋" w:eastAsia="仿宋" w:cs="仿宋"/>
                <w:kern w:val="0"/>
                <w:sz w:val="24"/>
              </w:rPr>
            </w:pPr>
            <w:r>
              <w:rPr>
                <w:rFonts w:hint="eastAsia" w:ascii="仿宋" w:hAnsi="仿宋" w:eastAsia="仿宋" w:cs="仿宋"/>
                <w:kern w:val="0"/>
                <w:sz w:val="24"/>
              </w:rPr>
              <w:t>兴业银行</w:t>
            </w:r>
          </w:p>
        </w:tc>
        <w:tc>
          <w:tcPr>
            <w:tcW w:w="2403" w:type="dxa"/>
            <w:vAlign w:val="center"/>
          </w:tcPr>
          <w:p w14:paraId="53516C01">
            <w:pPr>
              <w:spacing w:line="440" w:lineRule="atLeast"/>
              <w:jc w:val="right"/>
              <w:rPr>
                <w:rFonts w:ascii="仿宋" w:hAnsi="仿宋" w:eastAsia="仿宋" w:cs="仿宋"/>
                <w:kern w:val="0"/>
                <w:sz w:val="24"/>
              </w:rPr>
            </w:pPr>
            <w:r>
              <w:rPr>
                <w:rFonts w:hint="eastAsia" w:ascii="仿宋" w:hAnsi="仿宋" w:eastAsia="仿宋" w:cs="仿宋"/>
                <w:kern w:val="0"/>
                <w:sz w:val="24"/>
              </w:rPr>
              <w:t>71.26%</w:t>
            </w:r>
          </w:p>
        </w:tc>
        <w:tc>
          <w:tcPr>
            <w:tcW w:w="1092" w:type="dxa"/>
            <w:vAlign w:val="center"/>
          </w:tcPr>
          <w:p w14:paraId="35477256">
            <w:pPr>
              <w:spacing w:line="440" w:lineRule="atLeast"/>
              <w:jc w:val="right"/>
              <w:rPr>
                <w:rFonts w:ascii="仿宋" w:hAnsi="仿宋" w:eastAsia="仿宋" w:cs="仿宋"/>
                <w:kern w:val="0"/>
                <w:sz w:val="24"/>
              </w:rPr>
            </w:pPr>
            <w:r>
              <w:rPr>
                <w:rFonts w:hint="eastAsia" w:ascii="仿宋" w:hAnsi="仿宋" w:eastAsia="仿宋" w:cs="仿宋"/>
                <w:kern w:val="0"/>
                <w:sz w:val="24"/>
              </w:rPr>
              <w:t>7</w:t>
            </w:r>
          </w:p>
        </w:tc>
      </w:tr>
      <w:tr w14:paraId="7CEAD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2350" w:type="dxa"/>
            <w:vAlign w:val="center"/>
          </w:tcPr>
          <w:p w14:paraId="2F79C1A9">
            <w:pPr>
              <w:spacing w:line="440" w:lineRule="atLeast"/>
              <w:jc w:val="center"/>
              <w:rPr>
                <w:rFonts w:ascii="仿宋" w:hAnsi="仿宋" w:eastAsia="仿宋" w:cs="仿宋"/>
                <w:kern w:val="0"/>
                <w:sz w:val="24"/>
              </w:rPr>
            </w:pPr>
            <w:r>
              <w:rPr>
                <w:rFonts w:hint="eastAsia" w:ascii="仿宋" w:hAnsi="仿宋" w:eastAsia="仿宋" w:cs="仿宋"/>
                <w:kern w:val="0"/>
                <w:sz w:val="24"/>
              </w:rPr>
              <w:t>601169.SH</w:t>
            </w:r>
          </w:p>
        </w:tc>
        <w:tc>
          <w:tcPr>
            <w:tcW w:w="2107" w:type="dxa"/>
            <w:vAlign w:val="center"/>
          </w:tcPr>
          <w:p w14:paraId="60BCA25E">
            <w:pPr>
              <w:spacing w:line="440" w:lineRule="atLeast"/>
              <w:jc w:val="center"/>
              <w:rPr>
                <w:rFonts w:ascii="仿宋" w:hAnsi="仿宋" w:eastAsia="仿宋" w:cs="仿宋"/>
                <w:kern w:val="0"/>
                <w:sz w:val="24"/>
              </w:rPr>
            </w:pPr>
            <w:r>
              <w:rPr>
                <w:rFonts w:hint="eastAsia" w:ascii="仿宋" w:hAnsi="仿宋" w:eastAsia="仿宋" w:cs="仿宋"/>
                <w:kern w:val="0"/>
                <w:sz w:val="24"/>
              </w:rPr>
              <w:t>北京银行</w:t>
            </w:r>
          </w:p>
        </w:tc>
        <w:tc>
          <w:tcPr>
            <w:tcW w:w="2403" w:type="dxa"/>
            <w:vAlign w:val="center"/>
          </w:tcPr>
          <w:p w14:paraId="39C5293F">
            <w:pPr>
              <w:spacing w:line="440" w:lineRule="atLeast"/>
              <w:jc w:val="right"/>
              <w:rPr>
                <w:rFonts w:ascii="仿宋" w:hAnsi="仿宋" w:eastAsia="仿宋" w:cs="仿宋"/>
                <w:kern w:val="0"/>
                <w:sz w:val="24"/>
              </w:rPr>
            </w:pPr>
            <w:r>
              <w:rPr>
                <w:rFonts w:hint="eastAsia" w:ascii="仿宋" w:hAnsi="仿宋" w:eastAsia="仿宋" w:cs="仿宋"/>
                <w:kern w:val="0"/>
                <w:sz w:val="24"/>
              </w:rPr>
              <w:t>68.44%</w:t>
            </w:r>
          </w:p>
        </w:tc>
        <w:tc>
          <w:tcPr>
            <w:tcW w:w="1092" w:type="dxa"/>
            <w:vAlign w:val="center"/>
          </w:tcPr>
          <w:p w14:paraId="25839CB5">
            <w:pPr>
              <w:spacing w:line="440" w:lineRule="atLeast"/>
              <w:jc w:val="right"/>
              <w:rPr>
                <w:rFonts w:ascii="仿宋" w:hAnsi="仿宋" w:eastAsia="仿宋" w:cs="仿宋"/>
                <w:kern w:val="0"/>
                <w:sz w:val="24"/>
              </w:rPr>
            </w:pPr>
            <w:r>
              <w:rPr>
                <w:rFonts w:hint="eastAsia" w:ascii="仿宋" w:hAnsi="仿宋" w:eastAsia="仿宋" w:cs="仿宋"/>
                <w:kern w:val="0"/>
                <w:sz w:val="24"/>
              </w:rPr>
              <w:t>5</w:t>
            </w:r>
          </w:p>
        </w:tc>
      </w:tr>
      <w:tr w14:paraId="0071E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2350" w:type="dxa"/>
            <w:vAlign w:val="center"/>
          </w:tcPr>
          <w:p w14:paraId="6A2F494D">
            <w:pPr>
              <w:spacing w:line="440" w:lineRule="atLeast"/>
              <w:ind w:right="636"/>
              <w:jc w:val="right"/>
              <w:rPr>
                <w:rFonts w:ascii="仿宋" w:hAnsi="仿宋" w:eastAsia="仿宋" w:cs="仿宋"/>
                <w:kern w:val="0"/>
                <w:sz w:val="24"/>
              </w:rPr>
            </w:pPr>
            <w:r>
              <w:rPr>
                <w:rFonts w:hint="eastAsia" w:ascii="仿宋" w:hAnsi="仿宋" w:eastAsia="仿宋" w:cs="仿宋"/>
                <w:kern w:val="0"/>
                <w:sz w:val="24"/>
              </w:rPr>
              <w:t>601998.SH</w:t>
            </w:r>
          </w:p>
        </w:tc>
        <w:tc>
          <w:tcPr>
            <w:tcW w:w="2107" w:type="dxa"/>
            <w:vAlign w:val="center"/>
          </w:tcPr>
          <w:p w14:paraId="1568C81E">
            <w:pPr>
              <w:spacing w:line="440" w:lineRule="atLeast"/>
              <w:jc w:val="center"/>
              <w:rPr>
                <w:rFonts w:ascii="仿宋" w:hAnsi="仿宋" w:eastAsia="仿宋" w:cs="仿宋"/>
                <w:kern w:val="0"/>
                <w:sz w:val="24"/>
              </w:rPr>
            </w:pPr>
            <w:r>
              <w:rPr>
                <w:rFonts w:hint="eastAsia" w:ascii="仿宋" w:hAnsi="仿宋" w:eastAsia="仿宋" w:cs="仿宋"/>
                <w:kern w:val="0"/>
                <w:sz w:val="24"/>
              </w:rPr>
              <w:t>中信银行</w:t>
            </w:r>
          </w:p>
        </w:tc>
        <w:tc>
          <w:tcPr>
            <w:tcW w:w="2403" w:type="dxa"/>
            <w:vAlign w:val="center"/>
          </w:tcPr>
          <w:p w14:paraId="6F6BCEFA">
            <w:pPr>
              <w:spacing w:line="440" w:lineRule="atLeast"/>
              <w:jc w:val="right"/>
              <w:rPr>
                <w:rFonts w:ascii="仿宋" w:hAnsi="仿宋" w:eastAsia="仿宋" w:cs="仿宋"/>
                <w:kern w:val="0"/>
                <w:sz w:val="24"/>
              </w:rPr>
            </w:pPr>
            <w:r>
              <w:rPr>
                <w:rFonts w:hint="eastAsia" w:ascii="仿宋" w:hAnsi="仿宋" w:eastAsia="仿宋" w:cs="仿宋"/>
                <w:kern w:val="0"/>
                <w:sz w:val="24"/>
              </w:rPr>
              <w:t>59.44%</w:t>
            </w:r>
          </w:p>
        </w:tc>
        <w:tc>
          <w:tcPr>
            <w:tcW w:w="1092" w:type="dxa"/>
            <w:vAlign w:val="center"/>
          </w:tcPr>
          <w:p w14:paraId="0AD4D135">
            <w:pPr>
              <w:spacing w:line="440" w:lineRule="atLeast"/>
              <w:jc w:val="right"/>
              <w:rPr>
                <w:rFonts w:ascii="仿宋" w:hAnsi="仿宋" w:eastAsia="仿宋" w:cs="仿宋"/>
                <w:kern w:val="0"/>
                <w:sz w:val="24"/>
              </w:rPr>
            </w:pPr>
            <w:r>
              <w:rPr>
                <w:rFonts w:hint="eastAsia" w:ascii="仿宋" w:hAnsi="仿宋" w:eastAsia="仿宋" w:cs="仿宋"/>
                <w:kern w:val="0"/>
                <w:sz w:val="24"/>
              </w:rPr>
              <w:t>5</w:t>
            </w:r>
          </w:p>
        </w:tc>
      </w:tr>
      <w:tr w14:paraId="335F3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4457" w:type="dxa"/>
            <w:gridSpan w:val="2"/>
            <w:vAlign w:val="center"/>
          </w:tcPr>
          <w:p w14:paraId="71F26869">
            <w:pPr>
              <w:spacing w:line="440" w:lineRule="atLeast"/>
              <w:jc w:val="center"/>
              <w:rPr>
                <w:rFonts w:ascii="仿宋" w:hAnsi="仿宋" w:eastAsia="仿宋" w:cs="仿宋"/>
                <w:kern w:val="0"/>
                <w:sz w:val="24"/>
              </w:rPr>
            </w:pPr>
            <w:r>
              <w:rPr>
                <w:rFonts w:hint="eastAsia" w:ascii="仿宋" w:hAnsi="仿宋" w:eastAsia="仿宋" w:cs="仿宋"/>
                <w:kern w:val="0"/>
                <w:sz w:val="24"/>
              </w:rPr>
              <w:t>合计</w:t>
            </w:r>
          </w:p>
        </w:tc>
        <w:tc>
          <w:tcPr>
            <w:tcW w:w="2403" w:type="dxa"/>
            <w:vAlign w:val="center"/>
          </w:tcPr>
          <w:p w14:paraId="1966A080">
            <w:pPr>
              <w:spacing w:line="440" w:lineRule="atLeast"/>
              <w:jc w:val="right"/>
              <w:rPr>
                <w:rFonts w:ascii="仿宋" w:hAnsi="仿宋" w:eastAsia="仿宋" w:cs="仿宋"/>
                <w:kern w:val="0"/>
                <w:sz w:val="24"/>
              </w:rPr>
            </w:pPr>
            <w:r>
              <w:rPr>
                <w:rFonts w:hint="eastAsia" w:ascii="仿宋" w:hAnsi="仿宋" w:eastAsia="仿宋" w:cs="仿宋"/>
                <w:kern w:val="0"/>
                <w:sz w:val="24"/>
              </w:rPr>
              <w:t>57.18%</w:t>
            </w:r>
          </w:p>
        </w:tc>
        <w:tc>
          <w:tcPr>
            <w:tcW w:w="1092" w:type="dxa"/>
            <w:vAlign w:val="center"/>
          </w:tcPr>
          <w:p w14:paraId="444960CC">
            <w:pPr>
              <w:spacing w:line="440" w:lineRule="atLeast"/>
              <w:jc w:val="right"/>
              <w:rPr>
                <w:rFonts w:ascii="仿宋" w:hAnsi="仿宋" w:eastAsia="仿宋" w:cs="仿宋"/>
                <w:kern w:val="0"/>
                <w:sz w:val="24"/>
              </w:rPr>
            </w:pPr>
            <w:r>
              <w:rPr>
                <w:rFonts w:hint="eastAsia" w:ascii="仿宋" w:hAnsi="仿宋" w:eastAsia="仿宋" w:cs="仿宋"/>
                <w:kern w:val="0"/>
                <w:sz w:val="24"/>
              </w:rPr>
              <w:t>6</w:t>
            </w:r>
          </w:p>
        </w:tc>
      </w:tr>
    </w:tbl>
    <w:p w14:paraId="1BB6EE3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（2）评估对象手续费收入分析及预测</w:t>
      </w:r>
    </w:p>
    <w:p w14:paraId="466474E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1）结算手续费收入</w:t>
      </w:r>
    </w:p>
    <w:p w14:paraId="03F6C8E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结算手续费收入主要来源于外汇业务，20y9年受金融危机影响，外汇业务增长缓慢，但随着全球经济复苏，外汇业务逐步恢复；同时企业推出新国际业务系统及流程自动化，将更有助于该业务的成长。企业根据网点扩张与客户量增长的预期及20x0年上半年结算手续费收入人民币2,300万元的实际情况，预计20x0年及20x1年结算手续费收入将维持每年人民币1,100万元至1,300万元的增长。预计20x1年后结算手续费仍以较高的速度发展，但增长速度逐渐放缓。</w:t>
      </w:r>
    </w:p>
    <w:p w14:paraId="6FDAEEF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2）代理手续费收入</w:t>
      </w:r>
    </w:p>
    <w:p w14:paraId="7AAB8CC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20y7年至20y9年企业正处于转型期且受到金融危机影响，代理业务手续费收入迅速萎缩，但随着与集团其他子公司交叉销售业务的磨合完成，代理业务将逐步转入正轨。根据20x0年上半年代理业务手续费收入增长良好的实际情况（已高出20y9年全年25%），预计20x0年及20x1年代理业务手续费收入将保持快速增长。20x1年后代理手续费收入保持比较稳定的增长速度发展。</w:t>
      </w:r>
    </w:p>
    <w:p w14:paraId="5347AC6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3）受托业务手续费收入</w:t>
      </w:r>
    </w:p>
    <w:p w14:paraId="5EBAD4A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受托业务手续费包括贷款额度管理费、委托贷款手续费收入、额度占用费及综合理财业务手续费收入等。基于20x0年上半年已实现收入人民币8,400万元，企业预计全年同比将有15%的增长。20x1年随着贷款额度管理费的回升，分行与网点的增加，各种公司及零售理财业务的拓展，及与集团交叉销售的深入开展，预计增幅将达35%。</w:t>
      </w:r>
    </w:p>
    <w:p w14:paraId="7E71BE5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4）银行卡手续费收入</w:t>
      </w:r>
    </w:p>
    <w:p w14:paraId="5EBE320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银行卡手续费收入的增长主要来自于信用卡业务的持续扩张，根据信用卡未来业务规划，20y9年年度及20x0年上半年信用卡累计流通发卡量分别为340万张和430万张，预计20x0年度与20x1年度将超过500万与800万张。银行卡手续费收入20y8与20y9年的实际增长率也分别达到250%和108%，从20y6至20y9年信用卡业务净收入的复合增长率达到了74.3%。未来，信用卡在业务扩张的同时也将加强精细化经营的力度，通过发行车主卡、白金卡等新产品增加年费收入；通过开展帐单分期、邮购分期、网上商城等增加分期业务手续费收入；另外，随着银联规范POS机商户管理和信用卡中心对高回佣消费领域的重点经营，发卡行回佣率持续提升，由此带来回佣收入大幅提升。根据历史数据结合信用卡业务的未来规划，企业预计银行卡手续费收入相应也将维持大幅度的增长，20x0年及20x1年预测的年度增长分别为76%和85%。预计20x1年银行卡的手续费收入仍将会迅速发展，保持在较高的发展速度。</w:t>
      </w:r>
    </w:p>
    <w:p w14:paraId="6C173D8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5）其他手续费收入</w:t>
      </w:r>
    </w:p>
    <w:p w14:paraId="4EB8327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其他手续费的增长主要来源于投资银行手续收入的增长。20y9年度投资银行手续费收入为人民币5,000万元，截至20x0年6月30日，投资银行手续费收入已达人民币5,500万元，企业预计20x0年全年其他手续费收入增长幅度约为21%；而随着投行业务的不断拓展，20x1年手续费收入将有33%的增长预期，预计20x1年后增长速度趋于稳定。</w:t>
      </w:r>
    </w:p>
    <w:p w14:paraId="4ACA9D48">
      <w:pPr>
        <w:spacing w:line="440" w:lineRule="atLeast"/>
        <w:jc w:val="center"/>
        <w:rPr>
          <w:rFonts w:ascii="仿宋" w:hAnsi="仿宋" w:eastAsia="仿宋" w:cs="仿宋"/>
          <w:sz w:val="24"/>
          <w:lang w:val="zh-CN"/>
        </w:rPr>
      </w:pPr>
      <w:r>
        <w:rPr>
          <w:rFonts w:hint="eastAsia" w:ascii="仿宋" w:hAnsi="仿宋" w:eastAsia="仿宋" w:cs="仿宋"/>
          <w:sz w:val="24"/>
          <w:lang w:val="zh-CN"/>
        </w:rPr>
        <w:t>手续费收入预测表</w:t>
      </w:r>
    </w:p>
    <w:p w14:paraId="430311DF">
      <w:pPr>
        <w:spacing w:line="440" w:lineRule="atLeast"/>
        <w:ind w:firstLine="480" w:firstLineChars="200"/>
        <w:jc w:val="right"/>
        <w:rPr>
          <w:rFonts w:ascii="仿宋" w:hAnsi="仿宋" w:eastAsia="仿宋" w:cs="仿宋"/>
          <w:kern w:val="0"/>
          <w:sz w:val="24"/>
        </w:rPr>
      </w:pPr>
      <w:r>
        <w:rPr>
          <w:rFonts w:hint="eastAsia" w:ascii="仿宋" w:hAnsi="仿宋" w:eastAsia="仿宋" w:cs="仿宋"/>
          <w:kern w:val="0"/>
          <w:sz w:val="24"/>
        </w:rPr>
        <w:t>金额单位：人民币百万元</w:t>
      </w:r>
    </w:p>
    <w:tbl>
      <w:tblPr>
        <w:tblStyle w:val="24"/>
        <w:tblW w:w="9162" w:type="dxa"/>
        <w:jc w:val="right"/>
        <w:tblLayout w:type="fixed"/>
        <w:tblCellMar>
          <w:top w:w="0" w:type="dxa"/>
          <w:left w:w="108" w:type="dxa"/>
          <w:bottom w:w="0" w:type="dxa"/>
          <w:right w:w="108" w:type="dxa"/>
        </w:tblCellMar>
      </w:tblPr>
      <w:tblGrid>
        <w:gridCol w:w="1887"/>
        <w:gridCol w:w="1095"/>
        <w:gridCol w:w="801"/>
        <w:gridCol w:w="905"/>
        <w:gridCol w:w="905"/>
        <w:gridCol w:w="905"/>
        <w:gridCol w:w="905"/>
        <w:gridCol w:w="905"/>
        <w:gridCol w:w="854"/>
      </w:tblGrid>
      <w:tr w14:paraId="55AE2461">
        <w:tblPrEx>
          <w:tblCellMar>
            <w:top w:w="0" w:type="dxa"/>
            <w:left w:w="108" w:type="dxa"/>
            <w:bottom w:w="0" w:type="dxa"/>
            <w:right w:w="108" w:type="dxa"/>
          </w:tblCellMar>
        </w:tblPrEx>
        <w:trPr>
          <w:trHeight w:val="210" w:hRule="atLeast"/>
          <w:jc w:val="right"/>
        </w:trPr>
        <w:tc>
          <w:tcPr>
            <w:tcW w:w="1887" w:type="dxa"/>
            <w:tcBorders>
              <w:top w:val="single" w:color="auto" w:sz="4" w:space="0"/>
              <w:left w:val="single" w:color="auto" w:sz="4" w:space="0"/>
              <w:bottom w:val="single" w:color="auto" w:sz="4" w:space="0"/>
              <w:right w:val="single" w:color="auto" w:sz="4" w:space="0"/>
            </w:tcBorders>
            <w:vAlign w:val="center"/>
          </w:tcPr>
          <w:p w14:paraId="687315EF">
            <w:pPr>
              <w:spacing w:line="440" w:lineRule="atLeast"/>
              <w:jc w:val="center"/>
              <w:rPr>
                <w:rFonts w:ascii="仿宋" w:hAnsi="仿宋" w:eastAsia="仿宋" w:cs="仿宋"/>
                <w:b/>
                <w:kern w:val="0"/>
                <w:sz w:val="24"/>
              </w:rPr>
            </w:pPr>
            <w:r>
              <w:rPr>
                <w:rFonts w:hint="eastAsia" w:ascii="仿宋" w:hAnsi="仿宋" w:eastAsia="仿宋" w:cs="仿宋"/>
                <w:b/>
                <w:kern w:val="0"/>
                <w:sz w:val="24"/>
              </w:rPr>
              <w:t>项目</w:t>
            </w:r>
          </w:p>
        </w:tc>
        <w:tc>
          <w:tcPr>
            <w:tcW w:w="1095" w:type="dxa"/>
            <w:tcBorders>
              <w:top w:val="single" w:color="auto" w:sz="4" w:space="0"/>
              <w:left w:val="nil"/>
              <w:bottom w:val="single" w:color="auto" w:sz="4" w:space="0"/>
              <w:right w:val="single" w:color="auto" w:sz="4" w:space="0"/>
            </w:tcBorders>
            <w:vAlign w:val="center"/>
          </w:tcPr>
          <w:p w14:paraId="70A378B2">
            <w:pPr>
              <w:spacing w:line="440" w:lineRule="atLeast"/>
              <w:jc w:val="center"/>
              <w:rPr>
                <w:rFonts w:ascii="仿宋" w:hAnsi="仿宋" w:eastAsia="仿宋" w:cs="仿宋"/>
                <w:b/>
                <w:kern w:val="0"/>
                <w:sz w:val="24"/>
              </w:rPr>
            </w:pPr>
            <w:r>
              <w:rPr>
                <w:rFonts w:hint="eastAsia" w:ascii="仿宋" w:hAnsi="仿宋" w:eastAsia="仿宋" w:cs="仿宋"/>
                <w:b/>
                <w:kern w:val="0"/>
                <w:sz w:val="24"/>
              </w:rPr>
              <w:t>20x0下</w:t>
            </w:r>
          </w:p>
        </w:tc>
        <w:tc>
          <w:tcPr>
            <w:tcW w:w="801" w:type="dxa"/>
            <w:tcBorders>
              <w:top w:val="single" w:color="auto" w:sz="4" w:space="0"/>
              <w:left w:val="nil"/>
              <w:bottom w:val="single" w:color="auto" w:sz="4" w:space="0"/>
              <w:right w:val="single" w:color="auto" w:sz="4" w:space="0"/>
            </w:tcBorders>
            <w:vAlign w:val="center"/>
          </w:tcPr>
          <w:p w14:paraId="453FFEF1">
            <w:pPr>
              <w:spacing w:line="440" w:lineRule="atLeast"/>
              <w:jc w:val="center"/>
              <w:rPr>
                <w:rFonts w:ascii="仿宋" w:hAnsi="仿宋" w:eastAsia="仿宋" w:cs="仿宋"/>
                <w:b/>
                <w:kern w:val="0"/>
                <w:sz w:val="24"/>
              </w:rPr>
            </w:pPr>
            <w:r>
              <w:rPr>
                <w:rFonts w:hint="eastAsia" w:ascii="仿宋" w:hAnsi="仿宋" w:eastAsia="仿宋" w:cs="仿宋"/>
                <w:b/>
                <w:kern w:val="0"/>
                <w:sz w:val="24"/>
              </w:rPr>
              <w:t>20x1</w:t>
            </w:r>
          </w:p>
        </w:tc>
        <w:tc>
          <w:tcPr>
            <w:tcW w:w="905" w:type="dxa"/>
            <w:tcBorders>
              <w:top w:val="single" w:color="auto" w:sz="4" w:space="0"/>
              <w:left w:val="nil"/>
              <w:bottom w:val="single" w:color="auto" w:sz="4" w:space="0"/>
              <w:right w:val="single" w:color="auto" w:sz="4" w:space="0"/>
            </w:tcBorders>
            <w:vAlign w:val="center"/>
          </w:tcPr>
          <w:p w14:paraId="74478D60">
            <w:pPr>
              <w:spacing w:line="440" w:lineRule="atLeast"/>
              <w:jc w:val="center"/>
              <w:rPr>
                <w:rFonts w:ascii="仿宋" w:hAnsi="仿宋" w:eastAsia="仿宋" w:cs="仿宋"/>
                <w:b/>
                <w:kern w:val="0"/>
                <w:sz w:val="24"/>
              </w:rPr>
            </w:pPr>
            <w:r>
              <w:rPr>
                <w:rFonts w:hint="eastAsia" w:ascii="仿宋" w:hAnsi="仿宋" w:eastAsia="仿宋" w:cs="仿宋"/>
                <w:b/>
                <w:kern w:val="0"/>
                <w:sz w:val="24"/>
              </w:rPr>
              <w:t>20x2</w:t>
            </w:r>
          </w:p>
        </w:tc>
        <w:tc>
          <w:tcPr>
            <w:tcW w:w="905" w:type="dxa"/>
            <w:tcBorders>
              <w:top w:val="single" w:color="auto" w:sz="4" w:space="0"/>
              <w:left w:val="nil"/>
              <w:bottom w:val="single" w:color="auto" w:sz="4" w:space="0"/>
              <w:right w:val="single" w:color="auto" w:sz="4" w:space="0"/>
            </w:tcBorders>
            <w:vAlign w:val="center"/>
          </w:tcPr>
          <w:p w14:paraId="22F765AC">
            <w:pPr>
              <w:spacing w:line="440" w:lineRule="atLeast"/>
              <w:jc w:val="center"/>
              <w:rPr>
                <w:rFonts w:ascii="仿宋" w:hAnsi="仿宋" w:eastAsia="仿宋" w:cs="仿宋"/>
                <w:b/>
                <w:kern w:val="0"/>
                <w:sz w:val="24"/>
              </w:rPr>
            </w:pPr>
            <w:r>
              <w:rPr>
                <w:rFonts w:hint="eastAsia" w:ascii="仿宋" w:hAnsi="仿宋" w:eastAsia="仿宋" w:cs="仿宋"/>
                <w:b/>
                <w:kern w:val="0"/>
                <w:sz w:val="24"/>
              </w:rPr>
              <w:t>20x3</w:t>
            </w:r>
          </w:p>
        </w:tc>
        <w:tc>
          <w:tcPr>
            <w:tcW w:w="905" w:type="dxa"/>
            <w:tcBorders>
              <w:top w:val="single" w:color="auto" w:sz="4" w:space="0"/>
              <w:left w:val="nil"/>
              <w:bottom w:val="single" w:color="auto" w:sz="4" w:space="0"/>
              <w:right w:val="single" w:color="auto" w:sz="4" w:space="0"/>
            </w:tcBorders>
            <w:vAlign w:val="center"/>
          </w:tcPr>
          <w:p w14:paraId="127AAED0">
            <w:pPr>
              <w:spacing w:line="440" w:lineRule="atLeast"/>
              <w:jc w:val="center"/>
              <w:rPr>
                <w:rFonts w:ascii="仿宋" w:hAnsi="仿宋" w:eastAsia="仿宋" w:cs="仿宋"/>
                <w:b/>
                <w:kern w:val="0"/>
                <w:sz w:val="24"/>
              </w:rPr>
            </w:pPr>
            <w:r>
              <w:rPr>
                <w:rFonts w:hint="eastAsia" w:ascii="仿宋" w:hAnsi="仿宋" w:eastAsia="仿宋" w:cs="仿宋"/>
                <w:b/>
                <w:kern w:val="0"/>
                <w:sz w:val="24"/>
              </w:rPr>
              <w:t>20x4</w:t>
            </w:r>
          </w:p>
        </w:tc>
        <w:tc>
          <w:tcPr>
            <w:tcW w:w="905" w:type="dxa"/>
            <w:tcBorders>
              <w:top w:val="single" w:color="auto" w:sz="4" w:space="0"/>
              <w:left w:val="nil"/>
              <w:bottom w:val="single" w:color="auto" w:sz="4" w:space="0"/>
              <w:right w:val="single" w:color="auto" w:sz="4" w:space="0"/>
            </w:tcBorders>
            <w:vAlign w:val="center"/>
          </w:tcPr>
          <w:p w14:paraId="5F789FC3">
            <w:pPr>
              <w:spacing w:line="440" w:lineRule="atLeast"/>
              <w:jc w:val="center"/>
              <w:rPr>
                <w:rFonts w:ascii="仿宋" w:hAnsi="仿宋" w:eastAsia="仿宋" w:cs="仿宋"/>
                <w:b/>
                <w:kern w:val="0"/>
                <w:sz w:val="24"/>
              </w:rPr>
            </w:pPr>
            <w:r>
              <w:rPr>
                <w:rFonts w:hint="eastAsia" w:ascii="仿宋" w:hAnsi="仿宋" w:eastAsia="仿宋" w:cs="仿宋"/>
                <w:b/>
                <w:kern w:val="0"/>
                <w:sz w:val="24"/>
              </w:rPr>
              <w:t>20x5</w:t>
            </w:r>
          </w:p>
        </w:tc>
        <w:tc>
          <w:tcPr>
            <w:tcW w:w="905" w:type="dxa"/>
            <w:tcBorders>
              <w:top w:val="single" w:color="auto" w:sz="4" w:space="0"/>
              <w:left w:val="nil"/>
              <w:bottom w:val="single" w:color="auto" w:sz="4" w:space="0"/>
              <w:right w:val="single" w:color="auto" w:sz="4" w:space="0"/>
            </w:tcBorders>
            <w:vAlign w:val="center"/>
          </w:tcPr>
          <w:p w14:paraId="34B13228">
            <w:pPr>
              <w:spacing w:line="440" w:lineRule="atLeast"/>
              <w:jc w:val="center"/>
              <w:rPr>
                <w:rFonts w:ascii="仿宋" w:hAnsi="仿宋" w:eastAsia="仿宋" w:cs="仿宋"/>
                <w:b/>
                <w:kern w:val="0"/>
                <w:sz w:val="24"/>
              </w:rPr>
            </w:pPr>
            <w:r>
              <w:rPr>
                <w:rFonts w:hint="eastAsia" w:ascii="仿宋" w:hAnsi="仿宋" w:eastAsia="仿宋" w:cs="仿宋"/>
                <w:b/>
                <w:kern w:val="0"/>
                <w:sz w:val="24"/>
              </w:rPr>
              <w:t>20x6</w:t>
            </w:r>
          </w:p>
        </w:tc>
        <w:tc>
          <w:tcPr>
            <w:tcW w:w="854" w:type="dxa"/>
            <w:tcBorders>
              <w:top w:val="single" w:color="auto" w:sz="4" w:space="0"/>
              <w:left w:val="nil"/>
              <w:bottom w:val="single" w:color="auto" w:sz="4" w:space="0"/>
              <w:right w:val="single" w:color="auto" w:sz="4" w:space="0"/>
            </w:tcBorders>
            <w:vAlign w:val="center"/>
          </w:tcPr>
          <w:p w14:paraId="5049F067">
            <w:pPr>
              <w:spacing w:line="440" w:lineRule="atLeast"/>
              <w:jc w:val="center"/>
              <w:rPr>
                <w:rFonts w:ascii="仿宋" w:hAnsi="仿宋" w:eastAsia="仿宋" w:cs="仿宋"/>
                <w:b/>
                <w:kern w:val="0"/>
                <w:sz w:val="24"/>
              </w:rPr>
            </w:pPr>
            <w:r>
              <w:rPr>
                <w:rFonts w:hint="eastAsia" w:ascii="仿宋" w:hAnsi="仿宋" w:eastAsia="仿宋" w:cs="仿宋"/>
                <w:b/>
                <w:kern w:val="0"/>
                <w:sz w:val="24"/>
              </w:rPr>
              <w:t>20x7</w:t>
            </w:r>
          </w:p>
        </w:tc>
      </w:tr>
      <w:tr w14:paraId="003C8BE5">
        <w:tblPrEx>
          <w:tblCellMar>
            <w:top w:w="0" w:type="dxa"/>
            <w:left w:w="108" w:type="dxa"/>
            <w:bottom w:w="0" w:type="dxa"/>
            <w:right w:w="108" w:type="dxa"/>
          </w:tblCellMar>
        </w:tblPrEx>
        <w:trPr>
          <w:trHeight w:val="210" w:hRule="atLeast"/>
          <w:jc w:val="right"/>
        </w:trPr>
        <w:tc>
          <w:tcPr>
            <w:tcW w:w="1887" w:type="dxa"/>
            <w:tcBorders>
              <w:top w:val="nil"/>
              <w:left w:val="single" w:color="auto" w:sz="4" w:space="0"/>
              <w:bottom w:val="single" w:color="auto" w:sz="4" w:space="0"/>
              <w:right w:val="single" w:color="auto" w:sz="4" w:space="0"/>
            </w:tcBorders>
            <w:vAlign w:val="center"/>
          </w:tcPr>
          <w:p w14:paraId="68B26529">
            <w:pPr>
              <w:spacing w:line="440" w:lineRule="atLeast"/>
              <w:jc w:val="left"/>
              <w:rPr>
                <w:rFonts w:ascii="仿宋" w:hAnsi="仿宋" w:eastAsia="仿宋" w:cs="仿宋"/>
                <w:kern w:val="0"/>
                <w:sz w:val="24"/>
              </w:rPr>
            </w:pPr>
            <w:r>
              <w:rPr>
                <w:rFonts w:hint="eastAsia" w:ascii="仿宋" w:hAnsi="仿宋" w:eastAsia="仿宋" w:cs="仿宋"/>
                <w:kern w:val="0"/>
                <w:sz w:val="24"/>
              </w:rPr>
              <w:t>结算与清算手续费</w:t>
            </w:r>
          </w:p>
        </w:tc>
        <w:tc>
          <w:tcPr>
            <w:tcW w:w="1095" w:type="dxa"/>
            <w:tcBorders>
              <w:top w:val="nil"/>
              <w:left w:val="nil"/>
              <w:bottom w:val="single" w:color="auto" w:sz="4" w:space="0"/>
              <w:right w:val="single" w:color="auto" w:sz="4" w:space="0"/>
            </w:tcBorders>
            <w:vAlign w:val="center"/>
          </w:tcPr>
          <w:p w14:paraId="605C1B49">
            <w:pPr>
              <w:spacing w:line="440" w:lineRule="atLeast"/>
              <w:jc w:val="right"/>
              <w:rPr>
                <w:rFonts w:ascii="仿宋" w:hAnsi="仿宋" w:eastAsia="仿宋" w:cs="仿宋"/>
                <w:sz w:val="24"/>
              </w:rPr>
            </w:pPr>
            <w:r>
              <w:rPr>
                <w:rFonts w:hint="eastAsia" w:ascii="仿宋" w:hAnsi="仿宋" w:eastAsia="仿宋" w:cs="仿宋"/>
                <w:sz w:val="24"/>
              </w:rPr>
              <w:t>24</w:t>
            </w:r>
          </w:p>
        </w:tc>
        <w:tc>
          <w:tcPr>
            <w:tcW w:w="801" w:type="dxa"/>
            <w:tcBorders>
              <w:top w:val="nil"/>
              <w:left w:val="nil"/>
              <w:bottom w:val="single" w:color="auto" w:sz="4" w:space="0"/>
              <w:right w:val="single" w:color="auto" w:sz="4" w:space="0"/>
            </w:tcBorders>
            <w:vAlign w:val="center"/>
          </w:tcPr>
          <w:p w14:paraId="6013F92D">
            <w:pPr>
              <w:spacing w:line="440" w:lineRule="atLeast"/>
              <w:jc w:val="right"/>
              <w:rPr>
                <w:rFonts w:ascii="仿宋" w:hAnsi="仿宋" w:eastAsia="仿宋" w:cs="仿宋"/>
                <w:sz w:val="24"/>
              </w:rPr>
            </w:pPr>
            <w:r>
              <w:rPr>
                <w:rFonts w:hint="eastAsia" w:ascii="仿宋" w:hAnsi="仿宋" w:eastAsia="仿宋" w:cs="仿宋"/>
                <w:sz w:val="24"/>
              </w:rPr>
              <w:t>60</w:t>
            </w:r>
          </w:p>
        </w:tc>
        <w:tc>
          <w:tcPr>
            <w:tcW w:w="905" w:type="dxa"/>
            <w:tcBorders>
              <w:top w:val="nil"/>
              <w:left w:val="nil"/>
              <w:bottom w:val="single" w:color="auto" w:sz="4" w:space="0"/>
              <w:right w:val="single" w:color="auto" w:sz="4" w:space="0"/>
            </w:tcBorders>
            <w:vAlign w:val="center"/>
          </w:tcPr>
          <w:p w14:paraId="32DEF738">
            <w:pPr>
              <w:spacing w:line="440" w:lineRule="atLeast"/>
              <w:jc w:val="right"/>
              <w:rPr>
                <w:rFonts w:ascii="仿宋" w:hAnsi="仿宋" w:eastAsia="仿宋" w:cs="仿宋"/>
                <w:sz w:val="24"/>
              </w:rPr>
            </w:pPr>
            <w:r>
              <w:rPr>
                <w:rFonts w:hint="eastAsia" w:ascii="仿宋" w:hAnsi="仿宋" w:eastAsia="仿宋" w:cs="仿宋"/>
                <w:sz w:val="24"/>
              </w:rPr>
              <w:t>111</w:t>
            </w:r>
          </w:p>
        </w:tc>
        <w:tc>
          <w:tcPr>
            <w:tcW w:w="905" w:type="dxa"/>
            <w:tcBorders>
              <w:top w:val="nil"/>
              <w:left w:val="nil"/>
              <w:bottom w:val="single" w:color="auto" w:sz="4" w:space="0"/>
              <w:right w:val="single" w:color="auto" w:sz="4" w:space="0"/>
            </w:tcBorders>
            <w:vAlign w:val="center"/>
          </w:tcPr>
          <w:p w14:paraId="61A2B19A">
            <w:pPr>
              <w:spacing w:line="440" w:lineRule="atLeast"/>
              <w:jc w:val="right"/>
              <w:rPr>
                <w:rFonts w:ascii="仿宋" w:hAnsi="仿宋" w:eastAsia="仿宋" w:cs="仿宋"/>
                <w:sz w:val="24"/>
              </w:rPr>
            </w:pPr>
            <w:r>
              <w:rPr>
                <w:rFonts w:hint="eastAsia" w:ascii="仿宋" w:hAnsi="仿宋" w:eastAsia="仿宋" w:cs="仿宋"/>
                <w:sz w:val="24"/>
              </w:rPr>
              <w:t>164</w:t>
            </w:r>
          </w:p>
        </w:tc>
        <w:tc>
          <w:tcPr>
            <w:tcW w:w="905" w:type="dxa"/>
            <w:tcBorders>
              <w:top w:val="nil"/>
              <w:left w:val="nil"/>
              <w:bottom w:val="single" w:color="auto" w:sz="4" w:space="0"/>
              <w:right w:val="single" w:color="auto" w:sz="4" w:space="0"/>
            </w:tcBorders>
            <w:vAlign w:val="center"/>
          </w:tcPr>
          <w:p w14:paraId="1448D23B">
            <w:pPr>
              <w:spacing w:line="440" w:lineRule="atLeast"/>
              <w:jc w:val="right"/>
              <w:rPr>
                <w:rFonts w:ascii="仿宋" w:hAnsi="仿宋" w:eastAsia="仿宋" w:cs="仿宋"/>
                <w:sz w:val="24"/>
              </w:rPr>
            </w:pPr>
            <w:r>
              <w:rPr>
                <w:rFonts w:hint="eastAsia" w:ascii="仿宋" w:hAnsi="仿宋" w:eastAsia="仿宋" w:cs="仿宋"/>
                <w:sz w:val="24"/>
              </w:rPr>
              <w:t>212</w:t>
            </w:r>
          </w:p>
        </w:tc>
        <w:tc>
          <w:tcPr>
            <w:tcW w:w="905" w:type="dxa"/>
            <w:tcBorders>
              <w:top w:val="nil"/>
              <w:left w:val="nil"/>
              <w:bottom w:val="single" w:color="auto" w:sz="4" w:space="0"/>
              <w:right w:val="single" w:color="auto" w:sz="4" w:space="0"/>
            </w:tcBorders>
            <w:vAlign w:val="center"/>
          </w:tcPr>
          <w:p w14:paraId="06A93F7D">
            <w:pPr>
              <w:spacing w:line="440" w:lineRule="atLeast"/>
              <w:jc w:val="right"/>
              <w:rPr>
                <w:rFonts w:ascii="仿宋" w:hAnsi="仿宋" w:eastAsia="仿宋" w:cs="仿宋"/>
                <w:sz w:val="24"/>
              </w:rPr>
            </w:pPr>
            <w:r>
              <w:rPr>
                <w:rFonts w:hint="eastAsia" w:ascii="仿宋" w:hAnsi="仿宋" w:eastAsia="仿宋" w:cs="仿宋"/>
                <w:sz w:val="24"/>
              </w:rPr>
              <w:t>259</w:t>
            </w:r>
          </w:p>
        </w:tc>
        <w:tc>
          <w:tcPr>
            <w:tcW w:w="905" w:type="dxa"/>
            <w:tcBorders>
              <w:top w:val="nil"/>
              <w:left w:val="nil"/>
              <w:bottom w:val="single" w:color="auto" w:sz="4" w:space="0"/>
              <w:right w:val="single" w:color="auto" w:sz="4" w:space="0"/>
            </w:tcBorders>
            <w:vAlign w:val="center"/>
          </w:tcPr>
          <w:p w14:paraId="1A735793">
            <w:pPr>
              <w:spacing w:line="440" w:lineRule="atLeast"/>
              <w:jc w:val="right"/>
              <w:rPr>
                <w:rFonts w:ascii="仿宋" w:hAnsi="仿宋" w:eastAsia="仿宋" w:cs="仿宋"/>
                <w:sz w:val="24"/>
              </w:rPr>
            </w:pPr>
            <w:r>
              <w:rPr>
                <w:rFonts w:hint="eastAsia" w:ascii="仿宋" w:hAnsi="仿宋" w:eastAsia="仿宋" w:cs="仿宋"/>
                <w:sz w:val="24"/>
              </w:rPr>
              <w:t>313</w:t>
            </w:r>
          </w:p>
        </w:tc>
        <w:tc>
          <w:tcPr>
            <w:tcW w:w="854" w:type="dxa"/>
            <w:tcBorders>
              <w:top w:val="nil"/>
              <w:left w:val="nil"/>
              <w:bottom w:val="single" w:color="auto" w:sz="4" w:space="0"/>
              <w:right w:val="single" w:color="auto" w:sz="4" w:space="0"/>
            </w:tcBorders>
            <w:vAlign w:val="center"/>
          </w:tcPr>
          <w:p w14:paraId="69944068">
            <w:pPr>
              <w:spacing w:line="440" w:lineRule="atLeast"/>
              <w:jc w:val="right"/>
              <w:rPr>
                <w:rFonts w:ascii="仿宋" w:hAnsi="仿宋" w:eastAsia="仿宋" w:cs="仿宋"/>
                <w:sz w:val="24"/>
              </w:rPr>
            </w:pPr>
            <w:r>
              <w:rPr>
                <w:rFonts w:hint="eastAsia" w:ascii="仿宋" w:hAnsi="仿宋" w:eastAsia="仿宋" w:cs="仿宋"/>
                <w:sz w:val="24"/>
              </w:rPr>
              <w:t>376</w:t>
            </w:r>
          </w:p>
        </w:tc>
      </w:tr>
      <w:tr w14:paraId="6F4FDD77">
        <w:tblPrEx>
          <w:tblCellMar>
            <w:top w:w="0" w:type="dxa"/>
            <w:left w:w="108" w:type="dxa"/>
            <w:bottom w:w="0" w:type="dxa"/>
            <w:right w:w="108" w:type="dxa"/>
          </w:tblCellMar>
        </w:tblPrEx>
        <w:trPr>
          <w:trHeight w:val="210" w:hRule="atLeast"/>
          <w:jc w:val="right"/>
        </w:trPr>
        <w:tc>
          <w:tcPr>
            <w:tcW w:w="1887" w:type="dxa"/>
            <w:tcBorders>
              <w:top w:val="nil"/>
              <w:left w:val="single" w:color="auto" w:sz="4" w:space="0"/>
              <w:bottom w:val="single" w:color="auto" w:sz="4" w:space="0"/>
              <w:right w:val="single" w:color="auto" w:sz="4" w:space="0"/>
            </w:tcBorders>
            <w:vAlign w:val="center"/>
          </w:tcPr>
          <w:p w14:paraId="4B9925CB">
            <w:pPr>
              <w:spacing w:line="440" w:lineRule="atLeast"/>
              <w:jc w:val="left"/>
              <w:rPr>
                <w:rFonts w:ascii="仿宋" w:hAnsi="仿宋" w:eastAsia="仿宋" w:cs="仿宋"/>
                <w:kern w:val="0"/>
                <w:sz w:val="24"/>
              </w:rPr>
            </w:pPr>
            <w:r>
              <w:rPr>
                <w:rFonts w:hint="eastAsia" w:ascii="仿宋" w:hAnsi="仿宋" w:eastAsia="仿宋" w:cs="仿宋"/>
                <w:kern w:val="0"/>
                <w:sz w:val="24"/>
              </w:rPr>
              <w:t>代理业务手续费</w:t>
            </w:r>
          </w:p>
        </w:tc>
        <w:tc>
          <w:tcPr>
            <w:tcW w:w="1095" w:type="dxa"/>
            <w:tcBorders>
              <w:top w:val="nil"/>
              <w:left w:val="nil"/>
              <w:bottom w:val="single" w:color="auto" w:sz="4" w:space="0"/>
              <w:right w:val="single" w:color="auto" w:sz="4" w:space="0"/>
            </w:tcBorders>
            <w:vAlign w:val="center"/>
          </w:tcPr>
          <w:p w14:paraId="4D717D47">
            <w:pPr>
              <w:spacing w:line="440" w:lineRule="atLeast"/>
              <w:jc w:val="right"/>
              <w:rPr>
                <w:rFonts w:ascii="仿宋" w:hAnsi="仿宋" w:eastAsia="仿宋" w:cs="仿宋"/>
                <w:sz w:val="24"/>
              </w:rPr>
            </w:pPr>
            <w:r>
              <w:rPr>
                <w:rFonts w:hint="eastAsia" w:ascii="仿宋" w:hAnsi="仿宋" w:eastAsia="仿宋" w:cs="仿宋"/>
                <w:sz w:val="24"/>
              </w:rPr>
              <w:t>13</w:t>
            </w:r>
          </w:p>
        </w:tc>
        <w:tc>
          <w:tcPr>
            <w:tcW w:w="801" w:type="dxa"/>
            <w:tcBorders>
              <w:top w:val="nil"/>
              <w:left w:val="nil"/>
              <w:bottom w:val="single" w:color="auto" w:sz="4" w:space="0"/>
              <w:right w:val="single" w:color="auto" w:sz="4" w:space="0"/>
            </w:tcBorders>
            <w:vAlign w:val="center"/>
          </w:tcPr>
          <w:p w14:paraId="3C423AEA">
            <w:pPr>
              <w:spacing w:line="440" w:lineRule="atLeast"/>
              <w:jc w:val="right"/>
              <w:rPr>
                <w:rFonts w:ascii="仿宋" w:hAnsi="仿宋" w:eastAsia="仿宋" w:cs="仿宋"/>
                <w:sz w:val="24"/>
              </w:rPr>
            </w:pPr>
            <w:r>
              <w:rPr>
                <w:rFonts w:hint="eastAsia" w:ascii="仿宋" w:hAnsi="仿宋" w:eastAsia="仿宋" w:cs="仿宋"/>
                <w:sz w:val="24"/>
              </w:rPr>
              <w:t>37</w:t>
            </w:r>
          </w:p>
        </w:tc>
        <w:tc>
          <w:tcPr>
            <w:tcW w:w="905" w:type="dxa"/>
            <w:tcBorders>
              <w:top w:val="nil"/>
              <w:left w:val="nil"/>
              <w:bottom w:val="single" w:color="auto" w:sz="4" w:space="0"/>
              <w:right w:val="single" w:color="auto" w:sz="4" w:space="0"/>
            </w:tcBorders>
            <w:vAlign w:val="center"/>
          </w:tcPr>
          <w:p w14:paraId="395BB633">
            <w:pPr>
              <w:spacing w:line="440" w:lineRule="atLeast"/>
              <w:jc w:val="right"/>
              <w:rPr>
                <w:rFonts w:ascii="仿宋" w:hAnsi="仿宋" w:eastAsia="仿宋" w:cs="仿宋"/>
                <w:sz w:val="24"/>
              </w:rPr>
            </w:pPr>
            <w:r>
              <w:rPr>
                <w:rFonts w:hint="eastAsia" w:ascii="仿宋" w:hAnsi="仿宋" w:eastAsia="仿宋" w:cs="仿宋"/>
                <w:sz w:val="24"/>
              </w:rPr>
              <w:t>44</w:t>
            </w:r>
          </w:p>
        </w:tc>
        <w:tc>
          <w:tcPr>
            <w:tcW w:w="905" w:type="dxa"/>
            <w:tcBorders>
              <w:top w:val="nil"/>
              <w:left w:val="nil"/>
              <w:bottom w:val="single" w:color="auto" w:sz="4" w:space="0"/>
              <w:right w:val="single" w:color="auto" w:sz="4" w:space="0"/>
            </w:tcBorders>
            <w:vAlign w:val="center"/>
          </w:tcPr>
          <w:p w14:paraId="61A2BB7E">
            <w:pPr>
              <w:spacing w:line="440" w:lineRule="atLeast"/>
              <w:jc w:val="right"/>
              <w:rPr>
                <w:rFonts w:ascii="仿宋" w:hAnsi="仿宋" w:eastAsia="仿宋" w:cs="仿宋"/>
                <w:sz w:val="24"/>
              </w:rPr>
            </w:pPr>
            <w:r>
              <w:rPr>
                <w:rFonts w:hint="eastAsia" w:ascii="仿宋" w:hAnsi="仿宋" w:eastAsia="仿宋" w:cs="仿宋"/>
                <w:sz w:val="24"/>
              </w:rPr>
              <w:t>52</w:t>
            </w:r>
          </w:p>
        </w:tc>
        <w:tc>
          <w:tcPr>
            <w:tcW w:w="905" w:type="dxa"/>
            <w:tcBorders>
              <w:top w:val="nil"/>
              <w:left w:val="nil"/>
              <w:bottom w:val="single" w:color="auto" w:sz="4" w:space="0"/>
              <w:right w:val="single" w:color="auto" w:sz="4" w:space="0"/>
            </w:tcBorders>
            <w:vAlign w:val="center"/>
          </w:tcPr>
          <w:p w14:paraId="4A5973C4">
            <w:pPr>
              <w:spacing w:line="440" w:lineRule="atLeast"/>
              <w:jc w:val="right"/>
              <w:rPr>
                <w:rFonts w:ascii="仿宋" w:hAnsi="仿宋" w:eastAsia="仿宋" w:cs="仿宋"/>
                <w:sz w:val="24"/>
              </w:rPr>
            </w:pPr>
            <w:r>
              <w:rPr>
                <w:rFonts w:hint="eastAsia" w:ascii="仿宋" w:hAnsi="仿宋" w:eastAsia="仿宋" w:cs="仿宋"/>
                <w:sz w:val="24"/>
              </w:rPr>
              <w:t>61</w:t>
            </w:r>
          </w:p>
        </w:tc>
        <w:tc>
          <w:tcPr>
            <w:tcW w:w="905" w:type="dxa"/>
            <w:tcBorders>
              <w:top w:val="nil"/>
              <w:left w:val="nil"/>
              <w:bottom w:val="single" w:color="auto" w:sz="4" w:space="0"/>
              <w:right w:val="single" w:color="auto" w:sz="4" w:space="0"/>
            </w:tcBorders>
            <w:vAlign w:val="center"/>
          </w:tcPr>
          <w:p w14:paraId="1B520873">
            <w:pPr>
              <w:spacing w:line="440" w:lineRule="atLeast"/>
              <w:jc w:val="right"/>
              <w:rPr>
                <w:rFonts w:ascii="仿宋" w:hAnsi="仿宋" w:eastAsia="仿宋" w:cs="仿宋"/>
                <w:sz w:val="24"/>
              </w:rPr>
            </w:pPr>
            <w:r>
              <w:rPr>
                <w:rFonts w:hint="eastAsia" w:ascii="仿宋" w:hAnsi="仿宋" w:eastAsia="仿宋" w:cs="仿宋"/>
                <w:sz w:val="24"/>
              </w:rPr>
              <w:t>69</w:t>
            </w:r>
          </w:p>
        </w:tc>
        <w:tc>
          <w:tcPr>
            <w:tcW w:w="905" w:type="dxa"/>
            <w:tcBorders>
              <w:top w:val="nil"/>
              <w:left w:val="nil"/>
              <w:bottom w:val="single" w:color="auto" w:sz="4" w:space="0"/>
              <w:right w:val="single" w:color="auto" w:sz="4" w:space="0"/>
            </w:tcBorders>
            <w:vAlign w:val="center"/>
          </w:tcPr>
          <w:p w14:paraId="5ED44D55">
            <w:pPr>
              <w:spacing w:line="440" w:lineRule="atLeast"/>
              <w:jc w:val="right"/>
              <w:rPr>
                <w:rFonts w:ascii="仿宋" w:hAnsi="仿宋" w:eastAsia="仿宋" w:cs="仿宋"/>
                <w:sz w:val="24"/>
              </w:rPr>
            </w:pPr>
            <w:r>
              <w:rPr>
                <w:rFonts w:hint="eastAsia" w:ascii="仿宋" w:hAnsi="仿宋" w:eastAsia="仿宋" w:cs="仿宋"/>
                <w:sz w:val="24"/>
              </w:rPr>
              <w:t>78</w:t>
            </w:r>
          </w:p>
        </w:tc>
        <w:tc>
          <w:tcPr>
            <w:tcW w:w="854" w:type="dxa"/>
            <w:tcBorders>
              <w:top w:val="nil"/>
              <w:left w:val="nil"/>
              <w:bottom w:val="single" w:color="auto" w:sz="4" w:space="0"/>
              <w:right w:val="single" w:color="auto" w:sz="4" w:space="0"/>
            </w:tcBorders>
            <w:vAlign w:val="center"/>
          </w:tcPr>
          <w:p w14:paraId="7398C65F">
            <w:pPr>
              <w:spacing w:line="440" w:lineRule="atLeast"/>
              <w:jc w:val="right"/>
              <w:rPr>
                <w:rFonts w:ascii="仿宋" w:hAnsi="仿宋" w:eastAsia="仿宋" w:cs="仿宋"/>
                <w:sz w:val="24"/>
              </w:rPr>
            </w:pPr>
            <w:r>
              <w:rPr>
                <w:rFonts w:hint="eastAsia" w:ascii="仿宋" w:hAnsi="仿宋" w:eastAsia="仿宋" w:cs="仿宋"/>
                <w:sz w:val="24"/>
              </w:rPr>
              <w:t>88</w:t>
            </w:r>
          </w:p>
        </w:tc>
      </w:tr>
      <w:tr w14:paraId="7B517E9A">
        <w:tblPrEx>
          <w:tblCellMar>
            <w:top w:w="0" w:type="dxa"/>
            <w:left w:w="108" w:type="dxa"/>
            <w:bottom w:w="0" w:type="dxa"/>
            <w:right w:w="108" w:type="dxa"/>
          </w:tblCellMar>
        </w:tblPrEx>
        <w:trPr>
          <w:trHeight w:val="210" w:hRule="atLeast"/>
          <w:jc w:val="right"/>
        </w:trPr>
        <w:tc>
          <w:tcPr>
            <w:tcW w:w="1887" w:type="dxa"/>
            <w:tcBorders>
              <w:top w:val="nil"/>
              <w:left w:val="single" w:color="auto" w:sz="4" w:space="0"/>
              <w:bottom w:val="single" w:color="auto" w:sz="4" w:space="0"/>
              <w:right w:val="single" w:color="auto" w:sz="4" w:space="0"/>
            </w:tcBorders>
            <w:vAlign w:val="center"/>
          </w:tcPr>
          <w:p w14:paraId="7294BC58">
            <w:pPr>
              <w:spacing w:line="440" w:lineRule="atLeast"/>
              <w:jc w:val="left"/>
              <w:rPr>
                <w:rFonts w:ascii="仿宋" w:hAnsi="仿宋" w:eastAsia="仿宋" w:cs="仿宋"/>
                <w:kern w:val="0"/>
                <w:sz w:val="24"/>
              </w:rPr>
            </w:pPr>
            <w:r>
              <w:rPr>
                <w:rFonts w:hint="eastAsia" w:ascii="仿宋" w:hAnsi="仿宋" w:eastAsia="仿宋" w:cs="仿宋"/>
                <w:kern w:val="0"/>
                <w:sz w:val="24"/>
              </w:rPr>
              <w:t>银行卡手续费</w:t>
            </w:r>
          </w:p>
        </w:tc>
        <w:tc>
          <w:tcPr>
            <w:tcW w:w="1095" w:type="dxa"/>
            <w:tcBorders>
              <w:top w:val="nil"/>
              <w:left w:val="nil"/>
              <w:bottom w:val="single" w:color="auto" w:sz="4" w:space="0"/>
              <w:right w:val="single" w:color="auto" w:sz="4" w:space="0"/>
            </w:tcBorders>
            <w:vAlign w:val="center"/>
          </w:tcPr>
          <w:p w14:paraId="2C63D106">
            <w:pPr>
              <w:spacing w:line="440" w:lineRule="atLeast"/>
              <w:jc w:val="right"/>
              <w:rPr>
                <w:rFonts w:ascii="仿宋" w:hAnsi="仿宋" w:eastAsia="仿宋" w:cs="仿宋"/>
                <w:sz w:val="24"/>
              </w:rPr>
            </w:pPr>
            <w:r>
              <w:rPr>
                <w:rFonts w:hint="eastAsia" w:ascii="仿宋" w:hAnsi="仿宋" w:eastAsia="仿宋" w:cs="仿宋"/>
                <w:sz w:val="24"/>
              </w:rPr>
              <w:t>169</w:t>
            </w:r>
          </w:p>
        </w:tc>
        <w:tc>
          <w:tcPr>
            <w:tcW w:w="801" w:type="dxa"/>
            <w:tcBorders>
              <w:top w:val="nil"/>
              <w:left w:val="nil"/>
              <w:bottom w:val="single" w:color="auto" w:sz="4" w:space="0"/>
              <w:right w:val="single" w:color="auto" w:sz="4" w:space="0"/>
            </w:tcBorders>
            <w:vAlign w:val="center"/>
          </w:tcPr>
          <w:p w14:paraId="2ACBAF6A">
            <w:pPr>
              <w:spacing w:line="440" w:lineRule="atLeast"/>
              <w:jc w:val="right"/>
              <w:rPr>
                <w:rFonts w:ascii="仿宋" w:hAnsi="仿宋" w:eastAsia="仿宋" w:cs="仿宋"/>
                <w:sz w:val="24"/>
              </w:rPr>
            </w:pPr>
            <w:r>
              <w:rPr>
                <w:rFonts w:hint="eastAsia" w:ascii="仿宋" w:hAnsi="仿宋" w:eastAsia="仿宋" w:cs="仿宋"/>
                <w:sz w:val="24"/>
              </w:rPr>
              <w:t>616</w:t>
            </w:r>
          </w:p>
        </w:tc>
        <w:tc>
          <w:tcPr>
            <w:tcW w:w="905" w:type="dxa"/>
            <w:tcBorders>
              <w:top w:val="nil"/>
              <w:left w:val="nil"/>
              <w:bottom w:val="single" w:color="auto" w:sz="4" w:space="0"/>
              <w:right w:val="single" w:color="auto" w:sz="4" w:space="0"/>
            </w:tcBorders>
            <w:vAlign w:val="center"/>
          </w:tcPr>
          <w:p w14:paraId="1CED70FE">
            <w:pPr>
              <w:spacing w:line="440" w:lineRule="atLeast"/>
              <w:jc w:val="right"/>
              <w:rPr>
                <w:rFonts w:ascii="仿宋" w:hAnsi="仿宋" w:eastAsia="仿宋" w:cs="仿宋"/>
                <w:sz w:val="24"/>
              </w:rPr>
            </w:pPr>
            <w:r>
              <w:rPr>
                <w:rFonts w:hint="eastAsia" w:ascii="仿宋" w:hAnsi="仿宋" w:eastAsia="仿宋" w:cs="仿宋"/>
                <w:sz w:val="24"/>
              </w:rPr>
              <w:t>1,078</w:t>
            </w:r>
          </w:p>
        </w:tc>
        <w:tc>
          <w:tcPr>
            <w:tcW w:w="905" w:type="dxa"/>
            <w:tcBorders>
              <w:top w:val="nil"/>
              <w:left w:val="nil"/>
              <w:bottom w:val="single" w:color="auto" w:sz="4" w:space="0"/>
              <w:right w:val="single" w:color="auto" w:sz="4" w:space="0"/>
            </w:tcBorders>
            <w:vAlign w:val="center"/>
          </w:tcPr>
          <w:p w14:paraId="0A4CEC21">
            <w:pPr>
              <w:spacing w:line="440" w:lineRule="atLeast"/>
              <w:jc w:val="right"/>
              <w:rPr>
                <w:rFonts w:ascii="仿宋" w:hAnsi="仿宋" w:eastAsia="仿宋" w:cs="仿宋"/>
                <w:sz w:val="24"/>
              </w:rPr>
            </w:pPr>
            <w:r>
              <w:rPr>
                <w:rFonts w:hint="eastAsia" w:ascii="仿宋" w:hAnsi="仿宋" w:eastAsia="仿宋" w:cs="仿宋"/>
                <w:sz w:val="24"/>
              </w:rPr>
              <w:t>1,725</w:t>
            </w:r>
          </w:p>
        </w:tc>
        <w:tc>
          <w:tcPr>
            <w:tcW w:w="905" w:type="dxa"/>
            <w:tcBorders>
              <w:top w:val="nil"/>
              <w:left w:val="nil"/>
              <w:bottom w:val="single" w:color="auto" w:sz="4" w:space="0"/>
              <w:right w:val="single" w:color="auto" w:sz="4" w:space="0"/>
            </w:tcBorders>
            <w:vAlign w:val="center"/>
          </w:tcPr>
          <w:p w14:paraId="421A51BA">
            <w:pPr>
              <w:spacing w:line="440" w:lineRule="atLeast"/>
              <w:jc w:val="right"/>
              <w:rPr>
                <w:rFonts w:ascii="仿宋" w:hAnsi="仿宋" w:eastAsia="仿宋" w:cs="仿宋"/>
                <w:sz w:val="24"/>
              </w:rPr>
            </w:pPr>
            <w:r>
              <w:rPr>
                <w:rFonts w:hint="eastAsia" w:ascii="仿宋" w:hAnsi="仿宋" w:eastAsia="仿宋" w:cs="仿宋"/>
                <w:sz w:val="24"/>
              </w:rPr>
              <w:t>2,406</w:t>
            </w:r>
          </w:p>
        </w:tc>
        <w:tc>
          <w:tcPr>
            <w:tcW w:w="905" w:type="dxa"/>
            <w:tcBorders>
              <w:top w:val="nil"/>
              <w:left w:val="nil"/>
              <w:bottom w:val="single" w:color="auto" w:sz="4" w:space="0"/>
              <w:right w:val="single" w:color="auto" w:sz="4" w:space="0"/>
            </w:tcBorders>
            <w:vAlign w:val="center"/>
          </w:tcPr>
          <w:p w14:paraId="63EAC263">
            <w:pPr>
              <w:spacing w:line="440" w:lineRule="atLeast"/>
              <w:jc w:val="right"/>
              <w:rPr>
                <w:rFonts w:ascii="仿宋" w:hAnsi="仿宋" w:eastAsia="仿宋" w:cs="仿宋"/>
                <w:sz w:val="24"/>
              </w:rPr>
            </w:pPr>
            <w:r>
              <w:rPr>
                <w:rFonts w:hint="eastAsia" w:ascii="仿宋" w:hAnsi="仿宋" w:eastAsia="仿宋" w:cs="仿宋"/>
                <w:sz w:val="24"/>
              </w:rPr>
              <w:t>3,272</w:t>
            </w:r>
          </w:p>
        </w:tc>
        <w:tc>
          <w:tcPr>
            <w:tcW w:w="905" w:type="dxa"/>
            <w:tcBorders>
              <w:top w:val="nil"/>
              <w:left w:val="nil"/>
              <w:bottom w:val="single" w:color="auto" w:sz="4" w:space="0"/>
              <w:right w:val="single" w:color="auto" w:sz="4" w:space="0"/>
            </w:tcBorders>
            <w:vAlign w:val="center"/>
          </w:tcPr>
          <w:p w14:paraId="23253E0B">
            <w:pPr>
              <w:spacing w:line="440" w:lineRule="atLeast"/>
              <w:jc w:val="right"/>
              <w:rPr>
                <w:rFonts w:ascii="仿宋" w:hAnsi="仿宋" w:eastAsia="仿宋" w:cs="仿宋"/>
                <w:sz w:val="24"/>
              </w:rPr>
            </w:pPr>
            <w:r>
              <w:rPr>
                <w:rFonts w:hint="eastAsia" w:ascii="仿宋" w:hAnsi="仿宋" w:eastAsia="仿宋" w:cs="仿宋"/>
                <w:sz w:val="24"/>
              </w:rPr>
              <w:t>4,418</w:t>
            </w:r>
          </w:p>
        </w:tc>
        <w:tc>
          <w:tcPr>
            <w:tcW w:w="854" w:type="dxa"/>
            <w:tcBorders>
              <w:top w:val="nil"/>
              <w:left w:val="nil"/>
              <w:bottom w:val="single" w:color="auto" w:sz="4" w:space="0"/>
              <w:right w:val="single" w:color="auto" w:sz="4" w:space="0"/>
            </w:tcBorders>
            <w:vAlign w:val="center"/>
          </w:tcPr>
          <w:p w14:paraId="3E74DC2D">
            <w:pPr>
              <w:spacing w:line="440" w:lineRule="atLeast"/>
              <w:jc w:val="right"/>
              <w:rPr>
                <w:rFonts w:ascii="仿宋" w:hAnsi="仿宋" w:eastAsia="仿宋" w:cs="仿宋"/>
                <w:sz w:val="24"/>
              </w:rPr>
            </w:pPr>
            <w:r>
              <w:rPr>
                <w:rFonts w:hint="eastAsia" w:ascii="仿宋" w:hAnsi="仿宋" w:eastAsia="仿宋" w:cs="仿宋"/>
                <w:sz w:val="24"/>
              </w:rPr>
              <w:t>5,893</w:t>
            </w:r>
          </w:p>
        </w:tc>
      </w:tr>
      <w:tr w14:paraId="459268DB">
        <w:tblPrEx>
          <w:tblCellMar>
            <w:top w:w="0" w:type="dxa"/>
            <w:left w:w="108" w:type="dxa"/>
            <w:bottom w:w="0" w:type="dxa"/>
            <w:right w:w="108" w:type="dxa"/>
          </w:tblCellMar>
        </w:tblPrEx>
        <w:trPr>
          <w:trHeight w:val="210" w:hRule="atLeast"/>
          <w:jc w:val="right"/>
        </w:trPr>
        <w:tc>
          <w:tcPr>
            <w:tcW w:w="1887" w:type="dxa"/>
            <w:tcBorders>
              <w:top w:val="nil"/>
              <w:left w:val="single" w:color="auto" w:sz="4" w:space="0"/>
              <w:bottom w:val="single" w:color="auto" w:sz="4" w:space="0"/>
              <w:right w:val="single" w:color="auto" w:sz="4" w:space="0"/>
            </w:tcBorders>
            <w:vAlign w:val="center"/>
          </w:tcPr>
          <w:p w14:paraId="5D8474D0">
            <w:pPr>
              <w:spacing w:line="440" w:lineRule="atLeast"/>
              <w:jc w:val="left"/>
              <w:rPr>
                <w:rFonts w:ascii="仿宋" w:hAnsi="仿宋" w:eastAsia="仿宋" w:cs="仿宋"/>
                <w:kern w:val="0"/>
                <w:sz w:val="24"/>
              </w:rPr>
            </w:pPr>
            <w:r>
              <w:rPr>
                <w:rFonts w:hint="eastAsia" w:ascii="仿宋" w:hAnsi="仿宋" w:eastAsia="仿宋" w:cs="仿宋"/>
                <w:kern w:val="0"/>
                <w:sz w:val="24"/>
              </w:rPr>
              <w:t>托管及其他受托业务佣金</w:t>
            </w:r>
          </w:p>
        </w:tc>
        <w:tc>
          <w:tcPr>
            <w:tcW w:w="1095" w:type="dxa"/>
            <w:tcBorders>
              <w:top w:val="nil"/>
              <w:left w:val="nil"/>
              <w:bottom w:val="single" w:color="auto" w:sz="4" w:space="0"/>
              <w:right w:val="single" w:color="auto" w:sz="4" w:space="0"/>
            </w:tcBorders>
            <w:vAlign w:val="center"/>
          </w:tcPr>
          <w:p w14:paraId="382E6937">
            <w:pPr>
              <w:spacing w:line="440" w:lineRule="atLeast"/>
              <w:jc w:val="right"/>
              <w:rPr>
                <w:rFonts w:ascii="仿宋" w:hAnsi="仿宋" w:eastAsia="仿宋" w:cs="仿宋"/>
                <w:sz w:val="24"/>
              </w:rPr>
            </w:pPr>
            <w:r>
              <w:rPr>
                <w:rFonts w:hint="eastAsia" w:ascii="仿宋" w:hAnsi="仿宋" w:eastAsia="仿宋" w:cs="仿宋"/>
                <w:sz w:val="24"/>
              </w:rPr>
              <w:t>84</w:t>
            </w:r>
          </w:p>
        </w:tc>
        <w:tc>
          <w:tcPr>
            <w:tcW w:w="801" w:type="dxa"/>
            <w:tcBorders>
              <w:top w:val="nil"/>
              <w:left w:val="nil"/>
              <w:bottom w:val="single" w:color="auto" w:sz="4" w:space="0"/>
              <w:right w:val="single" w:color="auto" w:sz="4" w:space="0"/>
            </w:tcBorders>
            <w:vAlign w:val="center"/>
          </w:tcPr>
          <w:p w14:paraId="187C4D9D">
            <w:pPr>
              <w:spacing w:line="440" w:lineRule="atLeast"/>
              <w:jc w:val="right"/>
              <w:rPr>
                <w:rFonts w:ascii="仿宋" w:hAnsi="仿宋" w:eastAsia="仿宋" w:cs="仿宋"/>
                <w:sz w:val="24"/>
              </w:rPr>
            </w:pPr>
            <w:r>
              <w:rPr>
                <w:rFonts w:hint="eastAsia" w:ascii="仿宋" w:hAnsi="仿宋" w:eastAsia="仿宋" w:cs="仿宋"/>
                <w:sz w:val="24"/>
              </w:rPr>
              <w:t>227</w:t>
            </w:r>
          </w:p>
        </w:tc>
        <w:tc>
          <w:tcPr>
            <w:tcW w:w="905" w:type="dxa"/>
            <w:tcBorders>
              <w:top w:val="nil"/>
              <w:left w:val="nil"/>
              <w:bottom w:val="single" w:color="auto" w:sz="4" w:space="0"/>
              <w:right w:val="single" w:color="auto" w:sz="4" w:space="0"/>
            </w:tcBorders>
            <w:vAlign w:val="center"/>
          </w:tcPr>
          <w:p w14:paraId="68EBECA7">
            <w:pPr>
              <w:spacing w:line="440" w:lineRule="atLeast"/>
              <w:jc w:val="right"/>
              <w:rPr>
                <w:rFonts w:ascii="仿宋" w:hAnsi="仿宋" w:eastAsia="仿宋" w:cs="仿宋"/>
                <w:sz w:val="24"/>
              </w:rPr>
            </w:pPr>
            <w:r>
              <w:rPr>
                <w:rFonts w:hint="eastAsia" w:ascii="仿宋" w:hAnsi="仿宋" w:eastAsia="仿宋" w:cs="仿宋"/>
                <w:sz w:val="24"/>
              </w:rPr>
              <w:t>431</w:t>
            </w:r>
          </w:p>
        </w:tc>
        <w:tc>
          <w:tcPr>
            <w:tcW w:w="905" w:type="dxa"/>
            <w:tcBorders>
              <w:top w:val="nil"/>
              <w:left w:val="nil"/>
              <w:bottom w:val="single" w:color="auto" w:sz="4" w:space="0"/>
              <w:right w:val="single" w:color="auto" w:sz="4" w:space="0"/>
            </w:tcBorders>
            <w:vAlign w:val="center"/>
          </w:tcPr>
          <w:p w14:paraId="695ACC4C">
            <w:pPr>
              <w:spacing w:line="440" w:lineRule="atLeast"/>
              <w:jc w:val="right"/>
              <w:rPr>
                <w:rFonts w:ascii="仿宋" w:hAnsi="仿宋" w:eastAsia="仿宋" w:cs="仿宋"/>
                <w:sz w:val="24"/>
              </w:rPr>
            </w:pPr>
            <w:r>
              <w:rPr>
                <w:rFonts w:hint="eastAsia" w:ascii="仿宋" w:hAnsi="仿宋" w:eastAsia="仿宋" w:cs="仿宋"/>
                <w:sz w:val="24"/>
              </w:rPr>
              <w:t>712</w:t>
            </w:r>
          </w:p>
        </w:tc>
        <w:tc>
          <w:tcPr>
            <w:tcW w:w="905" w:type="dxa"/>
            <w:tcBorders>
              <w:top w:val="nil"/>
              <w:left w:val="nil"/>
              <w:bottom w:val="single" w:color="auto" w:sz="4" w:space="0"/>
              <w:right w:val="single" w:color="auto" w:sz="4" w:space="0"/>
            </w:tcBorders>
            <w:vAlign w:val="center"/>
          </w:tcPr>
          <w:p w14:paraId="7B21E8D5">
            <w:pPr>
              <w:spacing w:line="440" w:lineRule="atLeast"/>
              <w:jc w:val="right"/>
              <w:rPr>
                <w:rFonts w:ascii="仿宋" w:hAnsi="仿宋" w:eastAsia="仿宋" w:cs="仿宋"/>
                <w:sz w:val="24"/>
              </w:rPr>
            </w:pPr>
            <w:r>
              <w:rPr>
                <w:rFonts w:hint="eastAsia" w:ascii="仿宋" w:hAnsi="仿宋" w:eastAsia="仿宋" w:cs="仿宋"/>
                <w:sz w:val="24"/>
              </w:rPr>
              <w:t>968</w:t>
            </w:r>
          </w:p>
        </w:tc>
        <w:tc>
          <w:tcPr>
            <w:tcW w:w="905" w:type="dxa"/>
            <w:tcBorders>
              <w:top w:val="nil"/>
              <w:left w:val="nil"/>
              <w:bottom w:val="single" w:color="auto" w:sz="4" w:space="0"/>
              <w:right w:val="single" w:color="auto" w:sz="4" w:space="0"/>
            </w:tcBorders>
            <w:vAlign w:val="center"/>
          </w:tcPr>
          <w:p w14:paraId="482DB589">
            <w:pPr>
              <w:spacing w:line="440" w:lineRule="atLeast"/>
              <w:jc w:val="right"/>
              <w:rPr>
                <w:rFonts w:ascii="仿宋" w:hAnsi="仿宋" w:eastAsia="仿宋" w:cs="仿宋"/>
                <w:sz w:val="24"/>
              </w:rPr>
            </w:pPr>
            <w:r>
              <w:rPr>
                <w:rFonts w:hint="eastAsia" w:ascii="仿宋" w:hAnsi="仿宋" w:eastAsia="仿宋" w:cs="仿宋"/>
                <w:sz w:val="24"/>
              </w:rPr>
              <w:t>1,258</w:t>
            </w:r>
          </w:p>
        </w:tc>
        <w:tc>
          <w:tcPr>
            <w:tcW w:w="905" w:type="dxa"/>
            <w:tcBorders>
              <w:top w:val="nil"/>
              <w:left w:val="nil"/>
              <w:bottom w:val="single" w:color="auto" w:sz="4" w:space="0"/>
              <w:right w:val="single" w:color="auto" w:sz="4" w:space="0"/>
            </w:tcBorders>
            <w:vAlign w:val="center"/>
          </w:tcPr>
          <w:p w14:paraId="3D764328">
            <w:pPr>
              <w:spacing w:line="440" w:lineRule="atLeast"/>
              <w:jc w:val="right"/>
              <w:rPr>
                <w:rFonts w:ascii="仿宋" w:hAnsi="仿宋" w:eastAsia="仿宋" w:cs="仿宋"/>
                <w:sz w:val="24"/>
              </w:rPr>
            </w:pPr>
            <w:r>
              <w:rPr>
                <w:rFonts w:hint="eastAsia" w:ascii="仿宋" w:hAnsi="仿宋" w:eastAsia="仿宋" w:cs="仿宋"/>
                <w:sz w:val="24"/>
              </w:rPr>
              <w:t>1,616</w:t>
            </w:r>
          </w:p>
        </w:tc>
        <w:tc>
          <w:tcPr>
            <w:tcW w:w="854" w:type="dxa"/>
            <w:tcBorders>
              <w:top w:val="nil"/>
              <w:left w:val="nil"/>
              <w:bottom w:val="single" w:color="auto" w:sz="4" w:space="0"/>
              <w:right w:val="single" w:color="auto" w:sz="4" w:space="0"/>
            </w:tcBorders>
            <w:vAlign w:val="center"/>
          </w:tcPr>
          <w:p w14:paraId="20632128">
            <w:pPr>
              <w:spacing w:line="440" w:lineRule="atLeast"/>
              <w:jc w:val="right"/>
              <w:rPr>
                <w:rFonts w:ascii="仿宋" w:hAnsi="仿宋" w:eastAsia="仿宋" w:cs="仿宋"/>
                <w:sz w:val="24"/>
              </w:rPr>
            </w:pPr>
            <w:r>
              <w:rPr>
                <w:rFonts w:hint="eastAsia" w:ascii="仿宋" w:hAnsi="仿宋" w:eastAsia="仿宋" w:cs="仿宋"/>
                <w:sz w:val="24"/>
              </w:rPr>
              <w:t>2,036</w:t>
            </w:r>
          </w:p>
        </w:tc>
      </w:tr>
      <w:tr w14:paraId="2CF60336">
        <w:tblPrEx>
          <w:tblCellMar>
            <w:top w:w="0" w:type="dxa"/>
            <w:left w:w="108" w:type="dxa"/>
            <w:bottom w:w="0" w:type="dxa"/>
            <w:right w:w="108" w:type="dxa"/>
          </w:tblCellMar>
        </w:tblPrEx>
        <w:trPr>
          <w:trHeight w:val="210" w:hRule="atLeast"/>
          <w:jc w:val="right"/>
        </w:trPr>
        <w:tc>
          <w:tcPr>
            <w:tcW w:w="1887" w:type="dxa"/>
            <w:tcBorders>
              <w:top w:val="nil"/>
              <w:left w:val="single" w:color="auto" w:sz="4" w:space="0"/>
              <w:bottom w:val="single" w:color="auto" w:sz="4" w:space="0"/>
              <w:right w:val="single" w:color="auto" w:sz="4" w:space="0"/>
            </w:tcBorders>
            <w:vAlign w:val="center"/>
          </w:tcPr>
          <w:p w14:paraId="198EDC4F">
            <w:pPr>
              <w:spacing w:line="440" w:lineRule="atLeast"/>
              <w:jc w:val="left"/>
              <w:rPr>
                <w:rFonts w:ascii="仿宋" w:hAnsi="仿宋" w:eastAsia="仿宋" w:cs="仿宋"/>
                <w:kern w:val="0"/>
                <w:sz w:val="24"/>
              </w:rPr>
            </w:pPr>
            <w:r>
              <w:rPr>
                <w:rFonts w:hint="eastAsia" w:ascii="仿宋" w:hAnsi="仿宋" w:eastAsia="仿宋" w:cs="仿宋"/>
                <w:kern w:val="0"/>
                <w:sz w:val="24"/>
              </w:rPr>
              <w:t>其他</w:t>
            </w:r>
          </w:p>
        </w:tc>
        <w:tc>
          <w:tcPr>
            <w:tcW w:w="1095" w:type="dxa"/>
            <w:tcBorders>
              <w:top w:val="nil"/>
              <w:left w:val="nil"/>
              <w:bottom w:val="single" w:color="auto" w:sz="4" w:space="0"/>
              <w:right w:val="single" w:color="auto" w:sz="4" w:space="0"/>
            </w:tcBorders>
            <w:vAlign w:val="center"/>
          </w:tcPr>
          <w:p w14:paraId="596C286D">
            <w:pPr>
              <w:spacing w:line="440" w:lineRule="atLeast"/>
              <w:jc w:val="right"/>
              <w:rPr>
                <w:rFonts w:ascii="仿宋" w:hAnsi="仿宋" w:eastAsia="仿宋" w:cs="仿宋"/>
                <w:sz w:val="24"/>
              </w:rPr>
            </w:pPr>
            <w:r>
              <w:rPr>
                <w:rFonts w:hint="eastAsia" w:ascii="仿宋" w:hAnsi="仿宋" w:eastAsia="仿宋" w:cs="仿宋"/>
                <w:sz w:val="24"/>
              </w:rPr>
              <w:t>28</w:t>
            </w:r>
          </w:p>
        </w:tc>
        <w:tc>
          <w:tcPr>
            <w:tcW w:w="801" w:type="dxa"/>
            <w:tcBorders>
              <w:top w:val="nil"/>
              <w:left w:val="nil"/>
              <w:bottom w:val="single" w:color="auto" w:sz="4" w:space="0"/>
              <w:right w:val="single" w:color="auto" w:sz="4" w:space="0"/>
            </w:tcBorders>
            <w:vAlign w:val="center"/>
          </w:tcPr>
          <w:p w14:paraId="4ABBB32F">
            <w:pPr>
              <w:spacing w:line="440" w:lineRule="atLeast"/>
              <w:jc w:val="right"/>
              <w:rPr>
                <w:rFonts w:ascii="仿宋" w:hAnsi="仿宋" w:eastAsia="仿宋" w:cs="仿宋"/>
                <w:sz w:val="24"/>
              </w:rPr>
            </w:pPr>
            <w:r>
              <w:rPr>
                <w:rFonts w:hint="eastAsia" w:ascii="仿宋" w:hAnsi="仿宋" w:eastAsia="仿宋" w:cs="仿宋"/>
                <w:sz w:val="24"/>
              </w:rPr>
              <w:t>160</w:t>
            </w:r>
          </w:p>
        </w:tc>
        <w:tc>
          <w:tcPr>
            <w:tcW w:w="905" w:type="dxa"/>
            <w:tcBorders>
              <w:top w:val="nil"/>
              <w:left w:val="nil"/>
              <w:bottom w:val="single" w:color="auto" w:sz="4" w:space="0"/>
              <w:right w:val="single" w:color="auto" w:sz="4" w:space="0"/>
            </w:tcBorders>
            <w:vAlign w:val="center"/>
          </w:tcPr>
          <w:p w14:paraId="49A877F1">
            <w:pPr>
              <w:spacing w:line="440" w:lineRule="atLeast"/>
              <w:jc w:val="right"/>
              <w:rPr>
                <w:rFonts w:ascii="仿宋" w:hAnsi="仿宋" w:eastAsia="仿宋" w:cs="仿宋"/>
                <w:sz w:val="24"/>
              </w:rPr>
            </w:pPr>
            <w:r>
              <w:rPr>
                <w:rFonts w:hint="eastAsia" w:ascii="仿宋" w:hAnsi="仿宋" w:eastAsia="仿宋" w:cs="仿宋"/>
                <w:sz w:val="24"/>
              </w:rPr>
              <w:t>213</w:t>
            </w:r>
          </w:p>
        </w:tc>
        <w:tc>
          <w:tcPr>
            <w:tcW w:w="905" w:type="dxa"/>
            <w:tcBorders>
              <w:top w:val="nil"/>
              <w:left w:val="nil"/>
              <w:bottom w:val="single" w:color="auto" w:sz="4" w:space="0"/>
              <w:right w:val="single" w:color="auto" w:sz="4" w:space="0"/>
            </w:tcBorders>
            <w:vAlign w:val="center"/>
          </w:tcPr>
          <w:p w14:paraId="4BCB95E2">
            <w:pPr>
              <w:spacing w:line="440" w:lineRule="atLeast"/>
              <w:jc w:val="right"/>
              <w:rPr>
                <w:rFonts w:ascii="仿宋" w:hAnsi="仿宋" w:eastAsia="仿宋" w:cs="仿宋"/>
                <w:sz w:val="24"/>
              </w:rPr>
            </w:pPr>
            <w:r>
              <w:rPr>
                <w:rFonts w:hint="eastAsia" w:ascii="仿宋" w:hAnsi="仿宋" w:eastAsia="仿宋" w:cs="仿宋"/>
                <w:sz w:val="24"/>
              </w:rPr>
              <w:t>266</w:t>
            </w:r>
          </w:p>
        </w:tc>
        <w:tc>
          <w:tcPr>
            <w:tcW w:w="905" w:type="dxa"/>
            <w:tcBorders>
              <w:top w:val="nil"/>
              <w:left w:val="nil"/>
              <w:bottom w:val="single" w:color="auto" w:sz="4" w:space="0"/>
              <w:right w:val="single" w:color="auto" w:sz="4" w:space="0"/>
            </w:tcBorders>
            <w:vAlign w:val="center"/>
          </w:tcPr>
          <w:p w14:paraId="4EF7A3F9">
            <w:pPr>
              <w:spacing w:line="440" w:lineRule="atLeast"/>
              <w:jc w:val="right"/>
              <w:rPr>
                <w:rFonts w:ascii="仿宋" w:hAnsi="仿宋" w:eastAsia="仿宋" w:cs="仿宋"/>
                <w:sz w:val="24"/>
              </w:rPr>
            </w:pPr>
            <w:r>
              <w:rPr>
                <w:rFonts w:hint="eastAsia" w:ascii="仿宋" w:hAnsi="仿宋" w:eastAsia="仿宋" w:cs="仿宋"/>
                <w:sz w:val="24"/>
              </w:rPr>
              <w:t>314</w:t>
            </w:r>
          </w:p>
        </w:tc>
        <w:tc>
          <w:tcPr>
            <w:tcW w:w="905" w:type="dxa"/>
            <w:tcBorders>
              <w:top w:val="nil"/>
              <w:left w:val="nil"/>
              <w:bottom w:val="single" w:color="auto" w:sz="4" w:space="0"/>
              <w:right w:val="single" w:color="auto" w:sz="4" w:space="0"/>
            </w:tcBorders>
            <w:vAlign w:val="center"/>
          </w:tcPr>
          <w:p w14:paraId="09E2453D">
            <w:pPr>
              <w:spacing w:line="440" w:lineRule="atLeast"/>
              <w:jc w:val="right"/>
              <w:rPr>
                <w:rFonts w:ascii="仿宋" w:hAnsi="仿宋" w:eastAsia="仿宋" w:cs="仿宋"/>
                <w:sz w:val="24"/>
              </w:rPr>
            </w:pPr>
            <w:r>
              <w:rPr>
                <w:rFonts w:hint="eastAsia" w:ascii="仿宋" w:hAnsi="仿宋" w:eastAsia="仿宋" w:cs="仿宋"/>
                <w:sz w:val="24"/>
              </w:rPr>
              <w:t>364</w:t>
            </w:r>
          </w:p>
        </w:tc>
        <w:tc>
          <w:tcPr>
            <w:tcW w:w="905" w:type="dxa"/>
            <w:tcBorders>
              <w:top w:val="nil"/>
              <w:left w:val="nil"/>
              <w:bottom w:val="single" w:color="auto" w:sz="4" w:space="0"/>
              <w:right w:val="single" w:color="auto" w:sz="4" w:space="0"/>
            </w:tcBorders>
            <w:vAlign w:val="center"/>
          </w:tcPr>
          <w:p w14:paraId="2CEF53D7">
            <w:pPr>
              <w:spacing w:line="440" w:lineRule="atLeast"/>
              <w:jc w:val="right"/>
              <w:rPr>
                <w:rFonts w:ascii="仿宋" w:hAnsi="仿宋" w:eastAsia="仿宋" w:cs="仿宋"/>
                <w:sz w:val="24"/>
              </w:rPr>
            </w:pPr>
            <w:r>
              <w:rPr>
                <w:rFonts w:hint="eastAsia" w:ascii="仿宋" w:hAnsi="仿宋" w:eastAsia="仿宋" w:cs="仿宋"/>
                <w:sz w:val="24"/>
              </w:rPr>
              <w:t>419</w:t>
            </w:r>
          </w:p>
        </w:tc>
        <w:tc>
          <w:tcPr>
            <w:tcW w:w="854" w:type="dxa"/>
            <w:tcBorders>
              <w:top w:val="nil"/>
              <w:left w:val="nil"/>
              <w:bottom w:val="single" w:color="auto" w:sz="4" w:space="0"/>
              <w:right w:val="single" w:color="auto" w:sz="4" w:space="0"/>
            </w:tcBorders>
            <w:vAlign w:val="center"/>
          </w:tcPr>
          <w:p w14:paraId="5CDB17B6">
            <w:pPr>
              <w:spacing w:line="440" w:lineRule="atLeast"/>
              <w:jc w:val="right"/>
              <w:rPr>
                <w:rFonts w:ascii="仿宋" w:hAnsi="仿宋" w:eastAsia="仿宋" w:cs="仿宋"/>
                <w:sz w:val="24"/>
              </w:rPr>
            </w:pPr>
            <w:r>
              <w:rPr>
                <w:rFonts w:hint="eastAsia" w:ascii="仿宋" w:hAnsi="仿宋" w:eastAsia="仿宋" w:cs="仿宋"/>
                <w:sz w:val="24"/>
              </w:rPr>
              <w:t>477</w:t>
            </w:r>
          </w:p>
        </w:tc>
      </w:tr>
    </w:tbl>
    <w:p w14:paraId="1BC18C90">
      <w:pPr>
        <w:shd w:val="clear" w:color="auto" w:fill="FFFFFF"/>
        <w:spacing w:line="440" w:lineRule="atLeast"/>
        <w:ind w:firstLine="482" w:firstLineChars="200"/>
        <w:rPr>
          <w:rFonts w:ascii="宋体" w:hAnsi="宋体" w:eastAsia="宋体" w:cs="宋体"/>
          <w:b/>
          <w:bCs/>
          <w:color w:val="000000"/>
          <w:kern w:val="0"/>
          <w:sz w:val="24"/>
          <w:shd w:val="clear" w:color="auto" w:fill="FFFFFF"/>
          <w:lang w:val="zh-TW" w:eastAsia="zh-TW"/>
        </w:rPr>
      </w:pPr>
      <w:r>
        <w:rPr>
          <w:rFonts w:hint="eastAsia" w:ascii="宋体" w:hAnsi="宋体" w:eastAsia="宋体" w:cs="宋体"/>
          <w:b/>
          <w:bCs/>
          <w:color w:val="000000"/>
          <w:kern w:val="0"/>
          <w:sz w:val="24"/>
          <w:shd w:val="clear" w:color="auto" w:fill="FFFFFF"/>
          <w:lang w:val="zh-TW" w:eastAsia="zh-TW"/>
        </w:rPr>
        <w:t>案例四：证券公司的手续费收入预测</w:t>
      </w:r>
    </w:p>
    <w:p w14:paraId="1F5AE02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手续费及佣金净收入＝手续费及佣金收入－手续费及佣金支出。</w:t>
      </w:r>
    </w:p>
    <w:p w14:paraId="49B48FF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手续费及佣金收入＝市场成交额×2×市场份额×平均佣金率</w:t>
      </w:r>
    </w:p>
    <w:p w14:paraId="7587798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手续费及佣金支出＝代理买卖证券业务的收入×代理买卖证券的平均费用比率</w:t>
      </w:r>
    </w:p>
    <w:p w14:paraId="2D49BB6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1、市场成交额预测</w:t>
      </w:r>
    </w:p>
    <w:p w14:paraId="004B720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成交额是反映证券市场运行情况的重要参数之一，从我国证券行业发展的历史轨迹来看，证券交易的活跃程度与证券指数呈正相关，但更主要与市场股权结构、流通股票容量以及资金供求相关联。</w:t>
      </w:r>
    </w:p>
    <w:p w14:paraId="6484D585">
      <w:pPr>
        <w:spacing w:line="440" w:lineRule="atLeast"/>
        <w:jc w:val="center"/>
        <w:rPr>
          <w:rFonts w:ascii="仿宋" w:hAnsi="仿宋" w:eastAsia="仿宋" w:cs="仿宋"/>
          <w:sz w:val="24"/>
        </w:rPr>
      </w:pPr>
      <w:r>
        <w:rPr>
          <w:rFonts w:hint="eastAsia" w:ascii="仿宋" w:hAnsi="仿宋" w:eastAsia="仿宋" w:cs="仿宋"/>
          <w:sz w:val="24"/>
        </w:rPr>
        <w:t>A股市场单边交易额统计表</w:t>
      </w:r>
    </w:p>
    <w:p w14:paraId="1226E4F8">
      <w:pPr>
        <w:spacing w:line="440" w:lineRule="atLeast"/>
        <w:ind w:firstLine="480" w:firstLineChars="200"/>
        <w:jc w:val="right"/>
        <w:rPr>
          <w:rFonts w:ascii="仿宋" w:hAnsi="仿宋" w:eastAsia="仿宋" w:cs="仿宋"/>
          <w:sz w:val="24"/>
        </w:rPr>
      </w:pPr>
      <w:r>
        <w:rPr>
          <w:rFonts w:hint="eastAsia" w:ascii="仿宋" w:hAnsi="仿宋" w:eastAsia="仿宋" w:cs="仿宋"/>
          <w:sz w:val="24"/>
        </w:rPr>
        <w:t>金额单位：人民币万元</w:t>
      </w:r>
    </w:p>
    <w:tbl>
      <w:tblPr>
        <w:tblStyle w:val="24"/>
        <w:tblW w:w="4999" w:type="pct"/>
        <w:tblInd w:w="0" w:type="dxa"/>
        <w:tblLayout w:type="autofit"/>
        <w:tblCellMar>
          <w:top w:w="0" w:type="dxa"/>
          <w:left w:w="108" w:type="dxa"/>
          <w:bottom w:w="0" w:type="dxa"/>
          <w:right w:w="108" w:type="dxa"/>
        </w:tblCellMar>
      </w:tblPr>
      <w:tblGrid>
        <w:gridCol w:w="3011"/>
        <w:gridCol w:w="1911"/>
        <w:gridCol w:w="1911"/>
        <w:gridCol w:w="1681"/>
      </w:tblGrid>
      <w:tr w14:paraId="7D8B17E3">
        <w:tblPrEx>
          <w:tblCellMar>
            <w:top w:w="0" w:type="dxa"/>
            <w:left w:w="108" w:type="dxa"/>
            <w:bottom w:w="0" w:type="dxa"/>
            <w:right w:w="108" w:type="dxa"/>
          </w:tblCellMar>
        </w:tblPrEx>
        <w:trPr>
          <w:trHeight w:val="270" w:hRule="atLeast"/>
        </w:trPr>
        <w:tc>
          <w:tcPr>
            <w:tcW w:w="1768" w:type="pct"/>
            <w:tcBorders>
              <w:top w:val="single" w:color="auto" w:sz="4" w:space="0"/>
              <w:left w:val="single" w:color="auto" w:sz="4" w:space="0"/>
              <w:bottom w:val="single" w:color="auto" w:sz="4" w:space="0"/>
              <w:right w:val="single" w:color="auto" w:sz="4" w:space="0"/>
            </w:tcBorders>
            <w:vAlign w:val="center"/>
          </w:tcPr>
          <w:p w14:paraId="5229BDCE">
            <w:pPr>
              <w:spacing w:line="440" w:lineRule="atLeast"/>
              <w:jc w:val="center"/>
              <w:rPr>
                <w:rFonts w:ascii="仿宋" w:hAnsi="仿宋" w:eastAsia="仿宋" w:cs="仿宋"/>
                <w:kern w:val="0"/>
                <w:sz w:val="24"/>
              </w:rPr>
            </w:pPr>
            <w:r>
              <w:rPr>
                <w:rFonts w:hint="eastAsia" w:ascii="仿宋" w:hAnsi="仿宋" w:eastAsia="仿宋" w:cs="仿宋"/>
                <w:kern w:val="0"/>
                <w:sz w:val="24"/>
              </w:rPr>
              <w:t>项目</w:t>
            </w:r>
          </w:p>
        </w:tc>
        <w:tc>
          <w:tcPr>
            <w:tcW w:w="1122" w:type="pct"/>
            <w:tcBorders>
              <w:top w:val="single" w:color="auto" w:sz="4" w:space="0"/>
              <w:left w:val="nil"/>
              <w:bottom w:val="single" w:color="auto" w:sz="4" w:space="0"/>
              <w:right w:val="single" w:color="auto" w:sz="4" w:space="0"/>
            </w:tcBorders>
            <w:vAlign w:val="center"/>
          </w:tcPr>
          <w:p w14:paraId="71AACF1B">
            <w:pPr>
              <w:spacing w:line="440" w:lineRule="atLeast"/>
              <w:jc w:val="center"/>
              <w:rPr>
                <w:rFonts w:ascii="仿宋" w:hAnsi="仿宋" w:eastAsia="仿宋" w:cs="仿宋"/>
                <w:kern w:val="0"/>
                <w:sz w:val="24"/>
              </w:rPr>
            </w:pPr>
            <w:r>
              <w:rPr>
                <w:rFonts w:hint="eastAsia" w:ascii="仿宋" w:hAnsi="仿宋" w:eastAsia="仿宋" w:cs="仿宋"/>
                <w:kern w:val="0"/>
                <w:sz w:val="24"/>
              </w:rPr>
              <w:t>20y9年</w:t>
            </w:r>
          </w:p>
        </w:tc>
        <w:tc>
          <w:tcPr>
            <w:tcW w:w="1122" w:type="pct"/>
            <w:tcBorders>
              <w:top w:val="single" w:color="auto" w:sz="4" w:space="0"/>
              <w:left w:val="nil"/>
              <w:bottom w:val="single" w:color="auto" w:sz="4" w:space="0"/>
              <w:right w:val="single" w:color="auto" w:sz="4" w:space="0"/>
            </w:tcBorders>
            <w:vAlign w:val="center"/>
          </w:tcPr>
          <w:p w14:paraId="54C6F745">
            <w:pPr>
              <w:spacing w:line="440" w:lineRule="atLeast"/>
              <w:jc w:val="center"/>
              <w:rPr>
                <w:rFonts w:ascii="仿宋" w:hAnsi="仿宋" w:eastAsia="仿宋" w:cs="仿宋"/>
                <w:kern w:val="0"/>
                <w:sz w:val="24"/>
              </w:rPr>
            </w:pPr>
            <w:r>
              <w:rPr>
                <w:rFonts w:hint="eastAsia" w:ascii="仿宋" w:hAnsi="仿宋" w:eastAsia="仿宋" w:cs="仿宋"/>
                <w:kern w:val="0"/>
                <w:sz w:val="24"/>
              </w:rPr>
              <w:t>20x0年</w:t>
            </w:r>
          </w:p>
        </w:tc>
        <w:tc>
          <w:tcPr>
            <w:tcW w:w="987" w:type="pct"/>
            <w:tcBorders>
              <w:top w:val="single" w:color="auto" w:sz="4" w:space="0"/>
              <w:left w:val="nil"/>
              <w:bottom w:val="single" w:color="auto" w:sz="4" w:space="0"/>
              <w:right w:val="single" w:color="auto" w:sz="4" w:space="0"/>
            </w:tcBorders>
            <w:vAlign w:val="center"/>
          </w:tcPr>
          <w:p w14:paraId="4B36A536">
            <w:pPr>
              <w:spacing w:line="440" w:lineRule="atLeast"/>
              <w:jc w:val="center"/>
              <w:rPr>
                <w:rFonts w:ascii="仿宋" w:hAnsi="仿宋" w:eastAsia="仿宋" w:cs="仿宋"/>
                <w:kern w:val="0"/>
                <w:sz w:val="24"/>
              </w:rPr>
            </w:pPr>
            <w:r>
              <w:rPr>
                <w:rFonts w:hint="eastAsia" w:ascii="仿宋" w:hAnsi="仿宋" w:eastAsia="仿宋" w:cs="仿宋"/>
                <w:kern w:val="0"/>
                <w:sz w:val="24"/>
              </w:rPr>
              <w:t>20x1年</w:t>
            </w:r>
          </w:p>
        </w:tc>
      </w:tr>
      <w:tr w14:paraId="64334B05">
        <w:tblPrEx>
          <w:tblCellMar>
            <w:top w:w="0" w:type="dxa"/>
            <w:left w:w="108" w:type="dxa"/>
            <w:bottom w:w="0" w:type="dxa"/>
            <w:right w:w="108" w:type="dxa"/>
          </w:tblCellMar>
        </w:tblPrEx>
        <w:trPr>
          <w:trHeight w:val="270" w:hRule="atLeast"/>
        </w:trPr>
        <w:tc>
          <w:tcPr>
            <w:tcW w:w="1768" w:type="pct"/>
            <w:tcBorders>
              <w:top w:val="nil"/>
              <w:left w:val="single" w:color="auto" w:sz="4" w:space="0"/>
              <w:bottom w:val="single" w:color="auto" w:sz="4" w:space="0"/>
              <w:right w:val="single" w:color="auto" w:sz="4" w:space="0"/>
            </w:tcBorders>
            <w:vAlign w:val="center"/>
          </w:tcPr>
          <w:p w14:paraId="62603A65">
            <w:pPr>
              <w:spacing w:line="440" w:lineRule="atLeast"/>
              <w:jc w:val="left"/>
              <w:rPr>
                <w:rFonts w:ascii="仿宋" w:hAnsi="仿宋" w:eastAsia="仿宋" w:cs="仿宋"/>
                <w:kern w:val="0"/>
                <w:sz w:val="24"/>
              </w:rPr>
            </w:pPr>
            <w:r>
              <w:rPr>
                <w:rFonts w:hint="eastAsia" w:ascii="仿宋" w:hAnsi="仿宋" w:eastAsia="仿宋" w:cs="仿宋"/>
                <w:kern w:val="0"/>
                <w:sz w:val="24"/>
              </w:rPr>
              <w:t>股票交易额</w:t>
            </w:r>
          </w:p>
        </w:tc>
        <w:tc>
          <w:tcPr>
            <w:tcW w:w="1122" w:type="pct"/>
            <w:tcBorders>
              <w:top w:val="nil"/>
              <w:left w:val="nil"/>
              <w:bottom w:val="single" w:color="auto" w:sz="4" w:space="0"/>
              <w:right w:val="single" w:color="auto" w:sz="4" w:space="0"/>
            </w:tcBorders>
            <w:vAlign w:val="center"/>
          </w:tcPr>
          <w:p w14:paraId="5FFB093F">
            <w:pPr>
              <w:spacing w:line="440" w:lineRule="atLeast"/>
              <w:jc w:val="right"/>
              <w:rPr>
                <w:rFonts w:ascii="仿宋" w:hAnsi="仿宋" w:eastAsia="仿宋" w:cs="仿宋"/>
                <w:kern w:val="0"/>
                <w:sz w:val="24"/>
              </w:rPr>
            </w:pPr>
            <w:r>
              <w:rPr>
                <w:rFonts w:hint="eastAsia" w:ascii="仿宋" w:hAnsi="仿宋" w:eastAsia="仿宋" w:cs="仿宋"/>
                <w:kern w:val="0"/>
                <w:sz w:val="24"/>
              </w:rPr>
              <w:t>1,065,220.97</w:t>
            </w:r>
          </w:p>
        </w:tc>
        <w:tc>
          <w:tcPr>
            <w:tcW w:w="1122" w:type="pct"/>
            <w:tcBorders>
              <w:top w:val="nil"/>
              <w:left w:val="nil"/>
              <w:bottom w:val="single" w:color="auto" w:sz="4" w:space="0"/>
              <w:right w:val="single" w:color="auto" w:sz="4" w:space="0"/>
            </w:tcBorders>
            <w:vAlign w:val="center"/>
          </w:tcPr>
          <w:p w14:paraId="0633D31B">
            <w:pPr>
              <w:spacing w:line="440" w:lineRule="atLeast"/>
              <w:jc w:val="right"/>
              <w:rPr>
                <w:rFonts w:ascii="仿宋" w:hAnsi="仿宋" w:eastAsia="仿宋" w:cs="仿宋"/>
                <w:kern w:val="0"/>
                <w:sz w:val="24"/>
              </w:rPr>
            </w:pPr>
            <w:r>
              <w:rPr>
                <w:rFonts w:hint="eastAsia" w:ascii="仿宋" w:hAnsi="仿宋" w:eastAsia="仿宋" w:cs="仿宋"/>
                <w:kern w:val="0"/>
                <w:sz w:val="24"/>
              </w:rPr>
              <w:t>1,084,347.40</w:t>
            </w:r>
          </w:p>
        </w:tc>
        <w:tc>
          <w:tcPr>
            <w:tcW w:w="987" w:type="pct"/>
            <w:tcBorders>
              <w:top w:val="nil"/>
              <w:left w:val="nil"/>
              <w:bottom w:val="single" w:color="auto" w:sz="4" w:space="0"/>
              <w:right w:val="single" w:color="auto" w:sz="4" w:space="0"/>
            </w:tcBorders>
            <w:vAlign w:val="center"/>
          </w:tcPr>
          <w:p w14:paraId="10EDB87B">
            <w:pPr>
              <w:spacing w:line="440" w:lineRule="atLeast"/>
              <w:jc w:val="right"/>
              <w:rPr>
                <w:rFonts w:ascii="仿宋" w:hAnsi="仿宋" w:eastAsia="仿宋" w:cs="仿宋"/>
                <w:kern w:val="0"/>
                <w:sz w:val="24"/>
              </w:rPr>
            </w:pPr>
            <w:r>
              <w:rPr>
                <w:rFonts w:hint="eastAsia" w:ascii="仿宋" w:hAnsi="仿宋" w:eastAsia="仿宋" w:cs="仿宋"/>
                <w:kern w:val="0"/>
                <w:sz w:val="24"/>
              </w:rPr>
              <w:t>836,680.71</w:t>
            </w:r>
          </w:p>
        </w:tc>
      </w:tr>
      <w:tr w14:paraId="217668F8">
        <w:tblPrEx>
          <w:tblCellMar>
            <w:top w:w="0" w:type="dxa"/>
            <w:left w:w="108" w:type="dxa"/>
            <w:bottom w:w="0" w:type="dxa"/>
            <w:right w:w="108" w:type="dxa"/>
          </w:tblCellMar>
        </w:tblPrEx>
        <w:trPr>
          <w:trHeight w:val="270" w:hRule="atLeast"/>
        </w:trPr>
        <w:tc>
          <w:tcPr>
            <w:tcW w:w="1768" w:type="pct"/>
            <w:tcBorders>
              <w:top w:val="nil"/>
              <w:left w:val="single" w:color="auto" w:sz="4" w:space="0"/>
              <w:bottom w:val="single" w:color="auto" w:sz="4" w:space="0"/>
              <w:right w:val="single" w:color="auto" w:sz="4" w:space="0"/>
            </w:tcBorders>
            <w:vAlign w:val="center"/>
          </w:tcPr>
          <w:p w14:paraId="6F1FA03C">
            <w:pPr>
              <w:spacing w:line="440" w:lineRule="atLeast"/>
              <w:jc w:val="left"/>
              <w:rPr>
                <w:rFonts w:ascii="仿宋" w:hAnsi="仿宋" w:eastAsia="仿宋" w:cs="仿宋"/>
                <w:kern w:val="0"/>
                <w:sz w:val="24"/>
              </w:rPr>
            </w:pPr>
            <w:r>
              <w:rPr>
                <w:rFonts w:hint="eastAsia" w:ascii="仿宋" w:hAnsi="仿宋" w:eastAsia="仿宋" w:cs="仿宋"/>
                <w:kern w:val="0"/>
                <w:sz w:val="24"/>
              </w:rPr>
              <w:t>基金交易额</w:t>
            </w:r>
          </w:p>
        </w:tc>
        <w:tc>
          <w:tcPr>
            <w:tcW w:w="1122" w:type="pct"/>
            <w:tcBorders>
              <w:top w:val="nil"/>
              <w:left w:val="nil"/>
              <w:bottom w:val="single" w:color="auto" w:sz="4" w:space="0"/>
              <w:right w:val="single" w:color="auto" w:sz="4" w:space="0"/>
            </w:tcBorders>
            <w:vAlign w:val="center"/>
          </w:tcPr>
          <w:p w14:paraId="5BF21EF5">
            <w:pPr>
              <w:spacing w:line="440" w:lineRule="atLeast"/>
              <w:jc w:val="right"/>
              <w:rPr>
                <w:rFonts w:ascii="仿宋" w:hAnsi="仿宋" w:eastAsia="仿宋" w:cs="仿宋"/>
                <w:kern w:val="0"/>
                <w:sz w:val="24"/>
              </w:rPr>
            </w:pPr>
            <w:r>
              <w:rPr>
                <w:rFonts w:hint="eastAsia" w:ascii="仿宋" w:hAnsi="仿宋" w:eastAsia="仿宋" w:cs="仿宋"/>
                <w:kern w:val="0"/>
                <w:sz w:val="24"/>
              </w:rPr>
              <w:t>19,544.59</w:t>
            </w:r>
          </w:p>
        </w:tc>
        <w:tc>
          <w:tcPr>
            <w:tcW w:w="1122" w:type="pct"/>
            <w:tcBorders>
              <w:top w:val="nil"/>
              <w:left w:val="nil"/>
              <w:bottom w:val="single" w:color="auto" w:sz="4" w:space="0"/>
              <w:right w:val="single" w:color="auto" w:sz="4" w:space="0"/>
            </w:tcBorders>
            <w:vAlign w:val="center"/>
          </w:tcPr>
          <w:p w14:paraId="19B72E55">
            <w:pPr>
              <w:spacing w:line="440" w:lineRule="atLeast"/>
              <w:jc w:val="right"/>
              <w:rPr>
                <w:rFonts w:ascii="仿宋" w:hAnsi="仿宋" w:eastAsia="仿宋" w:cs="仿宋"/>
                <w:kern w:val="0"/>
                <w:sz w:val="24"/>
              </w:rPr>
            </w:pPr>
            <w:r>
              <w:rPr>
                <w:rFonts w:hint="eastAsia" w:ascii="仿宋" w:hAnsi="仿宋" w:eastAsia="仿宋" w:cs="仿宋"/>
                <w:kern w:val="0"/>
                <w:sz w:val="24"/>
              </w:rPr>
              <w:t>17,027.77</w:t>
            </w:r>
          </w:p>
        </w:tc>
        <w:tc>
          <w:tcPr>
            <w:tcW w:w="987" w:type="pct"/>
            <w:tcBorders>
              <w:top w:val="nil"/>
              <w:left w:val="nil"/>
              <w:bottom w:val="single" w:color="auto" w:sz="4" w:space="0"/>
              <w:right w:val="single" w:color="auto" w:sz="4" w:space="0"/>
            </w:tcBorders>
            <w:vAlign w:val="center"/>
          </w:tcPr>
          <w:p w14:paraId="0C423048">
            <w:pPr>
              <w:spacing w:line="440" w:lineRule="atLeast"/>
              <w:jc w:val="right"/>
              <w:rPr>
                <w:rFonts w:ascii="仿宋" w:hAnsi="仿宋" w:eastAsia="仿宋" w:cs="仿宋"/>
                <w:kern w:val="0"/>
                <w:sz w:val="24"/>
              </w:rPr>
            </w:pPr>
            <w:r>
              <w:rPr>
                <w:rFonts w:hint="eastAsia" w:ascii="仿宋" w:hAnsi="仿宋" w:eastAsia="仿宋" w:cs="仿宋"/>
                <w:kern w:val="0"/>
                <w:sz w:val="24"/>
              </w:rPr>
              <w:t>12,059.84</w:t>
            </w:r>
          </w:p>
        </w:tc>
      </w:tr>
      <w:tr w14:paraId="2664C2BB">
        <w:tblPrEx>
          <w:tblCellMar>
            <w:top w:w="0" w:type="dxa"/>
            <w:left w:w="108" w:type="dxa"/>
            <w:bottom w:w="0" w:type="dxa"/>
            <w:right w:w="108" w:type="dxa"/>
          </w:tblCellMar>
        </w:tblPrEx>
        <w:trPr>
          <w:trHeight w:val="270" w:hRule="atLeast"/>
        </w:trPr>
        <w:tc>
          <w:tcPr>
            <w:tcW w:w="1768" w:type="pct"/>
            <w:tcBorders>
              <w:top w:val="nil"/>
              <w:left w:val="single" w:color="auto" w:sz="4" w:space="0"/>
              <w:bottom w:val="single" w:color="auto" w:sz="4" w:space="0"/>
              <w:right w:val="single" w:color="auto" w:sz="4" w:space="0"/>
            </w:tcBorders>
            <w:vAlign w:val="center"/>
          </w:tcPr>
          <w:p w14:paraId="5AA6E4F3">
            <w:pPr>
              <w:spacing w:line="440" w:lineRule="atLeast"/>
              <w:jc w:val="left"/>
              <w:rPr>
                <w:rFonts w:ascii="仿宋" w:hAnsi="仿宋" w:eastAsia="仿宋" w:cs="仿宋"/>
                <w:kern w:val="0"/>
                <w:sz w:val="24"/>
              </w:rPr>
            </w:pPr>
            <w:r>
              <w:rPr>
                <w:rFonts w:hint="eastAsia" w:ascii="仿宋" w:hAnsi="仿宋" w:eastAsia="仿宋" w:cs="仿宋"/>
                <w:kern w:val="0"/>
                <w:sz w:val="24"/>
              </w:rPr>
              <w:t>股票基金交易额合计</w:t>
            </w:r>
          </w:p>
        </w:tc>
        <w:tc>
          <w:tcPr>
            <w:tcW w:w="1122" w:type="pct"/>
            <w:tcBorders>
              <w:top w:val="nil"/>
              <w:left w:val="nil"/>
              <w:bottom w:val="single" w:color="auto" w:sz="4" w:space="0"/>
              <w:right w:val="single" w:color="auto" w:sz="4" w:space="0"/>
            </w:tcBorders>
            <w:vAlign w:val="center"/>
          </w:tcPr>
          <w:p w14:paraId="20B6A192">
            <w:pPr>
              <w:spacing w:line="440" w:lineRule="atLeast"/>
              <w:jc w:val="right"/>
              <w:rPr>
                <w:rFonts w:ascii="仿宋" w:hAnsi="仿宋" w:eastAsia="仿宋" w:cs="仿宋"/>
                <w:kern w:val="0"/>
                <w:sz w:val="24"/>
              </w:rPr>
            </w:pPr>
            <w:r>
              <w:rPr>
                <w:rFonts w:hint="eastAsia" w:ascii="仿宋" w:hAnsi="仿宋" w:eastAsia="仿宋" w:cs="仿宋"/>
                <w:kern w:val="0"/>
                <w:sz w:val="24"/>
              </w:rPr>
              <w:t>1,084,765.56</w:t>
            </w:r>
          </w:p>
        </w:tc>
        <w:tc>
          <w:tcPr>
            <w:tcW w:w="1122" w:type="pct"/>
            <w:tcBorders>
              <w:top w:val="nil"/>
              <w:left w:val="nil"/>
              <w:bottom w:val="single" w:color="auto" w:sz="4" w:space="0"/>
              <w:right w:val="single" w:color="auto" w:sz="4" w:space="0"/>
            </w:tcBorders>
            <w:vAlign w:val="center"/>
          </w:tcPr>
          <w:p w14:paraId="5B8F346B">
            <w:pPr>
              <w:spacing w:line="440" w:lineRule="atLeast"/>
              <w:jc w:val="right"/>
              <w:rPr>
                <w:rFonts w:ascii="仿宋" w:hAnsi="仿宋" w:eastAsia="仿宋" w:cs="仿宋"/>
                <w:kern w:val="0"/>
                <w:sz w:val="24"/>
              </w:rPr>
            </w:pPr>
            <w:r>
              <w:rPr>
                <w:rFonts w:hint="eastAsia" w:ascii="仿宋" w:hAnsi="仿宋" w:eastAsia="仿宋" w:cs="仿宋"/>
                <w:kern w:val="0"/>
                <w:sz w:val="24"/>
              </w:rPr>
              <w:t>1,101,375.17</w:t>
            </w:r>
          </w:p>
        </w:tc>
        <w:tc>
          <w:tcPr>
            <w:tcW w:w="987" w:type="pct"/>
            <w:tcBorders>
              <w:top w:val="nil"/>
              <w:left w:val="nil"/>
              <w:bottom w:val="single" w:color="auto" w:sz="4" w:space="0"/>
              <w:right w:val="single" w:color="auto" w:sz="4" w:space="0"/>
            </w:tcBorders>
            <w:vAlign w:val="center"/>
          </w:tcPr>
          <w:p w14:paraId="39B86156">
            <w:pPr>
              <w:spacing w:line="440" w:lineRule="atLeast"/>
              <w:jc w:val="right"/>
              <w:rPr>
                <w:rFonts w:ascii="仿宋" w:hAnsi="仿宋" w:eastAsia="仿宋" w:cs="仿宋"/>
                <w:kern w:val="0"/>
                <w:sz w:val="24"/>
              </w:rPr>
            </w:pPr>
            <w:r>
              <w:rPr>
                <w:rFonts w:hint="eastAsia" w:ascii="仿宋" w:hAnsi="仿宋" w:eastAsia="仿宋" w:cs="仿宋"/>
                <w:kern w:val="0"/>
                <w:sz w:val="24"/>
              </w:rPr>
              <w:t>848,740.55</w:t>
            </w:r>
          </w:p>
        </w:tc>
      </w:tr>
    </w:tbl>
    <w:p w14:paraId="1C676C97">
      <w:pPr>
        <w:spacing w:line="440" w:lineRule="atLeast"/>
        <w:ind w:firstLine="480" w:firstLineChars="200"/>
        <w:jc w:val="right"/>
        <w:rPr>
          <w:rFonts w:ascii="仿宋" w:hAnsi="仿宋" w:eastAsia="仿宋" w:cs="仿宋"/>
          <w:kern w:val="0"/>
          <w:sz w:val="24"/>
        </w:rPr>
      </w:pPr>
      <w:r>
        <w:rPr>
          <w:rFonts w:hint="eastAsia" w:ascii="仿宋" w:hAnsi="仿宋" w:eastAsia="仿宋" w:cs="仿宋"/>
          <w:kern w:val="0"/>
          <w:sz w:val="24"/>
        </w:rPr>
        <w:t>数据来源：wind资讯</w:t>
      </w:r>
    </w:p>
    <w:p w14:paraId="193766FB">
      <w:pPr>
        <w:shd w:val="clear" w:color="auto" w:fill="FFFFFF"/>
        <w:spacing w:line="440" w:lineRule="atLeast"/>
        <w:ind w:firstLine="480" w:firstLineChars="200"/>
        <w:rPr>
          <w:rFonts w:ascii="宋体" w:hAnsi="宋体" w:eastAsia="宋体" w:cs="宋体"/>
          <w:color w:val="000000"/>
          <w:kern w:val="0"/>
          <w:sz w:val="24"/>
          <w:shd w:val="clear" w:color="auto" w:fill="FFFFFF"/>
          <w:lang w:val="zh-CN"/>
        </w:rPr>
      </w:pPr>
      <w:r>
        <w:rPr>
          <w:rFonts w:hint="eastAsia" w:ascii="宋体" w:hAnsi="宋体" w:eastAsia="宋体" w:cs="宋体"/>
          <w:color w:val="000000"/>
          <w:kern w:val="0"/>
          <w:sz w:val="24"/>
          <w:shd w:val="clear" w:color="auto" w:fill="FFFFFF"/>
        </w:rPr>
        <w:t>本次评估的预测是基于我国的证券资本市场的增长速度、历史年度的波动水平、同时结合到现在的证券市场的表现进行预测的。面对我国证券市场的不稳定性，资产评估师一方面考虑历史期的交易量，另一方面结合我国证券市场未来发展的走势，预测</w:t>
      </w:r>
      <w:r>
        <w:rPr>
          <w:rFonts w:hint="eastAsia" w:ascii="宋体" w:hAnsi="宋体" w:eastAsia="宋体" w:cs="宋体"/>
          <w:color w:val="000000"/>
          <w:kern w:val="0"/>
          <w:sz w:val="24"/>
          <w:shd w:val="clear" w:color="auto" w:fill="FFFFFF"/>
          <w:lang w:val="zh-CN"/>
        </w:rPr>
        <w:t>未来年度我国证券市场成交额以每年7.6%的速度增长。</w:t>
      </w:r>
    </w:p>
    <w:p w14:paraId="3B541445">
      <w:pPr>
        <w:spacing w:line="440" w:lineRule="atLeast"/>
        <w:ind w:firstLine="480" w:firstLineChars="200"/>
        <w:jc w:val="center"/>
        <w:rPr>
          <w:rFonts w:ascii="仿宋" w:hAnsi="仿宋" w:eastAsia="仿宋" w:cs="仿宋"/>
          <w:sz w:val="24"/>
          <w:lang w:val="zh-CN"/>
        </w:rPr>
      </w:pPr>
      <w:r>
        <w:rPr>
          <w:rFonts w:hint="eastAsia" w:ascii="仿宋" w:hAnsi="仿宋" w:eastAsia="仿宋" w:cs="仿宋"/>
          <w:sz w:val="24"/>
          <w:lang w:val="zh-CN"/>
        </w:rPr>
        <w:t>我国历年GDP增长速度表</w:t>
      </w:r>
    </w:p>
    <w:tbl>
      <w:tblPr>
        <w:tblStyle w:val="24"/>
        <w:tblW w:w="8522" w:type="dxa"/>
        <w:tblInd w:w="0" w:type="dxa"/>
        <w:tblLayout w:type="fixed"/>
        <w:tblCellMar>
          <w:top w:w="0" w:type="dxa"/>
          <w:left w:w="108" w:type="dxa"/>
          <w:bottom w:w="0" w:type="dxa"/>
          <w:right w:w="108" w:type="dxa"/>
        </w:tblCellMar>
      </w:tblPr>
      <w:tblGrid>
        <w:gridCol w:w="3224"/>
        <w:gridCol w:w="2978"/>
        <w:gridCol w:w="2320"/>
      </w:tblGrid>
      <w:tr w14:paraId="2C3070FB">
        <w:tblPrEx>
          <w:tblCellMar>
            <w:top w:w="0" w:type="dxa"/>
            <w:left w:w="108" w:type="dxa"/>
            <w:bottom w:w="0" w:type="dxa"/>
            <w:right w:w="108" w:type="dxa"/>
          </w:tblCellMar>
        </w:tblPrEx>
        <w:trPr>
          <w:trHeight w:val="270" w:hRule="atLeast"/>
          <w:tblHeader/>
        </w:trPr>
        <w:tc>
          <w:tcPr>
            <w:tcW w:w="3224" w:type="dxa"/>
            <w:tcBorders>
              <w:top w:val="single" w:color="auto" w:sz="4" w:space="0"/>
              <w:left w:val="single" w:color="auto" w:sz="4" w:space="0"/>
              <w:bottom w:val="single" w:color="auto" w:sz="4" w:space="0"/>
              <w:right w:val="single" w:color="auto" w:sz="4" w:space="0"/>
            </w:tcBorders>
            <w:vAlign w:val="center"/>
          </w:tcPr>
          <w:p w14:paraId="0EA2BC62">
            <w:pPr>
              <w:spacing w:line="440" w:lineRule="atLeast"/>
              <w:jc w:val="center"/>
              <w:rPr>
                <w:rFonts w:ascii="仿宋" w:hAnsi="仿宋" w:eastAsia="仿宋" w:cs="仿宋"/>
                <w:kern w:val="0"/>
                <w:sz w:val="24"/>
              </w:rPr>
            </w:pPr>
            <w:r>
              <w:rPr>
                <w:rFonts w:hint="eastAsia" w:ascii="仿宋" w:hAnsi="仿宋" w:eastAsia="仿宋" w:cs="仿宋"/>
                <w:kern w:val="0"/>
                <w:sz w:val="24"/>
              </w:rPr>
              <w:t>年份</w:t>
            </w:r>
          </w:p>
        </w:tc>
        <w:tc>
          <w:tcPr>
            <w:tcW w:w="2978" w:type="dxa"/>
            <w:tcBorders>
              <w:top w:val="single" w:color="auto" w:sz="4" w:space="0"/>
              <w:left w:val="nil"/>
              <w:bottom w:val="single" w:color="auto" w:sz="4" w:space="0"/>
              <w:right w:val="single" w:color="auto" w:sz="4" w:space="0"/>
            </w:tcBorders>
            <w:vAlign w:val="center"/>
          </w:tcPr>
          <w:p w14:paraId="623A5B13">
            <w:pPr>
              <w:spacing w:line="440" w:lineRule="atLeast"/>
              <w:jc w:val="center"/>
              <w:rPr>
                <w:rFonts w:ascii="仿宋" w:hAnsi="仿宋" w:eastAsia="仿宋" w:cs="仿宋"/>
                <w:kern w:val="0"/>
                <w:sz w:val="24"/>
              </w:rPr>
            </w:pPr>
            <w:r>
              <w:rPr>
                <w:rFonts w:hint="eastAsia" w:ascii="仿宋" w:hAnsi="仿宋" w:eastAsia="仿宋" w:cs="仿宋"/>
                <w:kern w:val="0"/>
                <w:sz w:val="24"/>
              </w:rPr>
              <w:t>GDP（亿元）</w:t>
            </w:r>
          </w:p>
        </w:tc>
        <w:tc>
          <w:tcPr>
            <w:tcW w:w="2320" w:type="dxa"/>
            <w:tcBorders>
              <w:top w:val="single" w:color="auto" w:sz="4" w:space="0"/>
              <w:left w:val="nil"/>
              <w:bottom w:val="single" w:color="auto" w:sz="4" w:space="0"/>
              <w:right w:val="single" w:color="auto" w:sz="4" w:space="0"/>
            </w:tcBorders>
            <w:vAlign w:val="center"/>
          </w:tcPr>
          <w:p w14:paraId="1CB64B72">
            <w:pPr>
              <w:spacing w:line="440" w:lineRule="atLeast"/>
              <w:jc w:val="center"/>
              <w:rPr>
                <w:rFonts w:ascii="仿宋" w:hAnsi="仿宋" w:eastAsia="仿宋" w:cs="仿宋"/>
                <w:kern w:val="0"/>
                <w:sz w:val="24"/>
              </w:rPr>
            </w:pPr>
            <w:r>
              <w:rPr>
                <w:rFonts w:hint="eastAsia" w:ascii="仿宋" w:hAnsi="仿宋" w:eastAsia="仿宋" w:cs="仿宋"/>
                <w:kern w:val="0"/>
                <w:sz w:val="24"/>
              </w:rPr>
              <w:t>GDP:增长率%</w:t>
            </w:r>
          </w:p>
        </w:tc>
      </w:tr>
      <w:tr w14:paraId="3C5CB49D">
        <w:tblPrEx>
          <w:tblCellMar>
            <w:top w:w="0" w:type="dxa"/>
            <w:left w:w="108" w:type="dxa"/>
            <w:bottom w:w="0" w:type="dxa"/>
            <w:right w:w="108" w:type="dxa"/>
          </w:tblCellMar>
        </w:tblPrEx>
        <w:trPr>
          <w:trHeight w:val="270" w:hRule="atLeast"/>
        </w:trPr>
        <w:tc>
          <w:tcPr>
            <w:tcW w:w="3224" w:type="dxa"/>
            <w:tcBorders>
              <w:top w:val="nil"/>
              <w:left w:val="single" w:color="auto" w:sz="4" w:space="0"/>
              <w:bottom w:val="single" w:color="auto" w:sz="4" w:space="0"/>
              <w:right w:val="single" w:color="auto" w:sz="4" w:space="0"/>
            </w:tcBorders>
            <w:vAlign w:val="center"/>
          </w:tcPr>
          <w:p w14:paraId="3AD3EB6A">
            <w:pPr>
              <w:spacing w:line="440" w:lineRule="atLeast"/>
              <w:jc w:val="center"/>
              <w:rPr>
                <w:rFonts w:ascii="仿宋" w:hAnsi="仿宋" w:eastAsia="仿宋" w:cs="仿宋"/>
                <w:kern w:val="0"/>
                <w:sz w:val="24"/>
              </w:rPr>
            </w:pPr>
            <w:bookmarkStart w:id="221" w:name="RANGE!A21:C34"/>
            <w:r>
              <w:rPr>
                <w:rFonts w:hint="eastAsia" w:ascii="仿宋" w:hAnsi="仿宋" w:eastAsia="仿宋" w:cs="仿宋"/>
                <w:kern w:val="0"/>
                <w:sz w:val="24"/>
              </w:rPr>
              <w:t>1999</w:t>
            </w:r>
            <w:bookmarkEnd w:id="221"/>
          </w:p>
        </w:tc>
        <w:tc>
          <w:tcPr>
            <w:tcW w:w="2978" w:type="dxa"/>
            <w:tcBorders>
              <w:top w:val="nil"/>
              <w:left w:val="nil"/>
              <w:bottom w:val="single" w:color="auto" w:sz="4" w:space="0"/>
              <w:right w:val="single" w:color="auto" w:sz="4" w:space="0"/>
            </w:tcBorders>
            <w:vAlign w:val="center"/>
          </w:tcPr>
          <w:p w14:paraId="5B50D17C">
            <w:pPr>
              <w:spacing w:line="440" w:lineRule="atLeast"/>
              <w:jc w:val="right"/>
              <w:rPr>
                <w:rFonts w:ascii="仿宋" w:hAnsi="仿宋" w:eastAsia="仿宋" w:cs="仿宋"/>
                <w:kern w:val="0"/>
                <w:sz w:val="24"/>
              </w:rPr>
            </w:pPr>
            <w:r>
              <w:rPr>
                <w:rFonts w:hint="eastAsia" w:ascii="仿宋" w:hAnsi="仿宋" w:eastAsia="仿宋" w:cs="仿宋"/>
                <w:kern w:val="0"/>
                <w:sz w:val="24"/>
              </w:rPr>
              <w:t>89,677.05　</w:t>
            </w:r>
          </w:p>
        </w:tc>
        <w:tc>
          <w:tcPr>
            <w:tcW w:w="2320" w:type="dxa"/>
            <w:tcBorders>
              <w:top w:val="nil"/>
              <w:left w:val="nil"/>
              <w:bottom w:val="single" w:color="auto" w:sz="4" w:space="0"/>
              <w:right w:val="single" w:color="auto" w:sz="4" w:space="0"/>
            </w:tcBorders>
            <w:vAlign w:val="center"/>
          </w:tcPr>
          <w:p w14:paraId="6044C7CD">
            <w:pPr>
              <w:spacing w:line="440" w:lineRule="atLeast"/>
              <w:jc w:val="right"/>
              <w:rPr>
                <w:rFonts w:ascii="仿宋" w:hAnsi="仿宋" w:eastAsia="仿宋" w:cs="仿宋"/>
                <w:kern w:val="0"/>
                <w:sz w:val="24"/>
              </w:rPr>
            </w:pPr>
            <w:r>
              <w:rPr>
                <w:rFonts w:hint="eastAsia" w:ascii="仿宋" w:hAnsi="仿宋" w:eastAsia="仿宋" w:cs="仿宋"/>
                <w:kern w:val="0"/>
                <w:sz w:val="24"/>
              </w:rPr>
              <w:t>7.60　</w:t>
            </w:r>
          </w:p>
        </w:tc>
      </w:tr>
      <w:tr w14:paraId="4326FD71">
        <w:tblPrEx>
          <w:tblCellMar>
            <w:top w:w="0" w:type="dxa"/>
            <w:left w:w="108" w:type="dxa"/>
            <w:bottom w:w="0" w:type="dxa"/>
            <w:right w:w="108" w:type="dxa"/>
          </w:tblCellMar>
        </w:tblPrEx>
        <w:trPr>
          <w:trHeight w:val="270" w:hRule="atLeast"/>
        </w:trPr>
        <w:tc>
          <w:tcPr>
            <w:tcW w:w="3224" w:type="dxa"/>
            <w:tcBorders>
              <w:top w:val="nil"/>
              <w:left w:val="single" w:color="auto" w:sz="4" w:space="0"/>
              <w:bottom w:val="single" w:color="auto" w:sz="4" w:space="0"/>
              <w:right w:val="single" w:color="auto" w:sz="4" w:space="0"/>
            </w:tcBorders>
            <w:vAlign w:val="center"/>
          </w:tcPr>
          <w:p w14:paraId="6F614907">
            <w:pPr>
              <w:spacing w:line="440" w:lineRule="atLeast"/>
              <w:jc w:val="center"/>
              <w:rPr>
                <w:rFonts w:ascii="仿宋" w:hAnsi="仿宋" w:eastAsia="仿宋" w:cs="仿宋"/>
                <w:kern w:val="0"/>
                <w:sz w:val="24"/>
              </w:rPr>
            </w:pPr>
            <w:r>
              <w:rPr>
                <w:rFonts w:hint="eastAsia" w:ascii="仿宋" w:hAnsi="仿宋" w:eastAsia="仿宋" w:cs="仿宋"/>
                <w:kern w:val="0"/>
                <w:sz w:val="24"/>
              </w:rPr>
              <w:t>2000</w:t>
            </w:r>
          </w:p>
        </w:tc>
        <w:tc>
          <w:tcPr>
            <w:tcW w:w="2978" w:type="dxa"/>
            <w:tcBorders>
              <w:top w:val="nil"/>
              <w:left w:val="nil"/>
              <w:bottom w:val="single" w:color="auto" w:sz="4" w:space="0"/>
              <w:right w:val="single" w:color="auto" w:sz="4" w:space="0"/>
            </w:tcBorders>
            <w:vAlign w:val="center"/>
          </w:tcPr>
          <w:p w14:paraId="6C014EF8">
            <w:pPr>
              <w:spacing w:line="440" w:lineRule="atLeast"/>
              <w:jc w:val="right"/>
              <w:rPr>
                <w:rFonts w:ascii="仿宋" w:hAnsi="仿宋" w:eastAsia="仿宋" w:cs="仿宋"/>
                <w:kern w:val="0"/>
                <w:sz w:val="24"/>
              </w:rPr>
            </w:pPr>
            <w:r>
              <w:rPr>
                <w:rFonts w:hint="eastAsia" w:ascii="仿宋" w:hAnsi="仿宋" w:eastAsia="仿宋" w:cs="仿宋"/>
                <w:kern w:val="0"/>
                <w:sz w:val="24"/>
              </w:rPr>
              <w:t>99,214.55　</w:t>
            </w:r>
          </w:p>
        </w:tc>
        <w:tc>
          <w:tcPr>
            <w:tcW w:w="2320" w:type="dxa"/>
            <w:tcBorders>
              <w:top w:val="nil"/>
              <w:left w:val="nil"/>
              <w:bottom w:val="single" w:color="auto" w:sz="4" w:space="0"/>
              <w:right w:val="single" w:color="auto" w:sz="4" w:space="0"/>
            </w:tcBorders>
            <w:vAlign w:val="center"/>
          </w:tcPr>
          <w:p w14:paraId="178FECB3">
            <w:pPr>
              <w:spacing w:line="440" w:lineRule="atLeast"/>
              <w:jc w:val="right"/>
              <w:rPr>
                <w:rFonts w:ascii="仿宋" w:hAnsi="仿宋" w:eastAsia="仿宋" w:cs="仿宋"/>
                <w:kern w:val="0"/>
                <w:sz w:val="24"/>
              </w:rPr>
            </w:pPr>
            <w:r>
              <w:rPr>
                <w:rFonts w:hint="eastAsia" w:ascii="仿宋" w:hAnsi="仿宋" w:eastAsia="仿宋" w:cs="仿宋"/>
                <w:kern w:val="0"/>
                <w:sz w:val="24"/>
              </w:rPr>
              <w:t>8.40　</w:t>
            </w:r>
          </w:p>
        </w:tc>
      </w:tr>
      <w:tr w14:paraId="3292C152">
        <w:tblPrEx>
          <w:tblCellMar>
            <w:top w:w="0" w:type="dxa"/>
            <w:left w:w="108" w:type="dxa"/>
            <w:bottom w:w="0" w:type="dxa"/>
            <w:right w:w="108" w:type="dxa"/>
          </w:tblCellMar>
        </w:tblPrEx>
        <w:trPr>
          <w:trHeight w:val="270" w:hRule="atLeast"/>
        </w:trPr>
        <w:tc>
          <w:tcPr>
            <w:tcW w:w="3224" w:type="dxa"/>
            <w:tcBorders>
              <w:top w:val="nil"/>
              <w:left w:val="single" w:color="auto" w:sz="4" w:space="0"/>
              <w:bottom w:val="single" w:color="auto" w:sz="4" w:space="0"/>
              <w:right w:val="single" w:color="auto" w:sz="4" w:space="0"/>
            </w:tcBorders>
            <w:vAlign w:val="center"/>
          </w:tcPr>
          <w:p w14:paraId="6F63DF52">
            <w:pPr>
              <w:spacing w:line="440" w:lineRule="atLeast"/>
              <w:jc w:val="center"/>
              <w:rPr>
                <w:rFonts w:ascii="仿宋" w:hAnsi="仿宋" w:eastAsia="仿宋" w:cs="仿宋"/>
                <w:kern w:val="0"/>
                <w:sz w:val="24"/>
              </w:rPr>
            </w:pPr>
            <w:r>
              <w:rPr>
                <w:rFonts w:hint="eastAsia" w:ascii="仿宋" w:hAnsi="仿宋" w:eastAsia="仿宋" w:cs="仿宋"/>
                <w:kern w:val="0"/>
                <w:sz w:val="24"/>
              </w:rPr>
              <w:t>2001</w:t>
            </w:r>
          </w:p>
        </w:tc>
        <w:tc>
          <w:tcPr>
            <w:tcW w:w="2978" w:type="dxa"/>
            <w:tcBorders>
              <w:top w:val="nil"/>
              <w:left w:val="nil"/>
              <w:bottom w:val="single" w:color="auto" w:sz="4" w:space="0"/>
              <w:right w:val="single" w:color="auto" w:sz="4" w:space="0"/>
            </w:tcBorders>
            <w:vAlign w:val="center"/>
          </w:tcPr>
          <w:p w14:paraId="1A36DBEA">
            <w:pPr>
              <w:spacing w:line="440" w:lineRule="atLeast"/>
              <w:jc w:val="right"/>
              <w:rPr>
                <w:rFonts w:ascii="仿宋" w:hAnsi="仿宋" w:eastAsia="仿宋" w:cs="仿宋"/>
                <w:kern w:val="0"/>
                <w:sz w:val="24"/>
              </w:rPr>
            </w:pPr>
            <w:r>
              <w:rPr>
                <w:rFonts w:hint="eastAsia" w:ascii="仿宋" w:hAnsi="仿宋" w:eastAsia="仿宋" w:cs="仿宋"/>
                <w:kern w:val="0"/>
                <w:sz w:val="24"/>
              </w:rPr>
              <w:t>109,655.17　</w:t>
            </w:r>
          </w:p>
        </w:tc>
        <w:tc>
          <w:tcPr>
            <w:tcW w:w="2320" w:type="dxa"/>
            <w:tcBorders>
              <w:top w:val="nil"/>
              <w:left w:val="nil"/>
              <w:bottom w:val="single" w:color="auto" w:sz="4" w:space="0"/>
              <w:right w:val="single" w:color="auto" w:sz="4" w:space="0"/>
            </w:tcBorders>
            <w:vAlign w:val="center"/>
          </w:tcPr>
          <w:p w14:paraId="32E62E0C">
            <w:pPr>
              <w:spacing w:line="440" w:lineRule="atLeast"/>
              <w:jc w:val="right"/>
              <w:rPr>
                <w:rFonts w:ascii="仿宋" w:hAnsi="仿宋" w:eastAsia="仿宋" w:cs="仿宋"/>
                <w:kern w:val="0"/>
                <w:sz w:val="24"/>
              </w:rPr>
            </w:pPr>
            <w:r>
              <w:rPr>
                <w:rFonts w:hint="eastAsia" w:ascii="仿宋" w:hAnsi="仿宋" w:eastAsia="仿宋" w:cs="仿宋"/>
                <w:kern w:val="0"/>
                <w:sz w:val="24"/>
              </w:rPr>
              <w:t>8.30　</w:t>
            </w:r>
          </w:p>
        </w:tc>
      </w:tr>
      <w:tr w14:paraId="286D517D">
        <w:tblPrEx>
          <w:tblCellMar>
            <w:top w:w="0" w:type="dxa"/>
            <w:left w:w="108" w:type="dxa"/>
            <w:bottom w:w="0" w:type="dxa"/>
            <w:right w:w="108" w:type="dxa"/>
          </w:tblCellMar>
        </w:tblPrEx>
        <w:trPr>
          <w:trHeight w:val="270" w:hRule="atLeast"/>
        </w:trPr>
        <w:tc>
          <w:tcPr>
            <w:tcW w:w="3224" w:type="dxa"/>
            <w:tcBorders>
              <w:top w:val="nil"/>
              <w:left w:val="single" w:color="auto" w:sz="4" w:space="0"/>
              <w:bottom w:val="single" w:color="auto" w:sz="4" w:space="0"/>
              <w:right w:val="single" w:color="auto" w:sz="4" w:space="0"/>
            </w:tcBorders>
            <w:vAlign w:val="center"/>
          </w:tcPr>
          <w:p w14:paraId="2B0E1E03">
            <w:pPr>
              <w:spacing w:line="440" w:lineRule="atLeast"/>
              <w:jc w:val="center"/>
              <w:rPr>
                <w:rFonts w:ascii="仿宋" w:hAnsi="仿宋" w:eastAsia="仿宋" w:cs="仿宋"/>
                <w:kern w:val="0"/>
                <w:sz w:val="24"/>
              </w:rPr>
            </w:pPr>
            <w:r>
              <w:rPr>
                <w:rFonts w:hint="eastAsia" w:ascii="仿宋" w:hAnsi="仿宋" w:eastAsia="仿宋" w:cs="仿宋"/>
                <w:kern w:val="0"/>
                <w:sz w:val="24"/>
              </w:rPr>
              <w:t>2002</w:t>
            </w:r>
          </w:p>
        </w:tc>
        <w:tc>
          <w:tcPr>
            <w:tcW w:w="2978" w:type="dxa"/>
            <w:tcBorders>
              <w:top w:val="nil"/>
              <w:left w:val="nil"/>
              <w:bottom w:val="single" w:color="auto" w:sz="4" w:space="0"/>
              <w:right w:val="single" w:color="auto" w:sz="4" w:space="0"/>
            </w:tcBorders>
            <w:vAlign w:val="center"/>
          </w:tcPr>
          <w:p w14:paraId="50BBB5D1">
            <w:pPr>
              <w:spacing w:line="440" w:lineRule="atLeast"/>
              <w:jc w:val="right"/>
              <w:rPr>
                <w:rFonts w:ascii="仿宋" w:hAnsi="仿宋" w:eastAsia="仿宋" w:cs="仿宋"/>
                <w:kern w:val="0"/>
                <w:sz w:val="24"/>
              </w:rPr>
            </w:pPr>
            <w:r>
              <w:rPr>
                <w:rFonts w:hint="eastAsia" w:ascii="仿宋" w:hAnsi="仿宋" w:eastAsia="仿宋" w:cs="仿宋"/>
                <w:kern w:val="0"/>
                <w:sz w:val="24"/>
              </w:rPr>
              <w:t>120,332.69　</w:t>
            </w:r>
          </w:p>
        </w:tc>
        <w:tc>
          <w:tcPr>
            <w:tcW w:w="2320" w:type="dxa"/>
            <w:tcBorders>
              <w:top w:val="nil"/>
              <w:left w:val="nil"/>
              <w:bottom w:val="single" w:color="auto" w:sz="4" w:space="0"/>
              <w:right w:val="single" w:color="auto" w:sz="4" w:space="0"/>
            </w:tcBorders>
            <w:vAlign w:val="center"/>
          </w:tcPr>
          <w:p w14:paraId="7D983EE6">
            <w:pPr>
              <w:spacing w:line="440" w:lineRule="atLeast"/>
              <w:jc w:val="right"/>
              <w:rPr>
                <w:rFonts w:ascii="仿宋" w:hAnsi="仿宋" w:eastAsia="仿宋" w:cs="仿宋"/>
                <w:kern w:val="0"/>
                <w:sz w:val="24"/>
              </w:rPr>
            </w:pPr>
            <w:r>
              <w:rPr>
                <w:rFonts w:hint="eastAsia" w:ascii="仿宋" w:hAnsi="仿宋" w:eastAsia="仿宋" w:cs="仿宋"/>
                <w:kern w:val="0"/>
                <w:sz w:val="24"/>
              </w:rPr>
              <w:t>9.10　</w:t>
            </w:r>
          </w:p>
        </w:tc>
      </w:tr>
      <w:tr w14:paraId="684C8F6E">
        <w:tblPrEx>
          <w:tblCellMar>
            <w:top w:w="0" w:type="dxa"/>
            <w:left w:w="108" w:type="dxa"/>
            <w:bottom w:w="0" w:type="dxa"/>
            <w:right w:w="108" w:type="dxa"/>
          </w:tblCellMar>
        </w:tblPrEx>
        <w:trPr>
          <w:trHeight w:val="270" w:hRule="atLeast"/>
        </w:trPr>
        <w:tc>
          <w:tcPr>
            <w:tcW w:w="3224" w:type="dxa"/>
            <w:tcBorders>
              <w:top w:val="nil"/>
              <w:left w:val="single" w:color="auto" w:sz="4" w:space="0"/>
              <w:bottom w:val="single" w:color="auto" w:sz="4" w:space="0"/>
              <w:right w:val="single" w:color="auto" w:sz="4" w:space="0"/>
            </w:tcBorders>
            <w:vAlign w:val="center"/>
          </w:tcPr>
          <w:p w14:paraId="7B2AA207">
            <w:pPr>
              <w:spacing w:line="440" w:lineRule="atLeast"/>
              <w:jc w:val="center"/>
              <w:rPr>
                <w:rFonts w:ascii="仿宋" w:hAnsi="仿宋" w:eastAsia="仿宋" w:cs="仿宋"/>
                <w:kern w:val="0"/>
                <w:sz w:val="24"/>
              </w:rPr>
            </w:pPr>
            <w:r>
              <w:rPr>
                <w:rFonts w:hint="eastAsia" w:ascii="仿宋" w:hAnsi="仿宋" w:eastAsia="仿宋" w:cs="仿宋"/>
                <w:kern w:val="0"/>
                <w:sz w:val="24"/>
              </w:rPr>
              <w:t>2003</w:t>
            </w:r>
          </w:p>
        </w:tc>
        <w:tc>
          <w:tcPr>
            <w:tcW w:w="2978" w:type="dxa"/>
            <w:tcBorders>
              <w:top w:val="nil"/>
              <w:left w:val="nil"/>
              <w:bottom w:val="single" w:color="auto" w:sz="4" w:space="0"/>
              <w:right w:val="single" w:color="auto" w:sz="4" w:space="0"/>
            </w:tcBorders>
            <w:vAlign w:val="center"/>
          </w:tcPr>
          <w:p w14:paraId="59C0FF3A">
            <w:pPr>
              <w:spacing w:line="440" w:lineRule="atLeast"/>
              <w:jc w:val="right"/>
              <w:rPr>
                <w:rFonts w:ascii="仿宋" w:hAnsi="仿宋" w:eastAsia="仿宋" w:cs="仿宋"/>
                <w:kern w:val="0"/>
                <w:sz w:val="24"/>
              </w:rPr>
            </w:pPr>
            <w:r>
              <w:rPr>
                <w:rFonts w:hint="eastAsia" w:ascii="仿宋" w:hAnsi="仿宋" w:eastAsia="仿宋" w:cs="仿宋"/>
                <w:kern w:val="0"/>
                <w:sz w:val="24"/>
              </w:rPr>
              <w:t>135,822.76　</w:t>
            </w:r>
          </w:p>
        </w:tc>
        <w:tc>
          <w:tcPr>
            <w:tcW w:w="2320" w:type="dxa"/>
            <w:tcBorders>
              <w:top w:val="nil"/>
              <w:left w:val="nil"/>
              <w:bottom w:val="single" w:color="auto" w:sz="4" w:space="0"/>
              <w:right w:val="single" w:color="auto" w:sz="4" w:space="0"/>
            </w:tcBorders>
            <w:vAlign w:val="center"/>
          </w:tcPr>
          <w:p w14:paraId="2B7E7D8F">
            <w:pPr>
              <w:spacing w:line="440" w:lineRule="atLeast"/>
              <w:jc w:val="right"/>
              <w:rPr>
                <w:rFonts w:ascii="仿宋" w:hAnsi="仿宋" w:eastAsia="仿宋" w:cs="仿宋"/>
                <w:kern w:val="0"/>
                <w:sz w:val="24"/>
              </w:rPr>
            </w:pPr>
            <w:r>
              <w:rPr>
                <w:rFonts w:hint="eastAsia" w:ascii="仿宋" w:hAnsi="仿宋" w:eastAsia="仿宋" w:cs="仿宋"/>
                <w:kern w:val="0"/>
                <w:sz w:val="24"/>
              </w:rPr>
              <w:t>10.00　</w:t>
            </w:r>
          </w:p>
        </w:tc>
      </w:tr>
      <w:tr w14:paraId="1E7467A5">
        <w:tblPrEx>
          <w:tblCellMar>
            <w:top w:w="0" w:type="dxa"/>
            <w:left w:w="108" w:type="dxa"/>
            <w:bottom w:w="0" w:type="dxa"/>
            <w:right w:w="108" w:type="dxa"/>
          </w:tblCellMar>
        </w:tblPrEx>
        <w:trPr>
          <w:trHeight w:val="270" w:hRule="atLeast"/>
        </w:trPr>
        <w:tc>
          <w:tcPr>
            <w:tcW w:w="3224" w:type="dxa"/>
            <w:tcBorders>
              <w:top w:val="nil"/>
              <w:left w:val="single" w:color="auto" w:sz="4" w:space="0"/>
              <w:bottom w:val="single" w:color="auto" w:sz="4" w:space="0"/>
              <w:right w:val="single" w:color="auto" w:sz="4" w:space="0"/>
            </w:tcBorders>
            <w:vAlign w:val="center"/>
          </w:tcPr>
          <w:p w14:paraId="38CF3145">
            <w:pPr>
              <w:spacing w:line="440" w:lineRule="atLeast"/>
              <w:jc w:val="center"/>
              <w:rPr>
                <w:rFonts w:ascii="仿宋" w:hAnsi="仿宋" w:eastAsia="仿宋" w:cs="仿宋"/>
                <w:kern w:val="0"/>
                <w:sz w:val="24"/>
              </w:rPr>
            </w:pPr>
            <w:r>
              <w:rPr>
                <w:rFonts w:hint="eastAsia" w:ascii="仿宋" w:hAnsi="仿宋" w:eastAsia="仿宋" w:cs="仿宋"/>
                <w:kern w:val="0"/>
                <w:sz w:val="24"/>
              </w:rPr>
              <w:t>2004</w:t>
            </w:r>
          </w:p>
        </w:tc>
        <w:tc>
          <w:tcPr>
            <w:tcW w:w="2978" w:type="dxa"/>
            <w:tcBorders>
              <w:top w:val="nil"/>
              <w:left w:val="nil"/>
              <w:bottom w:val="single" w:color="auto" w:sz="4" w:space="0"/>
              <w:right w:val="single" w:color="auto" w:sz="4" w:space="0"/>
            </w:tcBorders>
            <w:vAlign w:val="center"/>
          </w:tcPr>
          <w:p w14:paraId="2EAE1D51">
            <w:pPr>
              <w:spacing w:line="440" w:lineRule="atLeast"/>
              <w:jc w:val="right"/>
              <w:rPr>
                <w:rFonts w:ascii="仿宋" w:hAnsi="仿宋" w:eastAsia="仿宋" w:cs="仿宋"/>
                <w:kern w:val="0"/>
                <w:sz w:val="24"/>
              </w:rPr>
            </w:pPr>
            <w:r>
              <w:rPr>
                <w:rFonts w:hint="eastAsia" w:ascii="仿宋" w:hAnsi="仿宋" w:eastAsia="仿宋" w:cs="仿宋"/>
                <w:kern w:val="0"/>
                <w:sz w:val="24"/>
              </w:rPr>
              <w:t>159,878.34　</w:t>
            </w:r>
          </w:p>
        </w:tc>
        <w:tc>
          <w:tcPr>
            <w:tcW w:w="2320" w:type="dxa"/>
            <w:tcBorders>
              <w:top w:val="nil"/>
              <w:left w:val="nil"/>
              <w:bottom w:val="single" w:color="auto" w:sz="4" w:space="0"/>
              <w:right w:val="single" w:color="auto" w:sz="4" w:space="0"/>
            </w:tcBorders>
            <w:vAlign w:val="center"/>
          </w:tcPr>
          <w:p w14:paraId="1A89CB42">
            <w:pPr>
              <w:spacing w:line="440" w:lineRule="atLeast"/>
              <w:jc w:val="right"/>
              <w:rPr>
                <w:rFonts w:ascii="仿宋" w:hAnsi="仿宋" w:eastAsia="仿宋" w:cs="仿宋"/>
                <w:kern w:val="0"/>
                <w:sz w:val="24"/>
              </w:rPr>
            </w:pPr>
            <w:r>
              <w:rPr>
                <w:rFonts w:hint="eastAsia" w:ascii="仿宋" w:hAnsi="仿宋" w:eastAsia="仿宋" w:cs="仿宋"/>
                <w:kern w:val="0"/>
                <w:sz w:val="24"/>
              </w:rPr>
              <w:t>10.10　</w:t>
            </w:r>
          </w:p>
        </w:tc>
      </w:tr>
      <w:tr w14:paraId="1E17122B">
        <w:tblPrEx>
          <w:tblCellMar>
            <w:top w:w="0" w:type="dxa"/>
            <w:left w:w="108" w:type="dxa"/>
            <w:bottom w:w="0" w:type="dxa"/>
            <w:right w:w="108" w:type="dxa"/>
          </w:tblCellMar>
        </w:tblPrEx>
        <w:trPr>
          <w:trHeight w:val="270" w:hRule="atLeast"/>
        </w:trPr>
        <w:tc>
          <w:tcPr>
            <w:tcW w:w="3224" w:type="dxa"/>
            <w:tcBorders>
              <w:top w:val="nil"/>
              <w:left w:val="single" w:color="auto" w:sz="4" w:space="0"/>
              <w:bottom w:val="single" w:color="auto" w:sz="4" w:space="0"/>
              <w:right w:val="single" w:color="auto" w:sz="4" w:space="0"/>
            </w:tcBorders>
            <w:vAlign w:val="center"/>
          </w:tcPr>
          <w:p w14:paraId="10F14AFD">
            <w:pPr>
              <w:spacing w:line="440" w:lineRule="atLeast"/>
              <w:jc w:val="center"/>
              <w:rPr>
                <w:rFonts w:ascii="仿宋" w:hAnsi="仿宋" w:eastAsia="仿宋" w:cs="仿宋"/>
                <w:kern w:val="0"/>
                <w:sz w:val="24"/>
              </w:rPr>
            </w:pPr>
            <w:r>
              <w:rPr>
                <w:rFonts w:hint="eastAsia" w:ascii="仿宋" w:hAnsi="仿宋" w:eastAsia="仿宋" w:cs="仿宋"/>
                <w:kern w:val="0"/>
                <w:sz w:val="24"/>
              </w:rPr>
              <w:t>2005</w:t>
            </w:r>
          </w:p>
        </w:tc>
        <w:tc>
          <w:tcPr>
            <w:tcW w:w="2978" w:type="dxa"/>
            <w:tcBorders>
              <w:top w:val="nil"/>
              <w:left w:val="nil"/>
              <w:bottom w:val="single" w:color="auto" w:sz="4" w:space="0"/>
              <w:right w:val="single" w:color="auto" w:sz="4" w:space="0"/>
            </w:tcBorders>
            <w:vAlign w:val="center"/>
          </w:tcPr>
          <w:p w14:paraId="299FF9EB">
            <w:pPr>
              <w:spacing w:line="440" w:lineRule="atLeast"/>
              <w:jc w:val="right"/>
              <w:rPr>
                <w:rFonts w:ascii="仿宋" w:hAnsi="仿宋" w:eastAsia="仿宋" w:cs="仿宋"/>
                <w:kern w:val="0"/>
                <w:sz w:val="24"/>
              </w:rPr>
            </w:pPr>
            <w:r>
              <w:rPr>
                <w:rFonts w:hint="eastAsia" w:ascii="仿宋" w:hAnsi="仿宋" w:eastAsia="仿宋" w:cs="仿宋"/>
                <w:kern w:val="0"/>
                <w:sz w:val="24"/>
              </w:rPr>
              <w:t>184,937.40　</w:t>
            </w:r>
          </w:p>
        </w:tc>
        <w:tc>
          <w:tcPr>
            <w:tcW w:w="2320" w:type="dxa"/>
            <w:tcBorders>
              <w:top w:val="nil"/>
              <w:left w:val="nil"/>
              <w:bottom w:val="single" w:color="auto" w:sz="4" w:space="0"/>
              <w:right w:val="single" w:color="auto" w:sz="4" w:space="0"/>
            </w:tcBorders>
            <w:vAlign w:val="center"/>
          </w:tcPr>
          <w:p w14:paraId="58706351">
            <w:pPr>
              <w:spacing w:line="440" w:lineRule="atLeast"/>
              <w:jc w:val="right"/>
              <w:rPr>
                <w:rFonts w:ascii="仿宋" w:hAnsi="仿宋" w:eastAsia="仿宋" w:cs="仿宋"/>
                <w:kern w:val="0"/>
                <w:sz w:val="24"/>
              </w:rPr>
            </w:pPr>
            <w:r>
              <w:rPr>
                <w:rFonts w:hint="eastAsia" w:ascii="仿宋" w:hAnsi="仿宋" w:eastAsia="仿宋" w:cs="仿宋"/>
                <w:kern w:val="0"/>
                <w:sz w:val="24"/>
              </w:rPr>
              <w:t>11.30　</w:t>
            </w:r>
          </w:p>
        </w:tc>
      </w:tr>
      <w:tr w14:paraId="19ED3E4A">
        <w:tblPrEx>
          <w:tblCellMar>
            <w:top w:w="0" w:type="dxa"/>
            <w:left w:w="108" w:type="dxa"/>
            <w:bottom w:w="0" w:type="dxa"/>
            <w:right w:w="108" w:type="dxa"/>
          </w:tblCellMar>
        </w:tblPrEx>
        <w:trPr>
          <w:trHeight w:val="270" w:hRule="atLeast"/>
        </w:trPr>
        <w:tc>
          <w:tcPr>
            <w:tcW w:w="3224" w:type="dxa"/>
            <w:tcBorders>
              <w:top w:val="nil"/>
              <w:left w:val="single" w:color="auto" w:sz="4" w:space="0"/>
              <w:bottom w:val="single" w:color="auto" w:sz="4" w:space="0"/>
              <w:right w:val="single" w:color="auto" w:sz="4" w:space="0"/>
            </w:tcBorders>
            <w:vAlign w:val="center"/>
          </w:tcPr>
          <w:p w14:paraId="73E8FDBC">
            <w:pPr>
              <w:spacing w:line="440" w:lineRule="atLeast"/>
              <w:jc w:val="center"/>
              <w:rPr>
                <w:rFonts w:ascii="仿宋" w:hAnsi="仿宋" w:eastAsia="仿宋" w:cs="仿宋"/>
                <w:kern w:val="0"/>
                <w:sz w:val="24"/>
              </w:rPr>
            </w:pPr>
            <w:r>
              <w:rPr>
                <w:rFonts w:hint="eastAsia" w:ascii="仿宋" w:hAnsi="仿宋" w:eastAsia="仿宋" w:cs="仿宋"/>
                <w:kern w:val="0"/>
                <w:sz w:val="24"/>
              </w:rPr>
              <w:t>2006</w:t>
            </w:r>
          </w:p>
        </w:tc>
        <w:tc>
          <w:tcPr>
            <w:tcW w:w="2978" w:type="dxa"/>
            <w:tcBorders>
              <w:top w:val="nil"/>
              <w:left w:val="nil"/>
              <w:bottom w:val="single" w:color="auto" w:sz="4" w:space="0"/>
              <w:right w:val="single" w:color="auto" w:sz="4" w:space="0"/>
            </w:tcBorders>
            <w:vAlign w:val="center"/>
          </w:tcPr>
          <w:p w14:paraId="1390259B">
            <w:pPr>
              <w:spacing w:line="440" w:lineRule="atLeast"/>
              <w:jc w:val="right"/>
              <w:rPr>
                <w:rFonts w:ascii="仿宋" w:hAnsi="仿宋" w:eastAsia="仿宋" w:cs="仿宋"/>
                <w:kern w:val="0"/>
                <w:sz w:val="24"/>
              </w:rPr>
            </w:pPr>
            <w:r>
              <w:rPr>
                <w:rFonts w:hint="eastAsia" w:ascii="仿宋" w:hAnsi="仿宋" w:eastAsia="仿宋" w:cs="仿宋"/>
                <w:kern w:val="0"/>
                <w:sz w:val="24"/>
              </w:rPr>
              <w:t>216,314.40　</w:t>
            </w:r>
          </w:p>
        </w:tc>
        <w:tc>
          <w:tcPr>
            <w:tcW w:w="2320" w:type="dxa"/>
            <w:tcBorders>
              <w:top w:val="nil"/>
              <w:left w:val="nil"/>
              <w:bottom w:val="single" w:color="auto" w:sz="4" w:space="0"/>
              <w:right w:val="single" w:color="auto" w:sz="4" w:space="0"/>
            </w:tcBorders>
            <w:vAlign w:val="center"/>
          </w:tcPr>
          <w:p w14:paraId="7D5A0938">
            <w:pPr>
              <w:spacing w:line="440" w:lineRule="atLeast"/>
              <w:jc w:val="right"/>
              <w:rPr>
                <w:rFonts w:ascii="仿宋" w:hAnsi="仿宋" w:eastAsia="仿宋" w:cs="仿宋"/>
                <w:kern w:val="0"/>
                <w:sz w:val="24"/>
              </w:rPr>
            </w:pPr>
            <w:r>
              <w:rPr>
                <w:rFonts w:hint="eastAsia" w:ascii="仿宋" w:hAnsi="仿宋" w:eastAsia="仿宋" w:cs="仿宋"/>
                <w:kern w:val="0"/>
                <w:sz w:val="24"/>
              </w:rPr>
              <w:t>12.70　</w:t>
            </w:r>
          </w:p>
        </w:tc>
      </w:tr>
      <w:tr w14:paraId="5E7963C8">
        <w:tblPrEx>
          <w:tblCellMar>
            <w:top w:w="0" w:type="dxa"/>
            <w:left w:w="108" w:type="dxa"/>
            <w:bottom w:w="0" w:type="dxa"/>
            <w:right w:w="108" w:type="dxa"/>
          </w:tblCellMar>
        </w:tblPrEx>
        <w:trPr>
          <w:trHeight w:val="270" w:hRule="atLeast"/>
        </w:trPr>
        <w:tc>
          <w:tcPr>
            <w:tcW w:w="3224" w:type="dxa"/>
            <w:tcBorders>
              <w:top w:val="single" w:color="auto" w:sz="4" w:space="0"/>
              <w:left w:val="single" w:color="auto" w:sz="4" w:space="0"/>
              <w:bottom w:val="single" w:color="auto" w:sz="4" w:space="0"/>
              <w:right w:val="single" w:color="auto" w:sz="4" w:space="0"/>
            </w:tcBorders>
            <w:vAlign w:val="center"/>
          </w:tcPr>
          <w:p w14:paraId="2013E972">
            <w:pPr>
              <w:spacing w:line="440" w:lineRule="atLeast"/>
              <w:jc w:val="center"/>
              <w:rPr>
                <w:rFonts w:ascii="仿宋" w:hAnsi="仿宋" w:eastAsia="仿宋" w:cs="仿宋"/>
                <w:kern w:val="0"/>
                <w:sz w:val="24"/>
              </w:rPr>
            </w:pPr>
            <w:r>
              <w:rPr>
                <w:rFonts w:hint="eastAsia" w:ascii="仿宋" w:hAnsi="仿宋" w:eastAsia="仿宋" w:cs="仿宋"/>
                <w:kern w:val="0"/>
                <w:sz w:val="24"/>
              </w:rPr>
              <w:t>2007</w:t>
            </w:r>
          </w:p>
        </w:tc>
        <w:tc>
          <w:tcPr>
            <w:tcW w:w="2978" w:type="dxa"/>
            <w:tcBorders>
              <w:top w:val="single" w:color="auto" w:sz="4" w:space="0"/>
              <w:left w:val="single" w:color="auto" w:sz="4" w:space="0"/>
              <w:bottom w:val="single" w:color="auto" w:sz="4" w:space="0"/>
              <w:right w:val="single" w:color="auto" w:sz="4" w:space="0"/>
            </w:tcBorders>
            <w:vAlign w:val="center"/>
          </w:tcPr>
          <w:p w14:paraId="7905FFB7">
            <w:pPr>
              <w:spacing w:line="440" w:lineRule="atLeast"/>
              <w:jc w:val="right"/>
              <w:rPr>
                <w:rFonts w:ascii="仿宋" w:hAnsi="仿宋" w:eastAsia="仿宋" w:cs="仿宋"/>
                <w:kern w:val="0"/>
                <w:sz w:val="24"/>
              </w:rPr>
            </w:pPr>
            <w:r>
              <w:rPr>
                <w:rFonts w:hint="eastAsia" w:ascii="仿宋" w:hAnsi="仿宋" w:eastAsia="仿宋" w:cs="仿宋"/>
                <w:kern w:val="0"/>
                <w:sz w:val="24"/>
              </w:rPr>
              <w:t>265,810.30　</w:t>
            </w:r>
          </w:p>
        </w:tc>
        <w:tc>
          <w:tcPr>
            <w:tcW w:w="2320" w:type="dxa"/>
            <w:tcBorders>
              <w:top w:val="single" w:color="auto" w:sz="4" w:space="0"/>
              <w:left w:val="single" w:color="auto" w:sz="4" w:space="0"/>
              <w:bottom w:val="single" w:color="auto" w:sz="4" w:space="0"/>
              <w:right w:val="single" w:color="auto" w:sz="4" w:space="0"/>
            </w:tcBorders>
            <w:vAlign w:val="center"/>
          </w:tcPr>
          <w:p w14:paraId="6D543201">
            <w:pPr>
              <w:spacing w:line="440" w:lineRule="atLeast"/>
              <w:jc w:val="right"/>
              <w:rPr>
                <w:rFonts w:ascii="仿宋" w:hAnsi="仿宋" w:eastAsia="仿宋" w:cs="仿宋"/>
                <w:kern w:val="0"/>
                <w:sz w:val="24"/>
              </w:rPr>
            </w:pPr>
            <w:r>
              <w:rPr>
                <w:rFonts w:hint="eastAsia" w:ascii="仿宋" w:hAnsi="仿宋" w:eastAsia="仿宋" w:cs="仿宋"/>
                <w:kern w:val="0"/>
                <w:sz w:val="24"/>
              </w:rPr>
              <w:t>14.20　</w:t>
            </w:r>
          </w:p>
        </w:tc>
      </w:tr>
      <w:tr w14:paraId="0AA95E3D">
        <w:tblPrEx>
          <w:tblCellMar>
            <w:top w:w="0" w:type="dxa"/>
            <w:left w:w="108" w:type="dxa"/>
            <w:bottom w:w="0" w:type="dxa"/>
            <w:right w:w="108" w:type="dxa"/>
          </w:tblCellMar>
        </w:tblPrEx>
        <w:trPr>
          <w:trHeight w:val="270" w:hRule="atLeast"/>
        </w:trPr>
        <w:tc>
          <w:tcPr>
            <w:tcW w:w="3224" w:type="dxa"/>
            <w:tcBorders>
              <w:top w:val="single" w:color="auto" w:sz="4" w:space="0"/>
              <w:left w:val="single" w:color="auto" w:sz="4" w:space="0"/>
              <w:bottom w:val="single" w:color="auto" w:sz="4" w:space="0"/>
              <w:right w:val="single" w:color="auto" w:sz="4" w:space="0"/>
            </w:tcBorders>
            <w:vAlign w:val="center"/>
          </w:tcPr>
          <w:p w14:paraId="2112445E">
            <w:pPr>
              <w:spacing w:line="440" w:lineRule="atLeast"/>
              <w:jc w:val="center"/>
              <w:rPr>
                <w:rFonts w:ascii="仿宋" w:hAnsi="仿宋" w:eastAsia="仿宋" w:cs="仿宋"/>
                <w:kern w:val="0"/>
                <w:sz w:val="24"/>
              </w:rPr>
            </w:pPr>
            <w:r>
              <w:rPr>
                <w:rFonts w:hint="eastAsia" w:ascii="仿宋" w:hAnsi="仿宋" w:eastAsia="仿宋" w:cs="仿宋"/>
                <w:kern w:val="0"/>
                <w:sz w:val="24"/>
              </w:rPr>
              <w:t>2008</w:t>
            </w:r>
          </w:p>
        </w:tc>
        <w:tc>
          <w:tcPr>
            <w:tcW w:w="2978" w:type="dxa"/>
            <w:tcBorders>
              <w:top w:val="single" w:color="auto" w:sz="4" w:space="0"/>
              <w:left w:val="nil"/>
              <w:bottom w:val="single" w:color="auto" w:sz="4" w:space="0"/>
              <w:right w:val="single" w:color="auto" w:sz="4" w:space="0"/>
            </w:tcBorders>
            <w:vAlign w:val="center"/>
          </w:tcPr>
          <w:p w14:paraId="7A85190E">
            <w:pPr>
              <w:spacing w:line="440" w:lineRule="atLeast"/>
              <w:jc w:val="right"/>
              <w:rPr>
                <w:rFonts w:ascii="仿宋" w:hAnsi="仿宋" w:eastAsia="仿宋" w:cs="仿宋"/>
                <w:kern w:val="0"/>
                <w:sz w:val="24"/>
              </w:rPr>
            </w:pPr>
            <w:r>
              <w:rPr>
                <w:rFonts w:hint="eastAsia" w:ascii="仿宋" w:hAnsi="仿宋" w:eastAsia="仿宋" w:cs="仿宋"/>
                <w:kern w:val="0"/>
                <w:sz w:val="24"/>
              </w:rPr>
              <w:t>314,045.40　</w:t>
            </w:r>
          </w:p>
        </w:tc>
        <w:tc>
          <w:tcPr>
            <w:tcW w:w="2320" w:type="dxa"/>
            <w:tcBorders>
              <w:top w:val="single" w:color="auto" w:sz="4" w:space="0"/>
              <w:left w:val="nil"/>
              <w:bottom w:val="single" w:color="auto" w:sz="4" w:space="0"/>
              <w:right w:val="single" w:color="auto" w:sz="4" w:space="0"/>
            </w:tcBorders>
            <w:vAlign w:val="center"/>
          </w:tcPr>
          <w:p w14:paraId="3743DBF2">
            <w:pPr>
              <w:spacing w:line="440" w:lineRule="atLeast"/>
              <w:jc w:val="right"/>
              <w:rPr>
                <w:rFonts w:ascii="仿宋" w:hAnsi="仿宋" w:eastAsia="仿宋" w:cs="仿宋"/>
                <w:kern w:val="0"/>
                <w:sz w:val="24"/>
              </w:rPr>
            </w:pPr>
            <w:r>
              <w:rPr>
                <w:rFonts w:hint="eastAsia" w:ascii="仿宋" w:hAnsi="仿宋" w:eastAsia="仿宋" w:cs="仿宋"/>
                <w:kern w:val="0"/>
                <w:sz w:val="24"/>
              </w:rPr>
              <w:t>9.60　</w:t>
            </w:r>
          </w:p>
        </w:tc>
      </w:tr>
      <w:tr w14:paraId="2635C057">
        <w:tblPrEx>
          <w:tblCellMar>
            <w:top w:w="0" w:type="dxa"/>
            <w:left w:w="108" w:type="dxa"/>
            <w:bottom w:w="0" w:type="dxa"/>
            <w:right w:w="108" w:type="dxa"/>
          </w:tblCellMar>
        </w:tblPrEx>
        <w:trPr>
          <w:trHeight w:val="270" w:hRule="atLeast"/>
        </w:trPr>
        <w:tc>
          <w:tcPr>
            <w:tcW w:w="3224" w:type="dxa"/>
            <w:tcBorders>
              <w:top w:val="nil"/>
              <w:left w:val="single" w:color="auto" w:sz="4" w:space="0"/>
              <w:bottom w:val="single" w:color="auto" w:sz="4" w:space="0"/>
              <w:right w:val="single" w:color="auto" w:sz="4" w:space="0"/>
            </w:tcBorders>
            <w:vAlign w:val="center"/>
          </w:tcPr>
          <w:p w14:paraId="144EB24E">
            <w:pPr>
              <w:spacing w:line="440" w:lineRule="atLeast"/>
              <w:jc w:val="center"/>
              <w:rPr>
                <w:rFonts w:ascii="仿宋" w:hAnsi="仿宋" w:eastAsia="仿宋" w:cs="仿宋"/>
                <w:kern w:val="0"/>
                <w:sz w:val="24"/>
              </w:rPr>
            </w:pPr>
            <w:r>
              <w:rPr>
                <w:rFonts w:hint="eastAsia" w:ascii="仿宋" w:hAnsi="仿宋" w:eastAsia="仿宋" w:cs="仿宋"/>
                <w:kern w:val="0"/>
                <w:sz w:val="24"/>
              </w:rPr>
              <w:t>2009</w:t>
            </w:r>
          </w:p>
        </w:tc>
        <w:tc>
          <w:tcPr>
            <w:tcW w:w="2978" w:type="dxa"/>
            <w:tcBorders>
              <w:top w:val="nil"/>
              <w:left w:val="nil"/>
              <w:bottom w:val="single" w:color="auto" w:sz="4" w:space="0"/>
              <w:right w:val="single" w:color="auto" w:sz="4" w:space="0"/>
            </w:tcBorders>
            <w:vAlign w:val="center"/>
          </w:tcPr>
          <w:p w14:paraId="3DE6A1DD">
            <w:pPr>
              <w:spacing w:line="440" w:lineRule="atLeast"/>
              <w:jc w:val="right"/>
              <w:rPr>
                <w:rFonts w:ascii="仿宋" w:hAnsi="仿宋" w:eastAsia="仿宋" w:cs="仿宋"/>
                <w:kern w:val="0"/>
                <w:sz w:val="24"/>
              </w:rPr>
            </w:pPr>
            <w:r>
              <w:rPr>
                <w:rFonts w:hint="eastAsia" w:ascii="仿宋" w:hAnsi="仿宋" w:eastAsia="仿宋" w:cs="仿宋"/>
                <w:kern w:val="0"/>
                <w:sz w:val="24"/>
              </w:rPr>
              <w:t>340,902.81　</w:t>
            </w:r>
          </w:p>
        </w:tc>
        <w:tc>
          <w:tcPr>
            <w:tcW w:w="2320" w:type="dxa"/>
            <w:tcBorders>
              <w:top w:val="nil"/>
              <w:left w:val="nil"/>
              <w:bottom w:val="single" w:color="auto" w:sz="4" w:space="0"/>
              <w:right w:val="single" w:color="auto" w:sz="4" w:space="0"/>
            </w:tcBorders>
            <w:vAlign w:val="center"/>
          </w:tcPr>
          <w:p w14:paraId="2BF1C0BD">
            <w:pPr>
              <w:spacing w:line="440" w:lineRule="atLeast"/>
              <w:jc w:val="right"/>
              <w:rPr>
                <w:rFonts w:ascii="仿宋" w:hAnsi="仿宋" w:eastAsia="仿宋" w:cs="仿宋"/>
                <w:kern w:val="0"/>
                <w:sz w:val="24"/>
              </w:rPr>
            </w:pPr>
            <w:r>
              <w:rPr>
                <w:rFonts w:hint="eastAsia" w:ascii="仿宋" w:hAnsi="仿宋" w:eastAsia="仿宋" w:cs="仿宋"/>
                <w:kern w:val="0"/>
                <w:sz w:val="24"/>
              </w:rPr>
              <w:t>9.20　</w:t>
            </w:r>
          </w:p>
        </w:tc>
      </w:tr>
      <w:tr w14:paraId="328153FF">
        <w:tblPrEx>
          <w:tblCellMar>
            <w:top w:w="0" w:type="dxa"/>
            <w:left w:w="108" w:type="dxa"/>
            <w:bottom w:w="0" w:type="dxa"/>
            <w:right w:w="108" w:type="dxa"/>
          </w:tblCellMar>
        </w:tblPrEx>
        <w:trPr>
          <w:trHeight w:val="270" w:hRule="atLeast"/>
        </w:trPr>
        <w:tc>
          <w:tcPr>
            <w:tcW w:w="3224" w:type="dxa"/>
            <w:tcBorders>
              <w:top w:val="nil"/>
              <w:left w:val="single" w:color="auto" w:sz="4" w:space="0"/>
              <w:bottom w:val="single" w:color="auto" w:sz="4" w:space="0"/>
              <w:right w:val="single" w:color="auto" w:sz="4" w:space="0"/>
            </w:tcBorders>
            <w:vAlign w:val="center"/>
          </w:tcPr>
          <w:p w14:paraId="4ED7AE43">
            <w:pPr>
              <w:spacing w:line="440" w:lineRule="atLeast"/>
              <w:jc w:val="center"/>
              <w:rPr>
                <w:rFonts w:ascii="仿宋" w:hAnsi="仿宋" w:eastAsia="仿宋" w:cs="仿宋"/>
                <w:kern w:val="0"/>
                <w:sz w:val="24"/>
              </w:rPr>
            </w:pPr>
            <w:r>
              <w:rPr>
                <w:rFonts w:hint="eastAsia" w:ascii="仿宋" w:hAnsi="仿宋" w:eastAsia="仿宋" w:cs="仿宋"/>
                <w:kern w:val="0"/>
                <w:sz w:val="24"/>
              </w:rPr>
              <w:t>2010</w:t>
            </w:r>
          </w:p>
        </w:tc>
        <w:tc>
          <w:tcPr>
            <w:tcW w:w="2978" w:type="dxa"/>
            <w:tcBorders>
              <w:top w:val="nil"/>
              <w:left w:val="nil"/>
              <w:bottom w:val="single" w:color="auto" w:sz="4" w:space="0"/>
              <w:right w:val="single" w:color="auto" w:sz="4" w:space="0"/>
            </w:tcBorders>
            <w:vAlign w:val="center"/>
          </w:tcPr>
          <w:p w14:paraId="0B28E143">
            <w:pPr>
              <w:spacing w:line="440" w:lineRule="atLeast"/>
              <w:jc w:val="right"/>
              <w:rPr>
                <w:rFonts w:ascii="仿宋" w:hAnsi="仿宋" w:eastAsia="仿宋" w:cs="仿宋"/>
                <w:kern w:val="0"/>
                <w:sz w:val="24"/>
              </w:rPr>
            </w:pPr>
            <w:r>
              <w:rPr>
                <w:rFonts w:hint="eastAsia" w:ascii="仿宋" w:hAnsi="仿宋" w:eastAsia="仿宋" w:cs="仿宋"/>
                <w:kern w:val="0"/>
                <w:sz w:val="24"/>
              </w:rPr>
              <w:t>401,512.80　</w:t>
            </w:r>
          </w:p>
        </w:tc>
        <w:tc>
          <w:tcPr>
            <w:tcW w:w="2320" w:type="dxa"/>
            <w:tcBorders>
              <w:top w:val="nil"/>
              <w:left w:val="nil"/>
              <w:bottom w:val="single" w:color="auto" w:sz="4" w:space="0"/>
              <w:right w:val="single" w:color="auto" w:sz="4" w:space="0"/>
            </w:tcBorders>
            <w:vAlign w:val="center"/>
          </w:tcPr>
          <w:p w14:paraId="2B972D91">
            <w:pPr>
              <w:spacing w:line="440" w:lineRule="atLeast"/>
              <w:jc w:val="right"/>
              <w:rPr>
                <w:rFonts w:ascii="仿宋" w:hAnsi="仿宋" w:eastAsia="仿宋" w:cs="仿宋"/>
                <w:kern w:val="0"/>
                <w:sz w:val="24"/>
              </w:rPr>
            </w:pPr>
            <w:r>
              <w:rPr>
                <w:rFonts w:hint="eastAsia" w:ascii="仿宋" w:hAnsi="仿宋" w:eastAsia="仿宋" w:cs="仿宋"/>
                <w:kern w:val="0"/>
                <w:sz w:val="24"/>
              </w:rPr>
              <w:t>10.40　</w:t>
            </w:r>
          </w:p>
        </w:tc>
      </w:tr>
      <w:tr w14:paraId="06DF9094">
        <w:tblPrEx>
          <w:tblCellMar>
            <w:top w:w="0" w:type="dxa"/>
            <w:left w:w="108" w:type="dxa"/>
            <w:bottom w:w="0" w:type="dxa"/>
            <w:right w:w="108" w:type="dxa"/>
          </w:tblCellMar>
        </w:tblPrEx>
        <w:trPr>
          <w:trHeight w:val="270" w:hRule="atLeast"/>
        </w:trPr>
        <w:tc>
          <w:tcPr>
            <w:tcW w:w="3224" w:type="dxa"/>
            <w:tcBorders>
              <w:top w:val="nil"/>
              <w:left w:val="single" w:color="auto" w:sz="4" w:space="0"/>
              <w:bottom w:val="single" w:color="auto" w:sz="4" w:space="0"/>
              <w:right w:val="single" w:color="auto" w:sz="4" w:space="0"/>
            </w:tcBorders>
            <w:vAlign w:val="center"/>
          </w:tcPr>
          <w:p w14:paraId="654F4A8F">
            <w:pPr>
              <w:spacing w:line="440" w:lineRule="atLeast"/>
              <w:jc w:val="center"/>
              <w:rPr>
                <w:rFonts w:ascii="仿宋" w:hAnsi="仿宋" w:eastAsia="仿宋" w:cs="仿宋"/>
                <w:kern w:val="0"/>
                <w:sz w:val="24"/>
              </w:rPr>
            </w:pPr>
            <w:r>
              <w:rPr>
                <w:rFonts w:hint="eastAsia" w:ascii="仿宋" w:hAnsi="仿宋" w:eastAsia="仿宋" w:cs="仿宋"/>
                <w:kern w:val="0"/>
                <w:sz w:val="24"/>
              </w:rPr>
              <w:t>2011</w:t>
            </w:r>
          </w:p>
        </w:tc>
        <w:tc>
          <w:tcPr>
            <w:tcW w:w="2978" w:type="dxa"/>
            <w:tcBorders>
              <w:top w:val="nil"/>
              <w:left w:val="nil"/>
              <w:bottom w:val="single" w:color="auto" w:sz="4" w:space="0"/>
              <w:right w:val="single" w:color="auto" w:sz="4" w:space="0"/>
            </w:tcBorders>
            <w:vAlign w:val="center"/>
          </w:tcPr>
          <w:p w14:paraId="2ACC4975">
            <w:pPr>
              <w:spacing w:line="440" w:lineRule="atLeast"/>
              <w:jc w:val="right"/>
              <w:rPr>
                <w:rFonts w:ascii="仿宋" w:hAnsi="仿宋" w:eastAsia="仿宋" w:cs="仿宋"/>
                <w:kern w:val="0"/>
                <w:sz w:val="24"/>
              </w:rPr>
            </w:pPr>
            <w:r>
              <w:rPr>
                <w:rFonts w:hint="eastAsia" w:ascii="仿宋" w:hAnsi="仿宋" w:eastAsia="仿宋" w:cs="仿宋"/>
                <w:kern w:val="0"/>
                <w:sz w:val="24"/>
              </w:rPr>
              <w:t>473,104.00　</w:t>
            </w:r>
          </w:p>
        </w:tc>
        <w:tc>
          <w:tcPr>
            <w:tcW w:w="2320" w:type="dxa"/>
            <w:tcBorders>
              <w:top w:val="nil"/>
              <w:left w:val="nil"/>
              <w:bottom w:val="single" w:color="auto" w:sz="4" w:space="0"/>
              <w:right w:val="single" w:color="auto" w:sz="4" w:space="0"/>
            </w:tcBorders>
            <w:vAlign w:val="center"/>
          </w:tcPr>
          <w:p w14:paraId="333C05CC">
            <w:pPr>
              <w:spacing w:line="440" w:lineRule="atLeast"/>
              <w:jc w:val="right"/>
              <w:rPr>
                <w:rFonts w:ascii="仿宋" w:hAnsi="仿宋" w:eastAsia="仿宋" w:cs="仿宋"/>
                <w:kern w:val="0"/>
                <w:sz w:val="24"/>
              </w:rPr>
            </w:pPr>
            <w:r>
              <w:rPr>
                <w:rFonts w:hint="eastAsia" w:ascii="仿宋" w:hAnsi="仿宋" w:eastAsia="仿宋" w:cs="仿宋"/>
                <w:kern w:val="0"/>
                <w:sz w:val="24"/>
              </w:rPr>
              <w:t>9.30　</w:t>
            </w:r>
          </w:p>
        </w:tc>
      </w:tr>
      <w:tr w14:paraId="65D93E3D">
        <w:tblPrEx>
          <w:tblCellMar>
            <w:top w:w="0" w:type="dxa"/>
            <w:left w:w="108" w:type="dxa"/>
            <w:bottom w:w="0" w:type="dxa"/>
            <w:right w:w="108" w:type="dxa"/>
          </w:tblCellMar>
        </w:tblPrEx>
        <w:trPr>
          <w:trHeight w:val="270" w:hRule="atLeast"/>
        </w:trPr>
        <w:tc>
          <w:tcPr>
            <w:tcW w:w="3224" w:type="dxa"/>
            <w:tcBorders>
              <w:top w:val="nil"/>
              <w:left w:val="single" w:color="auto" w:sz="4" w:space="0"/>
              <w:bottom w:val="single" w:color="auto" w:sz="4" w:space="0"/>
              <w:right w:val="single" w:color="auto" w:sz="4" w:space="0"/>
            </w:tcBorders>
            <w:vAlign w:val="center"/>
          </w:tcPr>
          <w:p w14:paraId="4391A99A">
            <w:pPr>
              <w:spacing w:line="440" w:lineRule="atLeast"/>
              <w:jc w:val="center"/>
              <w:rPr>
                <w:rFonts w:ascii="仿宋" w:hAnsi="仿宋" w:eastAsia="仿宋" w:cs="仿宋"/>
                <w:kern w:val="0"/>
                <w:sz w:val="24"/>
              </w:rPr>
            </w:pPr>
            <w:r>
              <w:rPr>
                <w:rFonts w:hint="eastAsia" w:ascii="仿宋" w:hAnsi="仿宋" w:eastAsia="仿宋" w:cs="仿宋"/>
                <w:kern w:val="0"/>
                <w:sz w:val="24"/>
              </w:rPr>
              <w:t>2012</w:t>
            </w:r>
          </w:p>
        </w:tc>
        <w:tc>
          <w:tcPr>
            <w:tcW w:w="2978" w:type="dxa"/>
            <w:tcBorders>
              <w:top w:val="nil"/>
              <w:left w:val="nil"/>
              <w:bottom w:val="single" w:color="auto" w:sz="4" w:space="0"/>
              <w:right w:val="single" w:color="auto" w:sz="4" w:space="0"/>
            </w:tcBorders>
            <w:vAlign w:val="center"/>
          </w:tcPr>
          <w:p w14:paraId="6FE2D8E7">
            <w:pPr>
              <w:spacing w:line="440" w:lineRule="atLeast"/>
              <w:jc w:val="right"/>
              <w:rPr>
                <w:rFonts w:ascii="仿宋" w:hAnsi="仿宋" w:eastAsia="仿宋" w:cs="仿宋"/>
                <w:kern w:val="0"/>
                <w:sz w:val="24"/>
              </w:rPr>
            </w:pPr>
            <w:r>
              <w:rPr>
                <w:rFonts w:hint="eastAsia" w:ascii="仿宋" w:hAnsi="仿宋" w:eastAsia="仿宋" w:cs="仿宋"/>
                <w:kern w:val="0"/>
                <w:sz w:val="24"/>
              </w:rPr>
              <w:t>519,322.10　</w:t>
            </w:r>
          </w:p>
        </w:tc>
        <w:tc>
          <w:tcPr>
            <w:tcW w:w="2320" w:type="dxa"/>
            <w:tcBorders>
              <w:top w:val="nil"/>
              <w:left w:val="nil"/>
              <w:bottom w:val="single" w:color="auto" w:sz="4" w:space="0"/>
              <w:right w:val="single" w:color="auto" w:sz="4" w:space="0"/>
            </w:tcBorders>
            <w:vAlign w:val="center"/>
          </w:tcPr>
          <w:p w14:paraId="1B957122">
            <w:pPr>
              <w:spacing w:line="440" w:lineRule="atLeast"/>
              <w:jc w:val="right"/>
              <w:rPr>
                <w:rFonts w:ascii="仿宋" w:hAnsi="仿宋" w:eastAsia="仿宋" w:cs="仿宋"/>
                <w:kern w:val="0"/>
                <w:sz w:val="24"/>
              </w:rPr>
            </w:pPr>
            <w:r>
              <w:rPr>
                <w:rFonts w:hint="eastAsia" w:ascii="仿宋" w:hAnsi="仿宋" w:eastAsia="仿宋" w:cs="仿宋"/>
                <w:kern w:val="0"/>
                <w:sz w:val="24"/>
              </w:rPr>
              <w:t>7.80　</w:t>
            </w:r>
          </w:p>
        </w:tc>
      </w:tr>
    </w:tbl>
    <w:p w14:paraId="33327033">
      <w:pPr>
        <w:spacing w:before="159" w:beforeLines="50" w:line="440" w:lineRule="atLeast"/>
        <w:ind w:right="360"/>
        <w:rPr>
          <w:rFonts w:ascii="仿宋" w:hAnsi="仿宋" w:eastAsia="仿宋" w:cs="仿宋"/>
          <w:sz w:val="24"/>
        </w:rPr>
      </w:pPr>
      <w:r>
        <w:rPr>
          <w:rFonts w:hint="eastAsia" w:ascii="仿宋" w:hAnsi="仿宋" w:eastAsia="仿宋" w:cs="仿宋"/>
          <w:sz w:val="24"/>
        </w:rPr>
        <w:t>数据来源：wind资讯</w:t>
      </w:r>
    </w:p>
    <w:p w14:paraId="341C941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2、市场份额的预测</w:t>
      </w:r>
    </w:p>
    <w:p w14:paraId="18E81B6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市场份额与证券公司的经营政策、资金实力等相关，同时各个营业部之间也因为地区、运作经验、管理等多方面的因素各有不同。</w:t>
      </w:r>
    </w:p>
    <w:p w14:paraId="20AAB74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xx证券公司是一家经营稳定的金融企业，具有较稳定的客户资源、完备的管理体制、成熟的团队及较高的市场开拓能力，自成立以来一直保持了稳定的成长速度。20y9年公司股票基金交易总金额为2,156.49亿元，20x0年交易总金额为1,770.74亿元，20x1年交易总金额为2,042.35亿元，20x2年1-9月交易总金额为1,568.03亿元。xx证券公司在20y9-20x2年市场份额分别为0.1988%、0.1608%、0.2406%、0.3688%，根据企业营销计划，预测20x3年到20x7年xx证券市场份额每年将以6%的速度增长，分别达0.3909%、0.4144%、0.4393%、0.4657%、0.4936%，至20x7之后稳定在0.4936%。</w:t>
      </w:r>
    </w:p>
    <w:p w14:paraId="09668A1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3、平均佣金率的预测</w:t>
      </w:r>
    </w:p>
    <w:p w14:paraId="01BAE7A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各年的平均佣金率与证券市场的景气程度和临近营业部之间的竞争相关，根据xx证券公司的财务数据显示20x2年1-9月其佣金费率水平为万分之8.0008。</w:t>
      </w:r>
    </w:p>
    <w:p w14:paraId="587B1FA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由于xx证券公司的营业部设立在一线城市，客户均为高净值客户，具有较高的客户忠诚度，因此能保持较市场平均佣金率略高的水平，我们随着未来市场面临竞争的不断加剧，xx证券公司市场佣金率水平将保持在万分之八左右。</w:t>
      </w:r>
    </w:p>
    <w:p w14:paraId="5635C4A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4、手续费及佣金支出</w:t>
      </w:r>
    </w:p>
    <w:p w14:paraId="45F5C48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20x0年-20x2年前三季度xx证券公司手续费及佣金支出占手续费佣金收入的比分别为3.44%、2.89%、3.04%。预计未来这一比例将保持在3.04%的水平。</w:t>
      </w:r>
    </w:p>
    <w:p w14:paraId="5D63535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通过上述参数计算xx证券公司20x2年第四季度到20x7年各年的证券经纪业务手续费及佣金净收入如下：</w:t>
      </w:r>
    </w:p>
    <w:p w14:paraId="564AFC2C">
      <w:pPr>
        <w:spacing w:line="440" w:lineRule="atLeast"/>
        <w:ind w:firstLine="480" w:firstLineChars="200"/>
        <w:jc w:val="center"/>
        <w:rPr>
          <w:rFonts w:ascii="仿宋" w:hAnsi="仿宋" w:eastAsia="仿宋" w:cs="仿宋"/>
          <w:sz w:val="24"/>
        </w:rPr>
      </w:pPr>
      <w:r>
        <w:rPr>
          <w:rFonts w:hint="eastAsia" w:ascii="仿宋" w:hAnsi="仿宋" w:eastAsia="仿宋" w:cs="仿宋"/>
          <w:sz w:val="24"/>
        </w:rPr>
        <w:t>证券经纪业务手续费及佣金净收入预测表</w:t>
      </w:r>
    </w:p>
    <w:p w14:paraId="30EA751C">
      <w:pPr>
        <w:spacing w:line="440" w:lineRule="atLeast"/>
        <w:ind w:firstLine="480" w:firstLineChars="200"/>
        <w:jc w:val="right"/>
        <w:rPr>
          <w:rFonts w:ascii="仿宋" w:hAnsi="仿宋" w:eastAsia="仿宋" w:cs="仿宋"/>
          <w:sz w:val="24"/>
        </w:rPr>
      </w:pPr>
      <w:r>
        <w:rPr>
          <w:rFonts w:hint="eastAsia" w:ascii="仿宋" w:hAnsi="仿宋" w:eastAsia="仿宋" w:cs="仿宋"/>
          <w:sz w:val="24"/>
        </w:rPr>
        <w:t>金额单位：人民币万元</w:t>
      </w:r>
    </w:p>
    <w:tbl>
      <w:tblPr>
        <w:tblStyle w:val="2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1"/>
        <w:gridCol w:w="1416"/>
        <w:gridCol w:w="1416"/>
        <w:gridCol w:w="1416"/>
        <w:gridCol w:w="1416"/>
        <w:gridCol w:w="1416"/>
      </w:tblGrid>
      <w:tr w14:paraId="17892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1704" w:type="pct"/>
            <w:vAlign w:val="center"/>
          </w:tcPr>
          <w:p w14:paraId="166380A5">
            <w:pPr>
              <w:spacing w:line="440" w:lineRule="atLeast"/>
              <w:jc w:val="center"/>
              <w:rPr>
                <w:rFonts w:ascii="仿宋" w:hAnsi="仿宋" w:eastAsia="仿宋" w:cs="仿宋"/>
                <w:b/>
                <w:kern w:val="0"/>
                <w:sz w:val="24"/>
              </w:rPr>
            </w:pPr>
            <w:r>
              <w:rPr>
                <w:rFonts w:hint="eastAsia" w:ascii="仿宋" w:hAnsi="仿宋" w:eastAsia="仿宋" w:cs="仿宋"/>
                <w:b/>
                <w:kern w:val="0"/>
                <w:sz w:val="24"/>
              </w:rPr>
              <w:t>项目</w:t>
            </w:r>
          </w:p>
        </w:tc>
        <w:tc>
          <w:tcPr>
            <w:tcW w:w="659" w:type="pct"/>
            <w:vAlign w:val="center"/>
          </w:tcPr>
          <w:p w14:paraId="3D9930A7">
            <w:pPr>
              <w:spacing w:line="440" w:lineRule="atLeast"/>
              <w:jc w:val="center"/>
              <w:rPr>
                <w:rFonts w:ascii="仿宋" w:hAnsi="仿宋" w:eastAsia="仿宋" w:cs="仿宋"/>
                <w:b/>
                <w:sz w:val="24"/>
              </w:rPr>
            </w:pPr>
            <w:r>
              <w:rPr>
                <w:rFonts w:hint="eastAsia" w:ascii="仿宋" w:hAnsi="仿宋" w:eastAsia="仿宋" w:cs="仿宋"/>
                <w:b/>
                <w:sz w:val="24"/>
              </w:rPr>
              <w:t>20x3年</w:t>
            </w:r>
          </w:p>
        </w:tc>
        <w:tc>
          <w:tcPr>
            <w:tcW w:w="659" w:type="pct"/>
            <w:vAlign w:val="center"/>
          </w:tcPr>
          <w:p w14:paraId="5F11FA5C">
            <w:pPr>
              <w:spacing w:line="440" w:lineRule="atLeast"/>
              <w:jc w:val="center"/>
              <w:rPr>
                <w:rFonts w:ascii="仿宋" w:hAnsi="仿宋" w:eastAsia="仿宋" w:cs="仿宋"/>
                <w:b/>
                <w:sz w:val="24"/>
              </w:rPr>
            </w:pPr>
            <w:r>
              <w:rPr>
                <w:rFonts w:hint="eastAsia" w:ascii="仿宋" w:hAnsi="仿宋" w:eastAsia="仿宋" w:cs="仿宋"/>
                <w:b/>
                <w:sz w:val="24"/>
              </w:rPr>
              <w:t>20x4年</w:t>
            </w:r>
          </w:p>
        </w:tc>
        <w:tc>
          <w:tcPr>
            <w:tcW w:w="659" w:type="pct"/>
            <w:vAlign w:val="center"/>
          </w:tcPr>
          <w:p w14:paraId="0FC151AE">
            <w:pPr>
              <w:spacing w:line="440" w:lineRule="atLeast"/>
              <w:jc w:val="center"/>
              <w:rPr>
                <w:rFonts w:ascii="仿宋" w:hAnsi="仿宋" w:eastAsia="仿宋" w:cs="仿宋"/>
                <w:b/>
                <w:sz w:val="24"/>
              </w:rPr>
            </w:pPr>
            <w:r>
              <w:rPr>
                <w:rFonts w:hint="eastAsia" w:ascii="仿宋" w:hAnsi="仿宋" w:eastAsia="仿宋" w:cs="仿宋"/>
                <w:b/>
                <w:sz w:val="24"/>
              </w:rPr>
              <w:t>20x5年</w:t>
            </w:r>
          </w:p>
        </w:tc>
        <w:tc>
          <w:tcPr>
            <w:tcW w:w="659" w:type="pct"/>
            <w:vAlign w:val="center"/>
          </w:tcPr>
          <w:p w14:paraId="1137A43F">
            <w:pPr>
              <w:spacing w:line="440" w:lineRule="atLeast"/>
              <w:jc w:val="center"/>
              <w:rPr>
                <w:rFonts w:ascii="仿宋" w:hAnsi="仿宋" w:eastAsia="仿宋" w:cs="仿宋"/>
                <w:b/>
                <w:sz w:val="24"/>
              </w:rPr>
            </w:pPr>
            <w:r>
              <w:rPr>
                <w:rFonts w:hint="eastAsia" w:ascii="仿宋" w:hAnsi="仿宋" w:eastAsia="仿宋" w:cs="仿宋"/>
                <w:b/>
                <w:sz w:val="24"/>
              </w:rPr>
              <w:t>20x6年</w:t>
            </w:r>
          </w:p>
        </w:tc>
        <w:tc>
          <w:tcPr>
            <w:tcW w:w="659" w:type="pct"/>
            <w:vAlign w:val="center"/>
          </w:tcPr>
          <w:p w14:paraId="6DE4481E">
            <w:pPr>
              <w:spacing w:line="440" w:lineRule="atLeast"/>
              <w:jc w:val="center"/>
              <w:rPr>
                <w:rFonts w:ascii="仿宋" w:hAnsi="仿宋" w:eastAsia="仿宋" w:cs="仿宋"/>
                <w:b/>
                <w:sz w:val="24"/>
              </w:rPr>
            </w:pPr>
            <w:r>
              <w:rPr>
                <w:rFonts w:hint="eastAsia" w:ascii="仿宋" w:hAnsi="仿宋" w:eastAsia="仿宋" w:cs="仿宋"/>
                <w:b/>
                <w:sz w:val="24"/>
              </w:rPr>
              <w:t>20x7年</w:t>
            </w:r>
          </w:p>
        </w:tc>
      </w:tr>
      <w:tr w14:paraId="06619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704" w:type="pct"/>
            <w:vAlign w:val="center"/>
          </w:tcPr>
          <w:p w14:paraId="2E02B29A">
            <w:pPr>
              <w:spacing w:line="440" w:lineRule="atLeast"/>
              <w:jc w:val="left"/>
              <w:rPr>
                <w:rFonts w:ascii="仿宋" w:hAnsi="仿宋" w:eastAsia="仿宋" w:cs="仿宋"/>
                <w:kern w:val="0"/>
                <w:sz w:val="24"/>
              </w:rPr>
            </w:pPr>
            <w:r>
              <w:rPr>
                <w:rFonts w:hint="eastAsia" w:ascii="仿宋" w:hAnsi="仿宋" w:eastAsia="仿宋" w:cs="仿宋"/>
                <w:kern w:val="0"/>
                <w:sz w:val="24"/>
              </w:rPr>
              <w:t>1、A股市场成交额（亿元）</w:t>
            </w:r>
          </w:p>
        </w:tc>
        <w:tc>
          <w:tcPr>
            <w:tcW w:w="659" w:type="pct"/>
            <w:vAlign w:val="center"/>
          </w:tcPr>
          <w:p w14:paraId="795DFA25">
            <w:pPr>
              <w:spacing w:line="440" w:lineRule="atLeast"/>
              <w:jc w:val="right"/>
              <w:rPr>
                <w:rFonts w:ascii="仿宋" w:hAnsi="仿宋" w:eastAsia="仿宋" w:cs="仿宋"/>
                <w:sz w:val="24"/>
              </w:rPr>
            </w:pPr>
            <w:r>
              <w:rPr>
                <w:rFonts w:hint="eastAsia" w:ascii="仿宋" w:hAnsi="仿宋" w:eastAsia="仿宋" w:cs="仿宋"/>
                <w:sz w:val="24"/>
              </w:rPr>
              <w:t>688,044.53</w:t>
            </w:r>
          </w:p>
        </w:tc>
        <w:tc>
          <w:tcPr>
            <w:tcW w:w="659" w:type="pct"/>
            <w:vAlign w:val="center"/>
          </w:tcPr>
          <w:p w14:paraId="66E6DAE4">
            <w:pPr>
              <w:spacing w:line="440" w:lineRule="atLeast"/>
              <w:jc w:val="right"/>
              <w:rPr>
                <w:rFonts w:ascii="仿宋" w:hAnsi="仿宋" w:eastAsia="仿宋" w:cs="仿宋"/>
                <w:sz w:val="24"/>
              </w:rPr>
            </w:pPr>
            <w:r>
              <w:rPr>
                <w:rFonts w:hint="eastAsia" w:ascii="仿宋" w:hAnsi="仿宋" w:eastAsia="仿宋" w:cs="仿宋"/>
                <w:sz w:val="24"/>
              </w:rPr>
              <w:t>740,335.92</w:t>
            </w:r>
          </w:p>
        </w:tc>
        <w:tc>
          <w:tcPr>
            <w:tcW w:w="659" w:type="pct"/>
            <w:vAlign w:val="center"/>
          </w:tcPr>
          <w:p w14:paraId="311E0CF4">
            <w:pPr>
              <w:spacing w:line="440" w:lineRule="atLeast"/>
              <w:jc w:val="right"/>
              <w:rPr>
                <w:rFonts w:ascii="仿宋" w:hAnsi="仿宋" w:eastAsia="仿宋" w:cs="仿宋"/>
                <w:sz w:val="24"/>
              </w:rPr>
            </w:pPr>
            <w:r>
              <w:rPr>
                <w:rFonts w:hint="eastAsia" w:ascii="仿宋" w:hAnsi="仿宋" w:eastAsia="仿宋" w:cs="仿宋"/>
                <w:sz w:val="24"/>
              </w:rPr>
              <w:t>796,601.45</w:t>
            </w:r>
          </w:p>
        </w:tc>
        <w:tc>
          <w:tcPr>
            <w:tcW w:w="659" w:type="pct"/>
            <w:vAlign w:val="center"/>
          </w:tcPr>
          <w:p w14:paraId="6CD7D4B2">
            <w:pPr>
              <w:spacing w:line="440" w:lineRule="atLeast"/>
              <w:jc w:val="right"/>
              <w:rPr>
                <w:rFonts w:ascii="仿宋" w:hAnsi="仿宋" w:eastAsia="仿宋" w:cs="仿宋"/>
                <w:sz w:val="24"/>
              </w:rPr>
            </w:pPr>
            <w:r>
              <w:rPr>
                <w:rFonts w:hint="eastAsia" w:ascii="仿宋" w:hAnsi="仿宋" w:eastAsia="仿宋" w:cs="仿宋"/>
                <w:sz w:val="24"/>
              </w:rPr>
              <w:t>857,143.16</w:t>
            </w:r>
          </w:p>
        </w:tc>
        <w:tc>
          <w:tcPr>
            <w:tcW w:w="659" w:type="pct"/>
            <w:vAlign w:val="center"/>
          </w:tcPr>
          <w:p w14:paraId="71EAB8DA">
            <w:pPr>
              <w:spacing w:line="440" w:lineRule="atLeast"/>
              <w:jc w:val="right"/>
              <w:rPr>
                <w:rFonts w:ascii="仿宋" w:hAnsi="仿宋" w:eastAsia="仿宋" w:cs="仿宋"/>
                <w:sz w:val="24"/>
              </w:rPr>
            </w:pPr>
            <w:r>
              <w:rPr>
                <w:rFonts w:hint="eastAsia" w:ascii="仿宋" w:hAnsi="仿宋" w:eastAsia="仿宋" w:cs="仿宋"/>
                <w:sz w:val="24"/>
              </w:rPr>
              <w:t>922,286.04</w:t>
            </w:r>
          </w:p>
        </w:tc>
      </w:tr>
      <w:tr w14:paraId="61F26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704" w:type="pct"/>
            <w:vAlign w:val="center"/>
          </w:tcPr>
          <w:p w14:paraId="5762A064">
            <w:pPr>
              <w:spacing w:line="440" w:lineRule="atLeast"/>
              <w:jc w:val="left"/>
              <w:rPr>
                <w:rFonts w:ascii="仿宋" w:hAnsi="仿宋" w:eastAsia="仿宋" w:cs="仿宋"/>
                <w:kern w:val="0"/>
                <w:sz w:val="24"/>
              </w:rPr>
            </w:pPr>
            <w:r>
              <w:rPr>
                <w:rFonts w:hint="eastAsia" w:ascii="仿宋" w:hAnsi="仿宋" w:eastAsia="仿宋" w:cs="仿宋"/>
                <w:kern w:val="0"/>
                <w:sz w:val="24"/>
              </w:rPr>
              <w:t>2、xx证券公司市场份额</w:t>
            </w:r>
          </w:p>
        </w:tc>
        <w:tc>
          <w:tcPr>
            <w:tcW w:w="659" w:type="pct"/>
            <w:vAlign w:val="center"/>
          </w:tcPr>
          <w:p w14:paraId="0D73CB55">
            <w:pPr>
              <w:spacing w:line="440" w:lineRule="atLeast"/>
              <w:jc w:val="right"/>
              <w:rPr>
                <w:rFonts w:ascii="仿宋" w:hAnsi="仿宋" w:eastAsia="仿宋" w:cs="仿宋"/>
                <w:sz w:val="24"/>
              </w:rPr>
            </w:pPr>
            <w:r>
              <w:rPr>
                <w:rFonts w:hint="eastAsia" w:ascii="仿宋" w:hAnsi="仿宋" w:eastAsia="仿宋" w:cs="仿宋"/>
                <w:sz w:val="24"/>
              </w:rPr>
              <w:t>0.3909%</w:t>
            </w:r>
          </w:p>
        </w:tc>
        <w:tc>
          <w:tcPr>
            <w:tcW w:w="659" w:type="pct"/>
            <w:vAlign w:val="center"/>
          </w:tcPr>
          <w:p w14:paraId="057EB41D">
            <w:pPr>
              <w:spacing w:line="440" w:lineRule="atLeast"/>
              <w:jc w:val="right"/>
              <w:rPr>
                <w:rFonts w:ascii="仿宋" w:hAnsi="仿宋" w:eastAsia="仿宋" w:cs="仿宋"/>
                <w:sz w:val="24"/>
              </w:rPr>
            </w:pPr>
            <w:r>
              <w:rPr>
                <w:rFonts w:hint="eastAsia" w:ascii="仿宋" w:hAnsi="仿宋" w:eastAsia="仿宋" w:cs="仿宋"/>
                <w:sz w:val="24"/>
              </w:rPr>
              <w:t>0.4144%</w:t>
            </w:r>
          </w:p>
        </w:tc>
        <w:tc>
          <w:tcPr>
            <w:tcW w:w="659" w:type="pct"/>
            <w:vAlign w:val="center"/>
          </w:tcPr>
          <w:p w14:paraId="0C5FBFF3">
            <w:pPr>
              <w:spacing w:line="440" w:lineRule="atLeast"/>
              <w:jc w:val="right"/>
              <w:rPr>
                <w:rFonts w:ascii="仿宋" w:hAnsi="仿宋" w:eastAsia="仿宋" w:cs="仿宋"/>
                <w:sz w:val="24"/>
              </w:rPr>
            </w:pPr>
            <w:r>
              <w:rPr>
                <w:rFonts w:hint="eastAsia" w:ascii="仿宋" w:hAnsi="仿宋" w:eastAsia="仿宋" w:cs="仿宋"/>
                <w:sz w:val="24"/>
              </w:rPr>
              <w:t>0.4393%</w:t>
            </w:r>
          </w:p>
        </w:tc>
        <w:tc>
          <w:tcPr>
            <w:tcW w:w="659" w:type="pct"/>
            <w:vAlign w:val="center"/>
          </w:tcPr>
          <w:p w14:paraId="7FED55F9">
            <w:pPr>
              <w:spacing w:line="440" w:lineRule="atLeast"/>
              <w:jc w:val="right"/>
              <w:rPr>
                <w:rFonts w:ascii="仿宋" w:hAnsi="仿宋" w:eastAsia="仿宋" w:cs="仿宋"/>
                <w:sz w:val="24"/>
              </w:rPr>
            </w:pPr>
            <w:r>
              <w:rPr>
                <w:rFonts w:hint="eastAsia" w:ascii="仿宋" w:hAnsi="仿宋" w:eastAsia="仿宋" w:cs="仿宋"/>
                <w:sz w:val="24"/>
              </w:rPr>
              <w:t>0.4657%</w:t>
            </w:r>
          </w:p>
        </w:tc>
        <w:tc>
          <w:tcPr>
            <w:tcW w:w="659" w:type="pct"/>
            <w:vAlign w:val="center"/>
          </w:tcPr>
          <w:p w14:paraId="1A14DE61">
            <w:pPr>
              <w:spacing w:line="440" w:lineRule="atLeast"/>
              <w:jc w:val="right"/>
              <w:rPr>
                <w:rFonts w:ascii="仿宋" w:hAnsi="仿宋" w:eastAsia="仿宋" w:cs="仿宋"/>
                <w:sz w:val="24"/>
              </w:rPr>
            </w:pPr>
            <w:r>
              <w:rPr>
                <w:rFonts w:hint="eastAsia" w:ascii="仿宋" w:hAnsi="仿宋" w:eastAsia="仿宋" w:cs="仿宋"/>
                <w:sz w:val="24"/>
              </w:rPr>
              <w:t>0.4936%</w:t>
            </w:r>
          </w:p>
        </w:tc>
      </w:tr>
      <w:tr w14:paraId="3678D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704" w:type="pct"/>
            <w:vAlign w:val="center"/>
          </w:tcPr>
          <w:p w14:paraId="0DF488C0">
            <w:pPr>
              <w:spacing w:line="440" w:lineRule="atLeast"/>
              <w:jc w:val="left"/>
              <w:rPr>
                <w:rFonts w:ascii="仿宋" w:hAnsi="仿宋" w:eastAsia="仿宋" w:cs="仿宋"/>
                <w:kern w:val="0"/>
                <w:sz w:val="24"/>
              </w:rPr>
            </w:pPr>
            <w:r>
              <w:rPr>
                <w:rFonts w:hint="eastAsia" w:ascii="仿宋" w:hAnsi="仿宋" w:eastAsia="仿宋" w:cs="仿宋"/>
                <w:kern w:val="0"/>
                <w:sz w:val="24"/>
              </w:rPr>
              <w:t>3、平均佣金率（万分之）</w:t>
            </w:r>
          </w:p>
        </w:tc>
        <w:tc>
          <w:tcPr>
            <w:tcW w:w="659" w:type="pct"/>
            <w:vAlign w:val="center"/>
          </w:tcPr>
          <w:p w14:paraId="1B255D74">
            <w:pPr>
              <w:spacing w:line="440" w:lineRule="atLeast"/>
              <w:jc w:val="right"/>
              <w:rPr>
                <w:rFonts w:ascii="仿宋" w:hAnsi="仿宋" w:eastAsia="仿宋" w:cs="仿宋"/>
                <w:sz w:val="24"/>
              </w:rPr>
            </w:pPr>
            <w:r>
              <w:rPr>
                <w:rFonts w:hint="eastAsia" w:ascii="仿宋" w:hAnsi="仿宋" w:eastAsia="仿宋" w:cs="仿宋"/>
                <w:sz w:val="24"/>
              </w:rPr>
              <w:t>8.00</w:t>
            </w:r>
          </w:p>
        </w:tc>
        <w:tc>
          <w:tcPr>
            <w:tcW w:w="659" w:type="pct"/>
            <w:vAlign w:val="center"/>
          </w:tcPr>
          <w:p w14:paraId="50642602">
            <w:pPr>
              <w:spacing w:line="440" w:lineRule="atLeast"/>
              <w:jc w:val="right"/>
              <w:rPr>
                <w:rFonts w:ascii="仿宋" w:hAnsi="仿宋" w:eastAsia="仿宋" w:cs="仿宋"/>
                <w:sz w:val="24"/>
              </w:rPr>
            </w:pPr>
            <w:r>
              <w:rPr>
                <w:rFonts w:hint="eastAsia" w:ascii="仿宋" w:hAnsi="仿宋" w:eastAsia="仿宋" w:cs="仿宋"/>
                <w:sz w:val="24"/>
              </w:rPr>
              <w:t>8.00</w:t>
            </w:r>
          </w:p>
        </w:tc>
        <w:tc>
          <w:tcPr>
            <w:tcW w:w="659" w:type="pct"/>
            <w:vAlign w:val="center"/>
          </w:tcPr>
          <w:p w14:paraId="48AF0C40">
            <w:pPr>
              <w:spacing w:line="440" w:lineRule="atLeast"/>
              <w:jc w:val="right"/>
              <w:rPr>
                <w:rFonts w:ascii="仿宋" w:hAnsi="仿宋" w:eastAsia="仿宋" w:cs="仿宋"/>
                <w:sz w:val="24"/>
              </w:rPr>
            </w:pPr>
            <w:r>
              <w:rPr>
                <w:rFonts w:hint="eastAsia" w:ascii="仿宋" w:hAnsi="仿宋" w:eastAsia="仿宋" w:cs="仿宋"/>
                <w:sz w:val="24"/>
              </w:rPr>
              <w:t>8.00</w:t>
            </w:r>
          </w:p>
        </w:tc>
        <w:tc>
          <w:tcPr>
            <w:tcW w:w="659" w:type="pct"/>
            <w:vAlign w:val="center"/>
          </w:tcPr>
          <w:p w14:paraId="235776CE">
            <w:pPr>
              <w:spacing w:line="440" w:lineRule="atLeast"/>
              <w:jc w:val="right"/>
              <w:rPr>
                <w:rFonts w:ascii="仿宋" w:hAnsi="仿宋" w:eastAsia="仿宋" w:cs="仿宋"/>
                <w:sz w:val="24"/>
              </w:rPr>
            </w:pPr>
            <w:r>
              <w:rPr>
                <w:rFonts w:hint="eastAsia" w:ascii="仿宋" w:hAnsi="仿宋" w:eastAsia="仿宋" w:cs="仿宋"/>
                <w:sz w:val="24"/>
              </w:rPr>
              <w:t>8.00</w:t>
            </w:r>
          </w:p>
        </w:tc>
        <w:tc>
          <w:tcPr>
            <w:tcW w:w="659" w:type="pct"/>
            <w:vAlign w:val="center"/>
          </w:tcPr>
          <w:p w14:paraId="2E81E87B">
            <w:pPr>
              <w:spacing w:line="440" w:lineRule="atLeast"/>
              <w:jc w:val="right"/>
              <w:rPr>
                <w:rFonts w:ascii="仿宋" w:hAnsi="仿宋" w:eastAsia="仿宋" w:cs="仿宋"/>
                <w:sz w:val="24"/>
              </w:rPr>
            </w:pPr>
            <w:r>
              <w:rPr>
                <w:rFonts w:hint="eastAsia" w:ascii="仿宋" w:hAnsi="仿宋" w:eastAsia="仿宋" w:cs="仿宋"/>
                <w:sz w:val="24"/>
              </w:rPr>
              <w:t>8.00</w:t>
            </w:r>
          </w:p>
        </w:tc>
      </w:tr>
      <w:tr w14:paraId="45241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704" w:type="pct"/>
            <w:vAlign w:val="center"/>
          </w:tcPr>
          <w:p w14:paraId="46E0D932">
            <w:pPr>
              <w:spacing w:line="440" w:lineRule="atLeast"/>
              <w:jc w:val="left"/>
              <w:rPr>
                <w:rFonts w:ascii="仿宋" w:hAnsi="仿宋" w:eastAsia="仿宋" w:cs="仿宋"/>
                <w:kern w:val="0"/>
                <w:sz w:val="24"/>
              </w:rPr>
            </w:pPr>
            <w:r>
              <w:rPr>
                <w:rFonts w:hint="eastAsia" w:ascii="仿宋" w:hAnsi="仿宋" w:eastAsia="仿宋" w:cs="仿宋"/>
                <w:kern w:val="0"/>
                <w:sz w:val="24"/>
              </w:rPr>
              <w:t>4、证券经纪业务手续费收入</w:t>
            </w:r>
          </w:p>
        </w:tc>
        <w:tc>
          <w:tcPr>
            <w:tcW w:w="659" w:type="pct"/>
            <w:vAlign w:val="center"/>
          </w:tcPr>
          <w:p w14:paraId="7BA74724">
            <w:pPr>
              <w:spacing w:line="440" w:lineRule="atLeast"/>
              <w:jc w:val="right"/>
              <w:rPr>
                <w:rFonts w:ascii="仿宋" w:hAnsi="仿宋" w:eastAsia="仿宋" w:cs="仿宋"/>
                <w:sz w:val="24"/>
              </w:rPr>
            </w:pPr>
            <w:r>
              <w:rPr>
                <w:rFonts w:hint="eastAsia" w:ascii="仿宋" w:hAnsi="仿宋" w:eastAsia="仿宋" w:cs="仿宋"/>
                <w:sz w:val="24"/>
              </w:rPr>
              <w:t>21,516.53</w:t>
            </w:r>
          </w:p>
        </w:tc>
        <w:tc>
          <w:tcPr>
            <w:tcW w:w="659" w:type="pct"/>
            <w:vAlign w:val="center"/>
          </w:tcPr>
          <w:p w14:paraId="7C43D16A">
            <w:pPr>
              <w:spacing w:line="440" w:lineRule="atLeast"/>
              <w:jc w:val="right"/>
              <w:rPr>
                <w:rFonts w:ascii="仿宋" w:hAnsi="仿宋" w:eastAsia="仿宋" w:cs="仿宋"/>
                <w:sz w:val="24"/>
              </w:rPr>
            </w:pPr>
            <w:r>
              <w:rPr>
                <w:rFonts w:hint="eastAsia" w:ascii="仿宋" w:hAnsi="仿宋" w:eastAsia="仿宋" w:cs="仿宋"/>
                <w:sz w:val="24"/>
              </w:rPr>
              <w:t>24,543.62</w:t>
            </w:r>
          </w:p>
        </w:tc>
        <w:tc>
          <w:tcPr>
            <w:tcW w:w="659" w:type="pct"/>
            <w:vAlign w:val="center"/>
          </w:tcPr>
          <w:p w14:paraId="2313FFB8">
            <w:pPr>
              <w:spacing w:line="440" w:lineRule="atLeast"/>
              <w:jc w:val="right"/>
              <w:rPr>
                <w:rFonts w:ascii="仿宋" w:hAnsi="仿宋" w:eastAsia="仿宋" w:cs="仿宋"/>
                <w:sz w:val="24"/>
              </w:rPr>
            </w:pPr>
            <w:r>
              <w:rPr>
                <w:rFonts w:hint="eastAsia" w:ascii="仿宋" w:hAnsi="仿宋" w:eastAsia="仿宋" w:cs="仿宋"/>
                <w:sz w:val="24"/>
              </w:rPr>
              <w:t>27,995.76</w:t>
            </w:r>
          </w:p>
        </w:tc>
        <w:tc>
          <w:tcPr>
            <w:tcW w:w="659" w:type="pct"/>
            <w:vAlign w:val="center"/>
          </w:tcPr>
          <w:p w14:paraId="33344102">
            <w:pPr>
              <w:spacing w:line="440" w:lineRule="atLeast"/>
              <w:jc w:val="right"/>
              <w:rPr>
                <w:rFonts w:ascii="仿宋" w:hAnsi="仿宋" w:eastAsia="仿宋" w:cs="仿宋"/>
                <w:sz w:val="24"/>
              </w:rPr>
            </w:pPr>
            <w:r>
              <w:rPr>
                <w:rFonts w:hint="eastAsia" w:ascii="仿宋" w:hAnsi="仿宋" w:eastAsia="仿宋" w:cs="仿宋"/>
                <w:sz w:val="24"/>
              </w:rPr>
              <w:t>31,933.73</w:t>
            </w:r>
          </w:p>
        </w:tc>
        <w:tc>
          <w:tcPr>
            <w:tcW w:w="659" w:type="pct"/>
            <w:vAlign w:val="center"/>
          </w:tcPr>
          <w:p w14:paraId="7DBE00C0">
            <w:pPr>
              <w:spacing w:line="440" w:lineRule="atLeast"/>
              <w:jc w:val="right"/>
              <w:rPr>
                <w:rFonts w:ascii="仿宋" w:hAnsi="仿宋" w:eastAsia="仿宋" w:cs="仿宋"/>
                <w:sz w:val="24"/>
              </w:rPr>
            </w:pPr>
            <w:r>
              <w:rPr>
                <w:rFonts w:hint="eastAsia" w:ascii="仿宋" w:hAnsi="仿宋" w:eastAsia="仿宋" w:cs="仿宋"/>
                <w:sz w:val="24"/>
              </w:rPr>
              <w:t>36,419.23</w:t>
            </w:r>
          </w:p>
        </w:tc>
      </w:tr>
      <w:tr w14:paraId="06E8D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704" w:type="pct"/>
            <w:vAlign w:val="center"/>
          </w:tcPr>
          <w:p w14:paraId="6DB5B2BA">
            <w:pPr>
              <w:spacing w:line="440" w:lineRule="atLeast"/>
              <w:jc w:val="left"/>
              <w:rPr>
                <w:rFonts w:ascii="仿宋" w:hAnsi="仿宋" w:eastAsia="仿宋" w:cs="仿宋"/>
                <w:kern w:val="0"/>
                <w:sz w:val="24"/>
              </w:rPr>
            </w:pPr>
            <w:r>
              <w:rPr>
                <w:rFonts w:hint="eastAsia" w:ascii="仿宋" w:hAnsi="仿宋" w:eastAsia="仿宋" w:cs="仿宋"/>
                <w:kern w:val="0"/>
                <w:sz w:val="24"/>
              </w:rPr>
              <w:t>5、手续费率</w:t>
            </w:r>
          </w:p>
        </w:tc>
        <w:tc>
          <w:tcPr>
            <w:tcW w:w="659" w:type="pct"/>
            <w:vAlign w:val="center"/>
          </w:tcPr>
          <w:p w14:paraId="3012F211">
            <w:pPr>
              <w:spacing w:line="440" w:lineRule="atLeast"/>
              <w:jc w:val="right"/>
              <w:rPr>
                <w:rFonts w:ascii="仿宋" w:hAnsi="仿宋" w:eastAsia="仿宋" w:cs="仿宋"/>
                <w:sz w:val="24"/>
              </w:rPr>
            </w:pPr>
            <w:r>
              <w:rPr>
                <w:rFonts w:hint="eastAsia" w:ascii="仿宋" w:hAnsi="仿宋" w:eastAsia="仿宋" w:cs="仿宋"/>
                <w:sz w:val="24"/>
              </w:rPr>
              <w:t>3.04%</w:t>
            </w:r>
          </w:p>
        </w:tc>
        <w:tc>
          <w:tcPr>
            <w:tcW w:w="659" w:type="pct"/>
            <w:vAlign w:val="center"/>
          </w:tcPr>
          <w:p w14:paraId="432DF510">
            <w:pPr>
              <w:spacing w:line="440" w:lineRule="atLeast"/>
              <w:jc w:val="right"/>
              <w:rPr>
                <w:rFonts w:ascii="仿宋" w:hAnsi="仿宋" w:eastAsia="仿宋" w:cs="仿宋"/>
                <w:sz w:val="24"/>
              </w:rPr>
            </w:pPr>
            <w:r>
              <w:rPr>
                <w:rFonts w:hint="eastAsia" w:ascii="仿宋" w:hAnsi="仿宋" w:eastAsia="仿宋" w:cs="仿宋"/>
                <w:sz w:val="24"/>
              </w:rPr>
              <w:t>3.04%</w:t>
            </w:r>
          </w:p>
        </w:tc>
        <w:tc>
          <w:tcPr>
            <w:tcW w:w="659" w:type="pct"/>
            <w:vAlign w:val="center"/>
          </w:tcPr>
          <w:p w14:paraId="060D28CA">
            <w:pPr>
              <w:spacing w:line="440" w:lineRule="atLeast"/>
              <w:jc w:val="right"/>
              <w:rPr>
                <w:rFonts w:ascii="仿宋" w:hAnsi="仿宋" w:eastAsia="仿宋" w:cs="仿宋"/>
                <w:sz w:val="24"/>
              </w:rPr>
            </w:pPr>
            <w:r>
              <w:rPr>
                <w:rFonts w:hint="eastAsia" w:ascii="仿宋" w:hAnsi="仿宋" w:eastAsia="仿宋" w:cs="仿宋"/>
                <w:sz w:val="24"/>
              </w:rPr>
              <w:t>3.04%</w:t>
            </w:r>
          </w:p>
        </w:tc>
        <w:tc>
          <w:tcPr>
            <w:tcW w:w="659" w:type="pct"/>
            <w:vAlign w:val="center"/>
          </w:tcPr>
          <w:p w14:paraId="42749AAC">
            <w:pPr>
              <w:spacing w:line="440" w:lineRule="atLeast"/>
              <w:jc w:val="right"/>
              <w:rPr>
                <w:rFonts w:ascii="仿宋" w:hAnsi="仿宋" w:eastAsia="仿宋" w:cs="仿宋"/>
                <w:sz w:val="24"/>
              </w:rPr>
            </w:pPr>
            <w:r>
              <w:rPr>
                <w:rFonts w:hint="eastAsia" w:ascii="仿宋" w:hAnsi="仿宋" w:eastAsia="仿宋" w:cs="仿宋"/>
                <w:sz w:val="24"/>
              </w:rPr>
              <w:t>3.04%</w:t>
            </w:r>
          </w:p>
        </w:tc>
        <w:tc>
          <w:tcPr>
            <w:tcW w:w="659" w:type="pct"/>
            <w:vAlign w:val="center"/>
          </w:tcPr>
          <w:p w14:paraId="4DC19FB6">
            <w:pPr>
              <w:spacing w:line="440" w:lineRule="atLeast"/>
              <w:jc w:val="right"/>
              <w:rPr>
                <w:rFonts w:ascii="仿宋" w:hAnsi="仿宋" w:eastAsia="仿宋" w:cs="仿宋"/>
                <w:sz w:val="24"/>
              </w:rPr>
            </w:pPr>
            <w:r>
              <w:rPr>
                <w:rFonts w:hint="eastAsia" w:ascii="仿宋" w:hAnsi="仿宋" w:eastAsia="仿宋" w:cs="仿宋"/>
                <w:sz w:val="24"/>
              </w:rPr>
              <w:t>3.04%</w:t>
            </w:r>
          </w:p>
        </w:tc>
      </w:tr>
      <w:tr w14:paraId="30C49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704" w:type="pct"/>
            <w:vAlign w:val="center"/>
          </w:tcPr>
          <w:p w14:paraId="6F71C79A">
            <w:pPr>
              <w:spacing w:line="440" w:lineRule="atLeast"/>
              <w:jc w:val="left"/>
              <w:rPr>
                <w:rFonts w:ascii="仿宋" w:hAnsi="仿宋" w:eastAsia="仿宋" w:cs="仿宋"/>
                <w:kern w:val="0"/>
                <w:sz w:val="24"/>
              </w:rPr>
            </w:pPr>
            <w:r>
              <w:rPr>
                <w:rFonts w:hint="eastAsia" w:ascii="仿宋" w:hAnsi="仿宋" w:eastAsia="仿宋" w:cs="仿宋"/>
                <w:kern w:val="0"/>
                <w:sz w:val="24"/>
              </w:rPr>
              <w:t>6、证券经纪业务手续费支出</w:t>
            </w:r>
          </w:p>
        </w:tc>
        <w:tc>
          <w:tcPr>
            <w:tcW w:w="659" w:type="pct"/>
            <w:vAlign w:val="center"/>
          </w:tcPr>
          <w:p w14:paraId="18BF522E">
            <w:pPr>
              <w:spacing w:line="440" w:lineRule="atLeast"/>
              <w:jc w:val="right"/>
              <w:rPr>
                <w:rFonts w:ascii="仿宋" w:hAnsi="仿宋" w:eastAsia="仿宋" w:cs="仿宋"/>
                <w:sz w:val="24"/>
              </w:rPr>
            </w:pPr>
            <w:r>
              <w:rPr>
                <w:rFonts w:hint="eastAsia" w:ascii="仿宋" w:hAnsi="仿宋" w:eastAsia="仿宋" w:cs="仿宋"/>
                <w:sz w:val="24"/>
              </w:rPr>
              <w:t>654.10</w:t>
            </w:r>
          </w:p>
        </w:tc>
        <w:tc>
          <w:tcPr>
            <w:tcW w:w="659" w:type="pct"/>
            <w:vAlign w:val="center"/>
          </w:tcPr>
          <w:p w14:paraId="2F08F611">
            <w:pPr>
              <w:spacing w:line="440" w:lineRule="atLeast"/>
              <w:jc w:val="right"/>
              <w:rPr>
                <w:rFonts w:ascii="仿宋" w:hAnsi="仿宋" w:eastAsia="仿宋" w:cs="仿宋"/>
                <w:sz w:val="24"/>
              </w:rPr>
            </w:pPr>
            <w:r>
              <w:rPr>
                <w:rFonts w:hint="eastAsia" w:ascii="仿宋" w:hAnsi="仿宋" w:eastAsia="仿宋" w:cs="仿宋"/>
                <w:sz w:val="24"/>
              </w:rPr>
              <w:t>746.13</w:t>
            </w:r>
          </w:p>
        </w:tc>
        <w:tc>
          <w:tcPr>
            <w:tcW w:w="659" w:type="pct"/>
            <w:vAlign w:val="center"/>
          </w:tcPr>
          <w:p w14:paraId="6918DE84">
            <w:pPr>
              <w:spacing w:line="440" w:lineRule="atLeast"/>
              <w:jc w:val="right"/>
              <w:rPr>
                <w:rFonts w:ascii="仿宋" w:hAnsi="仿宋" w:eastAsia="仿宋" w:cs="仿宋"/>
                <w:sz w:val="24"/>
              </w:rPr>
            </w:pPr>
            <w:r>
              <w:rPr>
                <w:rFonts w:hint="eastAsia" w:ascii="仿宋" w:hAnsi="仿宋" w:eastAsia="仿宋" w:cs="仿宋"/>
                <w:sz w:val="24"/>
              </w:rPr>
              <w:t>851.07</w:t>
            </w:r>
          </w:p>
        </w:tc>
        <w:tc>
          <w:tcPr>
            <w:tcW w:w="659" w:type="pct"/>
            <w:vAlign w:val="center"/>
          </w:tcPr>
          <w:p w14:paraId="6FFF1EE7">
            <w:pPr>
              <w:spacing w:line="440" w:lineRule="atLeast"/>
              <w:jc w:val="right"/>
              <w:rPr>
                <w:rFonts w:ascii="仿宋" w:hAnsi="仿宋" w:eastAsia="仿宋" w:cs="仿宋"/>
                <w:sz w:val="24"/>
              </w:rPr>
            </w:pPr>
            <w:r>
              <w:rPr>
                <w:rFonts w:hint="eastAsia" w:ascii="仿宋" w:hAnsi="仿宋" w:eastAsia="仿宋" w:cs="仿宋"/>
                <w:sz w:val="24"/>
              </w:rPr>
              <w:t>970.79</w:t>
            </w:r>
          </w:p>
        </w:tc>
        <w:tc>
          <w:tcPr>
            <w:tcW w:w="659" w:type="pct"/>
            <w:vAlign w:val="center"/>
          </w:tcPr>
          <w:p w14:paraId="11115D2C">
            <w:pPr>
              <w:spacing w:line="440" w:lineRule="atLeast"/>
              <w:jc w:val="right"/>
              <w:rPr>
                <w:rFonts w:ascii="仿宋" w:hAnsi="仿宋" w:eastAsia="仿宋" w:cs="仿宋"/>
                <w:sz w:val="24"/>
              </w:rPr>
            </w:pPr>
            <w:r>
              <w:rPr>
                <w:rFonts w:hint="eastAsia" w:ascii="仿宋" w:hAnsi="仿宋" w:eastAsia="仿宋" w:cs="仿宋"/>
                <w:sz w:val="24"/>
              </w:rPr>
              <w:t>1,107.14</w:t>
            </w:r>
          </w:p>
        </w:tc>
      </w:tr>
      <w:tr w14:paraId="17791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704" w:type="pct"/>
            <w:vAlign w:val="center"/>
          </w:tcPr>
          <w:p w14:paraId="1526FD8E">
            <w:pPr>
              <w:spacing w:line="440" w:lineRule="atLeast"/>
              <w:jc w:val="left"/>
              <w:rPr>
                <w:rFonts w:ascii="仿宋" w:hAnsi="仿宋" w:eastAsia="仿宋" w:cs="仿宋"/>
                <w:kern w:val="0"/>
                <w:sz w:val="24"/>
              </w:rPr>
            </w:pPr>
            <w:r>
              <w:rPr>
                <w:rFonts w:hint="eastAsia" w:ascii="仿宋" w:hAnsi="仿宋" w:eastAsia="仿宋" w:cs="仿宋"/>
                <w:kern w:val="0"/>
                <w:sz w:val="24"/>
              </w:rPr>
              <w:t>7、证券经纪业务手续费净收入</w:t>
            </w:r>
          </w:p>
        </w:tc>
        <w:tc>
          <w:tcPr>
            <w:tcW w:w="659" w:type="pct"/>
            <w:vAlign w:val="center"/>
          </w:tcPr>
          <w:p w14:paraId="6C6A8C32">
            <w:pPr>
              <w:spacing w:line="440" w:lineRule="atLeast"/>
              <w:jc w:val="right"/>
              <w:rPr>
                <w:rFonts w:ascii="仿宋" w:hAnsi="仿宋" w:eastAsia="仿宋" w:cs="仿宋"/>
                <w:sz w:val="24"/>
              </w:rPr>
            </w:pPr>
            <w:r>
              <w:rPr>
                <w:rFonts w:hint="eastAsia" w:ascii="仿宋" w:hAnsi="仿宋" w:eastAsia="仿宋" w:cs="仿宋"/>
                <w:sz w:val="24"/>
              </w:rPr>
              <w:t>20,862.43</w:t>
            </w:r>
          </w:p>
        </w:tc>
        <w:tc>
          <w:tcPr>
            <w:tcW w:w="659" w:type="pct"/>
            <w:vAlign w:val="center"/>
          </w:tcPr>
          <w:p w14:paraId="65F0A1D9">
            <w:pPr>
              <w:spacing w:line="440" w:lineRule="atLeast"/>
              <w:jc w:val="right"/>
              <w:rPr>
                <w:rFonts w:ascii="仿宋" w:hAnsi="仿宋" w:eastAsia="仿宋" w:cs="仿宋"/>
                <w:sz w:val="24"/>
              </w:rPr>
            </w:pPr>
            <w:r>
              <w:rPr>
                <w:rFonts w:hint="eastAsia" w:ascii="仿宋" w:hAnsi="仿宋" w:eastAsia="仿宋" w:cs="仿宋"/>
                <w:sz w:val="24"/>
              </w:rPr>
              <w:t>23,797.49</w:t>
            </w:r>
          </w:p>
        </w:tc>
        <w:tc>
          <w:tcPr>
            <w:tcW w:w="659" w:type="pct"/>
            <w:vAlign w:val="center"/>
          </w:tcPr>
          <w:p w14:paraId="16C669F9">
            <w:pPr>
              <w:spacing w:line="440" w:lineRule="atLeast"/>
              <w:jc w:val="right"/>
              <w:rPr>
                <w:rFonts w:ascii="仿宋" w:hAnsi="仿宋" w:eastAsia="仿宋" w:cs="仿宋"/>
                <w:sz w:val="24"/>
              </w:rPr>
            </w:pPr>
            <w:r>
              <w:rPr>
                <w:rFonts w:hint="eastAsia" w:ascii="仿宋" w:hAnsi="仿宋" w:eastAsia="仿宋" w:cs="仿宋"/>
                <w:sz w:val="24"/>
              </w:rPr>
              <w:t>27,144.69</w:t>
            </w:r>
          </w:p>
        </w:tc>
        <w:tc>
          <w:tcPr>
            <w:tcW w:w="659" w:type="pct"/>
            <w:vAlign w:val="center"/>
          </w:tcPr>
          <w:p w14:paraId="3E303D28">
            <w:pPr>
              <w:spacing w:line="440" w:lineRule="atLeast"/>
              <w:jc w:val="right"/>
              <w:rPr>
                <w:rFonts w:ascii="仿宋" w:hAnsi="仿宋" w:eastAsia="仿宋" w:cs="仿宋"/>
                <w:sz w:val="24"/>
              </w:rPr>
            </w:pPr>
            <w:r>
              <w:rPr>
                <w:rFonts w:hint="eastAsia" w:ascii="仿宋" w:hAnsi="仿宋" w:eastAsia="仿宋" w:cs="仿宋"/>
                <w:sz w:val="24"/>
              </w:rPr>
              <w:t>30,962.94</w:t>
            </w:r>
          </w:p>
        </w:tc>
        <w:tc>
          <w:tcPr>
            <w:tcW w:w="659" w:type="pct"/>
            <w:vAlign w:val="center"/>
          </w:tcPr>
          <w:p w14:paraId="48D91DA5">
            <w:pPr>
              <w:spacing w:line="440" w:lineRule="atLeast"/>
              <w:jc w:val="right"/>
              <w:rPr>
                <w:rFonts w:ascii="仿宋" w:hAnsi="仿宋" w:eastAsia="仿宋" w:cs="仿宋"/>
                <w:sz w:val="24"/>
              </w:rPr>
            </w:pPr>
            <w:r>
              <w:rPr>
                <w:rFonts w:hint="eastAsia" w:ascii="仿宋" w:hAnsi="仿宋" w:eastAsia="仿宋" w:cs="仿宋"/>
                <w:sz w:val="24"/>
              </w:rPr>
              <w:t>35,312.09</w:t>
            </w:r>
          </w:p>
        </w:tc>
      </w:tr>
    </w:tbl>
    <w:p w14:paraId="735E1E8B">
      <w:pPr>
        <w:shd w:val="clear" w:color="auto" w:fill="FFFFFF"/>
        <w:spacing w:line="440" w:lineRule="atLeast"/>
        <w:ind w:firstLine="482" w:firstLineChars="200"/>
        <w:rPr>
          <w:rFonts w:ascii="宋体" w:hAnsi="宋体" w:eastAsia="宋体" w:cs="宋体"/>
          <w:b/>
          <w:bCs/>
          <w:color w:val="000000"/>
          <w:kern w:val="0"/>
          <w:sz w:val="24"/>
          <w:shd w:val="clear" w:color="auto" w:fill="FFFFFF"/>
          <w:lang w:val="zh-TW" w:eastAsia="zh-TW"/>
        </w:rPr>
      </w:pPr>
      <w:r>
        <w:rPr>
          <w:rFonts w:hint="eastAsia" w:ascii="宋体" w:hAnsi="宋体" w:eastAsia="宋体" w:cs="宋体"/>
          <w:b/>
          <w:bCs/>
          <w:color w:val="000000"/>
          <w:kern w:val="0"/>
          <w:sz w:val="24"/>
          <w:shd w:val="clear" w:color="auto" w:fill="FFFFFF"/>
          <w:lang w:val="zh-TW" w:eastAsia="zh-TW"/>
        </w:rPr>
        <w:t>案例五：保险公司的已赚保费的预测</w:t>
      </w:r>
    </w:p>
    <w:p w14:paraId="115B927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已赚保费=保险业务收入-分出保费-提取未到期责任准备金</w:t>
      </w:r>
    </w:p>
    <w:p w14:paraId="714502C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1、保险业务收入</w:t>
      </w:r>
    </w:p>
    <w:p w14:paraId="13A19E7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xx保险公司的业务范围覆盖了人寿、养老、投资、教育、医疗等多个领域，为了实现可持续的、盈利性的增长，公司的产品经营策略主要集中于以销售期缴、保障型产品为主。20x1年至20x3期缴保费收入占比达到了90%，且期缴新业务保费收入月均增幅为68%。20x3年保费收入较20x2年增长了30.19%，其中续期的保费收入占比超过了60%，首年业务保费收入占到了约30%，与同规模公司相比处于较高水平。近三年xx保险公司各渠道保费收入情况如下表所示。</w:t>
      </w:r>
    </w:p>
    <w:p w14:paraId="196B1ECC">
      <w:pPr>
        <w:spacing w:line="440" w:lineRule="atLeast"/>
        <w:jc w:val="center"/>
        <w:rPr>
          <w:rFonts w:ascii="仿宋" w:hAnsi="仿宋" w:eastAsia="仿宋" w:cs="仿宋"/>
          <w:sz w:val="24"/>
        </w:rPr>
      </w:pPr>
      <w:r>
        <w:rPr>
          <w:rFonts w:hint="eastAsia" w:ascii="仿宋" w:hAnsi="仿宋" w:eastAsia="仿宋" w:cs="仿宋"/>
          <w:sz w:val="24"/>
        </w:rPr>
        <w:t>20x1-20x3年各渠道保费收入情况</w:t>
      </w:r>
    </w:p>
    <w:tbl>
      <w:tblPr>
        <w:tblStyle w:val="24"/>
        <w:tblW w:w="4998" w:type="pct"/>
        <w:tblInd w:w="0" w:type="dxa"/>
        <w:tblLayout w:type="autofit"/>
        <w:tblCellMar>
          <w:top w:w="0" w:type="dxa"/>
          <w:left w:w="108" w:type="dxa"/>
          <w:bottom w:w="0" w:type="dxa"/>
          <w:right w:w="108" w:type="dxa"/>
        </w:tblCellMar>
      </w:tblPr>
      <w:tblGrid>
        <w:gridCol w:w="2800"/>
        <w:gridCol w:w="1904"/>
        <w:gridCol w:w="1904"/>
        <w:gridCol w:w="1905"/>
      </w:tblGrid>
      <w:tr w14:paraId="4A4AF517">
        <w:tblPrEx>
          <w:tblCellMar>
            <w:top w:w="0" w:type="dxa"/>
            <w:left w:w="108" w:type="dxa"/>
            <w:bottom w:w="0" w:type="dxa"/>
            <w:right w:w="108" w:type="dxa"/>
          </w:tblCellMar>
        </w:tblPrEx>
        <w:trPr>
          <w:trHeight w:val="340" w:hRule="atLeast"/>
        </w:trPr>
        <w:tc>
          <w:tcPr>
            <w:tcW w:w="1644" w:type="pct"/>
            <w:tcBorders>
              <w:top w:val="single" w:color="auto" w:sz="4" w:space="0"/>
              <w:left w:val="single" w:color="auto" w:sz="4" w:space="0"/>
              <w:bottom w:val="single" w:color="auto" w:sz="4" w:space="0"/>
              <w:right w:val="single" w:color="auto" w:sz="4" w:space="0"/>
            </w:tcBorders>
            <w:vAlign w:val="center"/>
          </w:tcPr>
          <w:p w14:paraId="59D12FB6">
            <w:pPr>
              <w:spacing w:line="440" w:lineRule="atLeast"/>
              <w:jc w:val="center"/>
              <w:rPr>
                <w:rFonts w:ascii="仿宋" w:hAnsi="仿宋" w:eastAsia="仿宋" w:cs="仿宋"/>
                <w:b/>
                <w:bCs/>
                <w:kern w:val="0"/>
                <w:sz w:val="24"/>
              </w:rPr>
            </w:pPr>
            <w:r>
              <w:rPr>
                <w:rFonts w:hint="eastAsia" w:ascii="仿宋" w:hAnsi="仿宋" w:eastAsia="仿宋" w:cs="仿宋"/>
                <w:b/>
                <w:bCs/>
                <w:kern w:val="0"/>
                <w:sz w:val="24"/>
              </w:rPr>
              <w:t>按渠道划分</w:t>
            </w:r>
          </w:p>
        </w:tc>
        <w:tc>
          <w:tcPr>
            <w:tcW w:w="1118" w:type="pct"/>
            <w:tcBorders>
              <w:top w:val="single" w:color="auto" w:sz="4" w:space="0"/>
              <w:left w:val="single" w:color="auto" w:sz="4" w:space="0"/>
              <w:bottom w:val="single" w:color="auto" w:sz="4" w:space="0"/>
              <w:right w:val="single" w:color="auto" w:sz="4" w:space="0"/>
            </w:tcBorders>
            <w:vAlign w:val="center"/>
          </w:tcPr>
          <w:p w14:paraId="4CF16DD2">
            <w:pPr>
              <w:spacing w:line="440" w:lineRule="atLeast"/>
              <w:jc w:val="center"/>
              <w:rPr>
                <w:rFonts w:ascii="仿宋" w:hAnsi="仿宋" w:eastAsia="仿宋" w:cs="仿宋"/>
                <w:b/>
                <w:bCs/>
                <w:kern w:val="0"/>
                <w:sz w:val="24"/>
              </w:rPr>
            </w:pPr>
            <w:r>
              <w:rPr>
                <w:rFonts w:hint="eastAsia" w:ascii="仿宋" w:hAnsi="仿宋" w:eastAsia="仿宋" w:cs="仿宋"/>
                <w:b/>
                <w:bCs/>
                <w:kern w:val="0"/>
                <w:sz w:val="24"/>
              </w:rPr>
              <w:t>20x1年</w:t>
            </w:r>
          </w:p>
        </w:tc>
        <w:tc>
          <w:tcPr>
            <w:tcW w:w="1118" w:type="pct"/>
            <w:tcBorders>
              <w:top w:val="single" w:color="auto" w:sz="4" w:space="0"/>
              <w:left w:val="single" w:color="auto" w:sz="4" w:space="0"/>
              <w:bottom w:val="single" w:color="auto" w:sz="4" w:space="0"/>
              <w:right w:val="single" w:color="auto" w:sz="4" w:space="0"/>
            </w:tcBorders>
            <w:vAlign w:val="center"/>
          </w:tcPr>
          <w:p w14:paraId="0D4C0A75">
            <w:pPr>
              <w:spacing w:line="440" w:lineRule="atLeast"/>
              <w:jc w:val="center"/>
              <w:rPr>
                <w:rFonts w:ascii="仿宋" w:hAnsi="仿宋" w:eastAsia="仿宋" w:cs="仿宋"/>
                <w:b/>
                <w:bCs/>
                <w:kern w:val="0"/>
                <w:sz w:val="24"/>
              </w:rPr>
            </w:pPr>
            <w:r>
              <w:rPr>
                <w:rFonts w:hint="eastAsia" w:ascii="仿宋" w:hAnsi="仿宋" w:eastAsia="仿宋" w:cs="仿宋"/>
                <w:b/>
                <w:bCs/>
                <w:kern w:val="0"/>
                <w:sz w:val="24"/>
              </w:rPr>
              <w:t>20x2年</w:t>
            </w:r>
          </w:p>
        </w:tc>
        <w:tc>
          <w:tcPr>
            <w:tcW w:w="1118" w:type="pct"/>
            <w:tcBorders>
              <w:top w:val="single" w:color="auto" w:sz="4" w:space="0"/>
              <w:left w:val="single" w:color="auto" w:sz="4" w:space="0"/>
              <w:bottom w:val="single" w:color="auto" w:sz="4" w:space="0"/>
              <w:right w:val="single" w:color="auto" w:sz="4" w:space="0"/>
            </w:tcBorders>
            <w:vAlign w:val="center"/>
          </w:tcPr>
          <w:p w14:paraId="73CCE900">
            <w:pPr>
              <w:spacing w:line="440" w:lineRule="atLeast"/>
              <w:jc w:val="center"/>
              <w:rPr>
                <w:rFonts w:ascii="仿宋" w:hAnsi="仿宋" w:eastAsia="仿宋" w:cs="仿宋"/>
                <w:b/>
                <w:bCs/>
                <w:kern w:val="0"/>
                <w:sz w:val="24"/>
              </w:rPr>
            </w:pPr>
            <w:r>
              <w:rPr>
                <w:rFonts w:hint="eastAsia" w:ascii="仿宋" w:hAnsi="仿宋" w:eastAsia="仿宋" w:cs="仿宋"/>
                <w:b/>
                <w:bCs/>
                <w:kern w:val="0"/>
                <w:sz w:val="24"/>
              </w:rPr>
              <w:t>20x3年</w:t>
            </w:r>
          </w:p>
        </w:tc>
      </w:tr>
      <w:tr w14:paraId="67C1B4D1">
        <w:tblPrEx>
          <w:tblCellMar>
            <w:top w:w="0" w:type="dxa"/>
            <w:left w:w="108" w:type="dxa"/>
            <w:bottom w:w="0" w:type="dxa"/>
            <w:right w:w="108" w:type="dxa"/>
          </w:tblCellMar>
        </w:tblPrEx>
        <w:trPr>
          <w:trHeight w:val="340" w:hRule="atLeast"/>
        </w:trPr>
        <w:tc>
          <w:tcPr>
            <w:tcW w:w="1644" w:type="pct"/>
            <w:tcBorders>
              <w:top w:val="single" w:color="auto" w:sz="4" w:space="0"/>
              <w:left w:val="single" w:color="auto" w:sz="4" w:space="0"/>
              <w:right w:val="single" w:color="auto" w:sz="4" w:space="0"/>
            </w:tcBorders>
            <w:vAlign w:val="center"/>
          </w:tcPr>
          <w:p w14:paraId="4E5AAC35">
            <w:pPr>
              <w:spacing w:line="440" w:lineRule="atLeast"/>
              <w:jc w:val="left"/>
              <w:rPr>
                <w:rFonts w:ascii="仿宋" w:hAnsi="仿宋" w:eastAsia="仿宋" w:cs="仿宋"/>
                <w:kern w:val="0"/>
                <w:sz w:val="24"/>
              </w:rPr>
            </w:pPr>
            <w:r>
              <w:rPr>
                <w:rFonts w:hint="eastAsia" w:ascii="仿宋" w:hAnsi="仿宋" w:eastAsia="仿宋" w:cs="仿宋"/>
                <w:kern w:val="0"/>
                <w:sz w:val="24"/>
              </w:rPr>
              <w:t>银行及邮政兼业代理</w:t>
            </w:r>
          </w:p>
        </w:tc>
        <w:tc>
          <w:tcPr>
            <w:tcW w:w="1118" w:type="pct"/>
            <w:tcBorders>
              <w:top w:val="single" w:color="auto" w:sz="4" w:space="0"/>
              <w:left w:val="single" w:color="auto" w:sz="4" w:space="0"/>
              <w:right w:val="single" w:color="auto" w:sz="4" w:space="0"/>
            </w:tcBorders>
            <w:vAlign w:val="center"/>
          </w:tcPr>
          <w:p w14:paraId="4FA58C7D">
            <w:pPr>
              <w:spacing w:line="440" w:lineRule="atLeast"/>
              <w:jc w:val="right"/>
              <w:rPr>
                <w:rFonts w:ascii="仿宋" w:hAnsi="仿宋" w:eastAsia="仿宋" w:cs="仿宋"/>
                <w:kern w:val="0"/>
                <w:sz w:val="24"/>
              </w:rPr>
            </w:pPr>
            <w:r>
              <w:rPr>
                <w:rFonts w:hint="eastAsia" w:ascii="仿宋" w:hAnsi="仿宋" w:eastAsia="仿宋" w:cs="仿宋"/>
                <w:kern w:val="0"/>
                <w:sz w:val="24"/>
              </w:rPr>
              <w:t>59,638.06</w:t>
            </w:r>
          </w:p>
        </w:tc>
        <w:tc>
          <w:tcPr>
            <w:tcW w:w="1118" w:type="pct"/>
            <w:tcBorders>
              <w:top w:val="single" w:color="auto" w:sz="4" w:space="0"/>
              <w:left w:val="single" w:color="auto" w:sz="4" w:space="0"/>
              <w:right w:val="single" w:color="auto" w:sz="4" w:space="0"/>
            </w:tcBorders>
            <w:vAlign w:val="center"/>
          </w:tcPr>
          <w:p w14:paraId="10E87E35">
            <w:pPr>
              <w:spacing w:line="440" w:lineRule="atLeast"/>
              <w:jc w:val="right"/>
              <w:rPr>
                <w:rFonts w:ascii="仿宋" w:hAnsi="仿宋" w:eastAsia="仿宋" w:cs="仿宋"/>
                <w:kern w:val="0"/>
                <w:sz w:val="24"/>
              </w:rPr>
            </w:pPr>
            <w:r>
              <w:rPr>
                <w:rFonts w:hint="eastAsia" w:ascii="仿宋" w:hAnsi="仿宋" w:eastAsia="仿宋" w:cs="仿宋"/>
                <w:kern w:val="0"/>
                <w:sz w:val="24"/>
              </w:rPr>
              <w:t>88,923.84</w:t>
            </w:r>
          </w:p>
        </w:tc>
        <w:tc>
          <w:tcPr>
            <w:tcW w:w="1118" w:type="pct"/>
            <w:tcBorders>
              <w:top w:val="single" w:color="auto" w:sz="4" w:space="0"/>
              <w:left w:val="single" w:color="auto" w:sz="4" w:space="0"/>
              <w:right w:val="single" w:color="auto" w:sz="4" w:space="0"/>
            </w:tcBorders>
            <w:vAlign w:val="center"/>
          </w:tcPr>
          <w:p w14:paraId="5F69827F">
            <w:pPr>
              <w:spacing w:line="440" w:lineRule="atLeast"/>
              <w:jc w:val="right"/>
              <w:rPr>
                <w:rFonts w:ascii="仿宋" w:hAnsi="仿宋" w:eastAsia="仿宋" w:cs="仿宋"/>
                <w:kern w:val="0"/>
                <w:sz w:val="24"/>
              </w:rPr>
            </w:pPr>
            <w:r>
              <w:rPr>
                <w:rFonts w:hint="eastAsia" w:ascii="仿宋" w:hAnsi="仿宋" w:eastAsia="仿宋" w:cs="仿宋"/>
                <w:kern w:val="0"/>
                <w:sz w:val="24"/>
              </w:rPr>
              <w:t>115,735.16</w:t>
            </w:r>
          </w:p>
        </w:tc>
      </w:tr>
      <w:tr w14:paraId="4C4D7BBD">
        <w:tblPrEx>
          <w:tblCellMar>
            <w:top w:w="0" w:type="dxa"/>
            <w:left w:w="108" w:type="dxa"/>
            <w:bottom w:w="0" w:type="dxa"/>
            <w:right w:w="108" w:type="dxa"/>
          </w:tblCellMar>
        </w:tblPrEx>
        <w:trPr>
          <w:trHeight w:val="340" w:hRule="atLeast"/>
        </w:trPr>
        <w:tc>
          <w:tcPr>
            <w:tcW w:w="1644" w:type="pct"/>
            <w:tcBorders>
              <w:left w:val="single" w:color="auto" w:sz="4" w:space="0"/>
              <w:right w:val="single" w:color="auto" w:sz="4" w:space="0"/>
            </w:tcBorders>
            <w:vAlign w:val="center"/>
          </w:tcPr>
          <w:p w14:paraId="660723C6">
            <w:pPr>
              <w:spacing w:line="440" w:lineRule="atLeast"/>
              <w:jc w:val="left"/>
              <w:rPr>
                <w:rFonts w:ascii="仿宋" w:hAnsi="仿宋" w:eastAsia="仿宋" w:cs="仿宋"/>
                <w:kern w:val="0"/>
                <w:sz w:val="24"/>
              </w:rPr>
            </w:pPr>
            <w:r>
              <w:rPr>
                <w:rFonts w:hint="eastAsia" w:ascii="仿宋" w:hAnsi="仿宋" w:eastAsia="仿宋" w:cs="仿宋"/>
                <w:kern w:val="0"/>
                <w:sz w:val="24"/>
              </w:rPr>
              <w:t>个人代理</w:t>
            </w:r>
          </w:p>
        </w:tc>
        <w:tc>
          <w:tcPr>
            <w:tcW w:w="1118" w:type="pct"/>
            <w:tcBorders>
              <w:left w:val="single" w:color="auto" w:sz="4" w:space="0"/>
              <w:right w:val="single" w:color="auto" w:sz="4" w:space="0"/>
            </w:tcBorders>
            <w:vAlign w:val="center"/>
          </w:tcPr>
          <w:p w14:paraId="55DE5E44">
            <w:pPr>
              <w:spacing w:line="440" w:lineRule="atLeast"/>
              <w:jc w:val="right"/>
              <w:rPr>
                <w:rFonts w:ascii="仿宋" w:hAnsi="仿宋" w:eastAsia="仿宋" w:cs="仿宋"/>
                <w:kern w:val="0"/>
                <w:sz w:val="24"/>
              </w:rPr>
            </w:pPr>
            <w:r>
              <w:rPr>
                <w:rFonts w:hint="eastAsia" w:ascii="仿宋" w:hAnsi="仿宋" w:eastAsia="仿宋" w:cs="仿宋"/>
                <w:kern w:val="0"/>
                <w:sz w:val="24"/>
              </w:rPr>
              <w:t>32,144.45</w:t>
            </w:r>
          </w:p>
        </w:tc>
        <w:tc>
          <w:tcPr>
            <w:tcW w:w="1118" w:type="pct"/>
            <w:tcBorders>
              <w:left w:val="single" w:color="auto" w:sz="4" w:space="0"/>
              <w:right w:val="single" w:color="auto" w:sz="4" w:space="0"/>
            </w:tcBorders>
            <w:vAlign w:val="center"/>
          </w:tcPr>
          <w:p w14:paraId="3B46CB2E">
            <w:pPr>
              <w:spacing w:line="440" w:lineRule="atLeast"/>
              <w:jc w:val="right"/>
              <w:rPr>
                <w:rFonts w:ascii="仿宋" w:hAnsi="仿宋" w:eastAsia="仿宋" w:cs="仿宋"/>
                <w:kern w:val="0"/>
                <w:sz w:val="24"/>
              </w:rPr>
            </w:pPr>
            <w:r>
              <w:rPr>
                <w:rFonts w:hint="eastAsia" w:ascii="仿宋" w:hAnsi="仿宋" w:eastAsia="仿宋" w:cs="仿宋"/>
                <w:kern w:val="0"/>
                <w:sz w:val="24"/>
              </w:rPr>
              <w:t>39,265.57</w:t>
            </w:r>
          </w:p>
        </w:tc>
        <w:tc>
          <w:tcPr>
            <w:tcW w:w="1118" w:type="pct"/>
            <w:tcBorders>
              <w:left w:val="single" w:color="auto" w:sz="4" w:space="0"/>
              <w:right w:val="single" w:color="auto" w:sz="4" w:space="0"/>
            </w:tcBorders>
            <w:vAlign w:val="center"/>
          </w:tcPr>
          <w:p w14:paraId="6EDBF618">
            <w:pPr>
              <w:spacing w:line="440" w:lineRule="atLeast"/>
              <w:jc w:val="right"/>
              <w:rPr>
                <w:rFonts w:ascii="仿宋" w:hAnsi="仿宋" w:eastAsia="仿宋" w:cs="仿宋"/>
                <w:kern w:val="0"/>
                <w:sz w:val="24"/>
              </w:rPr>
            </w:pPr>
            <w:r>
              <w:rPr>
                <w:rFonts w:hint="eastAsia" w:ascii="仿宋" w:hAnsi="仿宋" w:eastAsia="仿宋" w:cs="仿宋"/>
                <w:kern w:val="0"/>
                <w:sz w:val="24"/>
              </w:rPr>
              <w:t>47,972.09</w:t>
            </w:r>
          </w:p>
        </w:tc>
      </w:tr>
      <w:tr w14:paraId="01E1B4AD">
        <w:tblPrEx>
          <w:tblCellMar>
            <w:top w:w="0" w:type="dxa"/>
            <w:left w:w="108" w:type="dxa"/>
            <w:bottom w:w="0" w:type="dxa"/>
            <w:right w:w="108" w:type="dxa"/>
          </w:tblCellMar>
        </w:tblPrEx>
        <w:trPr>
          <w:trHeight w:val="340" w:hRule="atLeast"/>
        </w:trPr>
        <w:tc>
          <w:tcPr>
            <w:tcW w:w="1644" w:type="pct"/>
            <w:tcBorders>
              <w:left w:val="single" w:color="auto" w:sz="4" w:space="0"/>
              <w:right w:val="single" w:color="auto" w:sz="4" w:space="0"/>
            </w:tcBorders>
            <w:vAlign w:val="center"/>
          </w:tcPr>
          <w:p w14:paraId="63D1C9AF">
            <w:pPr>
              <w:spacing w:line="440" w:lineRule="atLeast"/>
              <w:jc w:val="left"/>
              <w:rPr>
                <w:rFonts w:ascii="仿宋" w:hAnsi="仿宋" w:eastAsia="仿宋" w:cs="仿宋"/>
                <w:kern w:val="0"/>
                <w:sz w:val="24"/>
              </w:rPr>
            </w:pPr>
            <w:r>
              <w:rPr>
                <w:rFonts w:hint="eastAsia" w:ascii="仿宋" w:hAnsi="仿宋" w:eastAsia="仿宋" w:cs="仿宋"/>
                <w:kern w:val="0"/>
                <w:sz w:val="24"/>
              </w:rPr>
              <w:t>保险中介代理</w:t>
            </w:r>
          </w:p>
        </w:tc>
        <w:tc>
          <w:tcPr>
            <w:tcW w:w="1118" w:type="pct"/>
            <w:tcBorders>
              <w:left w:val="single" w:color="auto" w:sz="4" w:space="0"/>
              <w:right w:val="single" w:color="auto" w:sz="4" w:space="0"/>
            </w:tcBorders>
            <w:vAlign w:val="center"/>
          </w:tcPr>
          <w:p w14:paraId="19315F98">
            <w:pPr>
              <w:spacing w:line="440" w:lineRule="atLeast"/>
              <w:jc w:val="right"/>
              <w:rPr>
                <w:rFonts w:ascii="仿宋" w:hAnsi="仿宋" w:eastAsia="仿宋" w:cs="仿宋"/>
                <w:kern w:val="0"/>
                <w:sz w:val="24"/>
              </w:rPr>
            </w:pPr>
            <w:r>
              <w:rPr>
                <w:rFonts w:hint="eastAsia" w:ascii="仿宋" w:hAnsi="仿宋" w:eastAsia="仿宋" w:cs="仿宋"/>
                <w:kern w:val="0"/>
                <w:sz w:val="24"/>
              </w:rPr>
              <w:t>5,791.57</w:t>
            </w:r>
          </w:p>
        </w:tc>
        <w:tc>
          <w:tcPr>
            <w:tcW w:w="1118" w:type="pct"/>
            <w:tcBorders>
              <w:left w:val="single" w:color="auto" w:sz="4" w:space="0"/>
              <w:right w:val="single" w:color="auto" w:sz="4" w:space="0"/>
            </w:tcBorders>
            <w:vAlign w:val="center"/>
          </w:tcPr>
          <w:p w14:paraId="4A6D2546">
            <w:pPr>
              <w:spacing w:line="440" w:lineRule="atLeast"/>
              <w:jc w:val="right"/>
              <w:rPr>
                <w:rFonts w:ascii="仿宋" w:hAnsi="仿宋" w:eastAsia="仿宋" w:cs="仿宋"/>
                <w:kern w:val="0"/>
                <w:sz w:val="24"/>
              </w:rPr>
            </w:pPr>
            <w:r>
              <w:rPr>
                <w:rFonts w:hint="eastAsia" w:ascii="仿宋" w:hAnsi="仿宋" w:eastAsia="仿宋" w:cs="仿宋"/>
                <w:kern w:val="0"/>
                <w:sz w:val="24"/>
              </w:rPr>
              <w:t>5,211.03</w:t>
            </w:r>
          </w:p>
        </w:tc>
        <w:tc>
          <w:tcPr>
            <w:tcW w:w="1118" w:type="pct"/>
            <w:tcBorders>
              <w:left w:val="single" w:color="auto" w:sz="4" w:space="0"/>
              <w:right w:val="single" w:color="auto" w:sz="4" w:space="0"/>
            </w:tcBorders>
            <w:vAlign w:val="center"/>
          </w:tcPr>
          <w:p w14:paraId="750D7877">
            <w:pPr>
              <w:spacing w:line="440" w:lineRule="atLeast"/>
              <w:jc w:val="right"/>
              <w:rPr>
                <w:rFonts w:ascii="仿宋" w:hAnsi="仿宋" w:eastAsia="仿宋" w:cs="仿宋"/>
                <w:kern w:val="0"/>
                <w:sz w:val="24"/>
              </w:rPr>
            </w:pPr>
            <w:r>
              <w:rPr>
                <w:rFonts w:hint="eastAsia" w:ascii="仿宋" w:hAnsi="仿宋" w:eastAsia="仿宋" w:cs="仿宋"/>
                <w:kern w:val="0"/>
                <w:sz w:val="24"/>
              </w:rPr>
              <w:t>9,606.64</w:t>
            </w:r>
          </w:p>
        </w:tc>
      </w:tr>
      <w:tr w14:paraId="6C71B396">
        <w:tblPrEx>
          <w:tblCellMar>
            <w:top w:w="0" w:type="dxa"/>
            <w:left w:w="108" w:type="dxa"/>
            <w:bottom w:w="0" w:type="dxa"/>
            <w:right w:w="108" w:type="dxa"/>
          </w:tblCellMar>
        </w:tblPrEx>
        <w:trPr>
          <w:trHeight w:val="340" w:hRule="atLeast"/>
        </w:trPr>
        <w:tc>
          <w:tcPr>
            <w:tcW w:w="1644" w:type="pct"/>
            <w:tcBorders>
              <w:left w:val="single" w:color="auto" w:sz="4" w:space="0"/>
              <w:bottom w:val="single" w:color="auto" w:sz="4" w:space="0"/>
              <w:right w:val="single" w:color="auto" w:sz="4" w:space="0"/>
            </w:tcBorders>
            <w:vAlign w:val="center"/>
          </w:tcPr>
          <w:p w14:paraId="69C9EDD9">
            <w:pPr>
              <w:spacing w:line="440" w:lineRule="atLeast"/>
              <w:jc w:val="left"/>
              <w:rPr>
                <w:rFonts w:ascii="仿宋" w:hAnsi="仿宋" w:eastAsia="仿宋" w:cs="仿宋"/>
                <w:kern w:val="0"/>
                <w:sz w:val="24"/>
              </w:rPr>
            </w:pPr>
            <w:r>
              <w:rPr>
                <w:rFonts w:hint="eastAsia" w:ascii="仿宋" w:hAnsi="仿宋" w:eastAsia="仿宋" w:cs="仿宋"/>
                <w:kern w:val="0"/>
                <w:sz w:val="24"/>
              </w:rPr>
              <w:t>公司直销</w:t>
            </w:r>
          </w:p>
        </w:tc>
        <w:tc>
          <w:tcPr>
            <w:tcW w:w="1118" w:type="pct"/>
            <w:tcBorders>
              <w:left w:val="single" w:color="auto" w:sz="4" w:space="0"/>
              <w:bottom w:val="single" w:color="auto" w:sz="4" w:space="0"/>
              <w:right w:val="single" w:color="auto" w:sz="4" w:space="0"/>
            </w:tcBorders>
            <w:vAlign w:val="center"/>
          </w:tcPr>
          <w:p w14:paraId="5202794A">
            <w:pPr>
              <w:spacing w:line="440" w:lineRule="atLeast"/>
              <w:jc w:val="right"/>
              <w:rPr>
                <w:rFonts w:ascii="仿宋" w:hAnsi="仿宋" w:eastAsia="仿宋" w:cs="仿宋"/>
                <w:kern w:val="0"/>
                <w:sz w:val="24"/>
              </w:rPr>
            </w:pPr>
            <w:r>
              <w:rPr>
                <w:rFonts w:hint="eastAsia" w:ascii="仿宋" w:hAnsi="仿宋" w:eastAsia="仿宋" w:cs="仿宋"/>
                <w:kern w:val="0"/>
                <w:sz w:val="24"/>
              </w:rPr>
              <w:t>2,915.46</w:t>
            </w:r>
          </w:p>
        </w:tc>
        <w:tc>
          <w:tcPr>
            <w:tcW w:w="1118" w:type="pct"/>
            <w:tcBorders>
              <w:left w:val="single" w:color="auto" w:sz="4" w:space="0"/>
              <w:bottom w:val="single" w:color="auto" w:sz="4" w:space="0"/>
              <w:right w:val="single" w:color="auto" w:sz="4" w:space="0"/>
            </w:tcBorders>
            <w:vAlign w:val="center"/>
          </w:tcPr>
          <w:p w14:paraId="283C85DB">
            <w:pPr>
              <w:spacing w:line="440" w:lineRule="atLeast"/>
              <w:jc w:val="right"/>
              <w:rPr>
                <w:rFonts w:ascii="仿宋" w:hAnsi="仿宋" w:eastAsia="仿宋" w:cs="仿宋"/>
                <w:kern w:val="0"/>
                <w:sz w:val="24"/>
              </w:rPr>
            </w:pPr>
            <w:r>
              <w:rPr>
                <w:rFonts w:hint="eastAsia" w:ascii="仿宋" w:hAnsi="仿宋" w:eastAsia="仿宋" w:cs="仿宋"/>
                <w:kern w:val="0"/>
                <w:sz w:val="24"/>
              </w:rPr>
              <w:t>4,384.32</w:t>
            </w:r>
          </w:p>
        </w:tc>
        <w:tc>
          <w:tcPr>
            <w:tcW w:w="1118" w:type="pct"/>
            <w:tcBorders>
              <w:left w:val="single" w:color="auto" w:sz="4" w:space="0"/>
              <w:bottom w:val="single" w:color="auto" w:sz="4" w:space="0"/>
              <w:right w:val="single" w:color="auto" w:sz="4" w:space="0"/>
            </w:tcBorders>
            <w:vAlign w:val="center"/>
          </w:tcPr>
          <w:p w14:paraId="7E4DFD7B">
            <w:pPr>
              <w:spacing w:line="440" w:lineRule="atLeast"/>
              <w:jc w:val="right"/>
              <w:rPr>
                <w:rFonts w:ascii="仿宋" w:hAnsi="仿宋" w:eastAsia="仿宋" w:cs="仿宋"/>
                <w:kern w:val="0"/>
                <w:sz w:val="24"/>
              </w:rPr>
            </w:pPr>
            <w:r>
              <w:rPr>
                <w:rFonts w:hint="eastAsia" w:ascii="仿宋" w:hAnsi="仿宋" w:eastAsia="仿宋" w:cs="仿宋"/>
                <w:kern w:val="0"/>
                <w:sz w:val="24"/>
              </w:rPr>
              <w:t>6,072.93</w:t>
            </w:r>
          </w:p>
        </w:tc>
      </w:tr>
      <w:tr w14:paraId="424F19AA">
        <w:tblPrEx>
          <w:tblCellMar>
            <w:top w:w="0" w:type="dxa"/>
            <w:left w:w="108" w:type="dxa"/>
            <w:bottom w:w="0" w:type="dxa"/>
            <w:right w:w="108" w:type="dxa"/>
          </w:tblCellMar>
        </w:tblPrEx>
        <w:trPr>
          <w:trHeight w:val="340" w:hRule="atLeast"/>
        </w:trPr>
        <w:tc>
          <w:tcPr>
            <w:tcW w:w="1644" w:type="pct"/>
            <w:tcBorders>
              <w:top w:val="single" w:color="auto" w:sz="4" w:space="0"/>
              <w:left w:val="single" w:color="auto" w:sz="4" w:space="0"/>
              <w:bottom w:val="single" w:color="auto" w:sz="4" w:space="0"/>
              <w:right w:val="single" w:color="auto" w:sz="4" w:space="0"/>
            </w:tcBorders>
            <w:vAlign w:val="center"/>
          </w:tcPr>
          <w:p w14:paraId="00740C37">
            <w:pPr>
              <w:spacing w:line="440" w:lineRule="atLeast"/>
              <w:jc w:val="center"/>
              <w:rPr>
                <w:rFonts w:ascii="仿宋" w:hAnsi="仿宋" w:eastAsia="仿宋" w:cs="仿宋"/>
                <w:b/>
                <w:kern w:val="0"/>
                <w:sz w:val="24"/>
              </w:rPr>
            </w:pPr>
            <w:r>
              <w:rPr>
                <w:rFonts w:hint="eastAsia" w:ascii="仿宋" w:hAnsi="仿宋" w:eastAsia="仿宋" w:cs="仿宋"/>
                <w:b/>
                <w:kern w:val="0"/>
                <w:sz w:val="24"/>
              </w:rPr>
              <w:t>总计</w:t>
            </w:r>
          </w:p>
        </w:tc>
        <w:tc>
          <w:tcPr>
            <w:tcW w:w="1118" w:type="pct"/>
            <w:tcBorders>
              <w:top w:val="single" w:color="auto" w:sz="4" w:space="0"/>
              <w:left w:val="single" w:color="auto" w:sz="4" w:space="0"/>
              <w:bottom w:val="single" w:color="auto" w:sz="4" w:space="0"/>
              <w:right w:val="single" w:color="auto" w:sz="4" w:space="0"/>
            </w:tcBorders>
            <w:vAlign w:val="center"/>
          </w:tcPr>
          <w:p w14:paraId="37D22312">
            <w:pPr>
              <w:spacing w:line="440" w:lineRule="atLeast"/>
              <w:jc w:val="right"/>
              <w:rPr>
                <w:rFonts w:ascii="仿宋" w:hAnsi="仿宋" w:eastAsia="仿宋" w:cs="仿宋"/>
                <w:b/>
                <w:kern w:val="0"/>
                <w:sz w:val="24"/>
              </w:rPr>
            </w:pPr>
            <w:r>
              <w:rPr>
                <w:rFonts w:hint="eastAsia" w:ascii="仿宋" w:hAnsi="仿宋" w:eastAsia="仿宋" w:cs="仿宋"/>
                <w:b/>
                <w:kern w:val="0"/>
                <w:sz w:val="24"/>
              </w:rPr>
              <w:t>100,489.54　</w:t>
            </w:r>
          </w:p>
        </w:tc>
        <w:tc>
          <w:tcPr>
            <w:tcW w:w="1118" w:type="pct"/>
            <w:tcBorders>
              <w:top w:val="single" w:color="auto" w:sz="4" w:space="0"/>
              <w:left w:val="single" w:color="auto" w:sz="4" w:space="0"/>
              <w:bottom w:val="single" w:color="auto" w:sz="4" w:space="0"/>
              <w:right w:val="single" w:color="auto" w:sz="4" w:space="0"/>
            </w:tcBorders>
            <w:vAlign w:val="center"/>
          </w:tcPr>
          <w:p w14:paraId="1B02FFAB">
            <w:pPr>
              <w:spacing w:line="440" w:lineRule="atLeast"/>
              <w:jc w:val="right"/>
              <w:rPr>
                <w:rFonts w:ascii="仿宋" w:hAnsi="仿宋" w:eastAsia="仿宋" w:cs="仿宋"/>
                <w:b/>
                <w:kern w:val="0"/>
                <w:sz w:val="24"/>
              </w:rPr>
            </w:pPr>
            <w:r>
              <w:rPr>
                <w:rFonts w:hint="eastAsia" w:ascii="仿宋" w:hAnsi="仿宋" w:eastAsia="仿宋" w:cs="仿宋"/>
                <w:b/>
                <w:kern w:val="0"/>
                <w:sz w:val="24"/>
              </w:rPr>
              <w:t>137,784.76</w:t>
            </w:r>
          </w:p>
        </w:tc>
        <w:tc>
          <w:tcPr>
            <w:tcW w:w="1118" w:type="pct"/>
            <w:tcBorders>
              <w:top w:val="single" w:color="auto" w:sz="4" w:space="0"/>
              <w:left w:val="single" w:color="auto" w:sz="4" w:space="0"/>
              <w:bottom w:val="single" w:color="auto" w:sz="4" w:space="0"/>
              <w:right w:val="single" w:color="auto" w:sz="4" w:space="0"/>
            </w:tcBorders>
            <w:vAlign w:val="center"/>
          </w:tcPr>
          <w:p w14:paraId="76E49001">
            <w:pPr>
              <w:spacing w:line="440" w:lineRule="atLeast"/>
              <w:jc w:val="right"/>
              <w:rPr>
                <w:rFonts w:ascii="仿宋" w:hAnsi="仿宋" w:eastAsia="仿宋" w:cs="仿宋"/>
                <w:b/>
                <w:kern w:val="0"/>
                <w:sz w:val="24"/>
              </w:rPr>
            </w:pPr>
            <w:r>
              <w:rPr>
                <w:rFonts w:hint="eastAsia" w:ascii="仿宋" w:hAnsi="仿宋" w:eastAsia="仿宋" w:cs="仿宋"/>
                <w:b/>
                <w:kern w:val="0"/>
                <w:sz w:val="24"/>
              </w:rPr>
              <w:t>179,386.81</w:t>
            </w:r>
          </w:p>
        </w:tc>
      </w:tr>
    </w:tbl>
    <w:p w14:paraId="41BFCC6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保险公司未来年度的毛保费收入来源于新业务期缴保费收入、新业务趸缴保费收入、续年期缴保费收入。续年期缴的保费收入根据基准日有效保单在未来产生的保费收入进行预测，新业务期缴/趸缴保费收入的预测则是通过对年化新业务保费（ANP）增长率的预测进行。年化新业务保费（ANP）是指首年期缴保费收入加上10%的趸缴保费收入。</w:t>
      </w:r>
    </w:p>
    <w:p w14:paraId="0FCDAB1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中国人身保险业在20x0-20x3年保费收入年均增长率为20%，20x3年保险深度为1.9%。20x0-20x3年，xx保险公司实现毛保费收入年均增长率42%，年化新业务保费（ANP）年均增长率为26%。据此，xx保险公司结合各渠道销售能力制定未来年度商业计划，预测了20x4-20y4年年化新业务保费。其中，20x4年的预测包含了到了20x4年1-3月份的实际经营状况。</w:t>
      </w:r>
    </w:p>
    <w:p w14:paraId="38362D6D">
      <w:pPr>
        <w:spacing w:line="440" w:lineRule="atLeast"/>
        <w:jc w:val="center"/>
        <w:rPr>
          <w:rFonts w:ascii="仿宋" w:hAnsi="仿宋" w:eastAsia="仿宋" w:cs="仿宋"/>
          <w:sz w:val="24"/>
        </w:rPr>
      </w:pPr>
      <w:r>
        <w:rPr>
          <w:rFonts w:hint="eastAsia" w:ascii="仿宋" w:hAnsi="仿宋" w:eastAsia="仿宋" w:cs="仿宋"/>
          <w:sz w:val="24"/>
        </w:rPr>
        <w:t>未来年度ANP分渠道预测表</w:t>
      </w:r>
    </w:p>
    <w:tbl>
      <w:tblPr>
        <w:tblStyle w:val="24"/>
        <w:tblW w:w="897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2232"/>
        <w:gridCol w:w="562"/>
        <w:gridCol w:w="562"/>
        <w:gridCol w:w="562"/>
        <w:gridCol w:w="562"/>
        <w:gridCol w:w="562"/>
        <w:gridCol w:w="562"/>
        <w:gridCol w:w="562"/>
        <w:gridCol w:w="562"/>
        <w:gridCol w:w="562"/>
        <w:gridCol w:w="562"/>
        <w:gridCol w:w="562"/>
        <w:gridCol w:w="562"/>
      </w:tblGrid>
      <w:tr w14:paraId="316E11F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86" w:hRule="atLeast"/>
        </w:trPr>
        <w:tc>
          <w:tcPr>
            <w:tcW w:w="2232" w:type="dxa"/>
            <w:tcMar>
              <w:top w:w="15" w:type="dxa"/>
              <w:left w:w="15" w:type="dxa"/>
              <w:bottom w:w="0" w:type="dxa"/>
              <w:right w:w="15" w:type="dxa"/>
            </w:tcMar>
            <w:vAlign w:val="center"/>
          </w:tcPr>
          <w:p w14:paraId="73CF6F1A">
            <w:pPr>
              <w:spacing w:line="440" w:lineRule="atLeast"/>
              <w:jc w:val="center"/>
              <w:textAlignment w:val="bottom"/>
              <w:rPr>
                <w:rFonts w:ascii="仿宋" w:hAnsi="仿宋" w:eastAsia="仿宋" w:cs="仿宋"/>
                <w:kern w:val="0"/>
                <w:sz w:val="24"/>
              </w:rPr>
            </w:pPr>
            <w:r>
              <w:rPr>
                <w:rFonts w:hint="eastAsia" w:ascii="仿宋" w:hAnsi="仿宋" w:eastAsia="仿宋" w:cs="仿宋"/>
                <w:b/>
                <w:bCs/>
                <w:kern w:val="24"/>
                <w:sz w:val="24"/>
              </w:rPr>
              <w:t>营销员渠道</w:t>
            </w:r>
          </w:p>
        </w:tc>
        <w:tc>
          <w:tcPr>
            <w:tcW w:w="562" w:type="dxa"/>
            <w:tcMar>
              <w:top w:w="15" w:type="dxa"/>
              <w:left w:w="15" w:type="dxa"/>
              <w:bottom w:w="0" w:type="dxa"/>
              <w:right w:w="15" w:type="dxa"/>
            </w:tcMar>
            <w:vAlign w:val="center"/>
          </w:tcPr>
          <w:p w14:paraId="4DCC6927">
            <w:pPr>
              <w:spacing w:line="440" w:lineRule="atLeast"/>
              <w:jc w:val="center"/>
              <w:textAlignment w:val="center"/>
              <w:rPr>
                <w:rFonts w:ascii="仿宋" w:hAnsi="仿宋" w:eastAsia="仿宋" w:cs="仿宋"/>
                <w:kern w:val="0"/>
                <w:sz w:val="24"/>
              </w:rPr>
            </w:pPr>
            <w:r>
              <w:rPr>
                <w:rFonts w:hint="eastAsia" w:ascii="仿宋" w:hAnsi="仿宋" w:eastAsia="仿宋" w:cs="仿宋"/>
                <w:b/>
                <w:bCs/>
                <w:kern w:val="24"/>
                <w:sz w:val="24"/>
              </w:rPr>
              <w:t>20x3</w:t>
            </w:r>
          </w:p>
        </w:tc>
        <w:tc>
          <w:tcPr>
            <w:tcW w:w="562" w:type="dxa"/>
            <w:tcMar>
              <w:top w:w="15" w:type="dxa"/>
              <w:left w:w="15" w:type="dxa"/>
              <w:bottom w:w="0" w:type="dxa"/>
              <w:right w:w="15" w:type="dxa"/>
            </w:tcMar>
            <w:vAlign w:val="center"/>
          </w:tcPr>
          <w:p w14:paraId="2BE9FC31">
            <w:pPr>
              <w:spacing w:line="440" w:lineRule="atLeast"/>
              <w:jc w:val="center"/>
              <w:textAlignment w:val="center"/>
              <w:rPr>
                <w:rFonts w:ascii="仿宋" w:hAnsi="仿宋" w:eastAsia="仿宋" w:cs="仿宋"/>
                <w:kern w:val="0"/>
                <w:sz w:val="24"/>
              </w:rPr>
            </w:pPr>
            <w:r>
              <w:rPr>
                <w:rFonts w:hint="eastAsia" w:ascii="仿宋" w:hAnsi="仿宋" w:eastAsia="仿宋" w:cs="仿宋"/>
                <w:b/>
                <w:bCs/>
                <w:kern w:val="24"/>
                <w:sz w:val="24"/>
              </w:rPr>
              <w:t>20x4</w:t>
            </w:r>
          </w:p>
        </w:tc>
        <w:tc>
          <w:tcPr>
            <w:tcW w:w="562" w:type="dxa"/>
            <w:tcMar>
              <w:top w:w="15" w:type="dxa"/>
              <w:left w:w="15" w:type="dxa"/>
              <w:bottom w:w="0" w:type="dxa"/>
              <w:right w:w="15" w:type="dxa"/>
            </w:tcMar>
            <w:vAlign w:val="center"/>
          </w:tcPr>
          <w:p w14:paraId="189B5FA0">
            <w:pPr>
              <w:spacing w:line="440" w:lineRule="atLeast"/>
              <w:jc w:val="center"/>
              <w:textAlignment w:val="center"/>
              <w:rPr>
                <w:rFonts w:ascii="仿宋" w:hAnsi="仿宋" w:eastAsia="仿宋" w:cs="仿宋"/>
                <w:kern w:val="0"/>
                <w:sz w:val="24"/>
              </w:rPr>
            </w:pPr>
            <w:r>
              <w:rPr>
                <w:rFonts w:hint="eastAsia" w:ascii="仿宋" w:hAnsi="仿宋" w:eastAsia="仿宋" w:cs="仿宋"/>
                <w:b/>
                <w:bCs/>
                <w:kern w:val="24"/>
                <w:sz w:val="24"/>
              </w:rPr>
              <w:t>20x5</w:t>
            </w:r>
          </w:p>
        </w:tc>
        <w:tc>
          <w:tcPr>
            <w:tcW w:w="562" w:type="dxa"/>
            <w:tcMar>
              <w:top w:w="15" w:type="dxa"/>
              <w:left w:w="15" w:type="dxa"/>
              <w:bottom w:w="0" w:type="dxa"/>
              <w:right w:w="15" w:type="dxa"/>
            </w:tcMar>
            <w:vAlign w:val="center"/>
          </w:tcPr>
          <w:p w14:paraId="4A60A01F">
            <w:pPr>
              <w:spacing w:line="440" w:lineRule="atLeast"/>
              <w:jc w:val="center"/>
              <w:textAlignment w:val="center"/>
              <w:rPr>
                <w:rFonts w:ascii="仿宋" w:hAnsi="仿宋" w:eastAsia="仿宋" w:cs="仿宋"/>
                <w:kern w:val="0"/>
                <w:sz w:val="24"/>
              </w:rPr>
            </w:pPr>
            <w:r>
              <w:rPr>
                <w:rFonts w:hint="eastAsia" w:ascii="仿宋" w:hAnsi="仿宋" w:eastAsia="仿宋" w:cs="仿宋"/>
                <w:b/>
                <w:bCs/>
                <w:kern w:val="24"/>
                <w:sz w:val="24"/>
              </w:rPr>
              <w:t>20x6</w:t>
            </w:r>
          </w:p>
        </w:tc>
        <w:tc>
          <w:tcPr>
            <w:tcW w:w="562" w:type="dxa"/>
            <w:tcMar>
              <w:top w:w="15" w:type="dxa"/>
              <w:left w:w="15" w:type="dxa"/>
              <w:bottom w:w="0" w:type="dxa"/>
              <w:right w:w="15" w:type="dxa"/>
            </w:tcMar>
            <w:vAlign w:val="center"/>
          </w:tcPr>
          <w:p w14:paraId="4EF54B29">
            <w:pPr>
              <w:spacing w:line="440" w:lineRule="atLeast"/>
              <w:jc w:val="center"/>
              <w:textAlignment w:val="center"/>
              <w:rPr>
                <w:rFonts w:ascii="仿宋" w:hAnsi="仿宋" w:eastAsia="仿宋" w:cs="仿宋"/>
                <w:kern w:val="0"/>
                <w:sz w:val="24"/>
              </w:rPr>
            </w:pPr>
            <w:r>
              <w:rPr>
                <w:rFonts w:hint="eastAsia" w:ascii="仿宋" w:hAnsi="仿宋" w:eastAsia="仿宋" w:cs="仿宋"/>
                <w:b/>
                <w:bCs/>
                <w:kern w:val="24"/>
                <w:sz w:val="24"/>
              </w:rPr>
              <w:t>20x7</w:t>
            </w:r>
          </w:p>
        </w:tc>
        <w:tc>
          <w:tcPr>
            <w:tcW w:w="562" w:type="dxa"/>
            <w:tcMar>
              <w:top w:w="15" w:type="dxa"/>
              <w:left w:w="15" w:type="dxa"/>
              <w:bottom w:w="0" w:type="dxa"/>
              <w:right w:w="15" w:type="dxa"/>
            </w:tcMar>
            <w:vAlign w:val="center"/>
          </w:tcPr>
          <w:p w14:paraId="18D33E29">
            <w:pPr>
              <w:spacing w:line="440" w:lineRule="atLeast"/>
              <w:jc w:val="center"/>
              <w:textAlignment w:val="center"/>
              <w:rPr>
                <w:rFonts w:ascii="仿宋" w:hAnsi="仿宋" w:eastAsia="仿宋" w:cs="仿宋"/>
                <w:kern w:val="0"/>
                <w:sz w:val="24"/>
              </w:rPr>
            </w:pPr>
            <w:r>
              <w:rPr>
                <w:rFonts w:hint="eastAsia" w:ascii="仿宋" w:hAnsi="仿宋" w:eastAsia="仿宋" w:cs="仿宋"/>
                <w:b/>
                <w:bCs/>
                <w:kern w:val="24"/>
                <w:sz w:val="24"/>
              </w:rPr>
              <w:t>20x8</w:t>
            </w:r>
          </w:p>
        </w:tc>
        <w:tc>
          <w:tcPr>
            <w:tcW w:w="562" w:type="dxa"/>
            <w:tcMar>
              <w:top w:w="15" w:type="dxa"/>
              <w:left w:w="15" w:type="dxa"/>
              <w:bottom w:w="0" w:type="dxa"/>
              <w:right w:w="15" w:type="dxa"/>
            </w:tcMar>
            <w:vAlign w:val="center"/>
          </w:tcPr>
          <w:p w14:paraId="1D4340DB">
            <w:pPr>
              <w:spacing w:line="440" w:lineRule="atLeast"/>
              <w:jc w:val="center"/>
              <w:textAlignment w:val="center"/>
              <w:rPr>
                <w:rFonts w:ascii="仿宋" w:hAnsi="仿宋" w:eastAsia="仿宋" w:cs="仿宋"/>
                <w:kern w:val="0"/>
                <w:sz w:val="24"/>
              </w:rPr>
            </w:pPr>
            <w:r>
              <w:rPr>
                <w:rFonts w:hint="eastAsia" w:ascii="仿宋" w:hAnsi="仿宋" w:eastAsia="仿宋" w:cs="仿宋"/>
                <w:b/>
                <w:bCs/>
                <w:kern w:val="24"/>
                <w:sz w:val="24"/>
              </w:rPr>
              <w:t>20x9</w:t>
            </w:r>
          </w:p>
        </w:tc>
        <w:tc>
          <w:tcPr>
            <w:tcW w:w="562" w:type="dxa"/>
            <w:tcMar>
              <w:top w:w="15" w:type="dxa"/>
              <w:left w:w="15" w:type="dxa"/>
              <w:bottom w:w="0" w:type="dxa"/>
              <w:right w:w="15" w:type="dxa"/>
            </w:tcMar>
            <w:vAlign w:val="center"/>
          </w:tcPr>
          <w:p w14:paraId="26193B6D">
            <w:pPr>
              <w:spacing w:line="440" w:lineRule="atLeast"/>
              <w:jc w:val="center"/>
              <w:textAlignment w:val="center"/>
              <w:rPr>
                <w:rFonts w:ascii="仿宋" w:hAnsi="仿宋" w:eastAsia="仿宋" w:cs="仿宋"/>
                <w:kern w:val="0"/>
                <w:sz w:val="24"/>
              </w:rPr>
            </w:pPr>
            <w:r>
              <w:rPr>
                <w:rFonts w:hint="eastAsia" w:ascii="仿宋" w:hAnsi="仿宋" w:eastAsia="仿宋" w:cs="仿宋"/>
                <w:b/>
                <w:bCs/>
                <w:kern w:val="24"/>
                <w:sz w:val="24"/>
              </w:rPr>
              <w:t>20y0</w:t>
            </w:r>
          </w:p>
        </w:tc>
        <w:tc>
          <w:tcPr>
            <w:tcW w:w="562" w:type="dxa"/>
            <w:tcMar>
              <w:top w:w="15" w:type="dxa"/>
              <w:left w:w="15" w:type="dxa"/>
              <w:bottom w:w="0" w:type="dxa"/>
              <w:right w:w="15" w:type="dxa"/>
            </w:tcMar>
            <w:vAlign w:val="center"/>
          </w:tcPr>
          <w:p w14:paraId="1DBCAFB5">
            <w:pPr>
              <w:spacing w:line="440" w:lineRule="atLeast"/>
              <w:jc w:val="center"/>
              <w:textAlignment w:val="center"/>
              <w:rPr>
                <w:rFonts w:ascii="仿宋" w:hAnsi="仿宋" w:eastAsia="仿宋" w:cs="仿宋"/>
                <w:kern w:val="0"/>
                <w:sz w:val="24"/>
              </w:rPr>
            </w:pPr>
            <w:r>
              <w:rPr>
                <w:rFonts w:hint="eastAsia" w:ascii="仿宋" w:hAnsi="仿宋" w:eastAsia="仿宋" w:cs="仿宋"/>
                <w:b/>
                <w:bCs/>
                <w:kern w:val="24"/>
                <w:sz w:val="24"/>
              </w:rPr>
              <w:t>20y1</w:t>
            </w:r>
          </w:p>
        </w:tc>
        <w:tc>
          <w:tcPr>
            <w:tcW w:w="562" w:type="dxa"/>
            <w:tcMar>
              <w:top w:w="15" w:type="dxa"/>
              <w:left w:w="15" w:type="dxa"/>
              <w:bottom w:w="0" w:type="dxa"/>
              <w:right w:w="15" w:type="dxa"/>
            </w:tcMar>
            <w:vAlign w:val="center"/>
          </w:tcPr>
          <w:p w14:paraId="0D46DC94">
            <w:pPr>
              <w:spacing w:line="440" w:lineRule="atLeast"/>
              <w:jc w:val="center"/>
              <w:textAlignment w:val="center"/>
              <w:rPr>
                <w:rFonts w:ascii="仿宋" w:hAnsi="仿宋" w:eastAsia="仿宋" w:cs="仿宋"/>
                <w:kern w:val="0"/>
                <w:sz w:val="24"/>
              </w:rPr>
            </w:pPr>
            <w:r>
              <w:rPr>
                <w:rFonts w:hint="eastAsia" w:ascii="仿宋" w:hAnsi="仿宋" w:eastAsia="仿宋" w:cs="仿宋"/>
                <w:b/>
                <w:bCs/>
                <w:kern w:val="24"/>
                <w:sz w:val="24"/>
              </w:rPr>
              <w:t>20y2</w:t>
            </w:r>
          </w:p>
        </w:tc>
        <w:tc>
          <w:tcPr>
            <w:tcW w:w="562" w:type="dxa"/>
            <w:tcMar>
              <w:top w:w="15" w:type="dxa"/>
              <w:left w:w="15" w:type="dxa"/>
              <w:bottom w:w="0" w:type="dxa"/>
              <w:right w:w="15" w:type="dxa"/>
            </w:tcMar>
            <w:vAlign w:val="center"/>
          </w:tcPr>
          <w:p w14:paraId="510C637D">
            <w:pPr>
              <w:spacing w:line="440" w:lineRule="atLeast"/>
              <w:jc w:val="center"/>
              <w:textAlignment w:val="center"/>
              <w:rPr>
                <w:rFonts w:ascii="仿宋" w:hAnsi="仿宋" w:eastAsia="仿宋" w:cs="仿宋"/>
                <w:kern w:val="0"/>
                <w:sz w:val="24"/>
              </w:rPr>
            </w:pPr>
            <w:r>
              <w:rPr>
                <w:rFonts w:hint="eastAsia" w:ascii="仿宋" w:hAnsi="仿宋" w:eastAsia="仿宋" w:cs="仿宋"/>
                <w:b/>
                <w:bCs/>
                <w:kern w:val="24"/>
                <w:sz w:val="24"/>
              </w:rPr>
              <w:t>20y3</w:t>
            </w:r>
          </w:p>
        </w:tc>
        <w:tc>
          <w:tcPr>
            <w:tcW w:w="562" w:type="dxa"/>
            <w:tcMar>
              <w:top w:w="15" w:type="dxa"/>
              <w:left w:w="15" w:type="dxa"/>
              <w:bottom w:w="0" w:type="dxa"/>
              <w:right w:w="15" w:type="dxa"/>
            </w:tcMar>
            <w:vAlign w:val="center"/>
          </w:tcPr>
          <w:p w14:paraId="3F4CB833">
            <w:pPr>
              <w:spacing w:line="440" w:lineRule="atLeast"/>
              <w:jc w:val="center"/>
              <w:textAlignment w:val="center"/>
              <w:rPr>
                <w:rFonts w:ascii="仿宋" w:hAnsi="仿宋" w:eastAsia="仿宋" w:cs="仿宋"/>
                <w:kern w:val="0"/>
                <w:sz w:val="24"/>
              </w:rPr>
            </w:pPr>
            <w:r>
              <w:rPr>
                <w:rFonts w:hint="eastAsia" w:ascii="仿宋" w:hAnsi="仿宋" w:eastAsia="仿宋" w:cs="仿宋"/>
                <w:b/>
                <w:bCs/>
                <w:kern w:val="24"/>
                <w:sz w:val="24"/>
              </w:rPr>
              <w:t>20y4</w:t>
            </w:r>
          </w:p>
        </w:tc>
      </w:tr>
      <w:tr w14:paraId="7730355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86" w:hRule="atLeast"/>
        </w:trPr>
        <w:tc>
          <w:tcPr>
            <w:tcW w:w="2232" w:type="dxa"/>
            <w:tcMar>
              <w:top w:w="15" w:type="dxa"/>
              <w:left w:w="15" w:type="dxa"/>
              <w:bottom w:w="0" w:type="dxa"/>
              <w:right w:w="15" w:type="dxa"/>
            </w:tcMar>
            <w:vAlign w:val="center"/>
          </w:tcPr>
          <w:p w14:paraId="304425FA">
            <w:pPr>
              <w:spacing w:line="440" w:lineRule="atLeast"/>
              <w:jc w:val="left"/>
              <w:textAlignment w:val="bottom"/>
              <w:rPr>
                <w:rFonts w:ascii="仿宋" w:hAnsi="仿宋" w:eastAsia="仿宋" w:cs="仿宋"/>
                <w:kern w:val="0"/>
                <w:sz w:val="24"/>
              </w:rPr>
            </w:pPr>
            <w:r>
              <w:rPr>
                <w:rFonts w:hint="eastAsia" w:ascii="仿宋" w:hAnsi="仿宋" w:eastAsia="仿宋" w:cs="仿宋"/>
                <w:kern w:val="24"/>
                <w:sz w:val="24"/>
              </w:rPr>
              <w:t>人力总数</w:t>
            </w:r>
          </w:p>
        </w:tc>
        <w:tc>
          <w:tcPr>
            <w:tcW w:w="562" w:type="dxa"/>
            <w:tcMar>
              <w:top w:w="15" w:type="dxa"/>
              <w:left w:w="15" w:type="dxa"/>
              <w:bottom w:w="0" w:type="dxa"/>
              <w:right w:w="15" w:type="dxa"/>
            </w:tcMar>
            <w:vAlign w:val="center"/>
          </w:tcPr>
          <w:p w14:paraId="3A4C24A3">
            <w:pPr>
              <w:spacing w:line="440" w:lineRule="atLeast"/>
              <w:jc w:val="center"/>
              <w:textAlignment w:val="bottom"/>
              <w:rPr>
                <w:rFonts w:ascii="仿宋" w:hAnsi="仿宋" w:eastAsia="仿宋" w:cs="仿宋"/>
                <w:kern w:val="0"/>
                <w:sz w:val="24"/>
              </w:rPr>
            </w:pPr>
            <w:r>
              <w:rPr>
                <w:rFonts w:hint="eastAsia" w:ascii="仿宋" w:hAnsi="仿宋" w:eastAsia="仿宋" w:cs="仿宋"/>
                <w:kern w:val="24"/>
                <w:sz w:val="24"/>
              </w:rPr>
              <w:t>2,588</w:t>
            </w:r>
          </w:p>
        </w:tc>
        <w:tc>
          <w:tcPr>
            <w:tcW w:w="562" w:type="dxa"/>
            <w:tcMar>
              <w:top w:w="15" w:type="dxa"/>
              <w:left w:w="15" w:type="dxa"/>
              <w:bottom w:w="0" w:type="dxa"/>
              <w:right w:w="15" w:type="dxa"/>
            </w:tcMar>
            <w:vAlign w:val="center"/>
          </w:tcPr>
          <w:p w14:paraId="09C830FB">
            <w:pPr>
              <w:spacing w:line="440" w:lineRule="atLeast"/>
              <w:jc w:val="center"/>
              <w:textAlignment w:val="bottom"/>
              <w:rPr>
                <w:rFonts w:ascii="仿宋" w:hAnsi="仿宋" w:eastAsia="仿宋" w:cs="仿宋"/>
                <w:kern w:val="0"/>
                <w:sz w:val="24"/>
              </w:rPr>
            </w:pPr>
            <w:r>
              <w:rPr>
                <w:rFonts w:hint="eastAsia" w:ascii="仿宋" w:hAnsi="仿宋" w:eastAsia="仿宋" w:cs="仿宋"/>
                <w:kern w:val="24"/>
                <w:sz w:val="24"/>
              </w:rPr>
              <w:t>2,710</w:t>
            </w:r>
          </w:p>
        </w:tc>
        <w:tc>
          <w:tcPr>
            <w:tcW w:w="562" w:type="dxa"/>
            <w:tcMar>
              <w:top w:w="15" w:type="dxa"/>
              <w:left w:w="15" w:type="dxa"/>
              <w:bottom w:w="0" w:type="dxa"/>
              <w:right w:w="15" w:type="dxa"/>
            </w:tcMar>
            <w:vAlign w:val="center"/>
          </w:tcPr>
          <w:p w14:paraId="17E8368A">
            <w:pPr>
              <w:spacing w:line="440" w:lineRule="atLeast"/>
              <w:jc w:val="center"/>
              <w:textAlignment w:val="bottom"/>
              <w:rPr>
                <w:rFonts w:ascii="仿宋" w:hAnsi="仿宋" w:eastAsia="仿宋" w:cs="仿宋"/>
                <w:kern w:val="0"/>
                <w:sz w:val="24"/>
              </w:rPr>
            </w:pPr>
            <w:r>
              <w:rPr>
                <w:rFonts w:hint="eastAsia" w:ascii="仿宋" w:hAnsi="仿宋" w:eastAsia="仿宋" w:cs="仿宋"/>
                <w:kern w:val="24"/>
                <w:sz w:val="24"/>
              </w:rPr>
              <w:t>2,888</w:t>
            </w:r>
          </w:p>
        </w:tc>
        <w:tc>
          <w:tcPr>
            <w:tcW w:w="562" w:type="dxa"/>
            <w:tcMar>
              <w:top w:w="15" w:type="dxa"/>
              <w:left w:w="15" w:type="dxa"/>
              <w:bottom w:w="0" w:type="dxa"/>
              <w:right w:w="15" w:type="dxa"/>
            </w:tcMar>
            <w:vAlign w:val="center"/>
          </w:tcPr>
          <w:p w14:paraId="25072044">
            <w:pPr>
              <w:spacing w:line="440" w:lineRule="atLeast"/>
              <w:jc w:val="center"/>
              <w:textAlignment w:val="bottom"/>
              <w:rPr>
                <w:rFonts w:ascii="仿宋" w:hAnsi="仿宋" w:eastAsia="仿宋" w:cs="仿宋"/>
                <w:kern w:val="0"/>
                <w:sz w:val="24"/>
              </w:rPr>
            </w:pPr>
            <w:r>
              <w:rPr>
                <w:rFonts w:hint="eastAsia" w:ascii="仿宋" w:hAnsi="仿宋" w:eastAsia="仿宋" w:cs="仿宋"/>
                <w:kern w:val="24"/>
                <w:sz w:val="24"/>
              </w:rPr>
              <w:t>3,105</w:t>
            </w:r>
          </w:p>
        </w:tc>
        <w:tc>
          <w:tcPr>
            <w:tcW w:w="562" w:type="dxa"/>
            <w:tcMar>
              <w:top w:w="15" w:type="dxa"/>
              <w:left w:w="15" w:type="dxa"/>
              <w:bottom w:w="0" w:type="dxa"/>
              <w:right w:w="15" w:type="dxa"/>
            </w:tcMar>
            <w:vAlign w:val="center"/>
          </w:tcPr>
          <w:p w14:paraId="35AD9863">
            <w:pPr>
              <w:spacing w:line="440" w:lineRule="atLeast"/>
              <w:jc w:val="center"/>
              <w:textAlignment w:val="bottom"/>
              <w:rPr>
                <w:rFonts w:ascii="仿宋" w:hAnsi="仿宋" w:eastAsia="仿宋" w:cs="仿宋"/>
                <w:kern w:val="0"/>
                <w:sz w:val="24"/>
              </w:rPr>
            </w:pPr>
            <w:r>
              <w:rPr>
                <w:rFonts w:hint="eastAsia" w:ascii="仿宋" w:hAnsi="仿宋" w:eastAsia="仿宋" w:cs="仿宋"/>
                <w:kern w:val="24"/>
                <w:sz w:val="24"/>
              </w:rPr>
              <w:t>3,339</w:t>
            </w:r>
          </w:p>
        </w:tc>
        <w:tc>
          <w:tcPr>
            <w:tcW w:w="562" w:type="dxa"/>
            <w:tcMar>
              <w:top w:w="15" w:type="dxa"/>
              <w:left w:w="15" w:type="dxa"/>
              <w:bottom w:w="0" w:type="dxa"/>
              <w:right w:w="15" w:type="dxa"/>
            </w:tcMar>
            <w:vAlign w:val="center"/>
          </w:tcPr>
          <w:p w14:paraId="15D51F3C">
            <w:pPr>
              <w:spacing w:line="440" w:lineRule="atLeast"/>
              <w:jc w:val="center"/>
              <w:textAlignment w:val="bottom"/>
              <w:rPr>
                <w:rFonts w:ascii="仿宋" w:hAnsi="仿宋" w:eastAsia="仿宋" w:cs="仿宋"/>
                <w:kern w:val="0"/>
                <w:sz w:val="24"/>
              </w:rPr>
            </w:pPr>
            <w:r>
              <w:rPr>
                <w:rFonts w:hint="eastAsia" w:ascii="仿宋" w:hAnsi="仿宋" w:eastAsia="仿宋" w:cs="仿宋"/>
                <w:kern w:val="24"/>
                <w:sz w:val="24"/>
              </w:rPr>
              <w:t>3,590</w:t>
            </w:r>
          </w:p>
        </w:tc>
        <w:tc>
          <w:tcPr>
            <w:tcW w:w="562" w:type="dxa"/>
            <w:tcMar>
              <w:top w:w="15" w:type="dxa"/>
              <w:left w:w="15" w:type="dxa"/>
              <w:bottom w:w="0" w:type="dxa"/>
              <w:right w:w="15" w:type="dxa"/>
            </w:tcMar>
            <w:vAlign w:val="center"/>
          </w:tcPr>
          <w:p w14:paraId="5536BD3E">
            <w:pPr>
              <w:spacing w:line="440" w:lineRule="atLeast"/>
              <w:jc w:val="center"/>
              <w:textAlignment w:val="bottom"/>
              <w:rPr>
                <w:rFonts w:ascii="仿宋" w:hAnsi="仿宋" w:eastAsia="仿宋" w:cs="仿宋"/>
                <w:kern w:val="0"/>
                <w:sz w:val="24"/>
              </w:rPr>
            </w:pPr>
            <w:r>
              <w:rPr>
                <w:rFonts w:hint="eastAsia" w:ascii="仿宋" w:hAnsi="仿宋" w:eastAsia="仿宋" w:cs="仿宋"/>
                <w:kern w:val="24"/>
                <w:sz w:val="24"/>
              </w:rPr>
              <w:t>3,826</w:t>
            </w:r>
          </w:p>
        </w:tc>
        <w:tc>
          <w:tcPr>
            <w:tcW w:w="562" w:type="dxa"/>
            <w:tcMar>
              <w:top w:w="15" w:type="dxa"/>
              <w:left w:w="15" w:type="dxa"/>
              <w:bottom w:w="0" w:type="dxa"/>
              <w:right w:w="15" w:type="dxa"/>
            </w:tcMar>
            <w:vAlign w:val="center"/>
          </w:tcPr>
          <w:p w14:paraId="6AF4F577">
            <w:pPr>
              <w:spacing w:line="440" w:lineRule="atLeast"/>
              <w:jc w:val="center"/>
              <w:textAlignment w:val="bottom"/>
              <w:rPr>
                <w:rFonts w:ascii="仿宋" w:hAnsi="仿宋" w:eastAsia="仿宋" w:cs="仿宋"/>
                <w:kern w:val="0"/>
                <w:sz w:val="24"/>
              </w:rPr>
            </w:pPr>
            <w:r>
              <w:rPr>
                <w:rFonts w:hint="eastAsia" w:ascii="仿宋" w:hAnsi="仿宋" w:eastAsia="仿宋" w:cs="仿宋"/>
                <w:kern w:val="24"/>
                <w:sz w:val="24"/>
              </w:rPr>
              <w:t>4,078</w:t>
            </w:r>
          </w:p>
        </w:tc>
        <w:tc>
          <w:tcPr>
            <w:tcW w:w="562" w:type="dxa"/>
            <w:tcMar>
              <w:top w:w="15" w:type="dxa"/>
              <w:left w:w="15" w:type="dxa"/>
              <w:bottom w:w="0" w:type="dxa"/>
              <w:right w:w="15" w:type="dxa"/>
            </w:tcMar>
            <w:vAlign w:val="center"/>
          </w:tcPr>
          <w:p w14:paraId="4B906D5E">
            <w:pPr>
              <w:spacing w:line="440" w:lineRule="atLeast"/>
              <w:jc w:val="center"/>
              <w:textAlignment w:val="bottom"/>
              <w:rPr>
                <w:rFonts w:ascii="仿宋" w:hAnsi="仿宋" w:eastAsia="仿宋" w:cs="仿宋"/>
                <w:kern w:val="0"/>
                <w:sz w:val="24"/>
              </w:rPr>
            </w:pPr>
            <w:r>
              <w:rPr>
                <w:rFonts w:hint="eastAsia" w:ascii="仿宋" w:hAnsi="仿宋" w:eastAsia="仿宋" w:cs="仿宋"/>
                <w:kern w:val="24"/>
                <w:sz w:val="24"/>
              </w:rPr>
              <w:t>4,308</w:t>
            </w:r>
          </w:p>
        </w:tc>
        <w:tc>
          <w:tcPr>
            <w:tcW w:w="562" w:type="dxa"/>
            <w:tcMar>
              <w:top w:w="15" w:type="dxa"/>
              <w:left w:w="15" w:type="dxa"/>
              <w:bottom w:w="0" w:type="dxa"/>
              <w:right w:w="15" w:type="dxa"/>
            </w:tcMar>
            <w:vAlign w:val="center"/>
          </w:tcPr>
          <w:p w14:paraId="3E1ECF22">
            <w:pPr>
              <w:spacing w:line="440" w:lineRule="atLeast"/>
              <w:jc w:val="center"/>
              <w:textAlignment w:val="bottom"/>
              <w:rPr>
                <w:rFonts w:ascii="仿宋" w:hAnsi="仿宋" w:eastAsia="仿宋" w:cs="仿宋"/>
                <w:kern w:val="0"/>
                <w:sz w:val="24"/>
              </w:rPr>
            </w:pPr>
            <w:r>
              <w:rPr>
                <w:rFonts w:hint="eastAsia" w:ascii="仿宋" w:hAnsi="仿宋" w:eastAsia="仿宋" w:cs="仿宋"/>
                <w:kern w:val="24"/>
                <w:sz w:val="24"/>
              </w:rPr>
              <w:t>4,551</w:t>
            </w:r>
          </w:p>
        </w:tc>
        <w:tc>
          <w:tcPr>
            <w:tcW w:w="562" w:type="dxa"/>
            <w:tcMar>
              <w:top w:w="15" w:type="dxa"/>
              <w:left w:w="15" w:type="dxa"/>
              <w:bottom w:w="0" w:type="dxa"/>
              <w:right w:w="15" w:type="dxa"/>
            </w:tcMar>
            <w:vAlign w:val="center"/>
          </w:tcPr>
          <w:p w14:paraId="2C494E26">
            <w:pPr>
              <w:spacing w:line="440" w:lineRule="atLeast"/>
              <w:jc w:val="center"/>
              <w:textAlignment w:val="bottom"/>
              <w:rPr>
                <w:rFonts w:ascii="仿宋" w:hAnsi="仿宋" w:eastAsia="仿宋" w:cs="仿宋"/>
                <w:kern w:val="0"/>
                <w:sz w:val="24"/>
              </w:rPr>
            </w:pPr>
            <w:r>
              <w:rPr>
                <w:rFonts w:hint="eastAsia" w:ascii="仿宋" w:hAnsi="仿宋" w:eastAsia="仿宋" w:cs="仿宋"/>
                <w:kern w:val="24"/>
                <w:sz w:val="24"/>
              </w:rPr>
              <w:t>4,765</w:t>
            </w:r>
          </w:p>
        </w:tc>
        <w:tc>
          <w:tcPr>
            <w:tcW w:w="562" w:type="dxa"/>
            <w:tcMar>
              <w:top w:w="15" w:type="dxa"/>
              <w:left w:w="15" w:type="dxa"/>
              <w:bottom w:w="0" w:type="dxa"/>
              <w:right w:w="15" w:type="dxa"/>
            </w:tcMar>
            <w:vAlign w:val="center"/>
          </w:tcPr>
          <w:p w14:paraId="56E0E755">
            <w:pPr>
              <w:spacing w:line="440" w:lineRule="atLeast"/>
              <w:jc w:val="center"/>
              <w:textAlignment w:val="bottom"/>
              <w:rPr>
                <w:rFonts w:ascii="仿宋" w:hAnsi="仿宋" w:eastAsia="仿宋" w:cs="仿宋"/>
                <w:kern w:val="0"/>
                <w:sz w:val="24"/>
              </w:rPr>
            </w:pPr>
            <w:r>
              <w:rPr>
                <w:rFonts w:hint="eastAsia" w:ascii="仿宋" w:hAnsi="仿宋" w:eastAsia="仿宋" w:cs="仿宋"/>
                <w:kern w:val="24"/>
                <w:sz w:val="24"/>
              </w:rPr>
              <w:t>4,989</w:t>
            </w:r>
          </w:p>
        </w:tc>
      </w:tr>
      <w:tr w14:paraId="6EC69D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86" w:hRule="atLeast"/>
        </w:trPr>
        <w:tc>
          <w:tcPr>
            <w:tcW w:w="2232" w:type="dxa"/>
            <w:tcMar>
              <w:top w:w="15" w:type="dxa"/>
              <w:left w:w="15" w:type="dxa"/>
              <w:bottom w:w="0" w:type="dxa"/>
              <w:right w:w="15" w:type="dxa"/>
            </w:tcMar>
            <w:vAlign w:val="center"/>
          </w:tcPr>
          <w:p w14:paraId="0047D75C">
            <w:pPr>
              <w:spacing w:line="440" w:lineRule="atLeast"/>
              <w:jc w:val="left"/>
              <w:textAlignment w:val="bottom"/>
              <w:rPr>
                <w:rFonts w:ascii="仿宋" w:hAnsi="仿宋" w:eastAsia="仿宋" w:cs="仿宋"/>
                <w:kern w:val="0"/>
                <w:sz w:val="24"/>
              </w:rPr>
            </w:pPr>
            <w:r>
              <w:rPr>
                <w:rFonts w:hint="eastAsia" w:ascii="仿宋" w:hAnsi="仿宋" w:eastAsia="仿宋" w:cs="仿宋"/>
                <w:kern w:val="24"/>
                <w:sz w:val="24"/>
              </w:rPr>
              <w:t>人力增长率</w:t>
            </w:r>
          </w:p>
        </w:tc>
        <w:tc>
          <w:tcPr>
            <w:tcW w:w="562" w:type="dxa"/>
            <w:tcMar>
              <w:top w:w="15" w:type="dxa"/>
              <w:left w:w="15" w:type="dxa"/>
              <w:bottom w:w="0" w:type="dxa"/>
              <w:right w:w="15" w:type="dxa"/>
            </w:tcMar>
            <w:vAlign w:val="center"/>
          </w:tcPr>
          <w:p w14:paraId="2898B6E7">
            <w:pPr>
              <w:spacing w:line="440" w:lineRule="atLeast"/>
              <w:jc w:val="center"/>
              <w:rPr>
                <w:rFonts w:ascii="仿宋" w:hAnsi="仿宋" w:eastAsia="仿宋" w:cs="仿宋"/>
                <w:kern w:val="0"/>
                <w:sz w:val="24"/>
              </w:rPr>
            </w:pPr>
          </w:p>
        </w:tc>
        <w:tc>
          <w:tcPr>
            <w:tcW w:w="562" w:type="dxa"/>
            <w:tcMar>
              <w:top w:w="15" w:type="dxa"/>
              <w:left w:w="15" w:type="dxa"/>
              <w:bottom w:w="0" w:type="dxa"/>
              <w:right w:w="15" w:type="dxa"/>
            </w:tcMar>
            <w:vAlign w:val="center"/>
          </w:tcPr>
          <w:p w14:paraId="5BE4103A">
            <w:pPr>
              <w:spacing w:line="440" w:lineRule="atLeast"/>
              <w:jc w:val="center"/>
              <w:textAlignment w:val="bottom"/>
              <w:rPr>
                <w:rFonts w:ascii="仿宋" w:hAnsi="仿宋" w:eastAsia="仿宋" w:cs="仿宋"/>
                <w:kern w:val="0"/>
                <w:sz w:val="24"/>
              </w:rPr>
            </w:pPr>
            <w:r>
              <w:rPr>
                <w:rFonts w:hint="eastAsia" w:ascii="仿宋" w:hAnsi="仿宋" w:eastAsia="仿宋" w:cs="仿宋"/>
                <w:kern w:val="24"/>
                <w:sz w:val="24"/>
              </w:rPr>
              <w:t>5%</w:t>
            </w:r>
          </w:p>
        </w:tc>
        <w:tc>
          <w:tcPr>
            <w:tcW w:w="562" w:type="dxa"/>
            <w:tcMar>
              <w:top w:w="15" w:type="dxa"/>
              <w:left w:w="15" w:type="dxa"/>
              <w:bottom w:w="0" w:type="dxa"/>
              <w:right w:w="15" w:type="dxa"/>
            </w:tcMar>
            <w:vAlign w:val="center"/>
          </w:tcPr>
          <w:p w14:paraId="7266C184">
            <w:pPr>
              <w:spacing w:line="440" w:lineRule="atLeast"/>
              <w:jc w:val="center"/>
              <w:textAlignment w:val="bottom"/>
              <w:rPr>
                <w:rFonts w:ascii="仿宋" w:hAnsi="仿宋" w:eastAsia="仿宋" w:cs="仿宋"/>
                <w:kern w:val="0"/>
                <w:sz w:val="24"/>
              </w:rPr>
            </w:pPr>
            <w:r>
              <w:rPr>
                <w:rFonts w:hint="eastAsia" w:ascii="仿宋" w:hAnsi="仿宋" w:eastAsia="仿宋" w:cs="仿宋"/>
                <w:kern w:val="24"/>
                <w:sz w:val="24"/>
              </w:rPr>
              <w:t>7%</w:t>
            </w:r>
          </w:p>
        </w:tc>
        <w:tc>
          <w:tcPr>
            <w:tcW w:w="562" w:type="dxa"/>
            <w:tcMar>
              <w:top w:w="15" w:type="dxa"/>
              <w:left w:w="15" w:type="dxa"/>
              <w:bottom w:w="0" w:type="dxa"/>
              <w:right w:w="15" w:type="dxa"/>
            </w:tcMar>
            <w:vAlign w:val="center"/>
          </w:tcPr>
          <w:p w14:paraId="642645A4">
            <w:pPr>
              <w:spacing w:line="440" w:lineRule="atLeast"/>
              <w:jc w:val="center"/>
              <w:textAlignment w:val="bottom"/>
              <w:rPr>
                <w:rFonts w:ascii="仿宋" w:hAnsi="仿宋" w:eastAsia="仿宋" w:cs="仿宋"/>
                <w:kern w:val="0"/>
                <w:sz w:val="24"/>
              </w:rPr>
            </w:pPr>
            <w:r>
              <w:rPr>
                <w:rFonts w:hint="eastAsia" w:ascii="仿宋" w:hAnsi="仿宋" w:eastAsia="仿宋" w:cs="仿宋"/>
                <w:kern w:val="24"/>
                <w:sz w:val="24"/>
              </w:rPr>
              <w:t>8%</w:t>
            </w:r>
          </w:p>
        </w:tc>
        <w:tc>
          <w:tcPr>
            <w:tcW w:w="562" w:type="dxa"/>
            <w:tcMar>
              <w:top w:w="15" w:type="dxa"/>
              <w:left w:w="15" w:type="dxa"/>
              <w:bottom w:w="0" w:type="dxa"/>
              <w:right w:w="15" w:type="dxa"/>
            </w:tcMar>
            <w:vAlign w:val="center"/>
          </w:tcPr>
          <w:p w14:paraId="1D3AEAD7">
            <w:pPr>
              <w:spacing w:line="440" w:lineRule="atLeast"/>
              <w:jc w:val="center"/>
              <w:textAlignment w:val="bottom"/>
              <w:rPr>
                <w:rFonts w:ascii="仿宋" w:hAnsi="仿宋" w:eastAsia="仿宋" w:cs="仿宋"/>
                <w:kern w:val="0"/>
                <w:sz w:val="24"/>
              </w:rPr>
            </w:pPr>
            <w:r>
              <w:rPr>
                <w:rFonts w:hint="eastAsia" w:ascii="仿宋" w:hAnsi="仿宋" w:eastAsia="仿宋" w:cs="仿宋"/>
                <w:kern w:val="24"/>
                <w:sz w:val="24"/>
              </w:rPr>
              <w:t>8%</w:t>
            </w:r>
          </w:p>
        </w:tc>
        <w:tc>
          <w:tcPr>
            <w:tcW w:w="562" w:type="dxa"/>
            <w:tcMar>
              <w:top w:w="15" w:type="dxa"/>
              <w:left w:w="15" w:type="dxa"/>
              <w:bottom w:w="0" w:type="dxa"/>
              <w:right w:w="15" w:type="dxa"/>
            </w:tcMar>
            <w:vAlign w:val="center"/>
          </w:tcPr>
          <w:p w14:paraId="13957E53">
            <w:pPr>
              <w:spacing w:line="440" w:lineRule="atLeast"/>
              <w:jc w:val="center"/>
              <w:textAlignment w:val="bottom"/>
              <w:rPr>
                <w:rFonts w:ascii="仿宋" w:hAnsi="仿宋" w:eastAsia="仿宋" w:cs="仿宋"/>
                <w:kern w:val="0"/>
                <w:sz w:val="24"/>
              </w:rPr>
            </w:pPr>
            <w:r>
              <w:rPr>
                <w:rFonts w:hint="eastAsia" w:ascii="仿宋" w:hAnsi="仿宋" w:eastAsia="仿宋" w:cs="仿宋"/>
                <w:kern w:val="24"/>
                <w:sz w:val="24"/>
              </w:rPr>
              <w:t>8%</w:t>
            </w:r>
          </w:p>
        </w:tc>
        <w:tc>
          <w:tcPr>
            <w:tcW w:w="562" w:type="dxa"/>
            <w:tcMar>
              <w:top w:w="15" w:type="dxa"/>
              <w:left w:w="15" w:type="dxa"/>
              <w:bottom w:w="0" w:type="dxa"/>
              <w:right w:w="15" w:type="dxa"/>
            </w:tcMar>
            <w:vAlign w:val="center"/>
          </w:tcPr>
          <w:p w14:paraId="76502B12">
            <w:pPr>
              <w:spacing w:line="440" w:lineRule="atLeast"/>
              <w:jc w:val="center"/>
              <w:textAlignment w:val="bottom"/>
              <w:rPr>
                <w:rFonts w:ascii="仿宋" w:hAnsi="仿宋" w:eastAsia="仿宋" w:cs="仿宋"/>
                <w:kern w:val="0"/>
                <w:sz w:val="24"/>
              </w:rPr>
            </w:pPr>
            <w:r>
              <w:rPr>
                <w:rFonts w:hint="eastAsia" w:ascii="仿宋" w:hAnsi="仿宋" w:eastAsia="仿宋" w:cs="仿宋"/>
                <w:kern w:val="24"/>
                <w:sz w:val="24"/>
              </w:rPr>
              <w:t>7%</w:t>
            </w:r>
          </w:p>
        </w:tc>
        <w:tc>
          <w:tcPr>
            <w:tcW w:w="562" w:type="dxa"/>
            <w:tcMar>
              <w:top w:w="15" w:type="dxa"/>
              <w:left w:w="15" w:type="dxa"/>
              <w:bottom w:w="0" w:type="dxa"/>
              <w:right w:w="15" w:type="dxa"/>
            </w:tcMar>
            <w:vAlign w:val="center"/>
          </w:tcPr>
          <w:p w14:paraId="30F8A173">
            <w:pPr>
              <w:spacing w:line="440" w:lineRule="atLeast"/>
              <w:jc w:val="center"/>
              <w:textAlignment w:val="bottom"/>
              <w:rPr>
                <w:rFonts w:ascii="仿宋" w:hAnsi="仿宋" w:eastAsia="仿宋" w:cs="仿宋"/>
                <w:kern w:val="0"/>
                <w:sz w:val="24"/>
              </w:rPr>
            </w:pPr>
            <w:r>
              <w:rPr>
                <w:rFonts w:hint="eastAsia" w:ascii="仿宋" w:hAnsi="仿宋" w:eastAsia="仿宋" w:cs="仿宋"/>
                <w:kern w:val="24"/>
                <w:sz w:val="24"/>
              </w:rPr>
              <w:t>7%</w:t>
            </w:r>
          </w:p>
        </w:tc>
        <w:tc>
          <w:tcPr>
            <w:tcW w:w="562" w:type="dxa"/>
            <w:tcMar>
              <w:top w:w="15" w:type="dxa"/>
              <w:left w:w="15" w:type="dxa"/>
              <w:bottom w:w="0" w:type="dxa"/>
              <w:right w:w="15" w:type="dxa"/>
            </w:tcMar>
            <w:vAlign w:val="center"/>
          </w:tcPr>
          <w:p w14:paraId="0E7E3EF4">
            <w:pPr>
              <w:spacing w:line="440" w:lineRule="atLeast"/>
              <w:jc w:val="center"/>
              <w:textAlignment w:val="bottom"/>
              <w:rPr>
                <w:rFonts w:ascii="仿宋" w:hAnsi="仿宋" w:eastAsia="仿宋" w:cs="仿宋"/>
                <w:kern w:val="0"/>
                <w:sz w:val="24"/>
              </w:rPr>
            </w:pPr>
            <w:r>
              <w:rPr>
                <w:rFonts w:hint="eastAsia" w:ascii="仿宋" w:hAnsi="仿宋" w:eastAsia="仿宋" w:cs="仿宋"/>
                <w:kern w:val="24"/>
                <w:sz w:val="24"/>
              </w:rPr>
              <w:t>6%</w:t>
            </w:r>
          </w:p>
        </w:tc>
        <w:tc>
          <w:tcPr>
            <w:tcW w:w="562" w:type="dxa"/>
            <w:tcMar>
              <w:top w:w="15" w:type="dxa"/>
              <w:left w:w="15" w:type="dxa"/>
              <w:bottom w:w="0" w:type="dxa"/>
              <w:right w:w="15" w:type="dxa"/>
            </w:tcMar>
            <w:vAlign w:val="center"/>
          </w:tcPr>
          <w:p w14:paraId="3D3E862C">
            <w:pPr>
              <w:spacing w:line="440" w:lineRule="atLeast"/>
              <w:jc w:val="center"/>
              <w:textAlignment w:val="bottom"/>
              <w:rPr>
                <w:rFonts w:ascii="仿宋" w:hAnsi="仿宋" w:eastAsia="仿宋" w:cs="仿宋"/>
                <w:kern w:val="0"/>
                <w:sz w:val="24"/>
              </w:rPr>
            </w:pPr>
            <w:r>
              <w:rPr>
                <w:rFonts w:hint="eastAsia" w:ascii="仿宋" w:hAnsi="仿宋" w:eastAsia="仿宋" w:cs="仿宋"/>
                <w:kern w:val="24"/>
                <w:sz w:val="24"/>
              </w:rPr>
              <w:t>6%</w:t>
            </w:r>
          </w:p>
        </w:tc>
        <w:tc>
          <w:tcPr>
            <w:tcW w:w="562" w:type="dxa"/>
            <w:tcMar>
              <w:top w:w="15" w:type="dxa"/>
              <w:left w:w="15" w:type="dxa"/>
              <w:bottom w:w="0" w:type="dxa"/>
              <w:right w:w="15" w:type="dxa"/>
            </w:tcMar>
            <w:vAlign w:val="center"/>
          </w:tcPr>
          <w:p w14:paraId="35602414">
            <w:pPr>
              <w:spacing w:line="440" w:lineRule="atLeast"/>
              <w:jc w:val="center"/>
              <w:textAlignment w:val="bottom"/>
              <w:rPr>
                <w:rFonts w:ascii="仿宋" w:hAnsi="仿宋" w:eastAsia="仿宋" w:cs="仿宋"/>
                <w:kern w:val="0"/>
                <w:sz w:val="24"/>
              </w:rPr>
            </w:pPr>
            <w:r>
              <w:rPr>
                <w:rFonts w:hint="eastAsia" w:ascii="仿宋" w:hAnsi="仿宋" w:eastAsia="仿宋" w:cs="仿宋"/>
                <w:kern w:val="24"/>
                <w:sz w:val="24"/>
              </w:rPr>
              <w:t>5%</w:t>
            </w:r>
          </w:p>
        </w:tc>
        <w:tc>
          <w:tcPr>
            <w:tcW w:w="562" w:type="dxa"/>
            <w:tcMar>
              <w:top w:w="15" w:type="dxa"/>
              <w:left w:w="15" w:type="dxa"/>
              <w:bottom w:w="0" w:type="dxa"/>
              <w:right w:w="15" w:type="dxa"/>
            </w:tcMar>
            <w:vAlign w:val="center"/>
          </w:tcPr>
          <w:p w14:paraId="38FE8AA1">
            <w:pPr>
              <w:spacing w:line="440" w:lineRule="atLeast"/>
              <w:jc w:val="center"/>
              <w:textAlignment w:val="bottom"/>
              <w:rPr>
                <w:rFonts w:ascii="仿宋" w:hAnsi="仿宋" w:eastAsia="仿宋" w:cs="仿宋"/>
                <w:kern w:val="0"/>
                <w:sz w:val="24"/>
              </w:rPr>
            </w:pPr>
            <w:r>
              <w:rPr>
                <w:rFonts w:hint="eastAsia" w:ascii="仿宋" w:hAnsi="仿宋" w:eastAsia="仿宋" w:cs="仿宋"/>
                <w:kern w:val="24"/>
                <w:sz w:val="24"/>
              </w:rPr>
              <w:t>5%</w:t>
            </w:r>
          </w:p>
        </w:tc>
      </w:tr>
      <w:tr w14:paraId="51A6979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86" w:hRule="atLeast"/>
        </w:trPr>
        <w:tc>
          <w:tcPr>
            <w:tcW w:w="2232" w:type="dxa"/>
            <w:tcMar>
              <w:top w:w="15" w:type="dxa"/>
              <w:left w:w="15" w:type="dxa"/>
              <w:bottom w:w="0" w:type="dxa"/>
              <w:right w:w="15" w:type="dxa"/>
            </w:tcMar>
            <w:vAlign w:val="center"/>
          </w:tcPr>
          <w:p w14:paraId="2CCA8E01">
            <w:pPr>
              <w:spacing w:line="440" w:lineRule="atLeast"/>
              <w:jc w:val="left"/>
              <w:textAlignment w:val="bottom"/>
              <w:rPr>
                <w:rFonts w:ascii="仿宋" w:hAnsi="仿宋" w:eastAsia="仿宋" w:cs="仿宋"/>
                <w:kern w:val="0"/>
                <w:sz w:val="24"/>
              </w:rPr>
            </w:pPr>
            <w:r>
              <w:rPr>
                <w:rFonts w:hint="eastAsia" w:ascii="仿宋" w:hAnsi="仿宋" w:eastAsia="仿宋" w:cs="仿宋"/>
                <w:kern w:val="24"/>
                <w:sz w:val="24"/>
              </w:rPr>
              <w:t>人员活动率</w:t>
            </w:r>
          </w:p>
        </w:tc>
        <w:tc>
          <w:tcPr>
            <w:tcW w:w="562" w:type="dxa"/>
            <w:tcMar>
              <w:top w:w="15" w:type="dxa"/>
              <w:left w:w="15" w:type="dxa"/>
              <w:bottom w:w="0" w:type="dxa"/>
              <w:right w:w="15" w:type="dxa"/>
            </w:tcMar>
            <w:vAlign w:val="center"/>
          </w:tcPr>
          <w:p w14:paraId="775F26F2">
            <w:pPr>
              <w:spacing w:line="440" w:lineRule="atLeast"/>
              <w:jc w:val="center"/>
              <w:textAlignment w:val="bottom"/>
              <w:rPr>
                <w:rFonts w:ascii="仿宋" w:hAnsi="仿宋" w:eastAsia="仿宋" w:cs="仿宋"/>
                <w:kern w:val="0"/>
                <w:sz w:val="24"/>
              </w:rPr>
            </w:pPr>
            <w:r>
              <w:rPr>
                <w:rFonts w:hint="eastAsia" w:ascii="仿宋" w:hAnsi="仿宋" w:eastAsia="仿宋" w:cs="仿宋"/>
                <w:kern w:val="24"/>
                <w:sz w:val="24"/>
              </w:rPr>
              <w:t>30%</w:t>
            </w:r>
          </w:p>
        </w:tc>
        <w:tc>
          <w:tcPr>
            <w:tcW w:w="562" w:type="dxa"/>
            <w:tcMar>
              <w:top w:w="15" w:type="dxa"/>
              <w:left w:w="15" w:type="dxa"/>
              <w:bottom w:w="0" w:type="dxa"/>
              <w:right w:w="15" w:type="dxa"/>
            </w:tcMar>
            <w:vAlign w:val="center"/>
          </w:tcPr>
          <w:p w14:paraId="0F3A7786">
            <w:pPr>
              <w:spacing w:line="440" w:lineRule="atLeast"/>
              <w:jc w:val="center"/>
              <w:textAlignment w:val="bottom"/>
              <w:rPr>
                <w:rFonts w:ascii="仿宋" w:hAnsi="仿宋" w:eastAsia="仿宋" w:cs="仿宋"/>
                <w:kern w:val="0"/>
                <w:sz w:val="24"/>
              </w:rPr>
            </w:pPr>
            <w:r>
              <w:rPr>
                <w:rFonts w:hint="eastAsia" w:ascii="仿宋" w:hAnsi="仿宋" w:eastAsia="仿宋" w:cs="仿宋"/>
                <w:kern w:val="24"/>
                <w:sz w:val="24"/>
              </w:rPr>
              <w:t>31%</w:t>
            </w:r>
          </w:p>
        </w:tc>
        <w:tc>
          <w:tcPr>
            <w:tcW w:w="562" w:type="dxa"/>
            <w:tcMar>
              <w:top w:w="15" w:type="dxa"/>
              <w:left w:w="15" w:type="dxa"/>
              <w:bottom w:w="0" w:type="dxa"/>
              <w:right w:w="15" w:type="dxa"/>
            </w:tcMar>
            <w:vAlign w:val="center"/>
          </w:tcPr>
          <w:p w14:paraId="1FA4DC9B">
            <w:pPr>
              <w:spacing w:line="440" w:lineRule="atLeast"/>
              <w:jc w:val="center"/>
              <w:textAlignment w:val="bottom"/>
              <w:rPr>
                <w:rFonts w:ascii="仿宋" w:hAnsi="仿宋" w:eastAsia="仿宋" w:cs="仿宋"/>
                <w:kern w:val="0"/>
                <w:sz w:val="24"/>
              </w:rPr>
            </w:pPr>
            <w:r>
              <w:rPr>
                <w:rFonts w:hint="eastAsia" w:ascii="仿宋" w:hAnsi="仿宋" w:eastAsia="仿宋" w:cs="仿宋"/>
                <w:kern w:val="24"/>
                <w:sz w:val="24"/>
              </w:rPr>
              <w:t>32%</w:t>
            </w:r>
          </w:p>
        </w:tc>
        <w:tc>
          <w:tcPr>
            <w:tcW w:w="562" w:type="dxa"/>
            <w:tcMar>
              <w:top w:w="15" w:type="dxa"/>
              <w:left w:w="15" w:type="dxa"/>
              <w:bottom w:w="0" w:type="dxa"/>
              <w:right w:w="15" w:type="dxa"/>
            </w:tcMar>
            <w:vAlign w:val="center"/>
          </w:tcPr>
          <w:p w14:paraId="39B5E511">
            <w:pPr>
              <w:spacing w:line="440" w:lineRule="atLeast"/>
              <w:jc w:val="center"/>
              <w:textAlignment w:val="bottom"/>
              <w:rPr>
                <w:rFonts w:ascii="仿宋" w:hAnsi="仿宋" w:eastAsia="仿宋" w:cs="仿宋"/>
                <w:kern w:val="0"/>
                <w:sz w:val="24"/>
              </w:rPr>
            </w:pPr>
            <w:r>
              <w:rPr>
                <w:rFonts w:hint="eastAsia" w:ascii="仿宋" w:hAnsi="仿宋" w:eastAsia="仿宋" w:cs="仿宋"/>
                <w:kern w:val="24"/>
                <w:sz w:val="24"/>
              </w:rPr>
              <w:t>33%</w:t>
            </w:r>
          </w:p>
        </w:tc>
        <w:tc>
          <w:tcPr>
            <w:tcW w:w="562" w:type="dxa"/>
            <w:tcMar>
              <w:top w:w="15" w:type="dxa"/>
              <w:left w:w="15" w:type="dxa"/>
              <w:bottom w:w="0" w:type="dxa"/>
              <w:right w:w="15" w:type="dxa"/>
            </w:tcMar>
            <w:vAlign w:val="center"/>
          </w:tcPr>
          <w:p w14:paraId="46ADD612">
            <w:pPr>
              <w:spacing w:line="440" w:lineRule="atLeast"/>
              <w:jc w:val="center"/>
              <w:textAlignment w:val="bottom"/>
              <w:rPr>
                <w:rFonts w:ascii="仿宋" w:hAnsi="仿宋" w:eastAsia="仿宋" w:cs="仿宋"/>
                <w:kern w:val="0"/>
                <w:sz w:val="24"/>
              </w:rPr>
            </w:pPr>
            <w:r>
              <w:rPr>
                <w:rFonts w:hint="eastAsia" w:ascii="仿宋" w:hAnsi="仿宋" w:eastAsia="仿宋" w:cs="仿宋"/>
                <w:kern w:val="24"/>
                <w:sz w:val="24"/>
              </w:rPr>
              <w:t>34%</w:t>
            </w:r>
          </w:p>
        </w:tc>
        <w:tc>
          <w:tcPr>
            <w:tcW w:w="562" w:type="dxa"/>
            <w:tcMar>
              <w:top w:w="15" w:type="dxa"/>
              <w:left w:w="15" w:type="dxa"/>
              <w:bottom w:w="0" w:type="dxa"/>
              <w:right w:w="15" w:type="dxa"/>
            </w:tcMar>
            <w:vAlign w:val="center"/>
          </w:tcPr>
          <w:p w14:paraId="65C8E35F">
            <w:pPr>
              <w:spacing w:line="440" w:lineRule="atLeast"/>
              <w:jc w:val="center"/>
              <w:textAlignment w:val="bottom"/>
              <w:rPr>
                <w:rFonts w:ascii="仿宋" w:hAnsi="仿宋" w:eastAsia="仿宋" w:cs="仿宋"/>
                <w:kern w:val="0"/>
                <w:sz w:val="24"/>
              </w:rPr>
            </w:pPr>
            <w:r>
              <w:rPr>
                <w:rFonts w:hint="eastAsia" w:ascii="仿宋" w:hAnsi="仿宋" w:eastAsia="仿宋" w:cs="仿宋"/>
                <w:kern w:val="24"/>
                <w:sz w:val="24"/>
              </w:rPr>
              <w:t>35%</w:t>
            </w:r>
          </w:p>
        </w:tc>
        <w:tc>
          <w:tcPr>
            <w:tcW w:w="562" w:type="dxa"/>
            <w:tcMar>
              <w:top w:w="15" w:type="dxa"/>
              <w:left w:w="15" w:type="dxa"/>
              <w:bottom w:w="0" w:type="dxa"/>
              <w:right w:w="15" w:type="dxa"/>
            </w:tcMar>
            <w:vAlign w:val="center"/>
          </w:tcPr>
          <w:p w14:paraId="5C658E11">
            <w:pPr>
              <w:spacing w:line="440" w:lineRule="atLeast"/>
              <w:jc w:val="center"/>
              <w:textAlignment w:val="bottom"/>
              <w:rPr>
                <w:rFonts w:ascii="仿宋" w:hAnsi="仿宋" w:eastAsia="仿宋" w:cs="仿宋"/>
                <w:kern w:val="0"/>
                <w:sz w:val="24"/>
              </w:rPr>
            </w:pPr>
            <w:r>
              <w:rPr>
                <w:rFonts w:hint="eastAsia" w:ascii="仿宋" w:hAnsi="仿宋" w:eastAsia="仿宋" w:cs="仿宋"/>
                <w:kern w:val="24"/>
                <w:sz w:val="24"/>
              </w:rPr>
              <w:t>36%</w:t>
            </w:r>
          </w:p>
        </w:tc>
        <w:tc>
          <w:tcPr>
            <w:tcW w:w="562" w:type="dxa"/>
            <w:tcMar>
              <w:top w:w="15" w:type="dxa"/>
              <w:left w:w="15" w:type="dxa"/>
              <w:bottom w:w="0" w:type="dxa"/>
              <w:right w:w="15" w:type="dxa"/>
            </w:tcMar>
            <w:vAlign w:val="center"/>
          </w:tcPr>
          <w:p w14:paraId="05011B1E">
            <w:pPr>
              <w:spacing w:line="440" w:lineRule="atLeast"/>
              <w:jc w:val="center"/>
              <w:textAlignment w:val="bottom"/>
              <w:rPr>
                <w:rFonts w:ascii="仿宋" w:hAnsi="仿宋" w:eastAsia="仿宋" w:cs="仿宋"/>
                <w:kern w:val="0"/>
                <w:sz w:val="24"/>
              </w:rPr>
            </w:pPr>
            <w:r>
              <w:rPr>
                <w:rFonts w:hint="eastAsia" w:ascii="仿宋" w:hAnsi="仿宋" w:eastAsia="仿宋" w:cs="仿宋"/>
                <w:kern w:val="24"/>
                <w:sz w:val="24"/>
              </w:rPr>
              <w:t>37%</w:t>
            </w:r>
          </w:p>
        </w:tc>
        <w:tc>
          <w:tcPr>
            <w:tcW w:w="562" w:type="dxa"/>
            <w:tcMar>
              <w:top w:w="15" w:type="dxa"/>
              <w:left w:w="15" w:type="dxa"/>
              <w:bottom w:w="0" w:type="dxa"/>
              <w:right w:w="15" w:type="dxa"/>
            </w:tcMar>
            <w:vAlign w:val="center"/>
          </w:tcPr>
          <w:p w14:paraId="6489648C">
            <w:pPr>
              <w:spacing w:line="440" w:lineRule="atLeast"/>
              <w:jc w:val="center"/>
              <w:textAlignment w:val="bottom"/>
              <w:rPr>
                <w:rFonts w:ascii="仿宋" w:hAnsi="仿宋" w:eastAsia="仿宋" w:cs="仿宋"/>
                <w:kern w:val="0"/>
                <w:sz w:val="24"/>
              </w:rPr>
            </w:pPr>
            <w:r>
              <w:rPr>
                <w:rFonts w:hint="eastAsia" w:ascii="仿宋" w:hAnsi="仿宋" w:eastAsia="仿宋" w:cs="仿宋"/>
                <w:kern w:val="24"/>
                <w:sz w:val="24"/>
              </w:rPr>
              <w:t>38%</w:t>
            </w:r>
          </w:p>
        </w:tc>
        <w:tc>
          <w:tcPr>
            <w:tcW w:w="562" w:type="dxa"/>
            <w:tcMar>
              <w:top w:w="15" w:type="dxa"/>
              <w:left w:w="15" w:type="dxa"/>
              <w:bottom w:w="0" w:type="dxa"/>
              <w:right w:w="15" w:type="dxa"/>
            </w:tcMar>
            <w:vAlign w:val="center"/>
          </w:tcPr>
          <w:p w14:paraId="574DCC23">
            <w:pPr>
              <w:spacing w:line="440" w:lineRule="atLeast"/>
              <w:jc w:val="center"/>
              <w:textAlignment w:val="bottom"/>
              <w:rPr>
                <w:rFonts w:ascii="仿宋" w:hAnsi="仿宋" w:eastAsia="仿宋" w:cs="仿宋"/>
                <w:kern w:val="0"/>
                <w:sz w:val="24"/>
              </w:rPr>
            </w:pPr>
            <w:r>
              <w:rPr>
                <w:rFonts w:hint="eastAsia" w:ascii="仿宋" w:hAnsi="仿宋" w:eastAsia="仿宋" w:cs="仿宋"/>
                <w:kern w:val="24"/>
                <w:sz w:val="24"/>
              </w:rPr>
              <w:t>38%</w:t>
            </w:r>
          </w:p>
        </w:tc>
        <w:tc>
          <w:tcPr>
            <w:tcW w:w="562" w:type="dxa"/>
            <w:tcMar>
              <w:top w:w="15" w:type="dxa"/>
              <w:left w:w="15" w:type="dxa"/>
              <w:bottom w:w="0" w:type="dxa"/>
              <w:right w:w="15" w:type="dxa"/>
            </w:tcMar>
            <w:vAlign w:val="center"/>
          </w:tcPr>
          <w:p w14:paraId="2862313D">
            <w:pPr>
              <w:spacing w:line="440" w:lineRule="atLeast"/>
              <w:jc w:val="center"/>
              <w:textAlignment w:val="bottom"/>
              <w:rPr>
                <w:rFonts w:ascii="仿宋" w:hAnsi="仿宋" w:eastAsia="仿宋" w:cs="仿宋"/>
                <w:kern w:val="0"/>
                <w:sz w:val="24"/>
              </w:rPr>
            </w:pPr>
            <w:r>
              <w:rPr>
                <w:rFonts w:hint="eastAsia" w:ascii="仿宋" w:hAnsi="仿宋" w:eastAsia="仿宋" w:cs="仿宋"/>
                <w:kern w:val="24"/>
                <w:sz w:val="24"/>
              </w:rPr>
              <w:t>39%</w:t>
            </w:r>
          </w:p>
        </w:tc>
        <w:tc>
          <w:tcPr>
            <w:tcW w:w="562" w:type="dxa"/>
            <w:tcMar>
              <w:top w:w="15" w:type="dxa"/>
              <w:left w:w="15" w:type="dxa"/>
              <w:bottom w:w="0" w:type="dxa"/>
              <w:right w:w="15" w:type="dxa"/>
            </w:tcMar>
            <w:vAlign w:val="center"/>
          </w:tcPr>
          <w:p w14:paraId="25CB5BF4">
            <w:pPr>
              <w:spacing w:line="440" w:lineRule="atLeast"/>
              <w:jc w:val="center"/>
              <w:textAlignment w:val="bottom"/>
              <w:rPr>
                <w:rFonts w:ascii="仿宋" w:hAnsi="仿宋" w:eastAsia="仿宋" w:cs="仿宋"/>
                <w:kern w:val="0"/>
                <w:sz w:val="24"/>
              </w:rPr>
            </w:pPr>
            <w:r>
              <w:rPr>
                <w:rFonts w:hint="eastAsia" w:ascii="仿宋" w:hAnsi="仿宋" w:eastAsia="仿宋" w:cs="仿宋"/>
                <w:kern w:val="24"/>
                <w:sz w:val="24"/>
              </w:rPr>
              <w:t>39%</w:t>
            </w:r>
          </w:p>
        </w:tc>
      </w:tr>
      <w:tr w14:paraId="179D7D8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86" w:hRule="atLeast"/>
        </w:trPr>
        <w:tc>
          <w:tcPr>
            <w:tcW w:w="2232" w:type="dxa"/>
            <w:tcMar>
              <w:top w:w="15" w:type="dxa"/>
              <w:left w:w="15" w:type="dxa"/>
              <w:bottom w:w="0" w:type="dxa"/>
              <w:right w:w="15" w:type="dxa"/>
            </w:tcMar>
            <w:vAlign w:val="center"/>
          </w:tcPr>
          <w:p w14:paraId="6C89B407">
            <w:pPr>
              <w:spacing w:line="440" w:lineRule="atLeast"/>
              <w:jc w:val="left"/>
              <w:textAlignment w:val="bottom"/>
              <w:rPr>
                <w:rFonts w:ascii="仿宋" w:hAnsi="仿宋" w:eastAsia="仿宋" w:cs="仿宋"/>
                <w:kern w:val="0"/>
                <w:sz w:val="24"/>
              </w:rPr>
            </w:pPr>
            <w:r>
              <w:rPr>
                <w:rFonts w:hint="eastAsia" w:ascii="仿宋" w:hAnsi="仿宋" w:eastAsia="仿宋" w:cs="仿宋"/>
                <w:kern w:val="24"/>
                <w:sz w:val="24"/>
              </w:rPr>
              <w:t>活动人力月均产能（元）</w:t>
            </w:r>
          </w:p>
        </w:tc>
        <w:tc>
          <w:tcPr>
            <w:tcW w:w="562" w:type="dxa"/>
            <w:tcMar>
              <w:top w:w="15" w:type="dxa"/>
              <w:left w:w="15" w:type="dxa"/>
              <w:bottom w:w="0" w:type="dxa"/>
              <w:right w:w="15" w:type="dxa"/>
            </w:tcMar>
            <w:vAlign w:val="center"/>
          </w:tcPr>
          <w:p w14:paraId="05F0AD4C">
            <w:pPr>
              <w:spacing w:line="440" w:lineRule="atLeast"/>
              <w:jc w:val="center"/>
              <w:textAlignment w:val="bottom"/>
              <w:rPr>
                <w:rFonts w:ascii="仿宋" w:hAnsi="仿宋" w:eastAsia="仿宋" w:cs="仿宋"/>
                <w:kern w:val="0"/>
                <w:sz w:val="24"/>
              </w:rPr>
            </w:pPr>
            <w:r>
              <w:rPr>
                <w:rFonts w:hint="eastAsia" w:ascii="仿宋" w:hAnsi="仿宋" w:eastAsia="仿宋" w:cs="仿宋"/>
                <w:kern w:val="24"/>
                <w:sz w:val="24"/>
              </w:rPr>
              <w:t>13,555</w:t>
            </w:r>
          </w:p>
        </w:tc>
        <w:tc>
          <w:tcPr>
            <w:tcW w:w="562" w:type="dxa"/>
            <w:tcMar>
              <w:top w:w="15" w:type="dxa"/>
              <w:left w:w="15" w:type="dxa"/>
              <w:bottom w:w="0" w:type="dxa"/>
              <w:right w:w="15" w:type="dxa"/>
            </w:tcMar>
            <w:vAlign w:val="center"/>
          </w:tcPr>
          <w:p w14:paraId="0CB702BC">
            <w:pPr>
              <w:spacing w:line="440" w:lineRule="atLeast"/>
              <w:jc w:val="center"/>
              <w:textAlignment w:val="bottom"/>
              <w:rPr>
                <w:rFonts w:ascii="仿宋" w:hAnsi="仿宋" w:eastAsia="仿宋" w:cs="仿宋"/>
                <w:kern w:val="0"/>
                <w:sz w:val="24"/>
              </w:rPr>
            </w:pPr>
            <w:r>
              <w:rPr>
                <w:rFonts w:hint="eastAsia" w:ascii="仿宋" w:hAnsi="仿宋" w:eastAsia="仿宋" w:cs="仿宋"/>
                <w:kern w:val="24"/>
                <w:sz w:val="24"/>
              </w:rPr>
              <w:t>14,187</w:t>
            </w:r>
          </w:p>
        </w:tc>
        <w:tc>
          <w:tcPr>
            <w:tcW w:w="562" w:type="dxa"/>
            <w:tcMar>
              <w:top w:w="15" w:type="dxa"/>
              <w:left w:w="15" w:type="dxa"/>
              <w:bottom w:w="0" w:type="dxa"/>
              <w:right w:w="15" w:type="dxa"/>
            </w:tcMar>
            <w:vAlign w:val="center"/>
          </w:tcPr>
          <w:p w14:paraId="425ACBC8">
            <w:pPr>
              <w:spacing w:line="440" w:lineRule="atLeast"/>
              <w:jc w:val="center"/>
              <w:textAlignment w:val="bottom"/>
              <w:rPr>
                <w:rFonts w:ascii="仿宋" w:hAnsi="仿宋" w:eastAsia="仿宋" w:cs="仿宋"/>
                <w:kern w:val="0"/>
                <w:sz w:val="24"/>
              </w:rPr>
            </w:pPr>
            <w:r>
              <w:rPr>
                <w:rFonts w:hint="eastAsia" w:ascii="仿宋" w:hAnsi="仿宋" w:eastAsia="仿宋" w:cs="仿宋"/>
                <w:kern w:val="24"/>
                <w:sz w:val="24"/>
              </w:rPr>
              <w:t>14,958</w:t>
            </w:r>
          </w:p>
        </w:tc>
        <w:tc>
          <w:tcPr>
            <w:tcW w:w="562" w:type="dxa"/>
            <w:tcMar>
              <w:top w:w="15" w:type="dxa"/>
              <w:left w:w="15" w:type="dxa"/>
              <w:bottom w:w="0" w:type="dxa"/>
              <w:right w:w="15" w:type="dxa"/>
            </w:tcMar>
            <w:vAlign w:val="center"/>
          </w:tcPr>
          <w:p w14:paraId="65E25329">
            <w:pPr>
              <w:spacing w:line="440" w:lineRule="atLeast"/>
              <w:jc w:val="center"/>
              <w:textAlignment w:val="bottom"/>
              <w:rPr>
                <w:rFonts w:ascii="仿宋" w:hAnsi="仿宋" w:eastAsia="仿宋" w:cs="仿宋"/>
                <w:kern w:val="0"/>
                <w:sz w:val="24"/>
              </w:rPr>
            </w:pPr>
            <w:r>
              <w:rPr>
                <w:rFonts w:hint="eastAsia" w:ascii="仿宋" w:hAnsi="仿宋" w:eastAsia="仿宋" w:cs="仿宋"/>
                <w:kern w:val="24"/>
                <w:sz w:val="24"/>
              </w:rPr>
              <w:t>15,379</w:t>
            </w:r>
          </w:p>
        </w:tc>
        <w:tc>
          <w:tcPr>
            <w:tcW w:w="562" w:type="dxa"/>
            <w:tcMar>
              <w:top w:w="15" w:type="dxa"/>
              <w:left w:w="15" w:type="dxa"/>
              <w:bottom w:w="0" w:type="dxa"/>
              <w:right w:w="15" w:type="dxa"/>
            </w:tcMar>
            <w:vAlign w:val="center"/>
          </w:tcPr>
          <w:p w14:paraId="2B19C6C8">
            <w:pPr>
              <w:spacing w:line="440" w:lineRule="atLeast"/>
              <w:jc w:val="center"/>
              <w:textAlignment w:val="bottom"/>
              <w:rPr>
                <w:rFonts w:ascii="仿宋" w:hAnsi="仿宋" w:eastAsia="仿宋" w:cs="仿宋"/>
                <w:kern w:val="0"/>
                <w:sz w:val="24"/>
              </w:rPr>
            </w:pPr>
            <w:r>
              <w:rPr>
                <w:rFonts w:hint="eastAsia" w:ascii="仿宋" w:hAnsi="仿宋" w:eastAsia="仿宋" w:cs="仿宋"/>
                <w:kern w:val="24"/>
                <w:sz w:val="24"/>
              </w:rPr>
              <w:t>15,687</w:t>
            </w:r>
          </w:p>
        </w:tc>
        <w:tc>
          <w:tcPr>
            <w:tcW w:w="562" w:type="dxa"/>
            <w:tcMar>
              <w:top w:w="15" w:type="dxa"/>
              <w:left w:w="15" w:type="dxa"/>
              <w:bottom w:w="0" w:type="dxa"/>
              <w:right w:w="15" w:type="dxa"/>
            </w:tcMar>
            <w:vAlign w:val="center"/>
          </w:tcPr>
          <w:p w14:paraId="24C032D0">
            <w:pPr>
              <w:spacing w:line="440" w:lineRule="atLeast"/>
              <w:jc w:val="center"/>
              <w:textAlignment w:val="bottom"/>
              <w:rPr>
                <w:rFonts w:ascii="仿宋" w:hAnsi="仿宋" w:eastAsia="仿宋" w:cs="仿宋"/>
                <w:kern w:val="0"/>
                <w:sz w:val="24"/>
              </w:rPr>
            </w:pPr>
            <w:r>
              <w:rPr>
                <w:rFonts w:hint="eastAsia" w:ascii="仿宋" w:hAnsi="仿宋" w:eastAsia="仿宋" w:cs="仿宋"/>
                <w:kern w:val="24"/>
                <w:sz w:val="24"/>
              </w:rPr>
              <w:t>15,873</w:t>
            </w:r>
          </w:p>
        </w:tc>
        <w:tc>
          <w:tcPr>
            <w:tcW w:w="562" w:type="dxa"/>
            <w:tcMar>
              <w:top w:w="15" w:type="dxa"/>
              <w:left w:w="15" w:type="dxa"/>
              <w:bottom w:w="0" w:type="dxa"/>
              <w:right w:w="15" w:type="dxa"/>
            </w:tcMar>
            <w:vAlign w:val="center"/>
          </w:tcPr>
          <w:p w14:paraId="29892BCC">
            <w:pPr>
              <w:spacing w:line="440" w:lineRule="atLeast"/>
              <w:jc w:val="center"/>
              <w:textAlignment w:val="bottom"/>
              <w:rPr>
                <w:rFonts w:ascii="仿宋" w:hAnsi="仿宋" w:eastAsia="仿宋" w:cs="仿宋"/>
                <w:kern w:val="0"/>
                <w:sz w:val="24"/>
              </w:rPr>
            </w:pPr>
            <w:r>
              <w:rPr>
                <w:rFonts w:hint="eastAsia" w:ascii="仿宋" w:hAnsi="仿宋" w:eastAsia="仿宋" w:cs="仿宋"/>
                <w:kern w:val="24"/>
                <w:sz w:val="24"/>
              </w:rPr>
              <w:t>16,072</w:t>
            </w:r>
          </w:p>
        </w:tc>
        <w:tc>
          <w:tcPr>
            <w:tcW w:w="562" w:type="dxa"/>
            <w:tcMar>
              <w:top w:w="15" w:type="dxa"/>
              <w:left w:w="15" w:type="dxa"/>
              <w:bottom w:w="0" w:type="dxa"/>
              <w:right w:w="15" w:type="dxa"/>
            </w:tcMar>
            <w:vAlign w:val="center"/>
          </w:tcPr>
          <w:p w14:paraId="10B55ED8">
            <w:pPr>
              <w:spacing w:line="440" w:lineRule="atLeast"/>
              <w:jc w:val="center"/>
              <w:textAlignment w:val="bottom"/>
              <w:rPr>
                <w:rFonts w:ascii="仿宋" w:hAnsi="仿宋" w:eastAsia="仿宋" w:cs="仿宋"/>
                <w:kern w:val="0"/>
                <w:sz w:val="24"/>
              </w:rPr>
            </w:pPr>
            <w:r>
              <w:rPr>
                <w:rFonts w:hint="eastAsia" w:ascii="仿宋" w:hAnsi="仿宋" w:eastAsia="仿宋" w:cs="仿宋"/>
                <w:kern w:val="24"/>
                <w:sz w:val="24"/>
              </w:rPr>
              <w:t>16,139</w:t>
            </w:r>
          </w:p>
        </w:tc>
        <w:tc>
          <w:tcPr>
            <w:tcW w:w="562" w:type="dxa"/>
            <w:tcMar>
              <w:top w:w="15" w:type="dxa"/>
              <w:left w:w="15" w:type="dxa"/>
              <w:bottom w:w="0" w:type="dxa"/>
              <w:right w:w="15" w:type="dxa"/>
            </w:tcMar>
            <w:vAlign w:val="center"/>
          </w:tcPr>
          <w:p w14:paraId="1E03D777">
            <w:pPr>
              <w:spacing w:line="440" w:lineRule="atLeast"/>
              <w:jc w:val="center"/>
              <w:textAlignment w:val="bottom"/>
              <w:rPr>
                <w:rFonts w:ascii="仿宋" w:hAnsi="仿宋" w:eastAsia="仿宋" w:cs="仿宋"/>
                <w:kern w:val="0"/>
                <w:sz w:val="24"/>
              </w:rPr>
            </w:pPr>
            <w:r>
              <w:rPr>
                <w:rFonts w:hint="eastAsia" w:ascii="仿宋" w:hAnsi="仿宋" w:eastAsia="仿宋" w:cs="仿宋"/>
                <w:kern w:val="24"/>
                <w:sz w:val="24"/>
              </w:rPr>
              <w:t>16,431</w:t>
            </w:r>
          </w:p>
        </w:tc>
        <w:tc>
          <w:tcPr>
            <w:tcW w:w="562" w:type="dxa"/>
            <w:tcMar>
              <w:top w:w="15" w:type="dxa"/>
              <w:left w:w="15" w:type="dxa"/>
              <w:bottom w:w="0" w:type="dxa"/>
              <w:right w:w="15" w:type="dxa"/>
            </w:tcMar>
            <w:vAlign w:val="center"/>
          </w:tcPr>
          <w:p w14:paraId="0C41C7B7">
            <w:pPr>
              <w:spacing w:line="440" w:lineRule="atLeast"/>
              <w:jc w:val="center"/>
              <w:textAlignment w:val="bottom"/>
              <w:rPr>
                <w:rFonts w:ascii="仿宋" w:hAnsi="仿宋" w:eastAsia="仿宋" w:cs="仿宋"/>
                <w:kern w:val="0"/>
                <w:sz w:val="24"/>
              </w:rPr>
            </w:pPr>
            <w:r>
              <w:rPr>
                <w:rFonts w:hint="eastAsia" w:ascii="仿宋" w:hAnsi="仿宋" w:eastAsia="仿宋" w:cs="仿宋"/>
                <w:kern w:val="24"/>
                <w:sz w:val="24"/>
              </w:rPr>
              <w:t>16,576</w:t>
            </w:r>
          </w:p>
        </w:tc>
        <w:tc>
          <w:tcPr>
            <w:tcW w:w="562" w:type="dxa"/>
            <w:tcMar>
              <w:top w:w="15" w:type="dxa"/>
              <w:left w:w="15" w:type="dxa"/>
              <w:bottom w:w="0" w:type="dxa"/>
              <w:right w:w="15" w:type="dxa"/>
            </w:tcMar>
            <w:vAlign w:val="center"/>
          </w:tcPr>
          <w:p w14:paraId="7441DB80">
            <w:pPr>
              <w:spacing w:line="440" w:lineRule="atLeast"/>
              <w:jc w:val="center"/>
              <w:textAlignment w:val="bottom"/>
              <w:rPr>
                <w:rFonts w:ascii="仿宋" w:hAnsi="仿宋" w:eastAsia="仿宋" w:cs="仿宋"/>
                <w:kern w:val="0"/>
                <w:sz w:val="24"/>
              </w:rPr>
            </w:pPr>
            <w:r>
              <w:rPr>
                <w:rFonts w:hint="eastAsia" w:ascii="仿宋" w:hAnsi="仿宋" w:eastAsia="仿宋" w:cs="仿宋"/>
                <w:kern w:val="24"/>
                <w:sz w:val="24"/>
              </w:rPr>
              <w:t>16,720</w:t>
            </w:r>
          </w:p>
        </w:tc>
        <w:tc>
          <w:tcPr>
            <w:tcW w:w="562" w:type="dxa"/>
            <w:tcMar>
              <w:top w:w="15" w:type="dxa"/>
              <w:left w:w="15" w:type="dxa"/>
              <w:bottom w:w="0" w:type="dxa"/>
              <w:right w:w="15" w:type="dxa"/>
            </w:tcMar>
            <w:vAlign w:val="center"/>
          </w:tcPr>
          <w:p w14:paraId="203AB96D">
            <w:pPr>
              <w:spacing w:line="440" w:lineRule="atLeast"/>
              <w:jc w:val="center"/>
              <w:textAlignment w:val="bottom"/>
              <w:rPr>
                <w:rFonts w:ascii="仿宋" w:hAnsi="仿宋" w:eastAsia="仿宋" w:cs="仿宋"/>
                <w:kern w:val="0"/>
                <w:sz w:val="24"/>
              </w:rPr>
            </w:pPr>
            <w:r>
              <w:rPr>
                <w:rFonts w:hint="eastAsia" w:ascii="仿宋" w:hAnsi="仿宋" w:eastAsia="仿宋" w:cs="仿宋"/>
                <w:kern w:val="24"/>
                <w:sz w:val="24"/>
              </w:rPr>
              <w:t>16,711</w:t>
            </w:r>
          </w:p>
        </w:tc>
      </w:tr>
      <w:tr w14:paraId="2701506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86" w:hRule="atLeast"/>
        </w:trPr>
        <w:tc>
          <w:tcPr>
            <w:tcW w:w="2232" w:type="dxa"/>
            <w:tcMar>
              <w:top w:w="15" w:type="dxa"/>
              <w:left w:w="15" w:type="dxa"/>
              <w:bottom w:w="0" w:type="dxa"/>
              <w:right w:w="15" w:type="dxa"/>
            </w:tcMar>
            <w:vAlign w:val="center"/>
          </w:tcPr>
          <w:p w14:paraId="3BEDF865">
            <w:pPr>
              <w:spacing w:line="440" w:lineRule="atLeast"/>
              <w:jc w:val="left"/>
              <w:textAlignment w:val="bottom"/>
              <w:rPr>
                <w:rFonts w:ascii="仿宋" w:hAnsi="仿宋" w:eastAsia="仿宋" w:cs="仿宋"/>
                <w:kern w:val="24"/>
                <w:sz w:val="24"/>
              </w:rPr>
            </w:pPr>
            <w:r>
              <w:rPr>
                <w:rFonts w:hint="eastAsia" w:ascii="仿宋" w:hAnsi="仿宋" w:eastAsia="仿宋" w:cs="仿宋"/>
                <w:kern w:val="24"/>
                <w:sz w:val="24"/>
              </w:rPr>
              <w:t>活动人力月均</w:t>
            </w:r>
          </w:p>
          <w:p w14:paraId="2CF3B85F">
            <w:pPr>
              <w:spacing w:line="440" w:lineRule="atLeast"/>
              <w:jc w:val="left"/>
              <w:textAlignment w:val="bottom"/>
              <w:rPr>
                <w:rFonts w:ascii="仿宋" w:hAnsi="仿宋" w:eastAsia="仿宋" w:cs="仿宋"/>
                <w:kern w:val="0"/>
                <w:sz w:val="24"/>
              </w:rPr>
            </w:pPr>
            <w:r>
              <w:rPr>
                <w:rFonts w:hint="eastAsia" w:ascii="仿宋" w:hAnsi="仿宋" w:eastAsia="仿宋" w:cs="仿宋"/>
                <w:kern w:val="24"/>
                <w:sz w:val="24"/>
              </w:rPr>
              <w:t>产能增长率</w:t>
            </w:r>
          </w:p>
        </w:tc>
        <w:tc>
          <w:tcPr>
            <w:tcW w:w="562" w:type="dxa"/>
            <w:tcMar>
              <w:top w:w="15" w:type="dxa"/>
              <w:left w:w="15" w:type="dxa"/>
              <w:bottom w:w="0" w:type="dxa"/>
              <w:right w:w="15" w:type="dxa"/>
            </w:tcMar>
            <w:vAlign w:val="center"/>
          </w:tcPr>
          <w:p w14:paraId="6DA4971D">
            <w:pPr>
              <w:spacing w:line="440" w:lineRule="atLeast"/>
              <w:jc w:val="center"/>
              <w:rPr>
                <w:rFonts w:ascii="仿宋" w:hAnsi="仿宋" w:eastAsia="仿宋" w:cs="仿宋"/>
                <w:kern w:val="0"/>
                <w:sz w:val="24"/>
              </w:rPr>
            </w:pPr>
          </w:p>
        </w:tc>
        <w:tc>
          <w:tcPr>
            <w:tcW w:w="562" w:type="dxa"/>
            <w:tcMar>
              <w:top w:w="15" w:type="dxa"/>
              <w:left w:w="15" w:type="dxa"/>
              <w:bottom w:w="0" w:type="dxa"/>
              <w:right w:w="15" w:type="dxa"/>
            </w:tcMar>
            <w:vAlign w:val="center"/>
          </w:tcPr>
          <w:p w14:paraId="6A5B49B5">
            <w:pPr>
              <w:spacing w:line="440" w:lineRule="atLeast"/>
              <w:jc w:val="center"/>
              <w:textAlignment w:val="bottom"/>
              <w:rPr>
                <w:rFonts w:ascii="仿宋" w:hAnsi="仿宋" w:eastAsia="仿宋" w:cs="仿宋"/>
                <w:kern w:val="0"/>
                <w:sz w:val="24"/>
              </w:rPr>
            </w:pPr>
            <w:r>
              <w:rPr>
                <w:rFonts w:hint="eastAsia" w:ascii="仿宋" w:hAnsi="仿宋" w:eastAsia="仿宋" w:cs="仿宋"/>
                <w:kern w:val="24"/>
                <w:sz w:val="24"/>
              </w:rPr>
              <w:t>5%</w:t>
            </w:r>
          </w:p>
        </w:tc>
        <w:tc>
          <w:tcPr>
            <w:tcW w:w="562" w:type="dxa"/>
            <w:tcMar>
              <w:top w:w="15" w:type="dxa"/>
              <w:left w:w="15" w:type="dxa"/>
              <w:bottom w:w="0" w:type="dxa"/>
              <w:right w:w="15" w:type="dxa"/>
            </w:tcMar>
            <w:vAlign w:val="center"/>
          </w:tcPr>
          <w:p w14:paraId="474941D1">
            <w:pPr>
              <w:spacing w:line="440" w:lineRule="atLeast"/>
              <w:jc w:val="center"/>
              <w:textAlignment w:val="bottom"/>
              <w:rPr>
                <w:rFonts w:ascii="仿宋" w:hAnsi="仿宋" w:eastAsia="仿宋" w:cs="仿宋"/>
                <w:kern w:val="0"/>
                <w:sz w:val="24"/>
              </w:rPr>
            </w:pPr>
            <w:r>
              <w:rPr>
                <w:rFonts w:hint="eastAsia" w:ascii="仿宋" w:hAnsi="仿宋" w:eastAsia="仿宋" w:cs="仿宋"/>
                <w:kern w:val="24"/>
                <w:sz w:val="24"/>
              </w:rPr>
              <w:t>5%</w:t>
            </w:r>
          </w:p>
        </w:tc>
        <w:tc>
          <w:tcPr>
            <w:tcW w:w="562" w:type="dxa"/>
            <w:tcMar>
              <w:top w:w="15" w:type="dxa"/>
              <w:left w:w="15" w:type="dxa"/>
              <w:bottom w:w="0" w:type="dxa"/>
              <w:right w:w="15" w:type="dxa"/>
            </w:tcMar>
            <w:vAlign w:val="center"/>
          </w:tcPr>
          <w:p w14:paraId="29D5F149">
            <w:pPr>
              <w:spacing w:line="440" w:lineRule="atLeast"/>
              <w:jc w:val="center"/>
              <w:textAlignment w:val="bottom"/>
              <w:rPr>
                <w:rFonts w:ascii="仿宋" w:hAnsi="仿宋" w:eastAsia="仿宋" w:cs="仿宋"/>
                <w:kern w:val="0"/>
                <w:sz w:val="24"/>
              </w:rPr>
            </w:pPr>
            <w:r>
              <w:rPr>
                <w:rFonts w:hint="eastAsia" w:ascii="仿宋" w:hAnsi="仿宋" w:eastAsia="仿宋" w:cs="仿宋"/>
                <w:kern w:val="24"/>
                <w:sz w:val="24"/>
              </w:rPr>
              <w:t>3%</w:t>
            </w:r>
          </w:p>
        </w:tc>
        <w:tc>
          <w:tcPr>
            <w:tcW w:w="562" w:type="dxa"/>
            <w:tcMar>
              <w:top w:w="15" w:type="dxa"/>
              <w:left w:w="15" w:type="dxa"/>
              <w:bottom w:w="0" w:type="dxa"/>
              <w:right w:w="15" w:type="dxa"/>
            </w:tcMar>
            <w:vAlign w:val="center"/>
          </w:tcPr>
          <w:p w14:paraId="69F6A859">
            <w:pPr>
              <w:spacing w:line="440" w:lineRule="atLeast"/>
              <w:jc w:val="center"/>
              <w:textAlignment w:val="bottom"/>
              <w:rPr>
                <w:rFonts w:ascii="仿宋" w:hAnsi="仿宋" w:eastAsia="仿宋" w:cs="仿宋"/>
                <w:kern w:val="0"/>
                <w:sz w:val="24"/>
              </w:rPr>
            </w:pPr>
            <w:r>
              <w:rPr>
                <w:rFonts w:hint="eastAsia" w:ascii="仿宋" w:hAnsi="仿宋" w:eastAsia="仿宋" w:cs="仿宋"/>
                <w:kern w:val="24"/>
                <w:sz w:val="24"/>
              </w:rPr>
              <w:t>2%</w:t>
            </w:r>
          </w:p>
        </w:tc>
        <w:tc>
          <w:tcPr>
            <w:tcW w:w="562" w:type="dxa"/>
            <w:tcMar>
              <w:top w:w="15" w:type="dxa"/>
              <w:left w:w="15" w:type="dxa"/>
              <w:bottom w:w="0" w:type="dxa"/>
              <w:right w:w="15" w:type="dxa"/>
            </w:tcMar>
            <w:vAlign w:val="center"/>
          </w:tcPr>
          <w:p w14:paraId="0B8A4AA1">
            <w:pPr>
              <w:spacing w:line="440" w:lineRule="atLeast"/>
              <w:jc w:val="center"/>
              <w:textAlignment w:val="bottom"/>
              <w:rPr>
                <w:rFonts w:ascii="仿宋" w:hAnsi="仿宋" w:eastAsia="仿宋" w:cs="仿宋"/>
                <w:kern w:val="0"/>
                <w:sz w:val="24"/>
              </w:rPr>
            </w:pPr>
            <w:r>
              <w:rPr>
                <w:rFonts w:hint="eastAsia" w:ascii="仿宋" w:hAnsi="仿宋" w:eastAsia="仿宋" w:cs="仿宋"/>
                <w:kern w:val="24"/>
                <w:sz w:val="24"/>
              </w:rPr>
              <w:t>1%</w:t>
            </w:r>
          </w:p>
        </w:tc>
        <w:tc>
          <w:tcPr>
            <w:tcW w:w="562" w:type="dxa"/>
            <w:tcMar>
              <w:top w:w="15" w:type="dxa"/>
              <w:left w:w="15" w:type="dxa"/>
              <w:bottom w:w="0" w:type="dxa"/>
              <w:right w:w="15" w:type="dxa"/>
            </w:tcMar>
            <w:vAlign w:val="center"/>
          </w:tcPr>
          <w:p w14:paraId="41C6E031">
            <w:pPr>
              <w:spacing w:line="440" w:lineRule="atLeast"/>
              <w:jc w:val="center"/>
              <w:textAlignment w:val="bottom"/>
              <w:rPr>
                <w:rFonts w:ascii="仿宋" w:hAnsi="仿宋" w:eastAsia="仿宋" w:cs="仿宋"/>
                <w:kern w:val="0"/>
                <w:sz w:val="24"/>
              </w:rPr>
            </w:pPr>
            <w:r>
              <w:rPr>
                <w:rFonts w:hint="eastAsia" w:ascii="仿宋" w:hAnsi="仿宋" w:eastAsia="仿宋" w:cs="仿宋"/>
                <w:kern w:val="24"/>
                <w:sz w:val="24"/>
              </w:rPr>
              <w:t>1%</w:t>
            </w:r>
          </w:p>
        </w:tc>
        <w:tc>
          <w:tcPr>
            <w:tcW w:w="562" w:type="dxa"/>
            <w:tcMar>
              <w:top w:w="15" w:type="dxa"/>
              <w:left w:w="15" w:type="dxa"/>
              <w:bottom w:w="0" w:type="dxa"/>
              <w:right w:w="15" w:type="dxa"/>
            </w:tcMar>
            <w:vAlign w:val="center"/>
          </w:tcPr>
          <w:p w14:paraId="7127EC64">
            <w:pPr>
              <w:spacing w:line="440" w:lineRule="atLeast"/>
              <w:jc w:val="center"/>
              <w:textAlignment w:val="bottom"/>
              <w:rPr>
                <w:rFonts w:ascii="仿宋" w:hAnsi="仿宋" w:eastAsia="仿宋" w:cs="仿宋"/>
                <w:kern w:val="0"/>
                <w:sz w:val="24"/>
              </w:rPr>
            </w:pPr>
            <w:r>
              <w:rPr>
                <w:rFonts w:hint="eastAsia" w:ascii="仿宋" w:hAnsi="仿宋" w:eastAsia="仿宋" w:cs="仿宋"/>
                <w:kern w:val="24"/>
                <w:sz w:val="24"/>
              </w:rPr>
              <w:t>0%</w:t>
            </w:r>
          </w:p>
        </w:tc>
        <w:tc>
          <w:tcPr>
            <w:tcW w:w="562" w:type="dxa"/>
            <w:tcMar>
              <w:top w:w="15" w:type="dxa"/>
              <w:left w:w="15" w:type="dxa"/>
              <w:bottom w:w="0" w:type="dxa"/>
              <w:right w:w="15" w:type="dxa"/>
            </w:tcMar>
            <w:vAlign w:val="center"/>
          </w:tcPr>
          <w:p w14:paraId="201ADE39">
            <w:pPr>
              <w:spacing w:line="440" w:lineRule="atLeast"/>
              <w:jc w:val="center"/>
              <w:textAlignment w:val="bottom"/>
              <w:rPr>
                <w:rFonts w:ascii="仿宋" w:hAnsi="仿宋" w:eastAsia="仿宋" w:cs="仿宋"/>
                <w:kern w:val="0"/>
                <w:sz w:val="24"/>
              </w:rPr>
            </w:pPr>
            <w:r>
              <w:rPr>
                <w:rFonts w:hint="eastAsia" w:ascii="仿宋" w:hAnsi="仿宋" w:eastAsia="仿宋" w:cs="仿宋"/>
                <w:kern w:val="24"/>
                <w:sz w:val="24"/>
              </w:rPr>
              <w:t>2%</w:t>
            </w:r>
          </w:p>
        </w:tc>
        <w:tc>
          <w:tcPr>
            <w:tcW w:w="562" w:type="dxa"/>
            <w:tcMar>
              <w:top w:w="15" w:type="dxa"/>
              <w:left w:w="15" w:type="dxa"/>
              <w:bottom w:w="0" w:type="dxa"/>
              <w:right w:w="15" w:type="dxa"/>
            </w:tcMar>
            <w:vAlign w:val="center"/>
          </w:tcPr>
          <w:p w14:paraId="4CD3A2AC">
            <w:pPr>
              <w:spacing w:line="440" w:lineRule="atLeast"/>
              <w:jc w:val="center"/>
              <w:textAlignment w:val="bottom"/>
              <w:rPr>
                <w:rFonts w:ascii="仿宋" w:hAnsi="仿宋" w:eastAsia="仿宋" w:cs="仿宋"/>
                <w:kern w:val="0"/>
                <w:sz w:val="24"/>
              </w:rPr>
            </w:pPr>
            <w:r>
              <w:rPr>
                <w:rFonts w:hint="eastAsia" w:ascii="仿宋" w:hAnsi="仿宋" w:eastAsia="仿宋" w:cs="仿宋"/>
                <w:kern w:val="24"/>
                <w:sz w:val="24"/>
              </w:rPr>
              <w:t>1%</w:t>
            </w:r>
          </w:p>
        </w:tc>
        <w:tc>
          <w:tcPr>
            <w:tcW w:w="562" w:type="dxa"/>
            <w:tcMar>
              <w:top w:w="15" w:type="dxa"/>
              <w:left w:w="15" w:type="dxa"/>
              <w:bottom w:w="0" w:type="dxa"/>
              <w:right w:w="15" w:type="dxa"/>
            </w:tcMar>
            <w:vAlign w:val="center"/>
          </w:tcPr>
          <w:p w14:paraId="59E129FC">
            <w:pPr>
              <w:spacing w:line="440" w:lineRule="atLeast"/>
              <w:jc w:val="center"/>
              <w:textAlignment w:val="bottom"/>
              <w:rPr>
                <w:rFonts w:ascii="仿宋" w:hAnsi="仿宋" w:eastAsia="仿宋" w:cs="仿宋"/>
                <w:kern w:val="0"/>
                <w:sz w:val="24"/>
              </w:rPr>
            </w:pPr>
            <w:r>
              <w:rPr>
                <w:rFonts w:hint="eastAsia" w:ascii="仿宋" w:hAnsi="仿宋" w:eastAsia="仿宋" w:cs="仿宋"/>
                <w:kern w:val="24"/>
                <w:sz w:val="24"/>
              </w:rPr>
              <w:t>1%</w:t>
            </w:r>
          </w:p>
        </w:tc>
        <w:tc>
          <w:tcPr>
            <w:tcW w:w="562" w:type="dxa"/>
            <w:tcMar>
              <w:top w:w="15" w:type="dxa"/>
              <w:left w:w="15" w:type="dxa"/>
              <w:bottom w:w="0" w:type="dxa"/>
              <w:right w:w="15" w:type="dxa"/>
            </w:tcMar>
            <w:vAlign w:val="center"/>
          </w:tcPr>
          <w:p w14:paraId="436999AD">
            <w:pPr>
              <w:spacing w:line="440" w:lineRule="atLeast"/>
              <w:jc w:val="center"/>
              <w:textAlignment w:val="bottom"/>
              <w:rPr>
                <w:rFonts w:ascii="仿宋" w:hAnsi="仿宋" w:eastAsia="仿宋" w:cs="仿宋"/>
                <w:kern w:val="0"/>
                <w:sz w:val="24"/>
              </w:rPr>
            </w:pPr>
            <w:r>
              <w:rPr>
                <w:rFonts w:hint="eastAsia" w:ascii="仿宋" w:hAnsi="仿宋" w:eastAsia="仿宋" w:cs="仿宋"/>
                <w:kern w:val="24"/>
                <w:sz w:val="24"/>
              </w:rPr>
              <w:t>0%</w:t>
            </w:r>
          </w:p>
        </w:tc>
      </w:tr>
      <w:tr w14:paraId="2142D3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86" w:hRule="atLeast"/>
        </w:trPr>
        <w:tc>
          <w:tcPr>
            <w:tcW w:w="2232" w:type="dxa"/>
            <w:tcBorders>
              <w:bottom w:val="single" w:color="auto" w:sz="4" w:space="0"/>
            </w:tcBorders>
            <w:tcMar>
              <w:top w:w="15" w:type="dxa"/>
              <w:left w:w="15" w:type="dxa"/>
              <w:bottom w:w="0" w:type="dxa"/>
              <w:right w:w="15" w:type="dxa"/>
            </w:tcMar>
            <w:vAlign w:val="center"/>
          </w:tcPr>
          <w:p w14:paraId="5C029FA5">
            <w:pPr>
              <w:spacing w:line="440" w:lineRule="atLeast"/>
              <w:jc w:val="left"/>
              <w:textAlignment w:val="bottom"/>
              <w:rPr>
                <w:rFonts w:ascii="仿宋" w:hAnsi="仿宋" w:eastAsia="仿宋" w:cs="仿宋"/>
                <w:kern w:val="0"/>
                <w:sz w:val="24"/>
              </w:rPr>
            </w:pPr>
            <w:r>
              <w:rPr>
                <w:rFonts w:hint="eastAsia" w:ascii="仿宋" w:hAnsi="仿宋" w:eastAsia="仿宋" w:cs="仿宋"/>
                <w:kern w:val="24"/>
                <w:sz w:val="24"/>
              </w:rPr>
              <w:t>ANP（百万元）</w:t>
            </w:r>
          </w:p>
        </w:tc>
        <w:tc>
          <w:tcPr>
            <w:tcW w:w="562" w:type="dxa"/>
            <w:tcBorders>
              <w:bottom w:val="single" w:color="auto" w:sz="4" w:space="0"/>
            </w:tcBorders>
            <w:tcMar>
              <w:top w:w="15" w:type="dxa"/>
              <w:left w:w="15" w:type="dxa"/>
              <w:bottom w:w="0" w:type="dxa"/>
              <w:right w:w="15" w:type="dxa"/>
            </w:tcMar>
            <w:vAlign w:val="center"/>
          </w:tcPr>
          <w:p w14:paraId="1DF001F8">
            <w:pPr>
              <w:spacing w:line="440" w:lineRule="atLeast"/>
              <w:jc w:val="center"/>
              <w:textAlignment w:val="bottom"/>
              <w:rPr>
                <w:rFonts w:ascii="仿宋" w:hAnsi="仿宋" w:eastAsia="仿宋" w:cs="仿宋"/>
                <w:kern w:val="0"/>
                <w:sz w:val="24"/>
              </w:rPr>
            </w:pPr>
            <w:r>
              <w:rPr>
                <w:rFonts w:hint="eastAsia" w:ascii="仿宋" w:hAnsi="仿宋" w:eastAsia="仿宋" w:cs="仿宋"/>
                <w:kern w:val="24"/>
                <w:sz w:val="24"/>
              </w:rPr>
              <w:t>126</w:t>
            </w:r>
          </w:p>
        </w:tc>
        <w:tc>
          <w:tcPr>
            <w:tcW w:w="562" w:type="dxa"/>
            <w:tcBorders>
              <w:bottom w:val="single" w:color="auto" w:sz="4" w:space="0"/>
            </w:tcBorders>
            <w:tcMar>
              <w:top w:w="15" w:type="dxa"/>
              <w:left w:w="15" w:type="dxa"/>
              <w:bottom w:w="0" w:type="dxa"/>
              <w:right w:w="15" w:type="dxa"/>
            </w:tcMar>
            <w:vAlign w:val="center"/>
          </w:tcPr>
          <w:p w14:paraId="649034B4">
            <w:pPr>
              <w:spacing w:line="440" w:lineRule="atLeast"/>
              <w:jc w:val="center"/>
              <w:textAlignment w:val="bottom"/>
              <w:rPr>
                <w:rFonts w:ascii="仿宋" w:hAnsi="仿宋" w:eastAsia="仿宋" w:cs="仿宋"/>
                <w:kern w:val="0"/>
                <w:sz w:val="24"/>
              </w:rPr>
            </w:pPr>
            <w:r>
              <w:rPr>
                <w:rFonts w:hint="eastAsia" w:ascii="仿宋" w:hAnsi="仿宋" w:eastAsia="仿宋" w:cs="仿宋"/>
                <w:kern w:val="24"/>
                <w:sz w:val="24"/>
              </w:rPr>
              <w:t>143</w:t>
            </w:r>
          </w:p>
        </w:tc>
        <w:tc>
          <w:tcPr>
            <w:tcW w:w="562" w:type="dxa"/>
            <w:tcBorders>
              <w:bottom w:val="single" w:color="auto" w:sz="4" w:space="0"/>
            </w:tcBorders>
            <w:tcMar>
              <w:top w:w="15" w:type="dxa"/>
              <w:left w:w="15" w:type="dxa"/>
              <w:bottom w:w="0" w:type="dxa"/>
              <w:right w:w="15" w:type="dxa"/>
            </w:tcMar>
            <w:vAlign w:val="center"/>
          </w:tcPr>
          <w:p w14:paraId="1AC81B47">
            <w:pPr>
              <w:spacing w:line="440" w:lineRule="atLeast"/>
              <w:jc w:val="center"/>
              <w:textAlignment w:val="bottom"/>
              <w:rPr>
                <w:rFonts w:ascii="仿宋" w:hAnsi="仿宋" w:eastAsia="仿宋" w:cs="仿宋"/>
                <w:kern w:val="0"/>
                <w:sz w:val="24"/>
              </w:rPr>
            </w:pPr>
            <w:r>
              <w:rPr>
                <w:rFonts w:hint="eastAsia" w:ascii="仿宋" w:hAnsi="仿宋" w:eastAsia="仿宋" w:cs="仿宋"/>
                <w:kern w:val="24"/>
                <w:sz w:val="24"/>
              </w:rPr>
              <w:t>166</w:t>
            </w:r>
          </w:p>
        </w:tc>
        <w:tc>
          <w:tcPr>
            <w:tcW w:w="562" w:type="dxa"/>
            <w:tcBorders>
              <w:bottom w:val="single" w:color="auto" w:sz="4" w:space="0"/>
            </w:tcBorders>
            <w:tcMar>
              <w:top w:w="15" w:type="dxa"/>
              <w:left w:w="15" w:type="dxa"/>
              <w:bottom w:w="0" w:type="dxa"/>
              <w:right w:w="15" w:type="dxa"/>
            </w:tcMar>
            <w:vAlign w:val="center"/>
          </w:tcPr>
          <w:p w14:paraId="6E3DDE24">
            <w:pPr>
              <w:spacing w:line="440" w:lineRule="atLeast"/>
              <w:jc w:val="center"/>
              <w:textAlignment w:val="bottom"/>
              <w:rPr>
                <w:rFonts w:ascii="仿宋" w:hAnsi="仿宋" w:eastAsia="仿宋" w:cs="仿宋"/>
                <w:kern w:val="0"/>
                <w:sz w:val="24"/>
              </w:rPr>
            </w:pPr>
            <w:r>
              <w:rPr>
                <w:rFonts w:hint="eastAsia" w:ascii="仿宋" w:hAnsi="仿宋" w:eastAsia="仿宋" w:cs="仿宋"/>
                <w:kern w:val="24"/>
                <w:sz w:val="24"/>
              </w:rPr>
              <w:t>189</w:t>
            </w:r>
          </w:p>
        </w:tc>
        <w:tc>
          <w:tcPr>
            <w:tcW w:w="562" w:type="dxa"/>
            <w:tcBorders>
              <w:bottom w:val="single" w:color="auto" w:sz="4" w:space="0"/>
            </w:tcBorders>
            <w:tcMar>
              <w:top w:w="15" w:type="dxa"/>
              <w:left w:w="15" w:type="dxa"/>
              <w:bottom w:w="0" w:type="dxa"/>
              <w:right w:w="15" w:type="dxa"/>
            </w:tcMar>
            <w:vAlign w:val="center"/>
          </w:tcPr>
          <w:p w14:paraId="5C29BDBA">
            <w:pPr>
              <w:spacing w:line="440" w:lineRule="atLeast"/>
              <w:jc w:val="center"/>
              <w:textAlignment w:val="bottom"/>
              <w:rPr>
                <w:rFonts w:ascii="仿宋" w:hAnsi="仿宋" w:eastAsia="仿宋" w:cs="仿宋"/>
                <w:kern w:val="0"/>
                <w:sz w:val="24"/>
              </w:rPr>
            </w:pPr>
            <w:r>
              <w:rPr>
                <w:rFonts w:hint="eastAsia" w:ascii="仿宋" w:hAnsi="仿宋" w:eastAsia="仿宋" w:cs="仿宋"/>
                <w:kern w:val="24"/>
                <w:sz w:val="24"/>
              </w:rPr>
              <w:t>214</w:t>
            </w:r>
          </w:p>
        </w:tc>
        <w:tc>
          <w:tcPr>
            <w:tcW w:w="562" w:type="dxa"/>
            <w:tcBorders>
              <w:bottom w:val="single" w:color="auto" w:sz="4" w:space="0"/>
            </w:tcBorders>
            <w:tcMar>
              <w:top w:w="15" w:type="dxa"/>
              <w:left w:w="15" w:type="dxa"/>
              <w:bottom w:w="0" w:type="dxa"/>
              <w:right w:w="15" w:type="dxa"/>
            </w:tcMar>
            <w:vAlign w:val="center"/>
          </w:tcPr>
          <w:p w14:paraId="74BEEEE6">
            <w:pPr>
              <w:spacing w:line="440" w:lineRule="atLeast"/>
              <w:jc w:val="center"/>
              <w:textAlignment w:val="bottom"/>
              <w:rPr>
                <w:rFonts w:ascii="仿宋" w:hAnsi="仿宋" w:eastAsia="仿宋" w:cs="仿宋"/>
                <w:kern w:val="0"/>
                <w:sz w:val="24"/>
              </w:rPr>
            </w:pPr>
            <w:r>
              <w:rPr>
                <w:rFonts w:hint="eastAsia" w:ascii="仿宋" w:hAnsi="仿宋" w:eastAsia="仿宋" w:cs="仿宋"/>
                <w:kern w:val="24"/>
                <w:sz w:val="24"/>
              </w:rPr>
              <w:t>239</w:t>
            </w:r>
          </w:p>
        </w:tc>
        <w:tc>
          <w:tcPr>
            <w:tcW w:w="562" w:type="dxa"/>
            <w:tcBorders>
              <w:bottom w:val="single" w:color="auto" w:sz="4" w:space="0"/>
            </w:tcBorders>
            <w:tcMar>
              <w:top w:w="15" w:type="dxa"/>
              <w:left w:w="15" w:type="dxa"/>
              <w:bottom w:w="0" w:type="dxa"/>
              <w:right w:w="15" w:type="dxa"/>
            </w:tcMar>
            <w:vAlign w:val="center"/>
          </w:tcPr>
          <w:p w14:paraId="44016DBD">
            <w:pPr>
              <w:spacing w:line="440" w:lineRule="atLeast"/>
              <w:jc w:val="center"/>
              <w:textAlignment w:val="bottom"/>
              <w:rPr>
                <w:rFonts w:ascii="仿宋" w:hAnsi="仿宋" w:eastAsia="仿宋" w:cs="仿宋"/>
                <w:kern w:val="0"/>
                <w:sz w:val="24"/>
              </w:rPr>
            </w:pPr>
            <w:r>
              <w:rPr>
                <w:rFonts w:hint="eastAsia" w:ascii="仿宋" w:hAnsi="仿宋" w:eastAsia="仿宋" w:cs="仿宋"/>
                <w:kern w:val="24"/>
                <w:sz w:val="24"/>
              </w:rPr>
              <w:t>266</w:t>
            </w:r>
          </w:p>
        </w:tc>
        <w:tc>
          <w:tcPr>
            <w:tcW w:w="562" w:type="dxa"/>
            <w:tcBorders>
              <w:bottom w:val="single" w:color="auto" w:sz="4" w:space="0"/>
            </w:tcBorders>
            <w:tcMar>
              <w:top w:w="15" w:type="dxa"/>
              <w:left w:w="15" w:type="dxa"/>
              <w:bottom w:w="0" w:type="dxa"/>
              <w:right w:w="15" w:type="dxa"/>
            </w:tcMar>
            <w:vAlign w:val="center"/>
          </w:tcPr>
          <w:p w14:paraId="3D7E8DA1">
            <w:pPr>
              <w:spacing w:line="440" w:lineRule="atLeast"/>
              <w:jc w:val="center"/>
              <w:textAlignment w:val="bottom"/>
              <w:rPr>
                <w:rFonts w:ascii="仿宋" w:hAnsi="仿宋" w:eastAsia="仿宋" w:cs="仿宋"/>
                <w:kern w:val="0"/>
                <w:sz w:val="24"/>
              </w:rPr>
            </w:pPr>
            <w:r>
              <w:rPr>
                <w:rFonts w:hint="eastAsia" w:ascii="仿宋" w:hAnsi="仿宋" w:eastAsia="仿宋" w:cs="仿宋"/>
                <w:kern w:val="24"/>
                <w:sz w:val="24"/>
              </w:rPr>
              <w:t>292</w:t>
            </w:r>
          </w:p>
        </w:tc>
        <w:tc>
          <w:tcPr>
            <w:tcW w:w="562" w:type="dxa"/>
            <w:tcBorders>
              <w:bottom w:val="single" w:color="auto" w:sz="4" w:space="0"/>
            </w:tcBorders>
            <w:tcMar>
              <w:top w:w="15" w:type="dxa"/>
              <w:left w:w="15" w:type="dxa"/>
              <w:bottom w:w="0" w:type="dxa"/>
              <w:right w:w="15" w:type="dxa"/>
            </w:tcMar>
            <w:vAlign w:val="center"/>
          </w:tcPr>
          <w:p w14:paraId="2F509A19">
            <w:pPr>
              <w:spacing w:line="440" w:lineRule="atLeast"/>
              <w:jc w:val="center"/>
              <w:textAlignment w:val="bottom"/>
              <w:rPr>
                <w:rFonts w:ascii="仿宋" w:hAnsi="仿宋" w:eastAsia="仿宋" w:cs="仿宋"/>
                <w:kern w:val="0"/>
                <w:sz w:val="24"/>
              </w:rPr>
            </w:pPr>
            <w:r>
              <w:rPr>
                <w:rFonts w:hint="eastAsia" w:ascii="仿宋" w:hAnsi="仿宋" w:eastAsia="仿宋" w:cs="仿宋"/>
                <w:kern w:val="24"/>
                <w:sz w:val="24"/>
              </w:rPr>
              <w:t>319</w:t>
            </w:r>
          </w:p>
        </w:tc>
        <w:tc>
          <w:tcPr>
            <w:tcW w:w="562" w:type="dxa"/>
            <w:tcBorders>
              <w:bottom w:val="single" w:color="auto" w:sz="4" w:space="0"/>
            </w:tcBorders>
            <w:tcMar>
              <w:top w:w="15" w:type="dxa"/>
              <w:left w:w="15" w:type="dxa"/>
              <w:bottom w:w="0" w:type="dxa"/>
              <w:right w:w="15" w:type="dxa"/>
            </w:tcMar>
            <w:vAlign w:val="center"/>
          </w:tcPr>
          <w:p w14:paraId="6A6CE2BA">
            <w:pPr>
              <w:spacing w:line="440" w:lineRule="atLeast"/>
              <w:jc w:val="center"/>
              <w:textAlignment w:val="bottom"/>
              <w:rPr>
                <w:rFonts w:ascii="仿宋" w:hAnsi="仿宋" w:eastAsia="仿宋" w:cs="仿宋"/>
                <w:kern w:val="0"/>
                <w:sz w:val="24"/>
              </w:rPr>
            </w:pPr>
            <w:r>
              <w:rPr>
                <w:rFonts w:hint="eastAsia" w:ascii="仿宋" w:hAnsi="仿宋" w:eastAsia="仿宋" w:cs="仿宋"/>
                <w:kern w:val="24"/>
                <w:sz w:val="24"/>
              </w:rPr>
              <w:t>344</w:t>
            </w:r>
          </w:p>
        </w:tc>
        <w:tc>
          <w:tcPr>
            <w:tcW w:w="562" w:type="dxa"/>
            <w:tcBorders>
              <w:bottom w:val="single" w:color="auto" w:sz="4" w:space="0"/>
            </w:tcBorders>
            <w:tcMar>
              <w:top w:w="15" w:type="dxa"/>
              <w:left w:w="15" w:type="dxa"/>
              <w:bottom w:w="0" w:type="dxa"/>
              <w:right w:w="15" w:type="dxa"/>
            </w:tcMar>
            <w:vAlign w:val="center"/>
          </w:tcPr>
          <w:p w14:paraId="052735BA">
            <w:pPr>
              <w:spacing w:line="440" w:lineRule="atLeast"/>
              <w:jc w:val="center"/>
              <w:textAlignment w:val="bottom"/>
              <w:rPr>
                <w:rFonts w:ascii="仿宋" w:hAnsi="仿宋" w:eastAsia="仿宋" w:cs="仿宋"/>
                <w:kern w:val="0"/>
                <w:sz w:val="24"/>
              </w:rPr>
            </w:pPr>
            <w:r>
              <w:rPr>
                <w:rFonts w:hint="eastAsia" w:ascii="仿宋" w:hAnsi="仿宋" w:eastAsia="仿宋" w:cs="仿宋"/>
                <w:kern w:val="24"/>
                <w:sz w:val="24"/>
              </w:rPr>
              <w:t>368</w:t>
            </w:r>
          </w:p>
        </w:tc>
        <w:tc>
          <w:tcPr>
            <w:tcW w:w="562" w:type="dxa"/>
            <w:tcBorders>
              <w:bottom w:val="single" w:color="auto" w:sz="4" w:space="0"/>
            </w:tcBorders>
            <w:tcMar>
              <w:top w:w="15" w:type="dxa"/>
              <w:left w:w="15" w:type="dxa"/>
              <w:bottom w:w="0" w:type="dxa"/>
              <w:right w:w="15" w:type="dxa"/>
            </w:tcMar>
            <w:vAlign w:val="center"/>
          </w:tcPr>
          <w:p w14:paraId="03260EE5">
            <w:pPr>
              <w:spacing w:line="440" w:lineRule="atLeast"/>
              <w:jc w:val="center"/>
              <w:textAlignment w:val="bottom"/>
              <w:rPr>
                <w:rFonts w:ascii="仿宋" w:hAnsi="仿宋" w:eastAsia="仿宋" w:cs="仿宋"/>
                <w:kern w:val="0"/>
                <w:sz w:val="24"/>
              </w:rPr>
            </w:pPr>
            <w:r>
              <w:rPr>
                <w:rFonts w:hint="eastAsia" w:ascii="仿宋" w:hAnsi="仿宋" w:eastAsia="仿宋" w:cs="仿宋"/>
                <w:kern w:val="24"/>
                <w:sz w:val="24"/>
              </w:rPr>
              <w:t>390</w:t>
            </w:r>
          </w:p>
        </w:tc>
      </w:tr>
      <w:tr w14:paraId="59094BC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86" w:hRule="atLeast"/>
        </w:trPr>
        <w:tc>
          <w:tcPr>
            <w:tcW w:w="2232" w:type="dxa"/>
            <w:tcBorders>
              <w:top w:val="single" w:color="auto" w:sz="4" w:space="0"/>
              <w:bottom w:val="nil"/>
            </w:tcBorders>
            <w:tcMar>
              <w:top w:w="15" w:type="dxa"/>
              <w:left w:w="15" w:type="dxa"/>
              <w:bottom w:w="0" w:type="dxa"/>
              <w:right w:w="15" w:type="dxa"/>
            </w:tcMar>
            <w:vAlign w:val="center"/>
          </w:tcPr>
          <w:p w14:paraId="1620F91E">
            <w:pPr>
              <w:spacing w:line="440" w:lineRule="atLeast"/>
              <w:jc w:val="center"/>
              <w:textAlignment w:val="bottom"/>
              <w:rPr>
                <w:rFonts w:ascii="仿宋" w:hAnsi="仿宋" w:eastAsia="仿宋" w:cs="仿宋"/>
                <w:kern w:val="0"/>
                <w:sz w:val="24"/>
              </w:rPr>
            </w:pPr>
            <w:r>
              <w:rPr>
                <w:rFonts w:hint="eastAsia" w:ascii="仿宋" w:hAnsi="仿宋" w:eastAsia="仿宋" w:cs="仿宋"/>
                <w:b/>
                <w:bCs/>
                <w:kern w:val="24"/>
                <w:sz w:val="24"/>
              </w:rPr>
              <w:t>银保渠道</w:t>
            </w:r>
          </w:p>
        </w:tc>
        <w:tc>
          <w:tcPr>
            <w:tcW w:w="562" w:type="dxa"/>
            <w:tcBorders>
              <w:top w:val="single" w:color="auto" w:sz="4" w:space="0"/>
              <w:bottom w:val="nil"/>
            </w:tcBorders>
            <w:tcMar>
              <w:top w:w="15" w:type="dxa"/>
              <w:left w:w="15" w:type="dxa"/>
              <w:bottom w:w="0" w:type="dxa"/>
              <w:right w:w="15" w:type="dxa"/>
            </w:tcMar>
            <w:vAlign w:val="center"/>
          </w:tcPr>
          <w:p w14:paraId="758E825A">
            <w:pPr>
              <w:spacing w:line="440" w:lineRule="atLeast"/>
              <w:jc w:val="center"/>
              <w:rPr>
                <w:rFonts w:ascii="仿宋" w:hAnsi="仿宋" w:eastAsia="仿宋" w:cs="仿宋"/>
                <w:kern w:val="0"/>
                <w:sz w:val="24"/>
              </w:rPr>
            </w:pPr>
          </w:p>
        </w:tc>
        <w:tc>
          <w:tcPr>
            <w:tcW w:w="562" w:type="dxa"/>
            <w:tcBorders>
              <w:top w:val="single" w:color="auto" w:sz="4" w:space="0"/>
              <w:bottom w:val="nil"/>
            </w:tcBorders>
            <w:tcMar>
              <w:top w:w="15" w:type="dxa"/>
              <w:left w:w="15" w:type="dxa"/>
              <w:bottom w:w="0" w:type="dxa"/>
              <w:right w:w="15" w:type="dxa"/>
            </w:tcMar>
            <w:vAlign w:val="center"/>
          </w:tcPr>
          <w:p w14:paraId="18A53728">
            <w:pPr>
              <w:spacing w:line="440" w:lineRule="atLeast"/>
              <w:jc w:val="center"/>
              <w:rPr>
                <w:rFonts w:ascii="仿宋" w:hAnsi="仿宋" w:eastAsia="仿宋" w:cs="仿宋"/>
                <w:kern w:val="0"/>
                <w:sz w:val="24"/>
              </w:rPr>
            </w:pPr>
          </w:p>
        </w:tc>
        <w:tc>
          <w:tcPr>
            <w:tcW w:w="562" w:type="dxa"/>
            <w:tcBorders>
              <w:top w:val="single" w:color="auto" w:sz="4" w:space="0"/>
              <w:bottom w:val="nil"/>
            </w:tcBorders>
            <w:tcMar>
              <w:top w:w="15" w:type="dxa"/>
              <w:left w:w="15" w:type="dxa"/>
              <w:bottom w:w="0" w:type="dxa"/>
              <w:right w:w="15" w:type="dxa"/>
            </w:tcMar>
            <w:vAlign w:val="center"/>
          </w:tcPr>
          <w:p w14:paraId="67F8A329">
            <w:pPr>
              <w:spacing w:line="440" w:lineRule="atLeast"/>
              <w:jc w:val="center"/>
              <w:rPr>
                <w:rFonts w:ascii="仿宋" w:hAnsi="仿宋" w:eastAsia="仿宋" w:cs="仿宋"/>
                <w:kern w:val="0"/>
                <w:sz w:val="24"/>
              </w:rPr>
            </w:pPr>
          </w:p>
        </w:tc>
        <w:tc>
          <w:tcPr>
            <w:tcW w:w="562" w:type="dxa"/>
            <w:tcBorders>
              <w:top w:val="single" w:color="auto" w:sz="4" w:space="0"/>
              <w:bottom w:val="nil"/>
            </w:tcBorders>
            <w:tcMar>
              <w:top w:w="15" w:type="dxa"/>
              <w:left w:w="15" w:type="dxa"/>
              <w:bottom w:w="0" w:type="dxa"/>
              <w:right w:w="15" w:type="dxa"/>
            </w:tcMar>
            <w:vAlign w:val="center"/>
          </w:tcPr>
          <w:p w14:paraId="255798B9">
            <w:pPr>
              <w:spacing w:line="440" w:lineRule="atLeast"/>
              <w:jc w:val="center"/>
              <w:rPr>
                <w:rFonts w:ascii="仿宋" w:hAnsi="仿宋" w:eastAsia="仿宋" w:cs="仿宋"/>
                <w:kern w:val="0"/>
                <w:sz w:val="24"/>
              </w:rPr>
            </w:pPr>
          </w:p>
        </w:tc>
        <w:tc>
          <w:tcPr>
            <w:tcW w:w="562" w:type="dxa"/>
            <w:tcBorders>
              <w:top w:val="single" w:color="auto" w:sz="4" w:space="0"/>
              <w:bottom w:val="nil"/>
            </w:tcBorders>
            <w:tcMar>
              <w:top w:w="15" w:type="dxa"/>
              <w:left w:w="15" w:type="dxa"/>
              <w:bottom w:w="0" w:type="dxa"/>
              <w:right w:w="15" w:type="dxa"/>
            </w:tcMar>
            <w:vAlign w:val="center"/>
          </w:tcPr>
          <w:p w14:paraId="6C264951">
            <w:pPr>
              <w:spacing w:line="440" w:lineRule="atLeast"/>
              <w:jc w:val="center"/>
              <w:rPr>
                <w:rFonts w:ascii="仿宋" w:hAnsi="仿宋" w:eastAsia="仿宋" w:cs="仿宋"/>
                <w:kern w:val="0"/>
                <w:sz w:val="24"/>
              </w:rPr>
            </w:pPr>
          </w:p>
        </w:tc>
        <w:tc>
          <w:tcPr>
            <w:tcW w:w="562" w:type="dxa"/>
            <w:tcBorders>
              <w:top w:val="single" w:color="auto" w:sz="4" w:space="0"/>
              <w:bottom w:val="nil"/>
            </w:tcBorders>
            <w:tcMar>
              <w:top w:w="15" w:type="dxa"/>
              <w:left w:w="15" w:type="dxa"/>
              <w:bottom w:w="0" w:type="dxa"/>
              <w:right w:w="15" w:type="dxa"/>
            </w:tcMar>
            <w:vAlign w:val="center"/>
          </w:tcPr>
          <w:p w14:paraId="7BCF7F48">
            <w:pPr>
              <w:spacing w:line="440" w:lineRule="atLeast"/>
              <w:jc w:val="center"/>
              <w:rPr>
                <w:rFonts w:ascii="仿宋" w:hAnsi="仿宋" w:eastAsia="仿宋" w:cs="仿宋"/>
                <w:kern w:val="0"/>
                <w:sz w:val="24"/>
              </w:rPr>
            </w:pPr>
          </w:p>
        </w:tc>
        <w:tc>
          <w:tcPr>
            <w:tcW w:w="562" w:type="dxa"/>
            <w:tcBorders>
              <w:top w:val="single" w:color="auto" w:sz="4" w:space="0"/>
              <w:bottom w:val="nil"/>
            </w:tcBorders>
            <w:tcMar>
              <w:top w:w="15" w:type="dxa"/>
              <w:left w:w="15" w:type="dxa"/>
              <w:bottom w:w="0" w:type="dxa"/>
              <w:right w:w="15" w:type="dxa"/>
            </w:tcMar>
            <w:vAlign w:val="center"/>
          </w:tcPr>
          <w:p w14:paraId="04AF30E0">
            <w:pPr>
              <w:spacing w:line="440" w:lineRule="atLeast"/>
              <w:jc w:val="center"/>
              <w:rPr>
                <w:rFonts w:ascii="仿宋" w:hAnsi="仿宋" w:eastAsia="仿宋" w:cs="仿宋"/>
                <w:kern w:val="0"/>
                <w:sz w:val="24"/>
              </w:rPr>
            </w:pPr>
          </w:p>
        </w:tc>
        <w:tc>
          <w:tcPr>
            <w:tcW w:w="562" w:type="dxa"/>
            <w:tcBorders>
              <w:top w:val="single" w:color="auto" w:sz="4" w:space="0"/>
              <w:bottom w:val="nil"/>
            </w:tcBorders>
            <w:tcMar>
              <w:top w:w="15" w:type="dxa"/>
              <w:left w:w="15" w:type="dxa"/>
              <w:bottom w:w="0" w:type="dxa"/>
              <w:right w:w="15" w:type="dxa"/>
            </w:tcMar>
            <w:vAlign w:val="center"/>
          </w:tcPr>
          <w:p w14:paraId="2377479E">
            <w:pPr>
              <w:spacing w:line="440" w:lineRule="atLeast"/>
              <w:jc w:val="center"/>
              <w:rPr>
                <w:rFonts w:ascii="仿宋" w:hAnsi="仿宋" w:eastAsia="仿宋" w:cs="仿宋"/>
                <w:kern w:val="0"/>
                <w:sz w:val="24"/>
              </w:rPr>
            </w:pPr>
          </w:p>
        </w:tc>
        <w:tc>
          <w:tcPr>
            <w:tcW w:w="562" w:type="dxa"/>
            <w:tcBorders>
              <w:top w:val="single" w:color="auto" w:sz="4" w:space="0"/>
              <w:bottom w:val="nil"/>
            </w:tcBorders>
            <w:tcMar>
              <w:top w:w="15" w:type="dxa"/>
              <w:left w:w="15" w:type="dxa"/>
              <w:bottom w:w="0" w:type="dxa"/>
              <w:right w:w="15" w:type="dxa"/>
            </w:tcMar>
            <w:vAlign w:val="center"/>
          </w:tcPr>
          <w:p w14:paraId="51ED4BED">
            <w:pPr>
              <w:spacing w:line="440" w:lineRule="atLeast"/>
              <w:jc w:val="center"/>
              <w:rPr>
                <w:rFonts w:ascii="仿宋" w:hAnsi="仿宋" w:eastAsia="仿宋" w:cs="仿宋"/>
                <w:kern w:val="0"/>
                <w:sz w:val="24"/>
              </w:rPr>
            </w:pPr>
          </w:p>
        </w:tc>
        <w:tc>
          <w:tcPr>
            <w:tcW w:w="562" w:type="dxa"/>
            <w:tcBorders>
              <w:top w:val="single" w:color="auto" w:sz="4" w:space="0"/>
              <w:bottom w:val="nil"/>
            </w:tcBorders>
            <w:tcMar>
              <w:top w:w="15" w:type="dxa"/>
              <w:left w:w="15" w:type="dxa"/>
              <w:bottom w:w="0" w:type="dxa"/>
              <w:right w:w="15" w:type="dxa"/>
            </w:tcMar>
            <w:vAlign w:val="center"/>
          </w:tcPr>
          <w:p w14:paraId="41F42B72">
            <w:pPr>
              <w:spacing w:line="440" w:lineRule="atLeast"/>
              <w:jc w:val="center"/>
              <w:rPr>
                <w:rFonts w:ascii="仿宋" w:hAnsi="仿宋" w:eastAsia="仿宋" w:cs="仿宋"/>
                <w:kern w:val="0"/>
                <w:sz w:val="24"/>
              </w:rPr>
            </w:pPr>
          </w:p>
        </w:tc>
        <w:tc>
          <w:tcPr>
            <w:tcW w:w="562" w:type="dxa"/>
            <w:tcBorders>
              <w:top w:val="single" w:color="auto" w:sz="4" w:space="0"/>
              <w:bottom w:val="nil"/>
            </w:tcBorders>
            <w:tcMar>
              <w:top w:w="15" w:type="dxa"/>
              <w:left w:w="15" w:type="dxa"/>
              <w:bottom w:w="0" w:type="dxa"/>
              <w:right w:w="15" w:type="dxa"/>
            </w:tcMar>
            <w:vAlign w:val="center"/>
          </w:tcPr>
          <w:p w14:paraId="561FC31F">
            <w:pPr>
              <w:spacing w:line="440" w:lineRule="atLeast"/>
              <w:jc w:val="center"/>
              <w:rPr>
                <w:rFonts w:ascii="仿宋" w:hAnsi="仿宋" w:eastAsia="仿宋" w:cs="仿宋"/>
                <w:kern w:val="0"/>
                <w:sz w:val="24"/>
              </w:rPr>
            </w:pPr>
          </w:p>
        </w:tc>
        <w:tc>
          <w:tcPr>
            <w:tcW w:w="562" w:type="dxa"/>
            <w:tcBorders>
              <w:top w:val="single" w:color="auto" w:sz="4" w:space="0"/>
              <w:bottom w:val="nil"/>
            </w:tcBorders>
            <w:tcMar>
              <w:top w:w="15" w:type="dxa"/>
              <w:left w:w="15" w:type="dxa"/>
              <w:bottom w:w="0" w:type="dxa"/>
              <w:right w:w="15" w:type="dxa"/>
            </w:tcMar>
            <w:vAlign w:val="center"/>
          </w:tcPr>
          <w:p w14:paraId="222C0498">
            <w:pPr>
              <w:spacing w:line="440" w:lineRule="atLeast"/>
              <w:jc w:val="center"/>
              <w:rPr>
                <w:rFonts w:ascii="仿宋" w:hAnsi="仿宋" w:eastAsia="仿宋" w:cs="仿宋"/>
                <w:kern w:val="0"/>
                <w:sz w:val="24"/>
              </w:rPr>
            </w:pPr>
          </w:p>
        </w:tc>
      </w:tr>
      <w:tr w14:paraId="5DB484F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86" w:hRule="atLeast"/>
        </w:trPr>
        <w:tc>
          <w:tcPr>
            <w:tcW w:w="2232" w:type="dxa"/>
            <w:tcBorders>
              <w:top w:val="nil"/>
              <w:bottom w:val="nil"/>
            </w:tcBorders>
            <w:tcMar>
              <w:top w:w="15" w:type="dxa"/>
              <w:left w:w="15" w:type="dxa"/>
              <w:bottom w:w="0" w:type="dxa"/>
              <w:right w:w="15" w:type="dxa"/>
            </w:tcMar>
            <w:vAlign w:val="center"/>
          </w:tcPr>
          <w:p w14:paraId="6DB932F0">
            <w:pPr>
              <w:spacing w:line="440" w:lineRule="atLeast"/>
              <w:jc w:val="left"/>
              <w:textAlignment w:val="bottom"/>
              <w:rPr>
                <w:rFonts w:ascii="仿宋" w:hAnsi="仿宋" w:eastAsia="仿宋" w:cs="仿宋"/>
                <w:kern w:val="0"/>
                <w:sz w:val="24"/>
              </w:rPr>
            </w:pPr>
            <w:r>
              <w:rPr>
                <w:rFonts w:hint="eastAsia" w:ascii="仿宋" w:hAnsi="仿宋" w:eastAsia="仿宋" w:cs="仿宋"/>
                <w:kern w:val="24"/>
                <w:sz w:val="24"/>
              </w:rPr>
              <w:t>活动银行月均网点数量</w:t>
            </w:r>
          </w:p>
        </w:tc>
        <w:tc>
          <w:tcPr>
            <w:tcW w:w="562" w:type="dxa"/>
            <w:tcBorders>
              <w:top w:val="nil"/>
              <w:bottom w:val="nil"/>
            </w:tcBorders>
            <w:tcMar>
              <w:top w:w="15" w:type="dxa"/>
              <w:left w:w="15" w:type="dxa"/>
              <w:bottom w:w="0" w:type="dxa"/>
              <w:right w:w="15" w:type="dxa"/>
            </w:tcMar>
            <w:vAlign w:val="center"/>
          </w:tcPr>
          <w:p w14:paraId="08F54215">
            <w:pPr>
              <w:spacing w:line="440" w:lineRule="atLeast"/>
              <w:jc w:val="right"/>
              <w:textAlignment w:val="bottom"/>
              <w:rPr>
                <w:rFonts w:ascii="仿宋" w:hAnsi="仿宋" w:eastAsia="仿宋" w:cs="仿宋"/>
                <w:kern w:val="0"/>
                <w:sz w:val="24"/>
              </w:rPr>
            </w:pPr>
            <w:r>
              <w:rPr>
                <w:rFonts w:hint="eastAsia" w:ascii="仿宋" w:hAnsi="仿宋" w:eastAsia="仿宋" w:cs="仿宋"/>
                <w:kern w:val="24"/>
                <w:sz w:val="24"/>
              </w:rPr>
              <w:t>115</w:t>
            </w:r>
          </w:p>
        </w:tc>
        <w:tc>
          <w:tcPr>
            <w:tcW w:w="562" w:type="dxa"/>
            <w:tcBorders>
              <w:top w:val="nil"/>
              <w:bottom w:val="nil"/>
            </w:tcBorders>
            <w:tcMar>
              <w:top w:w="15" w:type="dxa"/>
              <w:left w:w="15" w:type="dxa"/>
              <w:bottom w:w="0" w:type="dxa"/>
              <w:right w:w="15" w:type="dxa"/>
            </w:tcMar>
            <w:vAlign w:val="center"/>
          </w:tcPr>
          <w:p w14:paraId="67AD4765">
            <w:pPr>
              <w:spacing w:line="440" w:lineRule="atLeast"/>
              <w:jc w:val="right"/>
              <w:textAlignment w:val="bottom"/>
              <w:rPr>
                <w:rFonts w:ascii="仿宋" w:hAnsi="仿宋" w:eastAsia="仿宋" w:cs="仿宋"/>
                <w:kern w:val="0"/>
                <w:sz w:val="24"/>
              </w:rPr>
            </w:pPr>
            <w:r>
              <w:rPr>
                <w:rFonts w:hint="eastAsia" w:ascii="仿宋" w:hAnsi="仿宋" w:eastAsia="仿宋" w:cs="仿宋"/>
                <w:kern w:val="24"/>
                <w:sz w:val="24"/>
              </w:rPr>
              <w:t>124</w:t>
            </w:r>
          </w:p>
        </w:tc>
        <w:tc>
          <w:tcPr>
            <w:tcW w:w="562" w:type="dxa"/>
            <w:tcBorders>
              <w:top w:val="nil"/>
              <w:bottom w:val="nil"/>
            </w:tcBorders>
            <w:tcMar>
              <w:top w:w="15" w:type="dxa"/>
              <w:left w:w="15" w:type="dxa"/>
              <w:bottom w:w="0" w:type="dxa"/>
              <w:right w:w="15" w:type="dxa"/>
            </w:tcMar>
            <w:vAlign w:val="center"/>
          </w:tcPr>
          <w:p w14:paraId="65D1E2D2">
            <w:pPr>
              <w:spacing w:line="440" w:lineRule="atLeast"/>
              <w:jc w:val="right"/>
              <w:textAlignment w:val="bottom"/>
              <w:rPr>
                <w:rFonts w:ascii="仿宋" w:hAnsi="仿宋" w:eastAsia="仿宋" w:cs="仿宋"/>
                <w:kern w:val="0"/>
                <w:sz w:val="24"/>
              </w:rPr>
            </w:pPr>
            <w:r>
              <w:rPr>
                <w:rFonts w:hint="eastAsia" w:ascii="仿宋" w:hAnsi="仿宋" w:eastAsia="仿宋" w:cs="仿宋"/>
                <w:kern w:val="24"/>
                <w:sz w:val="24"/>
              </w:rPr>
              <w:t>132</w:t>
            </w:r>
          </w:p>
        </w:tc>
        <w:tc>
          <w:tcPr>
            <w:tcW w:w="562" w:type="dxa"/>
            <w:tcBorders>
              <w:top w:val="nil"/>
              <w:bottom w:val="nil"/>
            </w:tcBorders>
            <w:tcMar>
              <w:top w:w="15" w:type="dxa"/>
              <w:left w:w="15" w:type="dxa"/>
              <w:bottom w:w="0" w:type="dxa"/>
              <w:right w:w="15" w:type="dxa"/>
            </w:tcMar>
            <w:vAlign w:val="center"/>
          </w:tcPr>
          <w:p w14:paraId="394E75AA">
            <w:pPr>
              <w:spacing w:line="440" w:lineRule="atLeast"/>
              <w:jc w:val="right"/>
              <w:textAlignment w:val="bottom"/>
              <w:rPr>
                <w:rFonts w:ascii="仿宋" w:hAnsi="仿宋" w:eastAsia="仿宋" w:cs="仿宋"/>
                <w:kern w:val="0"/>
                <w:sz w:val="24"/>
              </w:rPr>
            </w:pPr>
            <w:r>
              <w:rPr>
                <w:rFonts w:hint="eastAsia" w:ascii="仿宋" w:hAnsi="仿宋" w:eastAsia="仿宋" w:cs="仿宋"/>
                <w:kern w:val="24"/>
                <w:sz w:val="24"/>
              </w:rPr>
              <w:t>142</w:t>
            </w:r>
          </w:p>
        </w:tc>
        <w:tc>
          <w:tcPr>
            <w:tcW w:w="562" w:type="dxa"/>
            <w:tcBorders>
              <w:top w:val="nil"/>
              <w:bottom w:val="nil"/>
            </w:tcBorders>
            <w:tcMar>
              <w:top w:w="15" w:type="dxa"/>
              <w:left w:w="15" w:type="dxa"/>
              <w:bottom w:w="0" w:type="dxa"/>
              <w:right w:w="15" w:type="dxa"/>
            </w:tcMar>
            <w:vAlign w:val="center"/>
          </w:tcPr>
          <w:p w14:paraId="5974164B">
            <w:pPr>
              <w:spacing w:line="440" w:lineRule="atLeast"/>
              <w:jc w:val="right"/>
              <w:textAlignment w:val="bottom"/>
              <w:rPr>
                <w:rFonts w:ascii="仿宋" w:hAnsi="仿宋" w:eastAsia="仿宋" w:cs="仿宋"/>
                <w:kern w:val="0"/>
                <w:sz w:val="24"/>
              </w:rPr>
            </w:pPr>
            <w:r>
              <w:rPr>
                <w:rFonts w:hint="eastAsia" w:ascii="仿宋" w:hAnsi="仿宋" w:eastAsia="仿宋" w:cs="仿宋"/>
                <w:kern w:val="24"/>
                <w:sz w:val="24"/>
              </w:rPr>
              <w:t>152</w:t>
            </w:r>
          </w:p>
        </w:tc>
        <w:tc>
          <w:tcPr>
            <w:tcW w:w="562" w:type="dxa"/>
            <w:tcBorders>
              <w:top w:val="nil"/>
              <w:bottom w:val="nil"/>
            </w:tcBorders>
            <w:tcMar>
              <w:top w:w="15" w:type="dxa"/>
              <w:left w:w="15" w:type="dxa"/>
              <w:bottom w:w="0" w:type="dxa"/>
              <w:right w:w="15" w:type="dxa"/>
            </w:tcMar>
            <w:vAlign w:val="center"/>
          </w:tcPr>
          <w:p w14:paraId="3DF411B7">
            <w:pPr>
              <w:spacing w:line="440" w:lineRule="atLeast"/>
              <w:jc w:val="right"/>
              <w:textAlignment w:val="bottom"/>
              <w:rPr>
                <w:rFonts w:ascii="仿宋" w:hAnsi="仿宋" w:eastAsia="仿宋" w:cs="仿宋"/>
                <w:kern w:val="0"/>
                <w:sz w:val="24"/>
              </w:rPr>
            </w:pPr>
            <w:r>
              <w:rPr>
                <w:rFonts w:hint="eastAsia" w:ascii="仿宋" w:hAnsi="仿宋" w:eastAsia="仿宋" w:cs="仿宋"/>
                <w:kern w:val="24"/>
                <w:sz w:val="24"/>
              </w:rPr>
              <w:t>164</w:t>
            </w:r>
          </w:p>
        </w:tc>
        <w:tc>
          <w:tcPr>
            <w:tcW w:w="562" w:type="dxa"/>
            <w:tcBorders>
              <w:top w:val="nil"/>
              <w:bottom w:val="nil"/>
            </w:tcBorders>
            <w:tcMar>
              <w:top w:w="15" w:type="dxa"/>
              <w:left w:w="15" w:type="dxa"/>
              <w:bottom w:w="0" w:type="dxa"/>
              <w:right w:w="15" w:type="dxa"/>
            </w:tcMar>
            <w:vAlign w:val="center"/>
          </w:tcPr>
          <w:p w14:paraId="0400249C">
            <w:pPr>
              <w:spacing w:line="440" w:lineRule="atLeast"/>
              <w:jc w:val="right"/>
              <w:textAlignment w:val="bottom"/>
              <w:rPr>
                <w:rFonts w:ascii="仿宋" w:hAnsi="仿宋" w:eastAsia="仿宋" w:cs="仿宋"/>
                <w:kern w:val="0"/>
                <w:sz w:val="24"/>
              </w:rPr>
            </w:pPr>
            <w:r>
              <w:rPr>
                <w:rFonts w:hint="eastAsia" w:ascii="仿宋" w:hAnsi="仿宋" w:eastAsia="仿宋" w:cs="仿宋"/>
                <w:kern w:val="24"/>
                <w:sz w:val="24"/>
              </w:rPr>
              <w:t>175</w:t>
            </w:r>
          </w:p>
        </w:tc>
        <w:tc>
          <w:tcPr>
            <w:tcW w:w="562" w:type="dxa"/>
            <w:tcBorders>
              <w:top w:val="nil"/>
              <w:bottom w:val="nil"/>
            </w:tcBorders>
            <w:tcMar>
              <w:top w:w="15" w:type="dxa"/>
              <w:left w:w="15" w:type="dxa"/>
              <w:bottom w:w="0" w:type="dxa"/>
              <w:right w:w="15" w:type="dxa"/>
            </w:tcMar>
            <w:vAlign w:val="center"/>
          </w:tcPr>
          <w:p w14:paraId="077E83BB">
            <w:pPr>
              <w:spacing w:line="440" w:lineRule="atLeast"/>
              <w:jc w:val="right"/>
              <w:textAlignment w:val="bottom"/>
              <w:rPr>
                <w:rFonts w:ascii="仿宋" w:hAnsi="仿宋" w:eastAsia="仿宋" w:cs="仿宋"/>
                <w:kern w:val="0"/>
                <w:sz w:val="24"/>
              </w:rPr>
            </w:pPr>
            <w:r>
              <w:rPr>
                <w:rFonts w:hint="eastAsia" w:ascii="仿宋" w:hAnsi="仿宋" w:eastAsia="仿宋" w:cs="仿宋"/>
                <w:kern w:val="24"/>
                <w:sz w:val="24"/>
              </w:rPr>
              <w:t>186</w:t>
            </w:r>
          </w:p>
        </w:tc>
        <w:tc>
          <w:tcPr>
            <w:tcW w:w="562" w:type="dxa"/>
            <w:tcBorders>
              <w:top w:val="nil"/>
              <w:bottom w:val="nil"/>
            </w:tcBorders>
            <w:tcMar>
              <w:top w:w="15" w:type="dxa"/>
              <w:left w:w="15" w:type="dxa"/>
              <w:bottom w:w="0" w:type="dxa"/>
              <w:right w:w="15" w:type="dxa"/>
            </w:tcMar>
            <w:vAlign w:val="center"/>
          </w:tcPr>
          <w:p w14:paraId="0262BD8B">
            <w:pPr>
              <w:spacing w:line="440" w:lineRule="atLeast"/>
              <w:jc w:val="right"/>
              <w:textAlignment w:val="bottom"/>
              <w:rPr>
                <w:rFonts w:ascii="仿宋" w:hAnsi="仿宋" w:eastAsia="仿宋" w:cs="仿宋"/>
                <w:kern w:val="0"/>
                <w:sz w:val="24"/>
              </w:rPr>
            </w:pPr>
            <w:r>
              <w:rPr>
                <w:rFonts w:hint="eastAsia" w:ascii="仿宋" w:hAnsi="仿宋" w:eastAsia="仿宋" w:cs="仿宋"/>
                <w:kern w:val="24"/>
                <w:sz w:val="24"/>
              </w:rPr>
              <w:t>197</w:t>
            </w:r>
          </w:p>
        </w:tc>
        <w:tc>
          <w:tcPr>
            <w:tcW w:w="562" w:type="dxa"/>
            <w:tcBorders>
              <w:top w:val="nil"/>
              <w:bottom w:val="nil"/>
            </w:tcBorders>
            <w:tcMar>
              <w:top w:w="15" w:type="dxa"/>
              <w:left w:w="15" w:type="dxa"/>
              <w:bottom w:w="0" w:type="dxa"/>
              <w:right w:w="15" w:type="dxa"/>
            </w:tcMar>
            <w:vAlign w:val="center"/>
          </w:tcPr>
          <w:p w14:paraId="7BA62468">
            <w:pPr>
              <w:spacing w:line="440" w:lineRule="atLeast"/>
              <w:jc w:val="right"/>
              <w:textAlignment w:val="bottom"/>
              <w:rPr>
                <w:rFonts w:ascii="仿宋" w:hAnsi="仿宋" w:eastAsia="仿宋" w:cs="仿宋"/>
                <w:kern w:val="0"/>
                <w:sz w:val="24"/>
              </w:rPr>
            </w:pPr>
            <w:r>
              <w:rPr>
                <w:rFonts w:hint="eastAsia" w:ascii="仿宋" w:hAnsi="仿宋" w:eastAsia="仿宋" w:cs="仿宋"/>
                <w:kern w:val="24"/>
                <w:sz w:val="24"/>
              </w:rPr>
              <w:t>208</w:t>
            </w:r>
          </w:p>
        </w:tc>
        <w:tc>
          <w:tcPr>
            <w:tcW w:w="562" w:type="dxa"/>
            <w:tcBorders>
              <w:top w:val="nil"/>
              <w:bottom w:val="nil"/>
            </w:tcBorders>
            <w:tcMar>
              <w:top w:w="15" w:type="dxa"/>
              <w:left w:w="15" w:type="dxa"/>
              <w:bottom w:w="0" w:type="dxa"/>
              <w:right w:w="15" w:type="dxa"/>
            </w:tcMar>
            <w:vAlign w:val="center"/>
          </w:tcPr>
          <w:p w14:paraId="5BDA8DF4">
            <w:pPr>
              <w:spacing w:line="440" w:lineRule="atLeast"/>
              <w:jc w:val="right"/>
              <w:textAlignment w:val="bottom"/>
              <w:rPr>
                <w:rFonts w:ascii="仿宋" w:hAnsi="仿宋" w:eastAsia="仿宋" w:cs="仿宋"/>
                <w:kern w:val="0"/>
                <w:sz w:val="24"/>
              </w:rPr>
            </w:pPr>
            <w:r>
              <w:rPr>
                <w:rFonts w:hint="eastAsia" w:ascii="仿宋" w:hAnsi="仿宋" w:eastAsia="仿宋" w:cs="仿宋"/>
                <w:kern w:val="24"/>
                <w:sz w:val="24"/>
              </w:rPr>
              <w:t>217</w:t>
            </w:r>
          </w:p>
        </w:tc>
        <w:tc>
          <w:tcPr>
            <w:tcW w:w="562" w:type="dxa"/>
            <w:tcBorders>
              <w:top w:val="nil"/>
              <w:bottom w:val="nil"/>
            </w:tcBorders>
            <w:tcMar>
              <w:top w:w="15" w:type="dxa"/>
              <w:left w:w="15" w:type="dxa"/>
              <w:bottom w:w="0" w:type="dxa"/>
              <w:right w:w="15" w:type="dxa"/>
            </w:tcMar>
            <w:vAlign w:val="center"/>
          </w:tcPr>
          <w:p w14:paraId="5CBF8810">
            <w:pPr>
              <w:spacing w:line="440" w:lineRule="atLeast"/>
              <w:jc w:val="right"/>
              <w:textAlignment w:val="bottom"/>
              <w:rPr>
                <w:rFonts w:ascii="仿宋" w:hAnsi="仿宋" w:eastAsia="仿宋" w:cs="仿宋"/>
                <w:kern w:val="0"/>
                <w:sz w:val="24"/>
              </w:rPr>
            </w:pPr>
            <w:r>
              <w:rPr>
                <w:rFonts w:hint="eastAsia" w:ascii="仿宋" w:hAnsi="仿宋" w:eastAsia="仿宋" w:cs="仿宋"/>
                <w:kern w:val="24"/>
                <w:sz w:val="24"/>
              </w:rPr>
              <w:t>228</w:t>
            </w:r>
          </w:p>
        </w:tc>
      </w:tr>
      <w:tr w14:paraId="467DCE2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86" w:hRule="atLeast"/>
        </w:trPr>
        <w:tc>
          <w:tcPr>
            <w:tcW w:w="2232" w:type="dxa"/>
            <w:tcBorders>
              <w:top w:val="nil"/>
              <w:bottom w:val="nil"/>
            </w:tcBorders>
            <w:tcMar>
              <w:top w:w="15" w:type="dxa"/>
              <w:left w:w="15" w:type="dxa"/>
              <w:bottom w:w="0" w:type="dxa"/>
              <w:right w:w="15" w:type="dxa"/>
            </w:tcMar>
            <w:vAlign w:val="center"/>
          </w:tcPr>
          <w:p w14:paraId="5DC82384">
            <w:pPr>
              <w:spacing w:line="440" w:lineRule="atLeast"/>
              <w:jc w:val="left"/>
              <w:textAlignment w:val="bottom"/>
              <w:rPr>
                <w:rFonts w:ascii="仿宋" w:hAnsi="仿宋" w:eastAsia="仿宋" w:cs="仿宋"/>
                <w:kern w:val="0"/>
                <w:sz w:val="24"/>
              </w:rPr>
            </w:pPr>
            <w:r>
              <w:rPr>
                <w:rFonts w:hint="eastAsia" w:ascii="仿宋" w:hAnsi="仿宋" w:eastAsia="仿宋" w:cs="仿宋"/>
                <w:kern w:val="24"/>
                <w:sz w:val="24"/>
              </w:rPr>
              <w:t>活动网点数增长率</w:t>
            </w:r>
          </w:p>
        </w:tc>
        <w:tc>
          <w:tcPr>
            <w:tcW w:w="562" w:type="dxa"/>
            <w:tcBorders>
              <w:top w:val="nil"/>
              <w:bottom w:val="nil"/>
            </w:tcBorders>
            <w:tcMar>
              <w:top w:w="15" w:type="dxa"/>
              <w:left w:w="15" w:type="dxa"/>
              <w:bottom w:w="0" w:type="dxa"/>
              <w:right w:w="15" w:type="dxa"/>
            </w:tcMar>
            <w:vAlign w:val="center"/>
          </w:tcPr>
          <w:p w14:paraId="79B92361">
            <w:pPr>
              <w:spacing w:line="440" w:lineRule="atLeast"/>
              <w:jc w:val="right"/>
              <w:rPr>
                <w:rFonts w:ascii="仿宋" w:hAnsi="仿宋" w:eastAsia="仿宋" w:cs="仿宋"/>
                <w:kern w:val="0"/>
                <w:sz w:val="24"/>
              </w:rPr>
            </w:pPr>
          </w:p>
        </w:tc>
        <w:tc>
          <w:tcPr>
            <w:tcW w:w="562" w:type="dxa"/>
            <w:tcBorders>
              <w:top w:val="nil"/>
              <w:bottom w:val="nil"/>
            </w:tcBorders>
            <w:tcMar>
              <w:top w:w="15" w:type="dxa"/>
              <w:left w:w="15" w:type="dxa"/>
              <w:bottom w:w="0" w:type="dxa"/>
              <w:right w:w="15" w:type="dxa"/>
            </w:tcMar>
            <w:vAlign w:val="center"/>
          </w:tcPr>
          <w:p w14:paraId="6E4EEADB">
            <w:pPr>
              <w:spacing w:line="440" w:lineRule="atLeast"/>
              <w:jc w:val="right"/>
              <w:textAlignment w:val="bottom"/>
              <w:rPr>
                <w:rFonts w:ascii="仿宋" w:hAnsi="仿宋" w:eastAsia="仿宋" w:cs="仿宋"/>
                <w:kern w:val="0"/>
                <w:sz w:val="24"/>
              </w:rPr>
            </w:pPr>
            <w:r>
              <w:rPr>
                <w:rFonts w:hint="eastAsia" w:ascii="仿宋" w:hAnsi="仿宋" w:eastAsia="仿宋" w:cs="仿宋"/>
                <w:kern w:val="24"/>
                <w:sz w:val="24"/>
              </w:rPr>
              <w:t>8%</w:t>
            </w:r>
          </w:p>
        </w:tc>
        <w:tc>
          <w:tcPr>
            <w:tcW w:w="562" w:type="dxa"/>
            <w:tcBorders>
              <w:top w:val="nil"/>
              <w:bottom w:val="nil"/>
            </w:tcBorders>
            <w:tcMar>
              <w:top w:w="15" w:type="dxa"/>
              <w:left w:w="15" w:type="dxa"/>
              <w:bottom w:w="0" w:type="dxa"/>
              <w:right w:w="15" w:type="dxa"/>
            </w:tcMar>
            <w:vAlign w:val="center"/>
          </w:tcPr>
          <w:p w14:paraId="475EF8A0">
            <w:pPr>
              <w:spacing w:line="440" w:lineRule="atLeast"/>
              <w:jc w:val="right"/>
              <w:textAlignment w:val="bottom"/>
              <w:rPr>
                <w:rFonts w:ascii="仿宋" w:hAnsi="仿宋" w:eastAsia="仿宋" w:cs="仿宋"/>
                <w:kern w:val="0"/>
                <w:sz w:val="24"/>
              </w:rPr>
            </w:pPr>
            <w:r>
              <w:rPr>
                <w:rFonts w:hint="eastAsia" w:ascii="仿宋" w:hAnsi="仿宋" w:eastAsia="仿宋" w:cs="仿宋"/>
                <w:kern w:val="24"/>
                <w:sz w:val="24"/>
              </w:rPr>
              <w:t>7%</w:t>
            </w:r>
          </w:p>
        </w:tc>
        <w:tc>
          <w:tcPr>
            <w:tcW w:w="562" w:type="dxa"/>
            <w:tcBorders>
              <w:top w:val="nil"/>
              <w:bottom w:val="nil"/>
            </w:tcBorders>
            <w:tcMar>
              <w:top w:w="15" w:type="dxa"/>
              <w:left w:w="15" w:type="dxa"/>
              <w:bottom w:w="0" w:type="dxa"/>
              <w:right w:w="15" w:type="dxa"/>
            </w:tcMar>
            <w:vAlign w:val="center"/>
          </w:tcPr>
          <w:p w14:paraId="51328E4C">
            <w:pPr>
              <w:spacing w:line="440" w:lineRule="atLeast"/>
              <w:jc w:val="right"/>
              <w:textAlignment w:val="bottom"/>
              <w:rPr>
                <w:rFonts w:ascii="仿宋" w:hAnsi="仿宋" w:eastAsia="仿宋" w:cs="仿宋"/>
                <w:kern w:val="0"/>
                <w:sz w:val="24"/>
              </w:rPr>
            </w:pPr>
            <w:r>
              <w:rPr>
                <w:rFonts w:hint="eastAsia" w:ascii="仿宋" w:hAnsi="仿宋" w:eastAsia="仿宋" w:cs="仿宋"/>
                <w:kern w:val="24"/>
                <w:sz w:val="24"/>
              </w:rPr>
              <w:t>8%</w:t>
            </w:r>
          </w:p>
        </w:tc>
        <w:tc>
          <w:tcPr>
            <w:tcW w:w="562" w:type="dxa"/>
            <w:tcBorders>
              <w:top w:val="nil"/>
              <w:bottom w:val="nil"/>
            </w:tcBorders>
            <w:tcMar>
              <w:top w:w="15" w:type="dxa"/>
              <w:left w:w="15" w:type="dxa"/>
              <w:bottom w:w="0" w:type="dxa"/>
              <w:right w:w="15" w:type="dxa"/>
            </w:tcMar>
            <w:vAlign w:val="center"/>
          </w:tcPr>
          <w:p w14:paraId="4D2D173D">
            <w:pPr>
              <w:spacing w:line="440" w:lineRule="atLeast"/>
              <w:jc w:val="right"/>
              <w:textAlignment w:val="bottom"/>
              <w:rPr>
                <w:rFonts w:ascii="仿宋" w:hAnsi="仿宋" w:eastAsia="仿宋" w:cs="仿宋"/>
                <w:kern w:val="0"/>
                <w:sz w:val="24"/>
              </w:rPr>
            </w:pPr>
            <w:r>
              <w:rPr>
                <w:rFonts w:hint="eastAsia" w:ascii="仿宋" w:hAnsi="仿宋" w:eastAsia="仿宋" w:cs="仿宋"/>
                <w:kern w:val="24"/>
                <w:sz w:val="24"/>
              </w:rPr>
              <w:t>8%</w:t>
            </w:r>
          </w:p>
        </w:tc>
        <w:tc>
          <w:tcPr>
            <w:tcW w:w="562" w:type="dxa"/>
            <w:tcBorders>
              <w:top w:val="nil"/>
              <w:bottom w:val="nil"/>
            </w:tcBorders>
            <w:tcMar>
              <w:top w:w="15" w:type="dxa"/>
              <w:left w:w="15" w:type="dxa"/>
              <w:bottom w:w="0" w:type="dxa"/>
              <w:right w:w="15" w:type="dxa"/>
            </w:tcMar>
            <w:vAlign w:val="center"/>
          </w:tcPr>
          <w:p w14:paraId="27FD46B5">
            <w:pPr>
              <w:spacing w:line="440" w:lineRule="atLeast"/>
              <w:jc w:val="right"/>
              <w:textAlignment w:val="bottom"/>
              <w:rPr>
                <w:rFonts w:ascii="仿宋" w:hAnsi="仿宋" w:eastAsia="仿宋" w:cs="仿宋"/>
                <w:kern w:val="0"/>
                <w:sz w:val="24"/>
              </w:rPr>
            </w:pPr>
            <w:r>
              <w:rPr>
                <w:rFonts w:hint="eastAsia" w:ascii="仿宋" w:hAnsi="仿宋" w:eastAsia="仿宋" w:cs="仿宋"/>
                <w:kern w:val="24"/>
                <w:sz w:val="24"/>
              </w:rPr>
              <w:t>8%</w:t>
            </w:r>
          </w:p>
        </w:tc>
        <w:tc>
          <w:tcPr>
            <w:tcW w:w="562" w:type="dxa"/>
            <w:tcBorders>
              <w:top w:val="nil"/>
              <w:bottom w:val="nil"/>
            </w:tcBorders>
            <w:tcMar>
              <w:top w:w="15" w:type="dxa"/>
              <w:left w:w="15" w:type="dxa"/>
              <w:bottom w:w="0" w:type="dxa"/>
              <w:right w:w="15" w:type="dxa"/>
            </w:tcMar>
            <w:vAlign w:val="center"/>
          </w:tcPr>
          <w:p w14:paraId="36E25549">
            <w:pPr>
              <w:spacing w:line="440" w:lineRule="atLeast"/>
              <w:jc w:val="right"/>
              <w:textAlignment w:val="bottom"/>
              <w:rPr>
                <w:rFonts w:ascii="仿宋" w:hAnsi="仿宋" w:eastAsia="仿宋" w:cs="仿宋"/>
                <w:kern w:val="0"/>
                <w:sz w:val="24"/>
              </w:rPr>
            </w:pPr>
            <w:r>
              <w:rPr>
                <w:rFonts w:hint="eastAsia" w:ascii="仿宋" w:hAnsi="仿宋" w:eastAsia="仿宋" w:cs="仿宋"/>
                <w:kern w:val="24"/>
                <w:sz w:val="24"/>
              </w:rPr>
              <w:t>7%</w:t>
            </w:r>
          </w:p>
        </w:tc>
        <w:tc>
          <w:tcPr>
            <w:tcW w:w="562" w:type="dxa"/>
            <w:tcBorders>
              <w:top w:val="nil"/>
              <w:bottom w:val="nil"/>
            </w:tcBorders>
            <w:tcMar>
              <w:top w:w="15" w:type="dxa"/>
              <w:left w:w="15" w:type="dxa"/>
              <w:bottom w:w="0" w:type="dxa"/>
              <w:right w:w="15" w:type="dxa"/>
            </w:tcMar>
            <w:vAlign w:val="center"/>
          </w:tcPr>
          <w:p w14:paraId="6CE5E655">
            <w:pPr>
              <w:spacing w:line="440" w:lineRule="atLeast"/>
              <w:jc w:val="right"/>
              <w:textAlignment w:val="bottom"/>
              <w:rPr>
                <w:rFonts w:ascii="仿宋" w:hAnsi="仿宋" w:eastAsia="仿宋" w:cs="仿宋"/>
                <w:kern w:val="0"/>
                <w:sz w:val="24"/>
              </w:rPr>
            </w:pPr>
            <w:r>
              <w:rPr>
                <w:rFonts w:hint="eastAsia" w:ascii="仿宋" w:hAnsi="仿宋" w:eastAsia="仿宋" w:cs="仿宋"/>
                <w:kern w:val="24"/>
                <w:sz w:val="24"/>
              </w:rPr>
              <w:t>7%</w:t>
            </w:r>
          </w:p>
        </w:tc>
        <w:tc>
          <w:tcPr>
            <w:tcW w:w="562" w:type="dxa"/>
            <w:tcBorders>
              <w:top w:val="nil"/>
              <w:bottom w:val="nil"/>
            </w:tcBorders>
            <w:tcMar>
              <w:top w:w="15" w:type="dxa"/>
              <w:left w:w="15" w:type="dxa"/>
              <w:bottom w:w="0" w:type="dxa"/>
              <w:right w:w="15" w:type="dxa"/>
            </w:tcMar>
            <w:vAlign w:val="center"/>
          </w:tcPr>
          <w:p w14:paraId="3FE417F0">
            <w:pPr>
              <w:spacing w:line="440" w:lineRule="atLeast"/>
              <w:jc w:val="right"/>
              <w:textAlignment w:val="bottom"/>
              <w:rPr>
                <w:rFonts w:ascii="仿宋" w:hAnsi="仿宋" w:eastAsia="仿宋" w:cs="仿宋"/>
                <w:kern w:val="0"/>
                <w:sz w:val="24"/>
              </w:rPr>
            </w:pPr>
            <w:r>
              <w:rPr>
                <w:rFonts w:hint="eastAsia" w:ascii="仿宋" w:hAnsi="仿宋" w:eastAsia="仿宋" w:cs="仿宋"/>
                <w:kern w:val="24"/>
                <w:sz w:val="24"/>
              </w:rPr>
              <w:t>6%</w:t>
            </w:r>
          </w:p>
        </w:tc>
        <w:tc>
          <w:tcPr>
            <w:tcW w:w="562" w:type="dxa"/>
            <w:tcBorders>
              <w:top w:val="nil"/>
              <w:bottom w:val="nil"/>
            </w:tcBorders>
            <w:tcMar>
              <w:top w:w="15" w:type="dxa"/>
              <w:left w:w="15" w:type="dxa"/>
              <w:bottom w:w="0" w:type="dxa"/>
              <w:right w:w="15" w:type="dxa"/>
            </w:tcMar>
            <w:vAlign w:val="center"/>
          </w:tcPr>
          <w:p w14:paraId="35BB1CA6">
            <w:pPr>
              <w:spacing w:line="440" w:lineRule="atLeast"/>
              <w:jc w:val="right"/>
              <w:textAlignment w:val="bottom"/>
              <w:rPr>
                <w:rFonts w:ascii="仿宋" w:hAnsi="仿宋" w:eastAsia="仿宋" w:cs="仿宋"/>
                <w:kern w:val="0"/>
                <w:sz w:val="24"/>
              </w:rPr>
            </w:pPr>
            <w:r>
              <w:rPr>
                <w:rFonts w:hint="eastAsia" w:ascii="仿宋" w:hAnsi="仿宋" w:eastAsia="仿宋" w:cs="仿宋"/>
                <w:kern w:val="24"/>
                <w:sz w:val="24"/>
              </w:rPr>
              <w:t>6%</w:t>
            </w:r>
          </w:p>
        </w:tc>
        <w:tc>
          <w:tcPr>
            <w:tcW w:w="562" w:type="dxa"/>
            <w:tcBorders>
              <w:top w:val="nil"/>
              <w:bottom w:val="nil"/>
            </w:tcBorders>
            <w:tcMar>
              <w:top w:w="15" w:type="dxa"/>
              <w:left w:w="15" w:type="dxa"/>
              <w:bottom w:w="0" w:type="dxa"/>
              <w:right w:w="15" w:type="dxa"/>
            </w:tcMar>
            <w:vAlign w:val="center"/>
          </w:tcPr>
          <w:p w14:paraId="083A7E0C">
            <w:pPr>
              <w:spacing w:line="440" w:lineRule="atLeast"/>
              <w:jc w:val="right"/>
              <w:textAlignment w:val="bottom"/>
              <w:rPr>
                <w:rFonts w:ascii="仿宋" w:hAnsi="仿宋" w:eastAsia="仿宋" w:cs="仿宋"/>
                <w:kern w:val="0"/>
                <w:sz w:val="24"/>
              </w:rPr>
            </w:pPr>
            <w:r>
              <w:rPr>
                <w:rFonts w:hint="eastAsia" w:ascii="仿宋" w:hAnsi="仿宋" w:eastAsia="仿宋" w:cs="仿宋"/>
                <w:kern w:val="24"/>
                <w:sz w:val="24"/>
              </w:rPr>
              <w:t>5%</w:t>
            </w:r>
          </w:p>
        </w:tc>
        <w:tc>
          <w:tcPr>
            <w:tcW w:w="562" w:type="dxa"/>
            <w:tcBorders>
              <w:top w:val="nil"/>
              <w:bottom w:val="nil"/>
            </w:tcBorders>
            <w:tcMar>
              <w:top w:w="15" w:type="dxa"/>
              <w:left w:w="15" w:type="dxa"/>
              <w:bottom w:w="0" w:type="dxa"/>
              <w:right w:w="15" w:type="dxa"/>
            </w:tcMar>
            <w:vAlign w:val="center"/>
          </w:tcPr>
          <w:p w14:paraId="371378FE">
            <w:pPr>
              <w:spacing w:line="440" w:lineRule="atLeast"/>
              <w:jc w:val="right"/>
              <w:textAlignment w:val="bottom"/>
              <w:rPr>
                <w:rFonts w:ascii="仿宋" w:hAnsi="仿宋" w:eastAsia="仿宋" w:cs="仿宋"/>
                <w:kern w:val="0"/>
                <w:sz w:val="24"/>
              </w:rPr>
            </w:pPr>
            <w:r>
              <w:rPr>
                <w:rFonts w:hint="eastAsia" w:ascii="仿宋" w:hAnsi="仿宋" w:eastAsia="仿宋" w:cs="仿宋"/>
                <w:kern w:val="24"/>
                <w:sz w:val="24"/>
              </w:rPr>
              <w:t>5%</w:t>
            </w:r>
          </w:p>
        </w:tc>
      </w:tr>
      <w:tr w14:paraId="1D0A48A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86" w:hRule="atLeast"/>
        </w:trPr>
        <w:tc>
          <w:tcPr>
            <w:tcW w:w="2232" w:type="dxa"/>
            <w:tcBorders>
              <w:top w:val="nil"/>
              <w:bottom w:val="nil"/>
            </w:tcBorders>
            <w:tcMar>
              <w:top w:w="15" w:type="dxa"/>
              <w:left w:w="15" w:type="dxa"/>
              <w:bottom w:w="0" w:type="dxa"/>
              <w:right w:w="15" w:type="dxa"/>
            </w:tcMar>
            <w:vAlign w:val="center"/>
          </w:tcPr>
          <w:p w14:paraId="3BA11886">
            <w:pPr>
              <w:spacing w:line="440" w:lineRule="atLeast"/>
              <w:jc w:val="left"/>
              <w:textAlignment w:val="bottom"/>
              <w:rPr>
                <w:rFonts w:ascii="仿宋" w:hAnsi="仿宋" w:eastAsia="仿宋" w:cs="仿宋"/>
                <w:kern w:val="0"/>
                <w:sz w:val="24"/>
              </w:rPr>
            </w:pPr>
            <w:r>
              <w:rPr>
                <w:rFonts w:hint="eastAsia" w:ascii="仿宋" w:hAnsi="仿宋" w:eastAsia="仿宋" w:cs="仿宋"/>
                <w:kern w:val="24"/>
                <w:sz w:val="24"/>
              </w:rPr>
              <w:t>活动网点月均产能（千元）</w:t>
            </w:r>
          </w:p>
        </w:tc>
        <w:tc>
          <w:tcPr>
            <w:tcW w:w="562" w:type="dxa"/>
            <w:tcBorders>
              <w:top w:val="nil"/>
              <w:bottom w:val="nil"/>
            </w:tcBorders>
            <w:tcMar>
              <w:top w:w="15" w:type="dxa"/>
              <w:left w:w="15" w:type="dxa"/>
              <w:bottom w:w="0" w:type="dxa"/>
              <w:right w:w="15" w:type="dxa"/>
            </w:tcMar>
            <w:vAlign w:val="center"/>
          </w:tcPr>
          <w:p w14:paraId="7DFFD5E5">
            <w:pPr>
              <w:spacing w:line="440" w:lineRule="atLeast"/>
              <w:jc w:val="right"/>
              <w:textAlignment w:val="bottom"/>
              <w:rPr>
                <w:rFonts w:ascii="仿宋" w:hAnsi="仿宋" w:eastAsia="仿宋" w:cs="仿宋"/>
                <w:kern w:val="0"/>
                <w:sz w:val="24"/>
              </w:rPr>
            </w:pPr>
            <w:r>
              <w:rPr>
                <w:rFonts w:hint="eastAsia" w:ascii="仿宋" w:hAnsi="仿宋" w:eastAsia="仿宋" w:cs="仿宋"/>
                <w:kern w:val="24"/>
                <w:sz w:val="24"/>
              </w:rPr>
              <w:t>263</w:t>
            </w:r>
          </w:p>
        </w:tc>
        <w:tc>
          <w:tcPr>
            <w:tcW w:w="562" w:type="dxa"/>
            <w:tcBorders>
              <w:top w:val="nil"/>
              <w:bottom w:val="nil"/>
            </w:tcBorders>
            <w:tcMar>
              <w:top w:w="15" w:type="dxa"/>
              <w:left w:w="15" w:type="dxa"/>
              <w:bottom w:w="0" w:type="dxa"/>
              <w:right w:w="15" w:type="dxa"/>
            </w:tcMar>
            <w:vAlign w:val="center"/>
          </w:tcPr>
          <w:p w14:paraId="30819CE0">
            <w:pPr>
              <w:spacing w:line="440" w:lineRule="atLeast"/>
              <w:jc w:val="right"/>
              <w:textAlignment w:val="bottom"/>
              <w:rPr>
                <w:rFonts w:ascii="仿宋" w:hAnsi="仿宋" w:eastAsia="仿宋" w:cs="仿宋"/>
                <w:kern w:val="0"/>
                <w:sz w:val="24"/>
              </w:rPr>
            </w:pPr>
            <w:r>
              <w:rPr>
                <w:rFonts w:hint="eastAsia" w:ascii="仿宋" w:hAnsi="仿宋" w:eastAsia="仿宋" w:cs="仿宋"/>
                <w:kern w:val="24"/>
                <w:sz w:val="24"/>
              </w:rPr>
              <w:t>302</w:t>
            </w:r>
          </w:p>
        </w:tc>
        <w:tc>
          <w:tcPr>
            <w:tcW w:w="562" w:type="dxa"/>
            <w:tcBorders>
              <w:top w:val="nil"/>
              <w:bottom w:val="nil"/>
            </w:tcBorders>
            <w:tcMar>
              <w:top w:w="15" w:type="dxa"/>
              <w:left w:w="15" w:type="dxa"/>
              <w:bottom w:w="0" w:type="dxa"/>
              <w:right w:w="15" w:type="dxa"/>
            </w:tcMar>
            <w:vAlign w:val="center"/>
          </w:tcPr>
          <w:p w14:paraId="46097DB1">
            <w:pPr>
              <w:spacing w:line="440" w:lineRule="atLeast"/>
              <w:jc w:val="right"/>
              <w:textAlignment w:val="bottom"/>
              <w:rPr>
                <w:rFonts w:ascii="仿宋" w:hAnsi="仿宋" w:eastAsia="仿宋" w:cs="仿宋"/>
                <w:kern w:val="0"/>
                <w:sz w:val="24"/>
              </w:rPr>
            </w:pPr>
            <w:r>
              <w:rPr>
                <w:rFonts w:hint="eastAsia" w:ascii="仿宋" w:hAnsi="仿宋" w:eastAsia="仿宋" w:cs="仿宋"/>
                <w:kern w:val="24"/>
                <w:sz w:val="24"/>
              </w:rPr>
              <w:t>329</w:t>
            </w:r>
          </w:p>
        </w:tc>
        <w:tc>
          <w:tcPr>
            <w:tcW w:w="562" w:type="dxa"/>
            <w:tcBorders>
              <w:top w:val="nil"/>
              <w:bottom w:val="nil"/>
            </w:tcBorders>
            <w:tcMar>
              <w:top w:w="15" w:type="dxa"/>
              <w:left w:w="15" w:type="dxa"/>
              <w:bottom w:w="0" w:type="dxa"/>
              <w:right w:w="15" w:type="dxa"/>
            </w:tcMar>
            <w:vAlign w:val="center"/>
          </w:tcPr>
          <w:p w14:paraId="4D85AB7F">
            <w:pPr>
              <w:spacing w:line="440" w:lineRule="atLeast"/>
              <w:jc w:val="right"/>
              <w:textAlignment w:val="bottom"/>
              <w:rPr>
                <w:rFonts w:ascii="仿宋" w:hAnsi="仿宋" w:eastAsia="仿宋" w:cs="仿宋"/>
                <w:kern w:val="0"/>
                <w:sz w:val="24"/>
              </w:rPr>
            </w:pPr>
            <w:r>
              <w:rPr>
                <w:rFonts w:hint="eastAsia" w:ascii="仿宋" w:hAnsi="仿宋" w:eastAsia="仿宋" w:cs="仿宋"/>
                <w:kern w:val="24"/>
                <w:sz w:val="24"/>
              </w:rPr>
              <w:t>344</w:t>
            </w:r>
          </w:p>
        </w:tc>
        <w:tc>
          <w:tcPr>
            <w:tcW w:w="562" w:type="dxa"/>
            <w:tcBorders>
              <w:top w:val="nil"/>
              <w:bottom w:val="nil"/>
            </w:tcBorders>
            <w:tcMar>
              <w:top w:w="15" w:type="dxa"/>
              <w:left w:w="15" w:type="dxa"/>
              <w:bottom w:w="0" w:type="dxa"/>
              <w:right w:w="15" w:type="dxa"/>
            </w:tcMar>
            <w:vAlign w:val="center"/>
          </w:tcPr>
          <w:p w14:paraId="77C53FDB">
            <w:pPr>
              <w:spacing w:line="440" w:lineRule="atLeast"/>
              <w:jc w:val="right"/>
              <w:textAlignment w:val="bottom"/>
              <w:rPr>
                <w:rFonts w:ascii="仿宋" w:hAnsi="仿宋" w:eastAsia="仿宋" w:cs="仿宋"/>
                <w:kern w:val="0"/>
                <w:sz w:val="24"/>
              </w:rPr>
            </w:pPr>
            <w:r>
              <w:rPr>
                <w:rFonts w:hint="eastAsia" w:ascii="仿宋" w:hAnsi="仿宋" w:eastAsia="仿宋" w:cs="仿宋"/>
                <w:kern w:val="24"/>
                <w:sz w:val="24"/>
              </w:rPr>
              <w:t>361</w:t>
            </w:r>
          </w:p>
        </w:tc>
        <w:tc>
          <w:tcPr>
            <w:tcW w:w="562" w:type="dxa"/>
            <w:tcBorders>
              <w:top w:val="nil"/>
              <w:bottom w:val="nil"/>
            </w:tcBorders>
            <w:tcMar>
              <w:top w:w="15" w:type="dxa"/>
              <w:left w:w="15" w:type="dxa"/>
              <w:bottom w:w="0" w:type="dxa"/>
              <w:right w:w="15" w:type="dxa"/>
            </w:tcMar>
            <w:vAlign w:val="center"/>
          </w:tcPr>
          <w:p w14:paraId="688A0AF2">
            <w:pPr>
              <w:spacing w:line="440" w:lineRule="atLeast"/>
              <w:jc w:val="right"/>
              <w:textAlignment w:val="bottom"/>
              <w:rPr>
                <w:rFonts w:ascii="仿宋" w:hAnsi="仿宋" w:eastAsia="仿宋" w:cs="仿宋"/>
                <w:kern w:val="0"/>
                <w:sz w:val="24"/>
              </w:rPr>
            </w:pPr>
            <w:r>
              <w:rPr>
                <w:rFonts w:hint="eastAsia" w:ascii="仿宋" w:hAnsi="仿宋" w:eastAsia="仿宋" w:cs="仿宋"/>
                <w:kern w:val="24"/>
                <w:sz w:val="24"/>
              </w:rPr>
              <w:t>376</w:t>
            </w:r>
          </w:p>
        </w:tc>
        <w:tc>
          <w:tcPr>
            <w:tcW w:w="562" w:type="dxa"/>
            <w:tcBorders>
              <w:top w:val="nil"/>
              <w:bottom w:val="nil"/>
            </w:tcBorders>
            <w:tcMar>
              <w:top w:w="15" w:type="dxa"/>
              <w:left w:w="15" w:type="dxa"/>
              <w:bottom w:w="0" w:type="dxa"/>
              <w:right w:w="15" w:type="dxa"/>
            </w:tcMar>
            <w:vAlign w:val="center"/>
          </w:tcPr>
          <w:p w14:paraId="6EFF3124">
            <w:pPr>
              <w:spacing w:line="440" w:lineRule="atLeast"/>
              <w:jc w:val="right"/>
              <w:textAlignment w:val="bottom"/>
              <w:rPr>
                <w:rFonts w:ascii="仿宋" w:hAnsi="仿宋" w:eastAsia="仿宋" w:cs="仿宋"/>
                <w:kern w:val="0"/>
                <w:sz w:val="24"/>
              </w:rPr>
            </w:pPr>
            <w:r>
              <w:rPr>
                <w:rFonts w:hint="eastAsia" w:ascii="仿宋" w:hAnsi="仿宋" w:eastAsia="仿宋" w:cs="仿宋"/>
                <w:kern w:val="24"/>
                <w:sz w:val="24"/>
              </w:rPr>
              <w:t>392</w:t>
            </w:r>
          </w:p>
        </w:tc>
        <w:tc>
          <w:tcPr>
            <w:tcW w:w="562" w:type="dxa"/>
            <w:tcBorders>
              <w:top w:val="nil"/>
              <w:bottom w:val="nil"/>
            </w:tcBorders>
            <w:tcMar>
              <w:top w:w="15" w:type="dxa"/>
              <w:left w:w="15" w:type="dxa"/>
              <w:bottom w:w="0" w:type="dxa"/>
              <w:right w:w="15" w:type="dxa"/>
            </w:tcMar>
            <w:vAlign w:val="center"/>
          </w:tcPr>
          <w:p w14:paraId="6DA3BFF5">
            <w:pPr>
              <w:spacing w:line="440" w:lineRule="atLeast"/>
              <w:jc w:val="right"/>
              <w:textAlignment w:val="bottom"/>
              <w:rPr>
                <w:rFonts w:ascii="仿宋" w:hAnsi="仿宋" w:eastAsia="仿宋" w:cs="仿宋"/>
                <w:kern w:val="0"/>
                <w:sz w:val="24"/>
              </w:rPr>
            </w:pPr>
            <w:r>
              <w:rPr>
                <w:rFonts w:hint="eastAsia" w:ascii="仿宋" w:hAnsi="仿宋" w:eastAsia="仿宋" w:cs="仿宋"/>
                <w:kern w:val="24"/>
                <w:sz w:val="24"/>
              </w:rPr>
              <w:t>404</w:t>
            </w:r>
          </w:p>
        </w:tc>
        <w:tc>
          <w:tcPr>
            <w:tcW w:w="562" w:type="dxa"/>
            <w:tcBorders>
              <w:top w:val="nil"/>
              <w:bottom w:val="nil"/>
            </w:tcBorders>
            <w:tcMar>
              <w:top w:w="15" w:type="dxa"/>
              <w:left w:w="15" w:type="dxa"/>
              <w:bottom w:w="0" w:type="dxa"/>
              <w:right w:w="15" w:type="dxa"/>
            </w:tcMar>
            <w:vAlign w:val="center"/>
          </w:tcPr>
          <w:p w14:paraId="03B2A72B">
            <w:pPr>
              <w:spacing w:line="440" w:lineRule="atLeast"/>
              <w:jc w:val="right"/>
              <w:textAlignment w:val="bottom"/>
              <w:rPr>
                <w:rFonts w:ascii="仿宋" w:hAnsi="仿宋" w:eastAsia="仿宋" w:cs="仿宋"/>
                <w:kern w:val="0"/>
                <w:sz w:val="24"/>
              </w:rPr>
            </w:pPr>
            <w:r>
              <w:rPr>
                <w:rFonts w:hint="eastAsia" w:ascii="仿宋" w:hAnsi="仿宋" w:eastAsia="仿宋" w:cs="仿宋"/>
                <w:kern w:val="24"/>
                <w:sz w:val="24"/>
              </w:rPr>
              <w:t>417</w:t>
            </w:r>
          </w:p>
        </w:tc>
        <w:tc>
          <w:tcPr>
            <w:tcW w:w="562" w:type="dxa"/>
            <w:tcBorders>
              <w:top w:val="nil"/>
              <w:bottom w:val="nil"/>
            </w:tcBorders>
            <w:tcMar>
              <w:top w:w="15" w:type="dxa"/>
              <w:left w:w="15" w:type="dxa"/>
              <w:bottom w:w="0" w:type="dxa"/>
              <w:right w:w="15" w:type="dxa"/>
            </w:tcMar>
            <w:vAlign w:val="center"/>
          </w:tcPr>
          <w:p w14:paraId="7331A37A">
            <w:pPr>
              <w:spacing w:line="440" w:lineRule="atLeast"/>
              <w:jc w:val="right"/>
              <w:textAlignment w:val="bottom"/>
              <w:rPr>
                <w:rFonts w:ascii="仿宋" w:hAnsi="仿宋" w:eastAsia="仿宋" w:cs="仿宋"/>
                <w:kern w:val="0"/>
                <w:sz w:val="24"/>
              </w:rPr>
            </w:pPr>
            <w:r>
              <w:rPr>
                <w:rFonts w:hint="eastAsia" w:ascii="仿宋" w:hAnsi="仿宋" w:eastAsia="仿宋" w:cs="仿宋"/>
                <w:kern w:val="24"/>
                <w:sz w:val="24"/>
              </w:rPr>
              <w:t>427</w:t>
            </w:r>
          </w:p>
        </w:tc>
        <w:tc>
          <w:tcPr>
            <w:tcW w:w="562" w:type="dxa"/>
            <w:tcBorders>
              <w:top w:val="nil"/>
              <w:bottom w:val="nil"/>
            </w:tcBorders>
            <w:tcMar>
              <w:top w:w="15" w:type="dxa"/>
              <w:left w:w="15" w:type="dxa"/>
              <w:bottom w:w="0" w:type="dxa"/>
              <w:right w:w="15" w:type="dxa"/>
            </w:tcMar>
            <w:vAlign w:val="center"/>
          </w:tcPr>
          <w:p w14:paraId="3C94551D">
            <w:pPr>
              <w:spacing w:line="440" w:lineRule="atLeast"/>
              <w:jc w:val="right"/>
              <w:textAlignment w:val="bottom"/>
              <w:rPr>
                <w:rFonts w:ascii="仿宋" w:hAnsi="仿宋" w:eastAsia="仿宋" w:cs="仿宋"/>
                <w:kern w:val="0"/>
                <w:sz w:val="24"/>
              </w:rPr>
            </w:pPr>
            <w:r>
              <w:rPr>
                <w:rFonts w:hint="eastAsia" w:ascii="仿宋" w:hAnsi="仿宋" w:eastAsia="仿宋" w:cs="仿宋"/>
                <w:kern w:val="24"/>
                <w:sz w:val="24"/>
              </w:rPr>
              <w:t>436</w:t>
            </w:r>
          </w:p>
        </w:tc>
        <w:tc>
          <w:tcPr>
            <w:tcW w:w="562" w:type="dxa"/>
            <w:tcBorders>
              <w:top w:val="nil"/>
              <w:bottom w:val="nil"/>
            </w:tcBorders>
            <w:tcMar>
              <w:top w:w="15" w:type="dxa"/>
              <w:left w:w="15" w:type="dxa"/>
              <w:bottom w:w="0" w:type="dxa"/>
              <w:right w:w="15" w:type="dxa"/>
            </w:tcMar>
            <w:vAlign w:val="center"/>
          </w:tcPr>
          <w:p w14:paraId="1CA8C195">
            <w:pPr>
              <w:spacing w:line="440" w:lineRule="atLeast"/>
              <w:jc w:val="right"/>
              <w:textAlignment w:val="bottom"/>
              <w:rPr>
                <w:rFonts w:ascii="仿宋" w:hAnsi="仿宋" w:eastAsia="仿宋" w:cs="仿宋"/>
                <w:kern w:val="0"/>
                <w:sz w:val="24"/>
              </w:rPr>
            </w:pPr>
            <w:r>
              <w:rPr>
                <w:rFonts w:hint="eastAsia" w:ascii="仿宋" w:hAnsi="仿宋" w:eastAsia="仿宋" w:cs="仿宋"/>
                <w:kern w:val="24"/>
                <w:sz w:val="24"/>
              </w:rPr>
              <w:t>441</w:t>
            </w:r>
          </w:p>
        </w:tc>
      </w:tr>
      <w:tr w14:paraId="203B331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86" w:hRule="atLeast"/>
        </w:trPr>
        <w:tc>
          <w:tcPr>
            <w:tcW w:w="2232" w:type="dxa"/>
            <w:tcBorders>
              <w:top w:val="nil"/>
              <w:bottom w:val="nil"/>
            </w:tcBorders>
            <w:tcMar>
              <w:top w:w="15" w:type="dxa"/>
              <w:left w:w="15" w:type="dxa"/>
              <w:bottom w:w="0" w:type="dxa"/>
              <w:right w:w="15" w:type="dxa"/>
            </w:tcMar>
            <w:vAlign w:val="center"/>
          </w:tcPr>
          <w:p w14:paraId="59CA183D">
            <w:pPr>
              <w:spacing w:line="440" w:lineRule="atLeast"/>
              <w:jc w:val="left"/>
              <w:textAlignment w:val="bottom"/>
              <w:rPr>
                <w:rFonts w:ascii="仿宋" w:hAnsi="仿宋" w:eastAsia="仿宋" w:cs="仿宋"/>
                <w:kern w:val="0"/>
                <w:sz w:val="24"/>
              </w:rPr>
            </w:pPr>
            <w:r>
              <w:rPr>
                <w:rFonts w:hint="eastAsia" w:ascii="仿宋" w:hAnsi="仿宋" w:eastAsia="仿宋" w:cs="仿宋"/>
                <w:kern w:val="24"/>
                <w:sz w:val="24"/>
              </w:rPr>
              <w:t>网均产能增长率</w:t>
            </w:r>
          </w:p>
        </w:tc>
        <w:tc>
          <w:tcPr>
            <w:tcW w:w="562" w:type="dxa"/>
            <w:tcBorders>
              <w:top w:val="nil"/>
              <w:bottom w:val="nil"/>
            </w:tcBorders>
            <w:tcMar>
              <w:top w:w="15" w:type="dxa"/>
              <w:left w:w="15" w:type="dxa"/>
              <w:bottom w:w="0" w:type="dxa"/>
              <w:right w:w="15" w:type="dxa"/>
            </w:tcMar>
            <w:vAlign w:val="center"/>
          </w:tcPr>
          <w:p w14:paraId="51E29022">
            <w:pPr>
              <w:spacing w:line="440" w:lineRule="atLeast"/>
              <w:jc w:val="right"/>
              <w:rPr>
                <w:rFonts w:ascii="仿宋" w:hAnsi="仿宋" w:eastAsia="仿宋" w:cs="仿宋"/>
                <w:kern w:val="0"/>
                <w:sz w:val="24"/>
              </w:rPr>
            </w:pPr>
          </w:p>
        </w:tc>
        <w:tc>
          <w:tcPr>
            <w:tcW w:w="562" w:type="dxa"/>
            <w:tcBorders>
              <w:top w:val="nil"/>
              <w:bottom w:val="nil"/>
            </w:tcBorders>
            <w:tcMar>
              <w:top w:w="15" w:type="dxa"/>
              <w:left w:w="15" w:type="dxa"/>
              <w:bottom w:w="0" w:type="dxa"/>
              <w:right w:w="15" w:type="dxa"/>
            </w:tcMar>
            <w:vAlign w:val="center"/>
          </w:tcPr>
          <w:p w14:paraId="2FB2282B">
            <w:pPr>
              <w:spacing w:line="440" w:lineRule="atLeast"/>
              <w:jc w:val="right"/>
              <w:textAlignment w:val="bottom"/>
              <w:rPr>
                <w:rFonts w:ascii="仿宋" w:hAnsi="仿宋" w:eastAsia="仿宋" w:cs="仿宋"/>
                <w:kern w:val="0"/>
                <w:sz w:val="24"/>
              </w:rPr>
            </w:pPr>
            <w:r>
              <w:rPr>
                <w:rFonts w:hint="eastAsia" w:ascii="仿宋" w:hAnsi="仿宋" w:eastAsia="仿宋" w:cs="仿宋"/>
                <w:kern w:val="24"/>
                <w:sz w:val="24"/>
              </w:rPr>
              <w:t>15%</w:t>
            </w:r>
          </w:p>
        </w:tc>
        <w:tc>
          <w:tcPr>
            <w:tcW w:w="562" w:type="dxa"/>
            <w:tcBorders>
              <w:top w:val="nil"/>
              <w:bottom w:val="nil"/>
            </w:tcBorders>
            <w:tcMar>
              <w:top w:w="15" w:type="dxa"/>
              <w:left w:w="15" w:type="dxa"/>
              <w:bottom w:w="0" w:type="dxa"/>
              <w:right w:w="15" w:type="dxa"/>
            </w:tcMar>
            <w:vAlign w:val="center"/>
          </w:tcPr>
          <w:p w14:paraId="4E739A3A">
            <w:pPr>
              <w:spacing w:line="440" w:lineRule="atLeast"/>
              <w:jc w:val="right"/>
              <w:textAlignment w:val="bottom"/>
              <w:rPr>
                <w:rFonts w:ascii="仿宋" w:hAnsi="仿宋" w:eastAsia="仿宋" w:cs="仿宋"/>
                <w:kern w:val="0"/>
                <w:sz w:val="24"/>
              </w:rPr>
            </w:pPr>
            <w:r>
              <w:rPr>
                <w:rFonts w:hint="eastAsia" w:ascii="仿宋" w:hAnsi="仿宋" w:eastAsia="仿宋" w:cs="仿宋"/>
                <w:kern w:val="24"/>
                <w:sz w:val="24"/>
              </w:rPr>
              <w:t>9%</w:t>
            </w:r>
          </w:p>
        </w:tc>
        <w:tc>
          <w:tcPr>
            <w:tcW w:w="562" w:type="dxa"/>
            <w:tcBorders>
              <w:top w:val="nil"/>
              <w:bottom w:val="nil"/>
            </w:tcBorders>
            <w:tcMar>
              <w:top w:w="15" w:type="dxa"/>
              <w:left w:w="15" w:type="dxa"/>
              <w:bottom w:w="0" w:type="dxa"/>
              <w:right w:w="15" w:type="dxa"/>
            </w:tcMar>
            <w:vAlign w:val="center"/>
          </w:tcPr>
          <w:p w14:paraId="7E123985">
            <w:pPr>
              <w:spacing w:line="440" w:lineRule="atLeast"/>
              <w:jc w:val="right"/>
              <w:textAlignment w:val="bottom"/>
              <w:rPr>
                <w:rFonts w:ascii="仿宋" w:hAnsi="仿宋" w:eastAsia="仿宋" w:cs="仿宋"/>
                <w:kern w:val="0"/>
                <w:sz w:val="24"/>
              </w:rPr>
            </w:pPr>
            <w:r>
              <w:rPr>
                <w:rFonts w:hint="eastAsia" w:ascii="仿宋" w:hAnsi="仿宋" w:eastAsia="仿宋" w:cs="仿宋"/>
                <w:kern w:val="24"/>
                <w:sz w:val="24"/>
              </w:rPr>
              <w:t>4%</w:t>
            </w:r>
          </w:p>
        </w:tc>
        <w:tc>
          <w:tcPr>
            <w:tcW w:w="562" w:type="dxa"/>
            <w:tcBorders>
              <w:top w:val="nil"/>
              <w:bottom w:val="nil"/>
            </w:tcBorders>
            <w:tcMar>
              <w:top w:w="15" w:type="dxa"/>
              <w:left w:w="15" w:type="dxa"/>
              <w:bottom w:w="0" w:type="dxa"/>
              <w:right w:w="15" w:type="dxa"/>
            </w:tcMar>
            <w:vAlign w:val="center"/>
          </w:tcPr>
          <w:p w14:paraId="718458BC">
            <w:pPr>
              <w:spacing w:line="440" w:lineRule="atLeast"/>
              <w:jc w:val="right"/>
              <w:textAlignment w:val="bottom"/>
              <w:rPr>
                <w:rFonts w:ascii="仿宋" w:hAnsi="仿宋" w:eastAsia="仿宋" w:cs="仿宋"/>
                <w:kern w:val="0"/>
                <w:sz w:val="24"/>
              </w:rPr>
            </w:pPr>
            <w:r>
              <w:rPr>
                <w:rFonts w:hint="eastAsia" w:ascii="仿宋" w:hAnsi="仿宋" w:eastAsia="仿宋" w:cs="仿宋"/>
                <w:kern w:val="24"/>
                <w:sz w:val="24"/>
              </w:rPr>
              <w:t>5%</w:t>
            </w:r>
          </w:p>
        </w:tc>
        <w:tc>
          <w:tcPr>
            <w:tcW w:w="562" w:type="dxa"/>
            <w:tcBorders>
              <w:top w:val="nil"/>
              <w:bottom w:val="nil"/>
            </w:tcBorders>
            <w:tcMar>
              <w:top w:w="15" w:type="dxa"/>
              <w:left w:w="15" w:type="dxa"/>
              <w:bottom w:w="0" w:type="dxa"/>
              <w:right w:w="15" w:type="dxa"/>
            </w:tcMar>
            <w:vAlign w:val="center"/>
          </w:tcPr>
          <w:p w14:paraId="2DCAE2C9">
            <w:pPr>
              <w:spacing w:line="440" w:lineRule="atLeast"/>
              <w:jc w:val="right"/>
              <w:textAlignment w:val="bottom"/>
              <w:rPr>
                <w:rFonts w:ascii="仿宋" w:hAnsi="仿宋" w:eastAsia="仿宋" w:cs="仿宋"/>
                <w:kern w:val="0"/>
                <w:sz w:val="24"/>
              </w:rPr>
            </w:pPr>
            <w:r>
              <w:rPr>
                <w:rFonts w:hint="eastAsia" w:ascii="仿宋" w:hAnsi="仿宋" w:eastAsia="仿宋" w:cs="仿宋"/>
                <w:kern w:val="24"/>
                <w:sz w:val="24"/>
              </w:rPr>
              <w:t>4%</w:t>
            </w:r>
          </w:p>
        </w:tc>
        <w:tc>
          <w:tcPr>
            <w:tcW w:w="562" w:type="dxa"/>
            <w:tcBorders>
              <w:top w:val="nil"/>
              <w:bottom w:val="nil"/>
            </w:tcBorders>
            <w:tcMar>
              <w:top w:w="15" w:type="dxa"/>
              <w:left w:w="15" w:type="dxa"/>
              <w:bottom w:w="0" w:type="dxa"/>
              <w:right w:w="15" w:type="dxa"/>
            </w:tcMar>
            <w:vAlign w:val="center"/>
          </w:tcPr>
          <w:p w14:paraId="505C1200">
            <w:pPr>
              <w:spacing w:line="440" w:lineRule="atLeast"/>
              <w:jc w:val="right"/>
              <w:textAlignment w:val="bottom"/>
              <w:rPr>
                <w:rFonts w:ascii="仿宋" w:hAnsi="仿宋" w:eastAsia="仿宋" w:cs="仿宋"/>
                <w:kern w:val="0"/>
                <w:sz w:val="24"/>
              </w:rPr>
            </w:pPr>
            <w:r>
              <w:rPr>
                <w:rFonts w:hint="eastAsia" w:ascii="仿宋" w:hAnsi="仿宋" w:eastAsia="仿宋" w:cs="仿宋"/>
                <w:kern w:val="24"/>
                <w:sz w:val="24"/>
              </w:rPr>
              <w:t>4%</w:t>
            </w:r>
          </w:p>
        </w:tc>
        <w:tc>
          <w:tcPr>
            <w:tcW w:w="562" w:type="dxa"/>
            <w:tcBorders>
              <w:top w:val="nil"/>
              <w:bottom w:val="nil"/>
            </w:tcBorders>
            <w:tcMar>
              <w:top w:w="15" w:type="dxa"/>
              <w:left w:w="15" w:type="dxa"/>
              <w:bottom w:w="0" w:type="dxa"/>
              <w:right w:w="15" w:type="dxa"/>
            </w:tcMar>
            <w:vAlign w:val="center"/>
          </w:tcPr>
          <w:p w14:paraId="0EA27345">
            <w:pPr>
              <w:spacing w:line="440" w:lineRule="atLeast"/>
              <w:jc w:val="right"/>
              <w:textAlignment w:val="bottom"/>
              <w:rPr>
                <w:rFonts w:ascii="仿宋" w:hAnsi="仿宋" w:eastAsia="仿宋" w:cs="仿宋"/>
                <w:kern w:val="0"/>
                <w:sz w:val="24"/>
              </w:rPr>
            </w:pPr>
            <w:r>
              <w:rPr>
                <w:rFonts w:hint="eastAsia" w:ascii="仿宋" w:hAnsi="仿宋" w:eastAsia="仿宋" w:cs="仿宋"/>
                <w:kern w:val="24"/>
                <w:sz w:val="24"/>
              </w:rPr>
              <w:t>3%</w:t>
            </w:r>
          </w:p>
        </w:tc>
        <w:tc>
          <w:tcPr>
            <w:tcW w:w="562" w:type="dxa"/>
            <w:tcBorders>
              <w:top w:val="nil"/>
              <w:bottom w:val="nil"/>
            </w:tcBorders>
            <w:tcMar>
              <w:top w:w="15" w:type="dxa"/>
              <w:left w:w="15" w:type="dxa"/>
              <w:bottom w:w="0" w:type="dxa"/>
              <w:right w:w="15" w:type="dxa"/>
            </w:tcMar>
            <w:vAlign w:val="center"/>
          </w:tcPr>
          <w:p w14:paraId="45CB4C91">
            <w:pPr>
              <w:spacing w:line="440" w:lineRule="atLeast"/>
              <w:jc w:val="right"/>
              <w:textAlignment w:val="bottom"/>
              <w:rPr>
                <w:rFonts w:ascii="仿宋" w:hAnsi="仿宋" w:eastAsia="仿宋" w:cs="仿宋"/>
                <w:kern w:val="0"/>
                <w:sz w:val="24"/>
              </w:rPr>
            </w:pPr>
            <w:r>
              <w:rPr>
                <w:rFonts w:hint="eastAsia" w:ascii="仿宋" w:hAnsi="仿宋" w:eastAsia="仿宋" w:cs="仿宋"/>
                <w:kern w:val="24"/>
                <w:sz w:val="24"/>
              </w:rPr>
              <w:t>3%</w:t>
            </w:r>
          </w:p>
        </w:tc>
        <w:tc>
          <w:tcPr>
            <w:tcW w:w="562" w:type="dxa"/>
            <w:tcBorders>
              <w:top w:val="nil"/>
              <w:bottom w:val="nil"/>
            </w:tcBorders>
            <w:tcMar>
              <w:top w:w="15" w:type="dxa"/>
              <w:left w:w="15" w:type="dxa"/>
              <w:bottom w:w="0" w:type="dxa"/>
              <w:right w:w="15" w:type="dxa"/>
            </w:tcMar>
            <w:vAlign w:val="center"/>
          </w:tcPr>
          <w:p w14:paraId="4444EBFA">
            <w:pPr>
              <w:spacing w:line="440" w:lineRule="atLeast"/>
              <w:jc w:val="right"/>
              <w:textAlignment w:val="bottom"/>
              <w:rPr>
                <w:rFonts w:ascii="仿宋" w:hAnsi="仿宋" w:eastAsia="仿宋" w:cs="仿宋"/>
                <w:kern w:val="0"/>
                <w:sz w:val="24"/>
              </w:rPr>
            </w:pPr>
            <w:r>
              <w:rPr>
                <w:rFonts w:hint="eastAsia" w:ascii="仿宋" w:hAnsi="仿宋" w:eastAsia="仿宋" w:cs="仿宋"/>
                <w:kern w:val="24"/>
                <w:sz w:val="24"/>
              </w:rPr>
              <w:t>2%</w:t>
            </w:r>
          </w:p>
        </w:tc>
        <w:tc>
          <w:tcPr>
            <w:tcW w:w="562" w:type="dxa"/>
            <w:tcBorders>
              <w:top w:val="nil"/>
              <w:bottom w:val="nil"/>
            </w:tcBorders>
            <w:tcMar>
              <w:top w:w="15" w:type="dxa"/>
              <w:left w:w="15" w:type="dxa"/>
              <w:bottom w:w="0" w:type="dxa"/>
              <w:right w:w="15" w:type="dxa"/>
            </w:tcMar>
            <w:vAlign w:val="center"/>
          </w:tcPr>
          <w:p w14:paraId="5E3C9DE8">
            <w:pPr>
              <w:spacing w:line="440" w:lineRule="atLeast"/>
              <w:jc w:val="right"/>
              <w:textAlignment w:val="bottom"/>
              <w:rPr>
                <w:rFonts w:ascii="仿宋" w:hAnsi="仿宋" w:eastAsia="仿宋" w:cs="仿宋"/>
                <w:kern w:val="0"/>
                <w:sz w:val="24"/>
              </w:rPr>
            </w:pPr>
            <w:r>
              <w:rPr>
                <w:rFonts w:hint="eastAsia" w:ascii="仿宋" w:hAnsi="仿宋" w:eastAsia="仿宋" w:cs="仿宋"/>
                <w:kern w:val="24"/>
                <w:sz w:val="24"/>
              </w:rPr>
              <w:t>2%</w:t>
            </w:r>
          </w:p>
        </w:tc>
        <w:tc>
          <w:tcPr>
            <w:tcW w:w="562" w:type="dxa"/>
            <w:tcBorders>
              <w:top w:val="nil"/>
              <w:bottom w:val="nil"/>
            </w:tcBorders>
            <w:tcMar>
              <w:top w:w="15" w:type="dxa"/>
              <w:left w:w="15" w:type="dxa"/>
              <w:bottom w:w="0" w:type="dxa"/>
              <w:right w:w="15" w:type="dxa"/>
            </w:tcMar>
            <w:vAlign w:val="center"/>
          </w:tcPr>
          <w:p w14:paraId="616D8664">
            <w:pPr>
              <w:spacing w:line="440" w:lineRule="atLeast"/>
              <w:jc w:val="right"/>
              <w:textAlignment w:val="bottom"/>
              <w:rPr>
                <w:rFonts w:ascii="仿宋" w:hAnsi="仿宋" w:eastAsia="仿宋" w:cs="仿宋"/>
                <w:kern w:val="0"/>
                <w:sz w:val="24"/>
              </w:rPr>
            </w:pPr>
            <w:r>
              <w:rPr>
                <w:rFonts w:hint="eastAsia" w:ascii="仿宋" w:hAnsi="仿宋" w:eastAsia="仿宋" w:cs="仿宋"/>
                <w:kern w:val="24"/>
                <w:sz w:val="24"/>
              </w:rPr>
              <w:t>1%</w:t>
            </w:r>
          </w:p>
        </w:tc>
      </w:tr>
      <w:tr w14:paraId="3C6E44C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86" w:hRule="atLeast"/>
        </w:trPr>
        <w:tc>
          <w:tcPr>
            <w:tcW w:w="2232" w:type="dxa"/>
            <w:tcBorders>
              <w:top w:val="nil"/>
              <w:bottom w:val="single" w:color="auto" w:sz="4" w:space="0"/>
            </w:tcBorders>
            <w:tcMar>
              <w:top w:w="15" w:type="dxa"/>
              <w:left w:w="15" w:type="dxa"/>
              <w:bottom w:w="0" w:type="dxa"/>
              <w:right w:w="15" w:type="dxa"/>
            </w:tcMar>
            <w:vAlign w:val="center"/>
          </w:tcPr>
          <w:p w14:paraId="16CC00C6">
            <w:pPr>
              <w:spacing w:line="440" w:lineRule="atLeast"/>
              <w:jc w:val="left"/>
              <w:textAlignment w:val="bottom"/>
              <w:rPr>
                <w:rFonts w:ascii="仿宋" w:hAnsi="仿宋" w:eastAsia="仿宋" w:cs="仿宋"/>
                <w:kern w:val="0"/>
                <w:sz w:val="24"/>
              </w:rPr>
            </w:pPr>
            <w:r>
              <w:rPr>
                <w:rFonts w:hint="eastAsia" w:ascii="仿宋" w:hAnsi="仿宋" w:eastAsia="仿宋" w:cs="仿宋"/>
                <w:kern w:val="24"/>
                <w:sz w:val="24"/>
              </w:rPr>
              <w:t>ANP（百万元）</w:t>
            </w:r>
          </w:p>
        </w:tc>
        <w:tc>
          <w:tcPr>
            <w:tcW w:w="562" w:type="dxa"/>
            <w:tcBorders>
              <w:top w:val="nil"/>
              <w:bottom w:val="single" w:color="auto" w:sz="4" w:space="0"/>
            </w:tcBorders>
            <w:tcMar>
              <w:top w:w="15" w:type="dxa"/>
              <w:left w:w="15" w:type="dxa"/>
              <w:bottom w:w="0" w:type="dxa"/>
              <w:right w:w="15" w:type="dxa"/>
            </w:tcMar>
            <w:vAlign w:val="center"/>
          </w:tcPr>
          <w:p w14:paraId="44158F83">
            <w:pPr>
              <w:spacing w:line="440" w:lineRule="atLeast"/>
              <w:jc w:val="right"/>
              <w:textAlignment w:val="bottom"/>
              <w:rPr>
                <w:rFonts w:ascii="仿宋" w:hAnsi="仿宋" w:eastAsia="仿宋" w:cs="仿宋"/>
                <w:kern w:val="0"/>
                <w:sz w:val="24"/>
              </w:rPr>
            </w:pPr>
            <w:r>
              <w:rPr>
                <w:rFonts w:hint="eastAsia" w:ascii="仿宋" w:hAnsi="仿宋" w:eastAsia="仿宋" w:cs="仿宋"/>
                <w:kern w:val="24"/>
                <w:sz w:val="24"/>
              </w:rPr>
              <w:t>384</w:t>
            </w:r>
          </w:p>
        </w:tc>
        <w:tc>
          <w:tcPr>
            <w:tcW w:w="562" w:type="dxa"/>
            <w:tcBorders>
              <w:top w:val="nil"/>
              <w:bottom w:val="single" w:color="auto" w:sz="4" w:space="0"/>
            </w:tcBorders>
            <w:tcMar>
              <w:top w:w="15" w:type="dxa"/>
              <w:left w:w="15" w:type="dxa"/>
              <w:bottom w:w="0" w:type="dxa"/>
              <w:right w:w="15" w:type="dxa"/>
            </w:tcMar>
            <w:vAlign w:val="center"/>
          </w:tcPr>
          <w:p w14:paraId="149017CE">
            <w:pPr>
              <w:spacing w:line="440" w:lineRule="atLeast"/>
              <w:jc w:val="right"/>
              <w:textAlignment w:val="bottom"/>
              <w:rPr>
                <w:rFonts w:ascii="仿宋" w:hAnsi="仿宋" w:eastAsia="仿宋" w:cs="仿宋"/>
                <w:kern w:val="0"/>
                <w:sz w:val="24"/>
              </w:rPr>
            </w:pPr>
            <w:r>
              <w:rPr>
                <w:rFonts w:hint="eastAsia" w:ascii="仿宋" w:hAnsi="仿宋" w:eastAsia="仿宋" w:cs="仿宋"/>
                <w:kern w:val="24"/>
                <w:sz w:val="24"/>
              </w:rPr>
              <w:t>449</w:t>
            </w:r>
          </w:p>
        </w:tc>
        <w:tc>
          <w:tcPr>
            <w:tcW w:w="562" w:type="dxa"/>
            <w:tcBorders>
              <w:top w:val="nil"/>
              <w:bottom w:val="single" w:color="auto" w:sz="4" w:space="0"/>
            </w:tcBorders>
            <w:tcMar>
              <w:top w:w="15" w:type="dxa"/>
              <w:left w:w="15" w:type="dxa"/>
              <w:bottom w:w="0" w:type="dxa"/>
              <w:right w:w="15" w:type="dxa"/>
            </w:tcMar>
            <w:vAlign w:val="center"/>
          </w:tcPr>
          <w:p w14:paraId="36949D7A">
            <w:pPr>
              <w:spacing w:line="440" w:lineRule="atLeast"/>
              <w:jc w:val="right"/>
              <w:textAlignment w:val="bottom"/>
              <w:rPr>
                <w:rFonts w:ascii="仿宋" w:hAnsi="仿宋" w:eastAsia="仿宋" w:cs="仿宋"/>
                <w:kern w:val="0"/>
                <w:sz w:val="24"/>
              </w:rPr>
            </w:pPr>
            <w:r>
              <w:rPr>
                <w:rFonts w:hint="eastAsia" w:ascii="仿宋" w:hAnsi="仿宋" w:eastAsia="仿宋" w:cs="仿宋"/>
                <w:kern w:val="24"/>
                <w:sz w:val="24"/>
              </w:rPr>
              <w:t>520</w:t>
            </w:r>
          </w:p>
        </w:tc>
        <w:tc>
          <w:tcPr>
            <w:tcW w:w="562" w:type="dxa"/>
            <w:tcBorders>
              <w:top w:val="nil"/>
              <w:bottom w:val="single" w:color="auto" w:sz="4" w:space="0"/>
            </w:tcBorders>
            <w:tcMar>
              <w:top w:w="15" w:type="dxa"/>
              <w:left w:w="15" w:type="dxa"/>
              <w:bottom w:w="0" w:type="dxa"/>
              <w:right w:w="15" w:type="dxa"/>
            </w:tcMar>
            <w:vAlign w:val="center"/>
          </w:tcPr>
          <w:p w14:paraId="27600085">
            <w:pPr>
              <w:spacing w:line="440" w:lineRule="atLeast"/>
              <w:jc w:val="right"/>
              <w:textAlignment w:val="bottom"/>
              <w:rPr>
                <w:rFonts w:ascii="仿宋" w:hAnsi="仿宋" w:eastAsia="仿宋" w:cs="仿宋"/>
                <w:kern w:val="0"/>
                <w:sz w:val="24"/>
              </w:rPr>
            </w:pPr>
            <w:r>
              <w:rPr>
                <w:rFonts w:hint="eastAsia" w:ascii="仿宋" w:hAnsi="仿宋" w:eastAsia="仿宋" w:cs="仿宋"/>
                <w:kern w:val="24"/>
                <w:sz w:val="24"/>
              </w:rPr>
              <w:t>585</w:t>
            </w:r>
          </w:p>
        </w:tc>
        <w:tc>
          <w:tcPr>
            <w:tcW w:w="562" w:type="dxa"/>
            <w:tcBorders>
              <w:top w:val="nil"/>
              <w:bottom w:val="single" w:color="auto" w:sz="4" w:space="0"/>
            </w:tcBorders>
            <w:tcMar>
              <w:top w:w="15" w:type="dxa"/>
              <w:left w:w="15" w:type="dxa"/>
              <w:bottom w:w="0" w:type="dxa"/>
              <w:right w:w="15" w:type="dxa"/>
            </w:tcMar>
            <w:vAlign w:val="center"/>
          </w:tcPr>
          <w:p w14:paraId="1A115B19">
            <w:pPr>
              <w:spacing w:line="440" w:lineRule="atLeast"/>
              <w:jc w:val="right"/>
              <w:textAlignment w:val="bottom"/>
              <w:rPr>
                <w:rFonts w:ascii="仿宋" w:hAnsi="仿宋" w:eastAsia="仿宋" w:cs="仿宋"/>
                <w:kern w:val="0"/>
                <w:sz w:val="24"/>
              </w:rPr>
            </w:pPr>
            <w:r>
              <w:rPr>
                <w:rFonts w:hint="eastAsia" w:ascii="仿宋" w:hAnsi="仿宋" w:eastAsia="仿宋" w:cs="仿宋"/>
                <w:kern w:val="24"/>
                <w:sz w:val="24"/>
              </w:rPr>
              <w:t>660</w:t>
            </w:r>
          </w:p>
        </w:tc>
        <w:tc>
          <w:tcPr>
            <w:tcW w:w="562" w:type="dxa"/>
            <w:tcBorders>
              <w:top w:val="nil"/>
              <w:bottom w:val="single" w:color="auto" w:sz="4" w:space="0"/>
            </w:tcBorders>
            <w:tcMar>
              <w:top w:w="15" w:type="dxa"/>
              <w:left w:w="15" w:type="dxa"/>
              <w:bottom w:w="0" w:type="dxa"/>
              <w:right w:w="15" w:type="dxa"/>
            </w:tcMar>
            <w:vAlign w:val="center"/>
          </w:tcPr>
          <w:p w14:paraId="6ED4A854">
            <w:pPr>
              <w:spacing w:line="440" w:lineRule="atLeast"/>
              <w:jc w:val="right"/>
              <w:textAlignment w:val="bottom"/>
              <w:rPr>
                <w:rFonts w:ascii="仿宋" w:hAnsi="仿宋" w:eastAsia="仿宋" w:cs="仿宋"/>
                <w:kern w:val="0"/>
                <w:sz w:val="24"/>
              </w:rPr>
            </w:pPr>
            <w:r>
              <w:rPr>
                <w:rFonts w:hint="eastAsia" w:ascii="仿宋" w:hAnsi="仿宋" w:eastAsia="仿宋" w:cs="仿宋"/>
                <w:kern w:val="24"/>
                <w:sz w:val="24"/>
              </w:rPr>
              <w:t>740</w:t>
            </w:r>
          </w:p>
        </w:tc>
        <w:tc>
          <w:tcPr>
            <w:tcW w:w="562" w:type="dxa"/>
            <w:tcBorders>
              <w:top w:val="nil"/>
              <w:bottom w:val="single" w:color="auto" w:sz="4" w:space="0"/>
            </w:tcBorders>
            <w:tcMar>
              <w:top w:w="15" w:type="dxa"/>
              <w:left w:w="15" w:type="dxa"/>
              <w:bottom w:w="0" w:type="dxa"/>
              <w:right w:w="15" w:type="dxa"/>
            </w:tcMar>
            <w:vAlign w:val="center"/>
          </w:tcPr>
          <w:p w14:paraId="09278915">
            <w:pPr>
              <w:spacing w:line="440" w:lineRule="atLeast"/>
              <w:jc w:val="right"/>
              <w:textAlignment w:val="bottom"/>
              <w:rPr>
                <w:rFonts w:ascii="仿宋" w:hAnsi="仿宋" w:eastAsia="仿宋" w:cs="仿宋"/>
                <w:kern w:val="0"/>
                <w:sz w:val="24"/>
              </w:rPr>
            </w:pPr>
            <w:r>
              <w:rPr>
                <w:rFonts w:hint="eastAsia" w:ascii="仿宋" w:hAnsi="仿宋" w:eastAsia="仿宋" w:cs="仿宋"/>
                <w:kern w:val="24"/>
                <w:sz w:val="24"/>
              </w:rPr>
              <w:t>821</w:t>
            </w:r>
          </w:p>
        </w:tc>
        <w:tc>
          <w:tcPr>
            <w:tcW w:w="562" w:type="dxa"/>
            <w:tcBorders>
              <w:top w:val="nil"/>
              <w:bottom w:val="single" w:color="auto" w:sz="4" w:space="0"/>
            </w:tcBorders>
            <w:tcMar>
              <w:top w:w="15" w:type="dxa"/>
              <w:left w:w="15" w:type="dxa"/>
              <w:bottom w:w="0" w:type="dxa"/>
              <w:right w:w="15" w:type="dxa"/>
            </w:tcMar>
            <w:vAlign w:val="center"/>
          </w:tcPr>
          <w:p w14:paraId="6EC3DC17">
            <w:pPr>
              <w:spacing w:line="440" w:lineRule="atLeast"/>
              <w:jc w:val="right"/>
              <w:textAlignment w:val="bottom"/>
              <w:rPr>
                <w:rFonts w:ascii="仿宋" w:hAnsi="仿宋" w:eastAsia="仿宋" w:cs="仿宋"/>
                <w:kern w:val="0"/>
                <w:sz w:val="24"/>
              </w:rPr>
            </w:pPr>
            <w:r>
              <w:rPr>
                <w:rFonts w:hint="eastAsia" w:ascii="仿宋" w:hAnsi="仿宋" w:eastAsia="仿宋" w:cs="仿宋"/>
                <w:kern w:val="24"/>
                <w:sz w:val="24"/>
              </w:rPr>
              <w:t>903</w:t>
            </w:r>
          </w:p>
        </w:tc>
        <w:tc>
          <w:tcPr>
            <w:tcW w:w="562" w:type="dxa"/>
            <w:tcBorders>
              <w:top w:val="nil"/>
              <w:bottom w:val="single" w:color="auto" w:sz="4" w:space="0"/>
            </w:tcBorders>
            <w:tcMar>
              <w:top w:w="15" w:type="dxa"/>
              <w:left w:w="15" w:type="dxa"/>
              <w:bottom w:w="0" w:type="dxa"/>
              <w:right w:w="15" w:type="dxa"/>
            </w:tcMar>
            <w:vAlign w:val="center"/>
          </w:tcPr>
          <w:p w14:paraId="77340E8B">
            <w:pPr>
              <w:spacing w:line="440" w:lineRule="atLeast"/>
              <w:jc w:val="right"/>
              <w:textAlignment w:val="bottom"/>
              <w:rPr>
                <w:rFonts w:ascii="仿宋" w:hAnsi="仿宋" w:eastAsia="仿宋" w:cs="仿宋"/>
                <w:kern w:val="0"/>
                <w:sz w:val="24"/>
              </w:rPr>
            </w:pPr>
            <w:r>
              <w:rPr>
                <w:rFonts w:hint="eastAsia" w:ascii="仿宋" w:hAnsi="仿宋" w:eastAsia="仿宋" w:cs="仿宋"/>
                <w:kern w:val="24"/>
                <w:sz w:val="24"/>
              </w:rPr>
              <w:t>985</w:t>
            </w:r>
          </w:p>
        </w:tc>
        <w:tc>
          <w:tcPr>
            <w:tcW w:w="562" w:type="dxa"/>
            <w:tcBorders>
              <w:top w:val="nil"/>
              <w:bottom w:val="single" w:color="auto" w:sz="4" w:space="0"/>
            </w:tcBorders>
            <w:tcMar>
              <w:top w:w="15" w:type="dxa"/>
              <w:left w:w="15" w:type="dxa"/>
              <w:bottom w:w="0" w:type="dxa"/>
              <w:right w:w="15" w:type="dxa"/>
            </w:tcMar>
            <w:vAlign w:val="center"/>
          </w:tcPr>
          <w:p w14:paraId="603D212B">
            <w:pPr>
              <w:spacing w:line="440" w:lineRule="atLeast"/>
              <w:jc w:val="right"/>
              <w:textAlignment w:val="bottom"/>
              <w:rPr>
                <w:rFonts w:ascii="仿宋" w:hAnsi="仿宋" w:eastAsia="仿宋" w:cs="仿宋"/>
                <w:kern w:val="0"/>
                <w:sz w:val="24"/>
              </w:rPr>
            </w:pPr>
            <w:r>
              <w:rPr>
                <w:rFonts w:hint="eastAsia" w:ascii="仿宋" w:hAnsi="仿宋" w:eastAsia="仿宋" w:cs="仿宋"/>
                <w:kern w:val="24"/>
                <w:sz w:val="24"/>
              </w:rPr>
              <w:t>1,063</w:t>
            </w:r>
          </w:p>
        </w:tc>
        <w:tc>
          <w:tcPr>
            <w:tcW w:w="562" w:type="dxa"/>
            <w:tcBorders>
              <w:top w:val="nil"/>
              <w:bottom w:val="single" w:color="auto" w:sz="4" w:space="0"/>
            </w:tcBorders>
            <w:tcMar>
              <w:top w:w="15" w:type="dxa"/>
              <w:left w:w="15" w:type="dxa"/>
              <w:bottom w:w="0" w:type="dxa"/>
              <w:right w:w="15" w:type="dxa"/>
            </w:tcMar>
            <w:vAlign w:val="center"/>
          </w:tcPr>
          <w:p w14:paraId="70A8A889">
            <w:pPr>
              <w:spacing w:line="440" w:lineRule="atLeast"/>
              <w:jc w:val="right"/>
              <w:textAlignment w:val="bottom"/>
              <w:rPr>
                <w:rFonts w:ascii="仿宋" w:hAnsi="仿宋" w:eastAsia="仿宋" w:cs="仿宋"/>
                <w:kern w:val="0"/>
                <w:sz w:val="24"/>
              </w:rPr>
            </w:pPr>
            <w:r>
              <w:rPr>
                <w:rFonts w:hint="eastAsia" w:ascii="仿宋" w:hAnsi="仿宋" w:eastAsia="仿宋" w:cs="仿宋"/>
                <w:kern w:val="24"/>
                <w:sz w:val="24"/>
              </w:rPr>
              <w:t>1,138</w:t>
            </w:r>
          </w:p>
        </w:tc>
        <w:tc>
          <w:tcPr>
            <w:tcW w:w="562" w:type="dxa"/>
            <w:tcBorders>
              <w:top w:val="nil"/>
              <w:bottom w:val="single" w:color="auto" w:sz="4" w:space="0"/>
            </w:tcBorders>
            <w:tcMar>
              <w:top w:w="15" w:type="dxa"/>
              <w:left w:w="15" w:type="dxa"/>
              <w:bottom w:w="0" w:type="dxa"/>
              <w:right w:w="15" w:type="dxa"/>
            </w:tcMar>
            <w:vAlign w:val="center"/>
          </w:tcPr>
          <w:p w14:paraId="34E1C5C4">
            <w:pPr>
              <w:spacing w:line="440" w:lineRule="atLeast"/>
              <w:jc w:val="right"/>
              <w:textAlignment w:val="bottom"/>
              <w:rPr>
                <w:rFonts w:ascii="仿宋" w:hAnsi="仿宋" w:eastAsia="仿宋" w:cs="仿宋"/>
                <w:kern w:val="0"/>
                <w:sz w:val="24"/>
              </w:rPr>
            </w:pPr>
            <w:r>
              <w:rPr>
                <w:rFonts w:hint="eastAsia" w:ascii="仿宋" w:hAnsi="仿宋" w:eastAsia="仿宋" w:cs="仿宋"/>
                <w:kern w:val="24"/>
                <w:sz w:val="24"/>
              </w:rPr>
              <w:t>1,206</w:t>
            </w:r>
          </w:p>
        </w:tc>
      </w:tr>
      <w:tr w14:paraId="4571B36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66" w:hRule="atLeast"/>
        </w:trPr>
        <w:tc>
          <w:tcPr>
            <w:tcW w:w="2232" w:type="dxa"/>
            <w:tcBorders>
              <w:top w:val="single" w:color="auto" w:sz="4" w:space="0"/>
              <w:bottom w:val="nil"/>
            </w:tcBorders>
            <w:tcMar>
              <w:top w:w="15" w:type="dxa"/>
              <w:left w:w="15" w:type="dxa"/>
              <w:bottom w:w="0" w:type="dxa"/>
              <w:right w:w="15" w:type="dxa"/>
            </w:tcMar>
            <w:vAlign w:val="center"/>
          </w:tcPr>
          <w:p w14:paraId="5ADD496F">
            <w:pPr>
              <w:spacing w:line="440" w:lineRule="atLeast"/>
              <w:jc w:val="center"/>
              <w:textAlignment w:val="bottom"/>
              <w:rPr>
                <w:rFonts w:ascii="仿宋" w:hAnsi="仿宋" w:eastAsia="仿宋" w:cs="仿宋"/>
                <w:kern w:val="0"/>
                <w:sz w:val="24"/>
              </w:rPr>
            </w:pPr>
            <w:r>
              <w:rPr>
                <w:rFonts w:hint="eastAsia" w:ascii="仿宋" w:hAnsi="仿宋" w:eastAsia="仿宋" w:cs="仿宋"/>
                <w:b/>
                <w:bCs/>
                <w:kern w:val="24"/>
                <w:sz w:val="24"/>
              </w:rPr>
              <w:t>经代渠道</w:t>
            </w:r>
          </w:p>
        </w:tc>
        <w:tc>
          <w:tcPr>
            <w:tcW w:w="562" w:type="dxa"/>
            <w:tcBorders>
              <w:top w:val="single" w:color="auto" w:sz="4" w:space="0"/>
              <w:bottom w:val="nil"/>
            </w:tcBorders>
            <w:tcMar>
              <w:top w:w="15" w:type="dxa"/>
              <w:left w:w="15" w:type="dxa"/>
              <w:bottom w:w="0" w:type="dxa"/>
              <w:right w:w="15" w:type="dxa"/>
            </w:tcMar>
            <w:vAlign w:val="center"/>
          </w:tcPr>
          <w:p w14:paraId="6FA252C2">
            <w:pPr>
              <w:spacing w:line="440" w:lineRule="atLeast"/>
              <w:jc w:val="center"/>
              <w:rPr>
                <w:rFonts w:ascii="仿宋" w:hAnsi="仿宋" w:eastAsia="仿宋" w:cs="仿宋"/>
                <w:kern w:val="0"/>
                <w:sz w:val="24"/>
              </w:rPr>
            </w:pPr>
          </w:p>
        </w:tc>
        <w:tc>
          <w:tcPr>
            <w:tcW w:w="562" w:type="dxa"/>
            <w:tcBorders>
              <w:top w:val="single" w:color="auto" w:sz="4" w:space="0"/>
              <w:bottom w:val="nil"/>
            </w:tcBorders>
            <w:tcMar>
              <w:top w:w="15" w:type="dxa"/>
              <w:left w:w="15" w:type="dxa"/>
              <w:bottom w:w="0" w:type="dxa"/>
              <w:right w:w="15" w:type="dxa"/>
            </w:tcMar>
            <w:vAlign w:val="center"/>
          </w:tcPr>
          <w:p w14:paraId="4258EB7F">
            <w:pPr>
              <w:spacing w:line="440" w:lineRule="atLeast"/>
              <w:jc w:val="center"/>
              <w:rPr>
                <w:rFonts w:ascii="仿宋" w:hAnsi="仿宋" w:eastAsia="仿宋" w:cs="仿宋"/>
                <w:kern w:val="0"/>
                <w:sz w:val="24"/>
              </w:rPr>
            </w:pPr>
          </w:p>
        </w:tc>
        <w:tc>
          <w:tcPr>
            <w:tcW w:w="562" w:type="dxa"/>
            <w:tcBorders>
              <w:top w:val="single" w:color="auto" w:sz="4" w:space="0"/>
              <w:bottom w:val="nil"/>
            </w:tcBorders>
            <w:tcMar>
              <w:top w:w="15" w:type="dxa"/>
              <w:left w:w="15" w:type="dxa"/>
              <w:bottom w:w="0" w:type="dxa"/>
              <w:right w:w="15" w:type="dxa"/>
            </w:tcMar>
            <w:vAlign w:val="center"/>
          </w:tcPr>
          <w:p w14:paraId="199D846E">
            <w:pPr>
              <w:spacing w:line="440" w:lineRule="atLeast"/>
              <w:jc w:val="center"/>
              <w:rPr>
                <w:rFonts w:ascii="仿宋" w:hAnsi="仿宋" w:eastAsia="仿宋" w:cs="仿宋"/>
                <w:kern w:val="0"/>
                <w:sz w:val="24"/>
              </w:rPr>
            </w:pPr>
          </w:p>
        </w:tc>
        <w:tc>
          <w:tcPr>
            <w:tcW w:w="562" w:type="dxa"/>
            <w:tcBorders>
              <w:top w:val="single" w:color="auto" w:sz="4" w:space="0"/>
              <w:bottom w:val="nil"/>
            </w:tcBorders>
            <w:tcMar>
              <w:top w:w="15" w:type="dxa"/>
              <w:left w:w="15" w:type="dxa"/>
              <w:bottom w:w="0" w:type="dxa"/>
              <w:right w:w="15" w:type="dxa"/>
            </w:tcMar>
            <w:vAlign w:val="center"/>
          </w:tcPr>
          <w:p w14:paraId="12B82C4C">
            <w:pPr>
              <w:spacing w:line="440" w:lineRule="atLeast"/>
              <w:jc w:val="center"/>
              <w:rPr>
                <w:rFonts w:ascii="仿宋" w:hAnsi="仿宋" w:eastAsia="仿宋" w:cs="仿宋"/>
                <w:kern w:val="0"/>
                <w:sz w:val="24"/>
              </w:rPr>
            </w:pPr>
          </w:p>
        </w:tc>
        <w:tc>
          <w:tcPr>
            <w:tcW w:w="562" w:type="dxa"/>
            <w:tcBorders>
              <w:top w:val="single" w:color="auto" w:sz="4" w:space="0"/>
              <w:bottom w:val="nil"/>
            </w:tcBorders>
            <w:tcMar>
              <w:top w:w="15" w:type="dxa"/>
              <w:left w:w="15" w:type="dxa"/>
              <w:bottom w:w="0" w:type="dxa"/>
              <w:right w:w="15" w:type="dxa"/>
            </w:tcMar>
            <w:vAlign w:val="center"/>
          </w:tcPr>
          <w:p w14:paraId="4F91167B">
            <w:pPr>
              <w:spacing w:line="440" w:lineRule="atLeast"/>
              <w:jc w:val="center"/>
              <w:rPr>
                <w:rFonts w:ascii="仿宋" w:hAnsi="仿宋" w:eastAsia="仿宋" w:cs="仿宋"/>
                <w:kern w:val="0"/>
                <w:sz w:val="24"/>
              </w:rPr>
            </w:pPr>
          </w:p>
        </w:tc>
        <w:tc>
          <w:tcPr>
            <w:tcW w:w="562" w:type="dxa"/>
            <w:tcBorders>
              <w:top w:val="single" w:color="auto" w:sz="4" w:space="0"/>
              <w:bottom w:val="nil"/>
            </w:tcBorders>
            <w:tcMar>
              <w:top w:w="15" w:type="dxa"/>
              <w:left w:w="15" w:type="dxa"/>
              <w:bottom w:w="0" w:type="dxa"/>
              <w:right w:w="15" w:type="dxa"/>
            </w:tcMar>
            <w:vAlign w:val="center"/>
          </w:tcPr>
          <w:p w14:paraId="65360B43">
            <w:pPr>
              <w:spacing w:line="440" w:lineRule="atLeast"/>
              <w:jc w:val="center"/>
              <w:rPr>
                <w:rFonts w:ascii="仿宋" w:hAnsi="仿宋" w:eastAsia="仿宋" w:cs="仿宋"/>
                <w:kern w:val="0"/>
                <w:sz w:val="24"/>
              </w:rPr>
            </w:pPr>
          </w:p>
        </w:tc>
        <w:tc>
          <w:tcPr>
            <w:tcW w:w="562" w:type="dxa"/>
            <w:tcBorders>
              <w:top w:val="single" w:color="auto" w:sz="4" w:space="0"/>
              <w:bottom w:val="nil"/>
            </w:tcBorders>
            <w:tcMar>
              <w:top w:w="15" w:type="dxa"/>
              <w:left w:w="15" w:type="dxa"/>
              <w:bottom w:w="0" w:type="dxa"/>
              <w:right w:w="15" w:type="dxa"/>
            </w:tcMar>
            <w:vAlign w:val="center"/>
          </w:tcPr>
          <w:p w14:paraId="76997F9F">
            <w:pPr>
              <w:spacing w:line="440" w:lineRule="atLeast"/>
              <w:jc w:val="center"/>
              <w:rPr>
                <w:rFonts w:ascii="仿宋" w:hAnsi="仿宋" w:eastAsia="仿宋" w:cs="仿宋"/>
                <w:kern w:val="0"/>
                <w:sz w:val="24"/>
              </w:rPr>
            </w:pPr>
          </w:p>
        </w:tc>
        <w:tc>
          <w:tcPr>
            <w:tcW w:w="562" w:type="dxa"/>
            <w:tcBorders>
              <w:top w:val="single" w:color="auto" w:sz="4" w:space="0"/>
              <w:bottom w:val="nil"/>
            </w:tcBorders>
            <w:tcMar>
              <w:top w:w="15" w:type="dxa"/>
              <w:left w:w="15" w:type="dxa"/>
              <w:bottom w:w="0" w:type="dxa"/>
              <w:right w:w="15" w:type="dxa"/>
            </w:tcMar>
            <w:vAlign w:val="center"/>
          </w:tcPr>
          <w:p w14:paraId="6B6C97A9">
            <w:pPr>
              <w:spacing w:line="440" w:lineRule="atLeast"/>
              <w:jc w:val="center"/>
              <w:rPr>
                <w:rFonts w:ascii="仿宋" w:hAnsi="仿宋" w:eastAsia="仿宋" w:cs="仿宋"/>
                <w:kern w:val="0"/>
                <w:sz w:val="24"/>
              </w:rPr>
            </w:pPr>
          </w:p>
        </w:tc>
        <w:tc>
          <w:tcPr>
            <w:tcW w:w="562" w:type="dxa"/>
            <w:tcBorders>
              <w:top w:val="single" w:color="auto" w:sz="4" w:space="0"/>
              <w:bottom w:val="nil"/>
            </w:tcBorders>
            <w:tcMar>
              <w:top w:w="15" w:type="dxa"/>
              <w:left w:w="15" w:type="dxa"/>
              <w:bottom w:w="0" w:type="dxa"/>
              <w:right w:w="15" w:type="dxa"/>
            </w:tcMar>
            <w:vAlign w:val="center"/>
          </w:tcPr>
          <w:p w14:paraId="3E4AD94C">
            <w:pPr>
              <w:spacing w:line="440" w:lineRule="atLeast"/>
              <w:jc w:val="center"/>
              <w:rPr>
                <w:rFonts w:ascii="仿宋" w:hAnsi="仿宋" w:eastAsia="仿宋" w:cs="仿宋"/>
                <w:kern w:val="0"/>
                <w:sz w:val="24"/>
              </w:rPr>
            </w:pPr>
          </w:p>
        </w:tc>
        <w:tc>
          <w:tcPr>
            <w:tcW w:w="562" w:type="dxa"/>
            <w:tcBorders>
              <w:top w:val="single" w:color="auto" w:sz="4" w:space="0"/>
              <w:bottom w:val="nil"/>
            </w:tcBorders>
            <w:tcMar>
              <w:top w:w="15" w:type="dxa"/>
              <w:left w:w="15" w:type="dxa"/>
              <w:bottom w:w="0" w:type="dxa"/>
              <w:right w:w="15" w:type="dxa"/>
            </w:tcMar>
            <w:vAlign w:val="center"/>
          </w:tcPr>
          <w:p w14:paraId="6278B00A">
            <w:pPr>
              <w:spacing w:line="440" w:lineRule="atLeast"/>
              <w:jc w:val="center"/>
              <w:rPr>
                <w:rFonts w:ascii="仿宋" w:hAnsi="仿宋" w:eastAsia="仿宋" w:cs="仿宋"/>
                <w:kern w:val="0"/>
                <w:sz w:val="24"/>
              </w:rPr>
            </w:pPr>
          </w:p>
        </w:tc>
        <w:tc>
          <w:tcPr>
            <w:tcW w:w="562" w:type="dxa"/>
            <w:tcBorders>
              <w:top w:val="single" w:color="auto" w:sz="4" w:space="0"/>
              <w:bottom w:val="nil"/>
            </w:tcBorders>
            <w:tcMar>
              <w:top w:w="15" w:type="dxa"/>
              <w:left w:w="15" w:type="dxa"/>
              <w:bottom w:w="0" w:type="dxa"/>
              <w:right w:w="15" w:type="dxa"/>
            </w:tcMar>
            <w:vAlign w:val="center"/>
          </w:tcPr>
          <w:p w14:paraId="59254E88">
            <w:pPr>
              <w:spacing w:line="440" w:lineRule="atLeast"/>
              <w:jc w:val="center"/>
              <w:rPr>
                <w:rFonts w:ascii="仿宋" w:hAnsi="仿宋" w:eastAsia="仿宋" w:cs="仿宋"/>
                <w:kern w:val="0"/>
                <w:sz w:val="24"/>
              </w:rPr>
            </w:pPr>
          </w:p>
        </w:tc>
        <w:tc>
          <w:tcPr>
            <w:tcW w:w="562" w:type="dxa"/>
            <w:tcBorders>
              <w:top w:val="single" w:color="auto" w:sz="4" w:space="0"/>
              <w:bottom w:val="nil"/>
            </w:tcBorders>
            <w:tcMar>
              <w:top w:w="15" w:type="dxa"/>
              <w:left w:w="15" w:type="dxa"/>
              <w:bottom w:w="0" w:type="dxa"/>
              <w:right w:w="15" w:type="dxa"/>
            </w:tcMar>
            <w:vAlign w:val="center"/>
          </w:tcPr>
          <w:p w14:paraId="2B34FD65">
            <w:pPr>
              <w:spacing w:line="440" w:lineRule="atLeast"/>
              <w:jc w:val="center"/>
              <w:rPr>
                <w:rFonts w:ascii="仿宋" w:hAnsi="仿宋" w:eastAsia="仿宋" w:cs="仿宋"/>
                <w:kern w:val="0"/>
                <w:sz w:val="24"/>
              </w:rPr>
            </w:pPr>
          </w:p>
        </w:tc>
      </w:tr>
      <w:tr w14:paraId="26AB350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86" w:hRule="atLeast"/>
        </w:trPr>
        <w:tc>
          <w:tcPr>
            <w:tcW w:w="2232" w:type="dxa"/>
            <w:tcBorders>
              <w:top w:val="nil"/>
              <w:bottom w:val="nil"/>
            </w:tcBorders>
            <w:tcMar>
              <w:top w:w="15" w:type="dxa"/>
              <w:left w:w="15" w:type="dxa"/>
              <w:bottom w:w="0" w:type="dxa"/>
              <w:right w:w="15" w:type="dxa"/>
            </w:tcMar>
            <w:vAlign w:val="center"/>
          </w:tcPr>
          <w:p w14:paraId="6BC2804E">
            <w:pPr>
              <w:spacing w:line="440" w:lineRule="atLeast"/>
              <w:jc w:val="left"/>
              <w:textAlignment w:val="bottom"/>
              <w:rPr>
                <w:rFonts w:ascii="仿宋" w:hAnsi="仿宋" w:eastAsia="仿宋" w:cs="仿宋"/>
                <w:kern w:val="0"/>
                <w:sz w:val="24"/>
              </w:rPr>
            </w:pPr>
            <w:r>
              <w:rPr>
                <w:rFonts w:hint="eastAsia" w:ascii="仿宋" w:hAnsi="仿宋" w:eastAsia="仿宋" w:cs="仿宋"/>
                <w:kern w:val="24"/>
                <w:sz w:val="24"/>
              </w:rPr>
              <w:t>活动经代公司数量</w:t>
            </w:r>
          </w:p>
        </w:tc>
        <w:tc>
          <w:tcPr>
            <w:tcW w:w="562" w:type="dxa"/>
            <w:tcBorders>
              <w:top w:val="nil"/>
              <w:bottom w:val="nil"/>
            </w:tcBorders>
            <w:tcMar>
              <w:top w:w="15" w:type="dxa"/>
              <w:left w:w="15" w:type="dxa"/>
              <w:bottom w:w="0" w:type="dxa"/>
              <w:right w:w="15" w:type="dxa"/>
            </w:tcMar>
            <w:vAlign w:val="center"/>
          </w:tcPr>
          <w:p w14:paraId="088F4535">
            <w:pPr>
              <w:spacing w:line="440" w:lineRule="atLeast"/>
              <w:jc w:val="right"/>
              <w:textAlignment w:val="bottom"/>
              <w:rPr>
                <w:rFonts w:ascii="仿宋" w:hAnsi="仿宋" w:eastAsia="仿宋" w:cs="仿宋"/>
                <w:kern w:val="0"/>
                <w:sz w:val="24"/>
              </w:rPr>
            </w:pPr>
            <w:r>
              <w:rPr>
                <w:rFonts w:hint="eastAsia" w:ascii="仿宋" w:hAnsi="仿宋" w:eastAsia="仿宋" w:cs="仿宋"/>
                <w:kern w:val="24"/>
                <w:sz w:val="24"/>
              </w:rPr>
              <w:t>37</w:t>
            </w:r>
          </w:p>
        </w:tc>
        <w:tc>
          <w:tcPr>
            <w:tcW w:w="562" w:type="dxa"/>
            <w:tcBorders>
              <w:top w:val="nil"/>
              <w:bottom w:val="nil"/>
            </w:tcBorders>
            <w:tcMar>
              <w:top w:w="15" w:type="dxa"/>
              <w:left w:w="15" w:type="dxa"/>
              <w:bottom w:w="0" w:type="dxa"/>
              <w:right w:w="15" w:type="dxa"/>
            </w:tcMar>
            <w:vAlign w:val="center"/>
          </w:tcPr>
          <w:p w14:paraId="1380588F">
            <w:pPr>
              <w:spacing w:line="440" w:lineRule="atLeast"/>
              <w:jc w:val="right"/>
              <w:textAlignment w:val="bottom"/>
              <w:rPr>
                <w:rFonts w:ascii="仿宋" w:hAnsi="仿宋" w:eastAsia="仿宋" w:cs="仿宋"/>
                <w:kern w:val="0"/>
                <w:sz w:val="24"/>
              </w:rPr>
            </w:pPr>
            <w:r>
              <w:rPr>
                <w:rFonts w:hint="eastAsia" w:ascii="仿宋" w:hAnsi="仿宋" w:eastAsia="仿宋" w:cs="仿宋"/>
                <w:kern w:val="24"/>
                <w:sz w:val="24"/>
              </w:rPr>
              <w:t>43</w:t>
            </w:r>
          </w:p>
        </w:tc>
        <w:tc>
          <w:tcPr>
            <w:tcW w:w="562" w:type="dxa"/>
            <w:tcBorders>
              <w:top w:val="nil"/>
              <w:bottom w:val="nil"/>
            </w:tcBorders>
            <w:tcMar>
              <w:top w:w="15" w:type="dxa"/>
              <w:left w:w="15" w:type="dxa"/>
              <w:bottom w:w="0" w:type="dxa"/>
              <w:right w:w="15" w:type="dxa"/>
            </w:tcMar>
            <w:vAlign w:val="center"/>
          </w:tcPr>
          <w:p w14:paraId="31694545">
            <w:pPr>
              <w:spacing w:line="440" w:lineRule="atLeast"/>
              <w:jc w:val="right"/>
              <w:textAlignment w:val="bottom"/>
              <w:rPr>
                <w:rFonts w:ascii="仿宋" w:hAnsi="仿宋" w:eastAsia="仿宋" w:cs="仿宋"/>
                <w:kern w:val="0"/>
                <w:sz w:val="24"/>
              </w:rPr>
            </w:pPr>
            <w:r>
              <w:rPr>
                <w:rFonts w:hint="eastAsia" w:ascii="仿宋" w:hAnsi="仿宋" w:eastAsia="仿宋" w:cs="仿宋"/>
                <w:kern w:val="24"/>
                <w:sz w:val="24"/>
              </w:rPr>
              <w:t>48</w:t>
            </w:r>
          </w:p>
        </w:tc>
        <w:tc>
          <w:tcPr>
            <w:tcW w:w="562" w:type="dxa"/>
            <w:tcBorders>
              <w:top w:val="nil"/>
              <w:bottom w:val="nil"/>
            </w:tcBorders>
            <w:tcMar>
              <w:top w:w="15" w:type="dxa"/>
              <w:left w:w="15" w:type="dxa"/>
              <w:bottom w:w="0" w:type="dxa"/>
              <w:right w:w="15" w:type="dxa"/>
            </w:tcMar>
            <w:vAlign w:val="center"/>
          </w:tcPr>
          <w:p w14:paraId="1D10689F">
            <w:pPr>
              <w:spacing w:line="440" w:lineRule="atLeast"/>
              <w:jc w:val="right"/>
              <w:textAlignment w:val="bottom"/>
              <w:rPr>
                <w:rFonts w:ascii="仿宋" w:hAnsi="仿宋" w:eastAsia="仿宋" w:cs="仿宋"/>
                <w:kern w:val="0"/>
                <w:sz w:val="24"/>
              </w:rPr>
            </w:pPr>
            <w:r>
              <w:rPr>
                <w:rFonts w:hint="eastAsia" w:ascii="仿宋" w:hAnsi="仿宋" w:eastAsia="仿宋" w:cs="仿宋"/>
                <w:kern w:val="24"/>
                <w:sz w:val="24"/>
              </w:rPr>
              <w:t>54</w:t>
            </w:r>
          </w:p>
        </w:tc>
        <w:tc>
          <w:tcPr>
            <w:tcW w:w="562" w:type="dxa"/>
            <w:tcBorders>
              <w:top w:val="nil"/>
              <w:bottom w:val="nil"/>
            </w:tcBorders>
            <w:tcMar>
              <w:top w:w="15" w:type="dxa"/>
              <w:left w:w="15" w:type="dxa"/>
              <w:bottom w:w="0" w:type="dxa"/>
              <w:right w:w="15" w:type="dxa"/>
            </w:tcMar>
            <w:vAlign w:val="center"/>
          </w:tcPr>
          <w:p w14:paraId="409B5BBA">
            <w:pPr>
              <w:spacing w:line="440" w:lineRule="atLeast"/>
              <w:jc w:val="right"/>
              <w:textAlignment w:val="bottom"/>
              <w:rPr>
                <w:rFonts w:ascii="仿宋" w:hAnsi="仿宋" w:eastAsia="仿宋" w:cs="仿宋"/>
                <w:kern w:val="0"/>
                <w:sz w:val="24"/>
              </w:rPr>
            </w:pPr>
            <w:r>
              <w:rPr>
                <w:rFonts w:hint="eastAsia" w:ascii="仿宋" w:hAnsi="仿宋" w:eastAsia="仿宋" w:cs="仿宋"/>
                <w:kern w:val="24"/>
                <w:sz w:val="24"/>
              </w:rPr>
              <w:t>58</w:t>
            </w:r>
          </w:p>
        </w:tc>
        <w:tc>
          <w:tcPr>
            <w:tcW w:w="562" w:type="dxa"/>
            <w:tcBorders>
              <w:top w:val="nil"/>
              <w:bottom w:val="nil"/>
            </w:tcBorders>
            <w:tcMar>
              <w:top w:w="15" w:type="dxa"/>
              <w:left w:w="15" w:type="dxa"/>
              <w:bottom w:w="0" w:type="dxa"/>
              <w:right w:w="15" w:type="dxa"/>
            </w:tcMar>
            <w:vAlign w:val="center"/>
          </w:tcPr>
          <w:p w14:paraId="14955E26">
            <w:pPr>
              <w:spacing w:line="440" w:lineRule="atLeast"/>
              <w:jc w:val="right"/>
              <w:textAlignment w:val="bottom"/>
              <w:rPr>
                <w:rFonts w:ascii="仿宋" w:hAnsi="仿宋" w:eastAsia="仿宋" w:cs="仿宋"/>
                <w:kern w:val="0"/>
                <w:sz w:val="24"/>
              </w:rPr>
            </w:pPr>
            <w:r>
              <w:rPr>
                <w:rFonts w:hint="eastAsia" w:ascii="仿宋" w:hAnsi="仿宋" w:eastAsia="仿宋" w:cs="仿宋"/>
                <w:kern w:val="24"/>
                <w:sz w:val="24"/>
              </w:rPr>
              <w:t>63</w:t>
            </w:r>
          </w:p>
        </w:tc>
        <w:tc>
          <w:tcPr>
            <w:tcW w:w="562" w:type="dxa"/>
            <w:tcBorders>
              <w:top w:val="nil"/>
              <w:bottom w:val="nil"/>
            </w:tcBorders>
            <w:tcMar>
              <w:top w:w="15" w:type="dxa"/>
              <w:left w:w="15" w:type="dxa"/>
              <w:bottom w:w="0" w:type="dxa"/>
              <w:right w:w="15" w:type="dxa"/>
            </w:tcMar>
            <w:vAlign w:val="center"/>
          </w:tcPr>
          <w:p w14:paraId="12D338DB">
            <w:pPr>
              <w:spacing w:line="440" w:lineRule="atLeast"/>
              <w:jc w:val="right"/>
              <w:textAlignment w:val="bottom"/>
              <w:rPr>
                <w:rFonts w:ascii="仿宋" w:hAnsi="仿宋" w:eastAsia="仿宋" w:cs="仿宋"/>
                <w:kern w:val="0"/>
                <w:sz w:val="24"/>
              </w:rPr>
            </w:pPr>
            <w:r>
              <w:rPr>
                <w:rFonts w:hint="eastAsia" w:ascii="仿宋" w:hAnsi="仿宋" w:eastAsia="仿宋" w:cs="仿宋"/>
                <w:kern w:val="24"/>
                <w:sz w:val="24"/>
              </w:rPr>
              <w:t>68</w:t>
            </w:r>
          </w:p>
        </w:tc>
        <w:tc>
          <w:tcPr>
            <w:tcW w:w="562" w:type="dxa"/>
            <w:tcBorders>
              <w:top w:val="nil"/>
              <w:bottom w:val="nil"/>
            </w:tcBorders>
            <w:tcMar>
              <w:top w:w="15" w:type="dxa"/>
              <w:left w:w="15" w:type="dxa"/>
              <w:bottom w:w="0" w:type="dxa"/>
              <w:right w:w="15" w:type="dxa"/>
            </w:tcMar>
            <w:vAlign w:val="center"/>
          </w:tcPr>
          <w:p w14:paraId="48C54809">
            <w:pPr>
              <w:spacing w:line="440" w:lineRule="atLeast"/>
              <w:jc w:val="right"/>
              <w:textAlignment w:val="bottom"/>
              <w:rPr>
                <w:rFonts w:ascii="仿宋" w:hAnsi="仿宋" w:eastAsia="仿宋" w:cs="仿宋"/>
                <w:kern w:val="0"/>
                <w:sz w:val="24"/>
              </w:rPr>
            </w:pPr>
            <w:r>
              <w:rPr>
                <w:rFonts w:hint="eastAsia" w:ascii="仿宋" w:hAnsi="仿宋" w:eastAsia="仿宋" w:cs="仿宋"/>
                <w:kern w:val="24"/>
                <w:sz w:val="24"/>
              </w:rPr>
              <w:t>73</w:t>
            </w:r>
          </w:p>
        </w:tc>
        <w:tc>
          <w:tcPr>
            <w:tcW w:w="562" w:type="dxa"/>
            <w:tcBorders>
              <w:top w:val="nil"/>
              <w:bottom w:val="nil"/>
            </w:tcBorders>
            <w:tcMar>
              <w:top w:w="15" w:type="dxa"/>
              <w:left w:w="15" w:type="dxa"/>
              <w:bottom w:w="0" w:type="dxa"/>
              <w:right w:w="15" w:type="dxa"/>
            </w:tcMar>
            <w:vAlign w:val="center"/>
          </w:tcPr>
          <w:p w14:paraId="2A28C943">
            <w:pPr>
              <w:spacing w:line="440" w:lineRule="atLeast"/>
              <w:jc w:val="right"/>
              <w:textAlignment w:val="bottom"/>
              <w:rPr>
                <w:rFonts w:ascii="仿宋" w:hAnsi="仿宋" w:eastAsia="仿宋" w:cs="仿宋"/>
                <w:kern w:val="0"/>
                <w:sz w:val="24"/>
              </w:rPr>
            </w:pPr>
            <w:r>
              <w:rPr>
                <w:rFonts w:hint="eastAsia" w:ascii="仿宋" w:hAnsi="仿宋" w:eastAsia="仿宋" w:cs="仿宋"/>
                <w:kern w:val="24"/>
                <w:sz w:val="24"/>
              </w:rPr>
              <w:t>78</w:t>
            </w:r>
          </w:p>
        </w:tc>
        <w:tc>
          <w:tcPr>
            <w:tcW w:w="562" w:type="dxa"/>
            <w:tcBorders>
              <w:top w:val="nil"/>
              <w:bottom w:val="nil"/>
            </w:tcBorders>
            <w:tcMar>
              <w:top w:w="15" w:type="dxa"/>
              <w:left w:w="15" w:type="dxa"/>
              <w:bottom w:w="0" w:type="dxa"/>
              <w:right w:w="15" w:type="dxa"/>
            </w:tcMar>
            <w:vAlign w:val="center"/>
          </w:tcPr>
          <w:p w14:paraId="561C5071">
            <w:pPr>
              <w:spacing w:line="440" w:lineRule="atLeast"/>
              <w:jc w:val="right"/>
              <w:textAlignment w:val="bottom"/>
              <w:rPr>
                <w:rFonts w:ascii="仿宋" w:hAnsi="仿宋" w:eastAsia="仿宋" w:cs="仿宋"/>
                <w:kern w:val="0"/>
                <w:sz w:val="24"/>
              </w:rPr>
            </w:pPr>
            <w:r>
              <w:rPr>
                <w:rFonts w:hint="eastAsia" w:ascii="仿宋" w:hAnsi="仿宋" w:eastAsia="仿宋" w:cs="仿宋"/>
                <w:kern w:val="24"/>
                <w:sz w:val="24"/>
              </w:rPr>
              <w:t>83</w:t>
            </w:r>
          </w:p>
        </w:tc>
        <w:tc>
          <w:tcPr>
            <w:tcW w:w="562" w:type="dxa"/>
            <w:tcBorders>
              <w:top w:val="nil"/>
              <w:bottom w:val="nil"/>
            </w:tcBorders>
            <w:tcMar>
              <w:top w:w="15" w:type="dxa"/>
              <w:left w:w="15" w:type="dxa"/>
              <w:bottom w:w="0" w:type="dxa"/>
              <w:right w:w="15" w:type="dxa"/>
            </w:tcMar>
            <w:vAlign w:val="center"/>
          </w:tcPr>
          <w:p w14:paraId="582B2864">
            <w:pPr>
              <w:spacing w:line="440" w:lineRule="atLeast"/>
              <w:jc w:val="right"/>
              <w:textAlignment w:val="bottom"/>
              <w:rPr>
                <w:rFonts w:ascii="仿宋" w:hAnsi="仿宋" w:eastAsia="仿宋" w:cs="仿宋"/>
                <w:kern w:val="0"/>
                <w:sz w:val="24"/>
              </w:rPr>
            </w:pPr>
            <w:r>
              <w:rPr>
                <w:rFonts w:hint="eastAsia" w:ascii="仿宋" w:hAnsi="仿宋" w:eastAsia="仿宋" w:cs="仿宋"/>
                <w:kern w:val="24"/>
                <w:sz w:val="24"/>
              </w:rPr>
              <w:t>87</w:t>
            </w:r>
          </w:p>
        </w:tc>
        <w:tc>
          <w:tcPr>
            <w:tcW w:w="562" w:type="dxa"/>
            <w:tcBorders>
              <w:top w:val="nil"/>
              <w:bottom w:val="nil"/>
            </w:tcBorders>
            <w:tcMar>
              <w:top w:w="15" w:type="dxa"/>
              <w:left w:w="15" w:type="dxa"/>
              <w:bottom w:w="0" w:type="dxa"/>
              <w:right w:w="15" w:type="dxa"/>
            </w:tcMar>
            <w:vAlign w:val="center"/>
          </w:tcPr>
          <w:p w14:paraId="60AD0881">
            <w:pPr>
              <w:spacing w:line="440" w:lineRule="atLeast"/>
              <w:jc w:val="right"/>
              <w:textAlignment w:val="bottom"/>
              <w:rPr>
                <w:rFonts w:ascii="仿宋" w:hAnsi="仿宋" w:eastAsia="仿宋" w:cs="仿宋"/>
                <w:kern w:val="0"/>
                <w:sz w:val="24"/>
              </w:rPr>
            </w:pPr>
            <w:r>
              <w:rPr>
                <w:rFonts w:hint="eastAsia" w:ascii="仿宋" w:hAnsi="仿宋" w:eastAsia="仿宋" w:cs="仿宋"/>
                <w:kern w:val="24"/>
                <w:sz w:val="24"/>
              </w:rPr>
              <w:t>92</w:t>
            </w:r>
          </w:p>
        </w:tc>
      </w:tr>
      <w:tr w14:paraId="1E24C9E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86" w:hRule="atLeast"/>
        </w:trPr>
        <w:tc>
          <w:tcPr>
            <w:tcW w:w="2232" w:type="dxa"/>
            <w:tcBorders>
              <w:top w:val="nil"/>
              <w:bottom w:val="nil"/>
            </w:tcBorders>
            <w:tcMar>
              <w:top w:w="15" w:type="dxa"/>
              <w:left w:w="15" w:type="dxa"/>
              <w:bottom w:w="0" w:type="dxa"/>
              <w:right w:w="15" w:type="dxa"/>
            </w:tcMar>
            <w:vAlign w:val="center"/>
          </w:tcPr>
          <w:p w14:paraId="194506C2">
            <w:pPr>
              <w:spacing w:line="440" w:lineRule="atLeast"/>
              <w:jc w:val="left"/>
              <w:textAlignment w:val="bottom"/>
              <w:rPr>
                <w:rFonts w:ascii="仿宋" w:hAnsi="仿宋" w:eastAsia="仿宋" w:cs="仿宋"/>
                <w:kern w:val="24"/>
                <w:sz w:val="24"/>
              </w:rPr>
            </w:pPr>
            <w:r>
              <w:rPr>
                <w:rFonts w:hint="eastAsia" w:ascii="仿宋" w:hAnsi="仿宋" w:eastAsia="仿宋" w:cs="仿宋"/>
                <w:kern w:val="24"/>
                <w:sz w:val="24"/>
              </w:rPr>
              <w:t>活动经代公司</w:t>
            </w:r>
          </w:p>
          <w:p w14:paraId="22177BC9">
            <w:pPr>
              <w:spacing w:line="440" w:lineRule="atLeast"/>
              <w:jc w:val="left"/>
              <w:textAlignment w:val="bottom"/>
              <w:rPr>
                <w:rFonts w:ascii="仿宋" w:hAnsi="仿宋" w:eastAsia="仿宋" w:cs="仿宋"/>
                <w:kern w:val="0"/>
                <w:sz w:val="24"/>
              </w:rPr>
            </w:pPr>
            <w:r>
              <w:rPr>
                <w:rFonts w:hint="eastAsia" w:ascii="仿宋" w:hAnsi="仿宋" w:eastAsia="仿宋" w:cs="仿宋"/>
                <w:kern w:val="24"/>
                <w:sz w:val="24"/>
              </w:rPr>
              <w:t>数增长率</w:t>
            </w:r>
          </w:p>
        </w:tc>
        <w:tc>
          <w:tcPr>
            <w:tcW w:w="562" w:type="dxa"/>
            <w:tcBorders>
              <w:top w:val="nil"/>
              <w:bottom w:val="nil"/>
            </w:tcBorders>
            <w:tcMar>
              <w:top w:w="15" w:type="dxa"/>
              <w:left w:w="15" w:type="dxa"/>
              <w:bottom w:w="0" w:type="dxa"/>
              <w:right w:w="15" w:type="dxa"/>
            </w:tcMar>
            <w:vAlign w:val="center"/>
          </w:tcPr>
          <w:p w14:paraId="59A6A604">
            <w:pPr>
              <w:spacing w:line="440" w:lineRule="atLeast"/>
              <w:jc w:val="right"/>
              <w:rPr>
                <w:rFonts w:ascii="仿宋" w:hAnsi="仿宋" w:eastAsia="仿宋" w:cs="仿宋"/>
                <w:kern w:val="0"/>
                <w:sz w:val="24"/>
              </w:rPr>
            </w:pPr>
          </w:p>
        </w:tc>
        <w:tc>
          <w:tcPr>
            <w:tcW w:w="562" w:type="dxa"/>
            <w:tcBorders>
              <w:top w:val="nil"/>
              <w:bottom w:val="nil"/>
            </w:tcBorders>
            <w:tcMar>
              <w:top w:w="15" w:type="dxa"/>
              <w:left w:w="15" w:type="dxa"/>
              <w:bottom w:w="0" w:type="dxa"/>
              <w:right w:w="15" w:type="dxa"/>
            </w:tcMar>
            <w:vAlign w:val="center"/>
          </w:tcPr>
          <w:p w14:paraId="4F9B1BD3">
            <w:pPr>
              <w:spacing w:line="440" w:lineRule="atLeast"/>
              <w:jc w:val="right"/>
              <w:textAlignment w:val="bottom"/>
              <w:rPr>
                <w:rFonts w:ascii="仿宋" w:hAnsi="仿宋" w:eastAsia="仿宋" w:cs="仿宋"/>
                <w:kern w:val="0"/>
                <w:sz w:val="24"/>
              </w:rPr>
            </w:pPr>
            <w:r>
              <w:rPr>
                <w:rFonts w:hint="eastAsia" w:ascii="仿宋" w:hAnsi="仿宋" w:eastAsia="仿宋" w:cs="仿宋"/>
                <w:kern w:val="24"/>
                <w:sz w:val="24"/>
              </w:rPr>
              <w:t>17%</w:t>
            </w:r>
          </w:p>
        </w:tc>
        <w:tc>
          <w:tcPr>
            <w:tcW w:w="562" w:type="dxa"/>
            <w:tcBorders>
              <w:top w:val="nil"/>
              <w:bottom w:val="nil"/>
            </w:tcBorders>
            <w:tcMar>
              <w:top w:w="15" w:type="dxa"/>
              <w:left w:w="15" w:type="dxa"/>
              <w:bottom w:w="0" w:type="dxa"/>
              <w:right w:w="15" w:type="dxa"/>
            </w:tcMar>
            <w:vAlign w:val="center"/>
          </w:tcPr>
          <w:p w14:paraId="6C327E2A">
            <w:pPr>
              <w:spacing w:line="440" w:lineRule="atLeast"/>
              <w:jc w:val="right"/>
              <w:textAlignment w:val="bottom"/>
              <w:rPr>
                <w:rFonts w:ascii="仿宋" w:hAnsi="仿宋" w:eastAsia="仿宋" w:cs="仿宋"/>
                <w:kern w:val="0"/>
                <w:sz w:val="24"/>
              </w:rPr>
            </w:pPr>
            <w:r>
              <w:rPr>
                <w:rFonts w:hint="eastAsia" w:ascii="仿宋" w:hAnsi="仿宋" w:eastAsia="仿宋" w:cs="仿宋"/>
                <w:kern w:val="24"/>
                <w:sz w:val="24"/>
              </w:rPr>
              <w:t>11%</w:t>
            </w:r>
          </w:p>
        </w:tc>
        <w:tc>
          <w:tcPr>
            <w:tcW w:w="562" w:type="dxa"/>
            <w:tcBorders>
              <w:top w:val="nil"/>
              <w:bottom w:val="nil"/>
            </w:tcBorders>
            <w:tcMar>
              <w:top w:w="15" w:type="dxa"/>
              <w:left w:w="15" w:type="dxa"/>
              <w:bottom w:w="0" w:type="dxa"/>
              <w:right w:w="15" w:type="dxa"/>
            </w:tcMar>
            <w:vAlign w:val="center"/>
          </w:tcPr>
          <w:p w14:paraId="120D2818">
            <w:pPr>
              <w:spacing w:line="440" w:lineRule="atLeast"/>
              <w:jc w:val="right"/>
              <w:textAlignment w:val="bottom"/>
              <w:rPr>
                <w:rFonts w:ascii="仿宋" w:hAnsi="仿宋" w:eastAsia="仿宋" w:cs="仿宋"/>
                <w:kern w:val="0"/>
                <w:sz w:val="24"/>
              </w:rPr>
            </w:pPr>
            <w:r>
              <w:rPr>
                <w:rFonts w:hint="eastAsia" w:ascii="仿宋" w:hAnsi="仿宋" w:eastAsia="仿宋" w:cs="仿宋"/>
                <w:kern w:val="24"/>
                <w:sz w:val="24"/>
              </w:rPr>
              <w:t>15%</w:t>
            </w:r>
          </w:p>
        </w:tc>
        <w:tc>
          <w:tcPr>
            <w:tcW w:w="562" w:type="dxa"/>
            <w:tcBorders>
              <w:top w:val="nil"/>
              <w:bottom w:val="nil"/>
            </w:tcBorders>
            <w:tcMar>
              <w:top w:w="15" w:type="dxa"/>
              <w:left w:w="15" w:type="dxa"/>
              <w:bottom w:w="0" w:type="dxa"/>
              <w:right w:w="15" w:type="dxa"/>
            </w:tcMar>
            <w:vAlign w:val="center"/>
          </w:tcPr>
          <w:p w14:paraId="3D347236">
            <w:pPr>
              <w:spacing w:line="440" w:lineRule="atLeast"/>
              <w:jc w:val="right"/>
              <w:textAlignment w:val="bottom"/>
              <w:rPr>
                <w:rFonts w:ascii="仿宋" w:hAnsi="仿宋" w:eastAsia="仿宋" w:cs="仿宋"/>
                <w:kern w:val="0"/>
                <w:sz w:val="24"/>
              </w:rPr>
            </w:pPr>
            <w:r>
              <w:rPr>
                <w:rFonts w:hint="eastAsia" w:ascii="仿宋" w:hAnsi="仿宋" w:eastAsia="仿宋" w:cs="仿宋"/>
                <w:kern w:val="24"/>
                <w:sz w:val="24"/>
              </w:rPr>
              <w:t>8%</w:t>
            </w:r>
          </w:p>
        </w:tc>
        <w:tc>
          <w:tcPr>
            <w:tcW w:w="562" w:type="dxa"/>
            <w:tcBorders>
              <w:top w:val="nil"/>
              <w:bottom w:val="nil"/>
            </w:tcBorders>
            <w:tcMar>
              <w:top w:w="15" w:type="dxa"/>
              <w:left w:w="15" w:type="dxa"/>
              <w:bottom w:w="0" w:type="dxa"/>
              <w:right w:w="15" w:type="dxa"/>
            </w:tcMar>
            <w:vAlign w:val="center"/>
          </w:tcPr>
          <w:p w14:paraId="5894B71B">
            <w:pPr>
              <w:spacing w:line="440" w:lineRule="atLeast"/>
              <w:jc w:val="right"/>
              <w:textAlignment w:val="bottom"/>
              <w:rPr>
                <w:rFonts w:ascii="仿宋" w:hAnsi="仿宋" w:eastAsia="仿宋" w:cs="仿宋"/>
                <w:kern w:val="0"/>
                <w:sz w:val="24"/>
              </w:rPr>
            </w:pPr>
            <w:r>
              <w:rPr>
                <w:rFonts w:hint="eastAsia" w:ascii="仿宋" w:hAnsi="仿宋" w:eastAsia="仿宋" w:cs="仿宋"/>
                <w:kern w:val="24"/>
                <w:sz w:val="24"/>
              </w:rPr>
              <w:t>8%</w:t>
            </w:r>
          </w:p>
        </w:tc>
        <w:tc>
          <w:tcPr>
            <w:tcW w:w="562" w:type="dxa"/>
            <w:tcBorders>
              <w:top w:val="nil"/>
              <w:bottom w:val="nil"/>
            </w:tcBorders>
            <w:tcMar>
              <w:top w:w="15" w:type="dxa"/>
              <w:left w:w="15" w:type="dxa"/>
              <w:bottom w:w="0" w:type="dxa"/>
              <w:right w:w="15" w:type="dxa"/>
            </w:tcMar>
            <w:vAlign w:val="center"/>
          </w:tcPr>
          <w:p w14:paraId="373F4C78">
            <w:pPr>
              <w:spacing w:line="440" w:lineRule="atLeast"/>
              <w:jc w:val="right"/>
              <w:textAlignment w:val="bottom"/>
              <w:rPr>
                <w:rFonts w:ascii="仿宋" w:hAnsi="仿宋" w:eastAsia="仿宋" w:cs="仿宋"/>
                <w:kern w:val="0"/>
                <w:sz w:val="24"/>
              </w:rPr>
            </w:pPr>
            <w:r>
              <w:rPr>
                <w:rFonts w:hint="eastAsia" w:ascii="仿宋" w:hAnsi="仿宋" w:eastAsia="仿宋" w:cs="仿宋"/>
                <w:kern w:val="24"/>
                <w:sz w:val="24"/>
              </w:rPr>
              <w:t>8%</w:t>
            </w:r>
          </w:p>
        </w:tc>
        <w:tc>
          <w:tcPr>
            <w:tcW w:w="562" w:type="dxa"/>
            <w:tcBorders>
              <w:top w:val="nil"/>
              <w:bottom w:val="nil"/>
            </w:tcBorders>
            <w:tcMar>
              <w:top w:w="15" w:type="dxa"/>
              <w:left w:w="15" w:type="dxa"/>
              <w:bottom w:w="0" w:type="dxa"/>
              <w:right w:w="15" w:type="dxa"/>
            </w:tcMar>
            <w:vAlign w:val="center"/>
          </w:tcPr>
          <w:p w14:paraId="2DC90215">
            <w:pPr>
              <w:spacing w:line="440" w:lineRule="atLeast"/>
              <w:jc w:val="right"/>
              <w:textAlignment w:val="bottom"/>
              <w:rPr>
                <w:rFonts w:ascii="仿宋" w:hAnsi="仿宋" w:eastAsia="仿宋" w:cs="仿宋"/>
                <w:kern w:val="0"/>
                <w:sz w:val="24"/>
              </w:rPr>
            </w:pPr>
            <w:r>
              <w:rPr>
                <w:rFonts w:hint="eastAsia" w:ascii="仿宋" w:hAnsi="仿宋" w:eastAsia="仿宋" w:cs="仿宋"/>
                <w:kern w:val="24"/>
                <w:sz w:val="24"/>
              </w:rPr>
              <w:t>8%</w:t>
            </w:r>
          </w:p>
        </w:tc>
        <w:tc>
          <w:tcPr>
            <w:tcW w:w="562" w:type="dxa"/>
            <w:tcBorders>
              <w:top w:val="nil"/>
              <w:bottom w:val="nil"/>
            </w:tcBorders>
            <w:tcMar>
              <w:top w:w="15" w:type="dxa"/>
              <w:left w:w="15" w:type="dxa"/>
              <w:bottom w:w="0" w:type="dxa"/>
              <w:right w:w="15" w:type="dxa"/>
            </w:tcMar>
            <w:vAlign w:val="center"/>
          </w:tcPr>
          <w:p w14:paraId="4D6CE3CF">
            <w:pPr>
              <w:spacing w:line="440" w:lineRule="atLeast"/>
              <w:jc w:val="right"/>
              <w:textAlignment w:val="bottom"/>
              <w:rPr>
                <w:rFonts w:ascii="仿宋" w:hAnsi="仿宋" w:eastAsia="仿宋" w:cs="仿宋"/>
                <w:kern w:val="0"/>
                <w:sz w:val="24"/>
              </w:rPr>
            </w:pPr>
            <w:r>
              <w:rPr>
                <w:rFonts w:hint="eastAsia" w:ascii="仿宋" w:hAnsi="仿宋" w:eastAsia="仿宋" w:cs="仿宋"/>
                <w:kern w:val="24"/>
                <w:sz w:val="24"/>
              </w:rPr>
              <w:t>7%</w:t>
            </w:r>
          </w:p>
        </w:tc>
        <w:tc>
          <w:tcPr>
            <w:tcW w:w="562" w:type="dxa"/>
            <w:tcBorders>
              <w:top w:val="nil"/>
              <w:bottom w:val="nil"/>
            </w:tcBorders>
            <w:tcMar>
              <w:top w:w="15" w:type="dxa"/>
              <w:left w:w="15" w:type="dxa"/>
              <w:bottom w:w="0" w:type="dxa"/>
              <w:right w:w="15" w:type="dxa"/>
            </w:tcMar>
            <w:vAlign w:val="center"/>
          </w:tcPr>
          <w:p w14:paraId="6E1864CA">
            <w:pPr>
              <w:spacing w:line="440" w:lineRule="atLeast"/>
              <w:jc w:val="right"/>
              <w:textAlignment w:val="bottom"/>
              <w:rPr>
                <w:rFonts w:ascii="仿宋" w:hAnsi="仿宋" w:eastAsia="仿宋" w:cs="仿宋"/>
                <w:kern w:val="0"/>
                <w:sz w:val="24"/>
              </w:rPr>
            </w:pPr>
            <w:r>
              <w:rPr>
                <w:rFonts w:hint="eastAsia" w:ascii="仿宋" w:hAnsi="仿宋" w:eastAsia="仿宋" w:cs="仿宋"/>
                <w:kern w:val="24"/>
                <w:sz w:val="24"/>
              </w:rPr>
              <w:t>7%</w:t>
            </w:r>
          </w:p>
        </w:tc>
        <w:tc>
          <w:tcPr>
            <w:tcW w:w="562" w:type="dxa"/>
            <w:tcBorders>
              <w:top w:val="nil"/>
              <w:bottom w:val="nil"/>
            </w:tcBorders>
            <w:tcMar>
              <w:top w:w="15" w:type="dxa"/>
              <w:left w:w="15" w:type="dxa"/>
              <w:bottom w:w="0" w:type="dxa"/>
              <w:right w:w="15" w:type="dxa"/>
            </w:tcMar>
            <w:vAlign w:val="center"/>
          </w:tcPr>
          <w:p w14:paraId="5A8921BC">
            <w:pPr>
              <w:spacing w:line="440" w:lineRule="atLeast"/>
              <w:jc w:val="right"/>
              <w:textAlignment w:val="bottom"/>
              <w:rPr>
                <w:rFonts w:ascii="仿宋" w:hAnsi="仿宋" w:eastAsia="仿宋" w:cs="仿宋"/>
                <w:kern w:val="0"/>
                <w:sz w:val="24"/>
              </w:rPr>
            </w:pPr>
            <w:r>
              <w:rPr>
                <w:rFonts w:hint="eastAsia" w:ascii="仿宋" w:hAnsi="仿宋" w:eastAsia="仿宋" w:cs="仿宋"/>
                <w:kern w:val="24"/>
                <w:sz w:val="24"/>
              </w:rPr>
              <w:t>6%</w:t>
            </w:r>
          </w:p>
        </w:tc>
        <w:tc>
          <w:tcPr>
            <w:tcW w:w="562" w:type="dxa"/>
            <w:tcBorders>
              <w:top w:val="nil"/>
              <w:bottom w:val="nil"/>
            </w:tcBorders>
            <w:tcMar>
              <w:top w:w="15" w:type="dxa"/>
              <w:left w:w="15" w:type="dxa"/>
              <w:bottom w:w="0" w:type="dxa"/>
              <w:right w:w="15" w:type="dxa"/>
            </w:tcMar>
            <w:vAlign w:val="center"/>
          </w:tcPr>
          <w:p w14:paraId="5AE6C336">
            <w:pPr>
              <w:spacing w:line="440" w:lineRule="atLeast"/>
              <w:jc w:val="right"/>
              <w:textAlignment w:val="bottom"/>
              <w:rPr>
                <w:rFonts w:ascii="仿宋" w:hAnsi="仿宋" w:eastAsia="仿宋" w:cs="仿宋"/>
                <w:kern w:val="0"/>
                <w:sz w:val="24"/>
              </w:rPr>
            </w:pPr>
            <w:r>
              <w:rPr>
                <w:rFonts w:hint="eastAsia" w:ascii="仿宋" w:hAnsi="仿宋" w:eastAsia="仿宋" w:cs="仿宋"/>
                <w:kern w:val="24"/>
                <w:sz w:val="24"/>
              </w:rPr>
              <w:t>6%</w:t>
            </w:r>
          </w:p>
        </w:tc>
      </w:tr>
      <w:tr w14:paraId="4525BDE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86" w:hRule="atLeast"/>
        </w:trPr>
        <w:tc>
          <w:tcPr>
            <w:tcW w:w="2232" w:type="dxa"/>
            <w:tcBorders>
              <w:top w:val="nil"/>
              <w:bottom w:val="nil"/>
            </w:tcBorders>
            <w:tcMar>
              <w:top w:w="15" w:type="dxa"/>
              <w:left w:w="15" w:type="dxa"/>
              <w:bottom w:w="0" w:type="dxa"/>
              <w:right w:w="15" w:type="dxa"/>
            </w:tcMar>
            <w:vAlign w:val="center"/>
          </w:tcPr>
          <w:p w14:paraId="4050DB71">
            <w:pPr>
              <w:spacing w:line="440" w:lineRule="atLeast"/>
              <w:jc w:val="left"/>
              <w:textAlignment w:val="bottom"/>
              <w:rPr>
                <w:rFonts w:ascii="仿宋" w:hAnsi="仿宋" w:eastAsia="仿宋" w:cs="仿宋"/>
                <w:kern w:val="0"/>
                <w:sz w:val="24"/>
              </w:rPr>
            </w:pPr>
            <w:r>
              <w:rPr>
                <w:rFonts w:hint="eastAsia" w:ascii="仿宋" w:hAnsi="仿宋" w:eastAsia="仿宋" w:cs="仿宋"/>
                <w:kern w:val="24"/>
                <w:sz w:val="24"/>
              </w:rPr>
              <w:t>活动经月均产能（千元）</w:t>
            </w:r>
          </w:p>
        </w:tc>
        <w:tc>
          <w:tcPr>
            <w:tcW w:w="562" w:type="dxa"/>
            <w:tcBorders>
              <w:top w:val="nil"/>
              <w:bottom w:val="nil"/>
            </w:tcBorders>
            <w:tcMar>
              <w:top w:w="15" w:type="dxa"/>
              <w:left w:w="15" w:type="dxa"/>
              <w:bottom w:w="0" w:type="dxa"/>
              <w:right w:w="15" w:type="dxa"/>
            </w:tcMar>
            <w:vAlign w:val="center"/>
          </w:tcPr>
          <w:p w14:paraId="115768D7">
            <w:pPr>
              <w:spacing w:line="440" w:lineRule="atLeast"/>
              <w:jc w:val="right"/>
              <w:textAlignment w:val="bottom"/>
              <w:rPr>
                <w:rFonts w:ascii="仿宋" w:hAnsi="仿宋" w:eastAsia="仿宋" w:cs="仿宋"/>
                <w:kern w:val="0"/>
                <w:sz w:val="24"/>
              </w:rPr>
            </w:pPr>
            <w:r>
              <w:rPr>
                <w:rFonts w:hint="eastAsia" w:ascii="仿宋" w:hAnsi="仿宋" w:eastAsia="仿宋" w:cs="仿宋"/>
                <w:kern w:val="24"/>
                <w:sz w:val="24"/>
              </w:rPr>
              <w:t>98</w:t>
            </w:r>
          </w:p>
        </w:tc>
        <w:tc>
          <w:tcPr>
            <w:tcW w:w="562" w:type="dxa"/>
            <w:tcBorders>
              <w:top w:val="nil"/>
              <w:bottom w:val="nil"/>
            </w:tcBorders>
            <w:tcMar>
              <w:top w:w="15" w:type="dxa"/>
              <w:left w:w="15" w:type="dxa"/>
              <w:bottom w:w="0" w:type="dxa"/>
              <w:right w:w="15" w:type="dxa"/>
            </w:tcMar>
            <w:vAlign w:val="center"/>
          </w:tcPr>
          <w:p w14:paraId="41E9F0EF">
            <w:pPr>
              <w:spacing w:line="440" w:lineRule="atLeast"/>
              <w:jc w:val="right"/>
              <w:textAlignment w:val="bottom"/>
              <w:rPr>
                <w:rFonts w:ascii="仿宋" w:hAnsi="仿宋" w:eastAsia="仿宋" w:cs="仿宋"/>
                <w:kern w:val="0"/>
                <w:sz w:val="24"/>
              </w:rPr>
            </w:pPr>
            <w:r>
              <w:rPr>
                <w:rFonts w:hint="eastAsia" w:ascii="仿宋" w:hAnsi="仿宋" w:eastAsia="仿宋" w:cs="仿宋"/>
                <w:kern w:val="24"/>
                <w:sz w:val="24"/>
              </w:rPr>
              <w:t>113</w:t>
            </w:r>
          </w:p>
        </w:tc>
        <w:tc>
          <w:tcPr>
            <w:tcW w:w="562" w:type="dxa"/>
            <w:tcBorders>
              <w:top w:val="nil"/>
              <w:bottom w:val="nil"/>
            </w:tcBorders>
            <w:tcMar>
              <w:top w:w="15" w:type="dxa"/>
              <w:left w:w="15" w:type="dxa"/>
              <w:bottom w:w="0" w:type="dxa"/>
              <w:right w:w="15" w:type="dxa"/>
            </w:tcMar>
            <w:vAlign w:val="center"/>
          </w:tcPr>
          <w:p w14:paraId="5C375912">
            <w:pPr>
              <w:spacing w:line="440" w:lineRule="atLeast"/>
              <w:jc w:val="right"/>
              <w:textAlignment w:val="bottom"/>
              <w:rPr>
                <w:rFonts w:ascii="仿宋" w:hAnsi="仿宋" w:eastAsia="仿宋" w:cs="仿宋"/>
                <w:kern w:val="0"/>
                <w:sz w:val="24"/>
              </w:rPr>
            </w:pPr>
            <w:r>
              <w:rPr>
                <w:rFonts w:hint="eastAsia" w:ascii="仿宋" w:hAnsi="仿宋" w:eastAsia="仿宋" w:cs="仿宋"/>
                <w:kern w:val="24"/>
                <w:sz w:val="24"/>
              </w:rPr>
              <w:t>117</w:t>
            </w:r>
          </w:p>
        </w:tc>
        <w:tc>
          <w:tcPr>
            <w:tcW w:w="562" w:type="dxa"/>
            <w:tcBorders>
              <w:top w:val="nil"/>
              <w:bottom w:val="nil"/>
            </w:tcBorders>
            <w:tcMar>
              <w:top w:w="15" w:type="dxa"/>
              <w:left w:w="15" w:type="dxa"/>
              <w:bottom w:w="0" w:type="dxa"/>
              <w:right w:w="15" w:type="dxa"/>
            </w:tcMar>
            <w:vAlign w:val="center"/>
          </w:tcPr>
          <w:p w14:paraId="20E8327D">
            <w:pPr>
              <w:spacing w:line="440" w:lineRule="atLeast"/>
              <w:jc w:val="right"/>
              <w:textAlignment w:val="bottom"/>
              <w:rPr>
                <w:rFonts w:ascii="仿宋" w:hAnsi="仿宋" w:eastAsia="仿宋" w:cs="仿宋"/>
                <w:kern w:val="0"/>
                <w:sz w:val="24"/>
              </w:rPr>
            </w:pPr>
            <w:r>
              <w:rPr>
                <w:rFonts w:hint="eastAsia" w:ascii="仿宋" w:hAnsi="仿宋" w:eastAsia="仿宋" w:cs="仿宋"/>
                <w:kern w:val="24"/>
                <w:sz w:val="24"/>
              </w:rPr>
              <w:t>134</w:t>
            </w:r>
          </w:p>
        </w:tc>
        <w:tc>
          <w:tcPr>
            <w:tcW w:w="562" w:type="dxa"/>
            <w:tcBorders>
              <w:top w:val="nil"/>
              <w:bottom w:val="nil"/>
            </w:tcBorders>
            <w:tcMar>
              <w:top w:w="15" w:type="dxa"/>
              <w:left w:w="15" w:type="dxa"/>
              <w:bottom w:w="0" w:type="dxa"/>
              <w:right w:w="15" w:type="dxa"/>
            </w:tcMar>
            <w:vAlign w:val="center"/>
          </w:tcPr>
          <w:p w14:paraId="36EF0AD9">
            <w:pPr>
              <w:spacing w:line="440" w:lineRule="atLeast"/>
              <w:jc w:val="right"/>
              <w:textAlignment w:val="bottom"/>
              <w:rPr>
                <w:rFonts w:ascii="仿宋" w:hAnsi="仿宋" w:eastAsia="仿宋" w:cs="仿宋"/>
                <w:kern w:val="0"/>
                <w:sz w:val="24"/>
              </w:rPr>
            </w:pPr>
            <w:r>
              <w:rPr>
                <w:rFonts w:hint="eastAsia" w:ascii="仿宋" w:hAnsi="仿宋" w:eastAsia="仿宋" w:cs="仿宋"/>
                <w:kern w:val="24"/>
                <w:sz w:val="24"/>
              </w:rPr>
              <w:t>139</w:t>
            </w:r>
          </w:p>
        </w:tc>
        <w:tc>
          <w:tcPr>
            <w:tcW w:w="562" w:type="dxa"/>
            <w:tcBorders>
              <w:top w:val="nil"/>
              <w:bottom w:val="nil"/>
            </w:tcBorders>
            <w:tcMar>
              <w:top w:w="15" w:type="dxa"/>
              <w:left w:w="15" w:type="dxa"/>
              <w:bottom w:w="0" w:type="dxa"/>
              <w:right w:w="15" w:type="dxa"/>
            </w:tcMar>
            <w:vAlign w:val="center"/>
          </w:tcPr>
          <w:p w14:paraId="6E7A7A8E">
            <w:pPr>
              <w:spacing w:line="440" w:lineRule="atLeast"/>
              <w:jc w:val="right"/>
              <w:textAlignment w:val="bottom"/>
              <w:rPr>
                <w:rFonts w:ascii="仿宋" w:hAnsi="仿宋" w:eastAsia="仿宋" w:cs="仿宋"/>
                <w:kern w:val="0"/>
                <w:sz w:val="24"/>
              </w:rPr>
            </w:pPr>
            <w:r>
              <w:rPr>
                <w:rFonts w:hint="eastAsia" w:ascii="仿宋" w:hAnsi="仿宋" w:eastAsia="仿宋" w:cs="仿宋"/>
                <w:kern w:val="24"/>
                <w:sz w:val="24"/>
              </w:rPr>
              <w:t>144</w:t>
            </w:r>
          </w:p>
        </w:tc>
        <w:tc>
          <w:tcPr>
            <w:tcW w:w="562" w:type="dxa"/>
            <w:tcBorders>
              <w:top w:val="nil"/>
              <w:bottom w:val="nil"/>
            </w:tcBorders>
            <w:tcMar>
              <w:top w:w="15" w:type="dxa"/>
              <w:left w:w="15" w:type="dxa"/>
              <w:bottom w:w="0" w:type="dxa"/>
              <w:right w:w="15" w:type="dxa"/>
            </w:tcMar>
            <w:vAlign w:val="center"/>
          </w:tcPr>
          <w:p w14:paraId="5701505C">
            <w:pPr>
              <w:spacing w:line="440" w:lineRule="atLeast"/>
              <w:jc w:val="right"/>
              <w:textAlignment w:val="bottom"/>
              <w:rPr>
                <w:rFonts w:ascii="仿宋" w:hAnsi="仿宋" w:eastAsia="仿宋" w:cs="仿宋"/>
                <w:kern w:val="0"/>
                <w:sz w:val="24"/>
              </w:rPr>
            </w:pPr>
            <w:r>
              <w:rPr>
                <w:rFonts w:hint="eastAsia" w:ascii="仿宋" w:hAnsi="仿宋" w:eastAsia="仿宋" w:cs="仿宋"/>
                <w:kern w:val="24"/>
                <w:sz w:val="24"/>
              </w:rPr>
              <w:t>148</w:t>
            </w:r>
          </w:p>
        </w:tc>
        <w:tc>
          <w:tcPr>
            <w:tcW w:w="562" w:type="dxa"/>
            <w:tcBorders>
              <w:top w:val="nil"/>
              <w:bottom w:val="nil"/>
            </w:tcBorders>
            <w:tcMar>
              <w:top w:w="15" w:type="dxa"/>
              <w:left w:w="15" w:type="dxa"/>
              <w:bottom w:w="0" w:type="dxa"/>
              <w:right w:w="15" w:type="dxa"/>
            </w:tcMar>
            <w:vAlign w:val="center"/>
          </w:tcPr>
          <w:p w14:paraId="52E10392">
            <w:pPr>
              <w:spacing w:line="440" w:lineRule="atLeast"/>
              <w:jc w:val="right"/>
              <w:textAlignment w:val="bottom"/>
              <w:rPr>
                <w:rFonts w:ascii="仿宋" w:hAnsi="仿宋" w:eastAsia="仿宋" w:cs="仿宋"/>
                <w:kern w:val="0"/>
                <w:sz w:val="24"/>
              </w:rPr>
            </w:pPr>
            <w:r>
              <w:rPr>
                <w:rFonts w:hint="eastAsia" w:ascii="仿宋" w:hAnsi="仿宋" w:eastAsia="仿宋" w:cs="仿宋"/>
                <w:kern w:val="24"/>
                <w:sz w:val="24"/>
              </w:rPr>
              <w:t>152</w:t>
            </w:r>
          </w:p>
        </w:tc>
        <w:tc>
          <w:tcPr>
            <w:tcW w:w="562" w:type="dxa"/>
            <w:tcBorders>
              <w:top w:val="nil"/>
              <w:bottom w:val="nil"/>
            </w:tcBorders>
            <w:tcMar>
              <w:top w:w="15" w:type="dxa"/>
              <w:left w:w="15" w:type="dxa"/>
              <w:bottom w:w="0" w:type="dxa"/>
              <w:right w:w="15" w:type="dxa"/>
            </w:tcMar>
            <w:vAlign w:val="center"/>
          </w:tcPr>
          <w:p w14:paraId="71A9B070">
            <w:pPr>
              <w:spacing w:line="440" w:lineRule="atLeast"/>
              <w:jc w:val="right"/>
              <w:textAlignment w:val="bottom"/>
              <w:rPr>
                <w:rFonts w:ascii="仿宋" w:hAnsi="仿宋" w:eastAsia="仿宋" w:cs="仿宋"/>
                <w:kern w:val="0"/>
                <w:sz w:val="24"/>
              </w:rPr>
            </w:pPr>
            <w:r>
              <w:rPr>
                <w:rFonts w:hint="eastAsia" w:ascii="仿宋" w:hAnsi="仿宋" w:eastAsia="仿宋" w:cs="仿宋"/>
                <w:kern w:val="24"/>
                <w:sz w:val="24"/>
              </w:rPr>
              <w:t>155</w:t>
            </w:r>
          </w:p>
        </w:tc>
        <w:tc>
          <w:tcPr>
            <w:tcW w:w="562" w:type="dxa"/>
            <w:tcBorders>
              <w:top w:val="nil"/>
              <w:bottom w:val="nil"/>
            </w:tcBorders>
            <w:tcMar>
              <w:top w:w="15" w:type="dxa"/>
              <w:left w:w="15" w:type="dxa"/>
              <w:bottom w:w="0" w:type="dxa"/>
              <w:right w:w="15" w:type="dxa"/>
            </w:tcMar>
            <w:vAlign w:val="center"/>
          </w:tcPr>
          <w:p w14:paraId="0EEAB738">
            <w:pPr>
              <w:spacing w:line="440" w:lineRule="atLeast"/>
              <w:jc w:val="right"/>
              <w:textAlignment w:val="bottom"/>
              <w:rPr>
                <w:rFonts w:ascii="仿宋" w:hAnsi="仿宋" w:eastAsia="仿宋" w:cs="仿宋"/>
                <w:kern w:val="0"/>
                <w:sz w:val="24"/>
              </w:rPr>
            </w:pPr>
            <w:r>
              <w:rPr>
                <w:rFonts w:hint="eastAsia" w:ascii="仿宋" w:hAnsi="仿宋" w:eastAsia="仿宋" w:cs="仿宋"/>
                <w:kern w:val="24"/>
                <w:sz w:val="24"/>
              </w:rPr>
              <w:t>157</w:t>
            </w:r>
          </w:p>
        </w:tc>
        <w:tc>
          <w:tcPr>
            <w:tcW w:w="562" w:type="dxa"/>
            <w:tcBorders>
              <w:top w:val="nil"/>
              <w:bottom w:val="nil"/>
            </w:tcBorders>
            <w:tcMar>
              <w:top w:w="15" w:type="dxa"/>
              <w:left w:w="15" w:type="dxa"/>
              <w:bottom w:w="0" w:type="dxa"/>
              <w:right w:w="15" w:type="dxa"/>
            </w:tcMar>
            <w:vAlign w:val="center"/>
          </w:tcPr>
          <w:p w14:paraId="1D10466A">
            <w:pPr>
              <w:spacing w:line="440" w:lineRule="atLeast"/>
              <w:jc w:val="right"/>
              <w:textAlignment w:val="bottom"/>
              <w:rPr>
                <w:rFonts w:ascii="仿宋" w:hAnsi="仿宋" w:eastAsia="仿宋" w:cs="仿宋"/>
                <w:kern w:val="0"/>
                <w:sz w:val="24"/>
              </w:rPr>
            </w:pPr>
            <w:r>
              <w:rPr>
                <w:rFonts w:hint="eastAsia" w:ascii="仿宋" w:hAnsi="仿宋" w:eastAsia="仿宋" w:cs="仿宋"/>
                <w:kern w:val="24"/>
                <w:sz w:val="24"/>
              </w:rPr>
              <w:t>159</w:t>
            </w:r>
          </w:p>
        </w:tc>
        <w:tc>
          <w:tcPr>
            <w:tcW w:w="562" w:type="dxa"/>
            <w:tcBorders>
              <w:top w:val="nil"/>
              <w:bottom w:val="nil"/>
            </w:tcBorders>
            <w:tcMar>
              <w:top w:w="15" w:type="dxa"/>
              <w:left w:w="15" w:type="dxa"/>
              <w:bottom w:w="0" w:type="dxa"/>
              <w:right w:w="15" w:type="dxa"/>
            </w:tcMar>
            <w:vAlign w:val="center"/>
          </w:tcPr>
          <w:p w14:paraId="7B38E294">
            <w:pPr>
              <w:spacing w:line="440" w:lineRule="atLeast"/>
              <w:jc w:val="right"/>
              <w:textAlignment w:val="bottom"/>
              <w:rPr>
                <w:rFonts w:ascii="仿宋" w:hAnsi="仿宋" w:eastAsia="仿宋" w:cs="仿宋"/>
                <w:kern w:val="0"/>
                <w:sz w:val="24"/>
              </w:rPr>
            </w:pPr>
            <w:r>
              <w:rPr>
                <w:rFonts w:hint="eastAsia" w:ascii="仿宋" w:hAnsi="仿宋" w:eastAsia="仿宋" w:cs="仿宋"/>
                <w:kern w:val="24"/>
                <w:sz w:val="24"/>
              </w:rPr>
              <w:t>160</w:t>
            </w:r>
          </w:p>
        </w:tc>
      </w:tr>
      <w:tr w14:paraId="71535D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86" w:hRule="atLeast"/>
        </w:trPr>
        <w:tc>
          <w:tcPr>
            <w:tcW w:w="2232" w:type="dxa"/>
            <w:tcBorders>
              <w:top w:val="nil"/>
              <w:bottom w:val="nil"/>
            </w:tcBorders>
            <w:tcMar>
              <w:top w:w="15" w:type="dxa"/>
              <w:left w:w="15" w:type="dxa"/>
              <w:bottom w:w="0" w:type="dxa"/>
              <w:right w:w="15" w:type="dxa"/>
            </w:tcMar>
            <w:vAlign w:val="center"/>
          </w:tcPr>
          <w:p w14:paraId="12991347">
            <w:pPr>
              <w:spacing w:line="440" w:lineRule="atLeast"/>
              <w:jc w:val="left"/>
              <w:textAlignment w:val="bottom"/>
              <w:rPr>
                <w:rFonts w:ascii="仿宋" w:hAnsi="仿宋" w:eastAsia="仿宋" w:cs="仿宋"/>
                <w:kern w:val="0"/>
                <w:sz w:val="24"/>
              </w:rPr>
            </w:pPr>
            <w:r>
              <w:rPr>
                <w:rFonts w:hint="eastAsia" w:ascii="仿宋" w:hAnsi="仿宋" w:eastAsia="仿宋" w:cs="仿宋"/>
                <w:kern w:val="24"/>
                <w:sz w:val="24"/>
              </w:rPr>
              <w:t>活动经代公司产能增长率</w:t>
            </w:r>
          </w:p>
        </w:tc>
        <w:tc>
          <w:tcPr>
            <w:tcW w:w="562" w:type="dxa"/>
            <w:tcBorders>
              <w:top w:val="nil"/>
              <w:bottom w:val="nil"/>
            </w:tcBorders>
            <w:tcMar>
              <w:top w:w="15" w:type="dxa"/>
              <w:left w:w="15" w:type="dxa"/>
              <w:bottom w:w="0" w:type="dxa"/>
              <w:right w:w="15" w:type="dxa"/>
            </w:tcMar>
            <w:vAlign w:val="center"/>
          </w:tcPr>
          <w:p w14:paraId="7E657774">
            <w:pPr>
              <w:spacing w:line="440" w:lineRule="atLeast"/>
              <w:jc w:val="right"/>
              <w:rPr>
                <w:rFonts w:ascii="仿宋" w:hAnsi="仿宋" w:eastAsia="仿宋" w:cs="仿宋"/>
                <w:kern w:val="0"/>
                <w:sz w:val="24"/>
              </w:rPr>
            </w:pPr>
          </w:p>
        </w:tc>
        <w:tc>
          <w:tcPr>
            <w:tcW w:w="562" w:type="dxa"/>
            <w:tcBorders>
              <w:top w:val="nil"/>
              <w:bottom w:val="nil"/>
            </w:tcBorders>
            <w:tcMar>
              <w:top w:w="15" w:type="dxa"/>
              <w:left w:w="15" w:type="dxa"/>
              <w:bottom w:w="0" w:type="dxa"/>
              <w:right w:w="15" w:type="dxa"/>
            </w:tcMar>
            <w:vAlign w:val="center"/>
          </w:tcPr>
          <w:p w14:paraId="5A719695">
            <w:pPr>
              <w:spacing w:line="440" w:lineRule="atLeast"/>
              <w:jc w:val="right"/>
              <w:textAlignment w:val="bottom"/>
              <w:rPr>
                <w:rFonts w:ascii="仿宋" w:hAnsi="仿宋" w:eastAsia="仿宋" w:cs="仿宋"/>
                <w:kern w:val="0"/>
                <w:sz w:val="24"/>
              </w:rPr>
            </w:pPr>
            <w:r>
              <w:rPr>
                <w:rFonts w:hint="eastAsia" w:ascii="仿宋" w:hAnsi="仿宋" w:eastAsia="仿宋" w:cs="仿宋"/>
                <w:kern w:val="24"/>
                <w:sz w:val="24"/>
              </w:rPr>
              <w:t>15%</w:t>
            </w:r>
          </w:p>
        </w:tc>
        <w:tc>
          <w:tcPr>
            <w:tcW w:w="562" w:type="dxa"/>
            <w:tcBorders>
              <w:top w:val="nil"/>
              <w:bottom w:val="nil"/>
            </w:tcBorders>
            <w:tcMar>
              <w:top w:w="15" w:type="dxa"/>
              <w:left w:w="15" w:type="dxa"/>
              <w:bottom w:w="0" w:type="dxa"/>
              <w:right w:w="15" w:type="dxa"/>
            </w:tcMar>
            <w:vAlign w:val="center"/>
          </w:tcPr>
          <w:p w14:paraId="2A3E5971">
            <w:pPr>
              <w:spacing w:line="440" w:lineRule="atLeast"/>
              <w:jc w:val="right"/>
              <w:textAlignment w:val="bottom"/>
              <w:rPr>
                <w:rFonts w:ascii="仿宋" w:hAnsi="仿宋" w:eastAsia="仿宋" w:cs="仿宋"/>
                <w:kern w:val="0"/>
                <w:sz w:val="24"/>
              </w:rPr>
            </w:pPr>
            <w:r>
              <w:rPr>
                <w:rFonts w:hint="eastAsia" w:ascii="仿宋" w:hAnsi="仿宋" w:eastAsia="仿宋" w:cs="仿宋"/>
                <w:kern w:val="24"/>
                <w:sz w:val="24"/>
              </w:rPr>
              <w:t>4%</w:t>
            </w:r>
          </w:p>
        </w:tc>
        <w:tc>
          <w:tcPr>
            <w:tcW w:w="562" w:type="dxa"/>
            <w:tcBorders>
              <w:top w:val="nil"/>
              <w:bottom w:val="nil"/>
            </w:tcBorders>
            <w:tcMar>
              <w:top w:w="15" w:type="dxa"/>
              <w:left w:w="15" w:type="dxa"/>
              <w:bottom w:w="0" w:type="dxa"/>
              <w:right w:w="15" w:type="dxa"/>
            </w:tcMar>
            <w:vAlign w:val="center"/>
          </w:tcPr>
          <w:p w14:paraId="6846C90D">
            <w:pPr>
              <w:spacing w:line="440" w:lineRule="atLeast"/>
              <w:jc w:val="right"/>
              <w:textAlignment w:val="bottom"/>
              <w:rPr>
                <w:rFonts w:ascii="仿宋" w:hAnsi="仿宋" w:eastAsia="仿宋" w:cs="仿宋"/>
                <w:kern w:val="0"/>
                <w:sz w:val="24"/>
              </w:rPr>
            </w:pPr>
            <w:r>
              <w:rPr>
                <w:rFonts w:hint="eastAsia" w:ascii="仿宋" w:hAnsi="仿宋" w:eastAsia="仿宋" w:cs="仿宋"/>
                <w:kern w:val="24"/>
                <w:sz w:val="24"/>
              </w:rPr>
              <w:t>10%</w:t>
            </w:r>
          </w:p>
        </w:tc>
        <w:tc>
          <w:tcPr>
            <w:tcW w:w="562" w:type="dxa"/>
            <w:tcBorders>
              <w:top w:val="nil"/>
              <w:bottom w:val="nil"/>
            </w:tcBorders>
            <w:tcMar>
              <w:top w:w="15" w:type="dxa"/>
              <w:left w:w="15" w:type="dxa"/>
              <w:bottom w:w="0" w:type="dxa"/>
              <w:right w:w="15" w:type="dxa"/>
            </w:tcMar>
            <w:vAlign w:val="center"/>
          </w:tcPr>
          <w:p w14:paraId="496AEC9D">
            <w:pPr>
              <w:spacing w:line="440" w:lineRule="atLeast"/>
              <w:jc w:val="right"/>
              <w:textAlignment w:val="bottom"/>
              <w:rPr>
                <w:rFonts w:ascii="仿宋" w:hAnsi="仿宋" w:eastAsia="仿宋" w:cs="仿宋"/>
                <w:kern w:val="0"/>
                <w:sz w:val="24"/>
              </w:rPr>
            </w:pPr>
            <w:r>
              <w:rPr>
                <w:rFonts w:hint="eastAsia" w:ascii="仿宋" w:hAnsi="仿宋" w:eastAsia="仿宋" w:cs="仿宋"/>
                <w:kern w:val="24"/>
                <w:sz w:val="24"/>
              </w:rPr>
              <w:t>4%</w:t>
            </w:r>
          </w:p>
        </w:tc>
        <w:tc>
          <w:tcPr>
            <w:tcW w:w="562" w:type="dxa"/>
            <w:tcBorders>
              <w:top w:val="nil"/>
              <w:bottom w:val="nil"/>
            </w:tcBorders>
            <w:tcMar>
              <w:top w:w="15" w:type="dxa"/>
              <w:left w:w="15" w:type="dxa"/>
              <w:bottom w:w="0" w:type="dxa"/>
              <w:right w:w="15" w:type="dxa"/>
            </w:tcMar>
            <w:vAlign w:val="center"/>
          </w:tcPr>
          <w:p w14:paraId="670D4936">
            <w:pPr>
              <w:spacing w:line="440" w:lineRule="atLeast"/>
              <w:jc w:val="right"/>
              <w:textAlignment w:val="bottom"/>
              <w:rPr>
                <w:rFonts w:ascii="仿宋" w:hAnsi="仿宋" w:eastAsia="仿宋" w:cs="仿宋"/>
                <w:kern w:val="0"/>
                <w:sz w:val="24"/>
              </w:rPr>
            </w:pPr>
            <w:r>
              <w:rPr>
                <w:rFonts w:hint="eastAsia" w:ascii="仿宋" w:hAnsi="仿宋" w:eastAsia="仿宋" w:cs="仿宋"/>
                <w:kern w:val="24"/>
                <w:sz w:val="24"/>
              </w:rPr>
              <w:t>3%</w:t>
            </w:r>
          </w:p>
        </w:tc>
        <w:tc>
          <w:tcPr>
            <w:tcW w:w="562" w:type="dxa"/>
            <w:tcBorders>
              <w:top w:val="nil"/>
              <w:bottom w:val="nil"/>
            </w:tcBorders>
            <w:tcMar>
              <w:top w:w="15" w:type="dxa"/>
              <w:left w:w="15" w:type="dxa"/>
              <w:bottom w:w="0" w:type="dxa"/>
              <w:right w:w="15" w:type="dxa"/>
            </w:tcMar>
            <w:vAlign w:val="center"/>
          </w:tcPr>
          <w:p w14:paraId="1B3886C2">
            <w:pPr>
              <w:spacing w:line="440" w:lineRule="atLeast"/>
              <w:jc w:val="right"/>
              <w:textAlignment w:val="bottom"/>
              <w:rPr>
                <w:rFonts w:ascii="仿宋" w:hAnsi="仿宋" w:eastAsia="仿宋" w:cs="仿宋"/>
                <w:kern w:val="0"/>
                <w:sz w:val="24"/>
              </w:rPr>
            </w:pPr>
            <w:r>
              <w:rPr>
                <w:rFonts w:hint="eastAsia" w:ascii="仿宋" w:hAnsi="仿宋" w:eastAsia="仿宋" w:cs="仿宋"/>
                <w:kern w:val="24"/>
                <w:sz w:val="24"/>
              </w:rPr>
              <w:t>3%</w:t>
            </w:r>
          </w:p>
        </w:tc>
        <w:tc>
          <w:tcPr>
            <w:tcW w:w="562" w:type="dxa"/>
            <w:tcBorders>
              <w:top w:val="nil"/>
              <w:bottom w:val="nil"/>
            </w:tcBorders>
            <w:tcMar>
              <w:top w:w="15" w:type="dxa"/>
              <w:left w:w="15" w:type="dxa"/>
              <w:bottom w:w="0" w:type="dxa"/>
              <w:right w:w="15" w:type="dxa"/>
            </w:tcMar>
            <w:vAlign w:val="center"/>
          </w:tcPr>
          <w:p w14:paraId="0D825148">
            <w:pPr>
              <w:spacing w:line="440" w:lineRule="atLeast"/>
              <w:jc w:val="right"/>
              <w:textAlignment w:val="bottom"/>
              <w:rPr>
                <w:rFonts w:ascii="仿宋" w:hAnsi="仿宋" w:eastAsia="仿宋" w:cs="仿宋"/>
                <w:kern w:val="0"/>
                <w:sz w:val="24"/>
              </w:rPr>
            </w:pPr>
            <w:r>
              <w:rPr>
                <w:rFonts w:hint="eastAsia" w:ascii="仿宋" w:hAnsi="仿宋" w:eastAsia="仿宋" w:cs="仿宋"/>
                <w:kern w:val="24"/>
                <w:sz w:val="24"/>
              </w:rPr>
              <w:t>2%</w:t>
            </w:r>
          </w:p>
        </w:tc>
        <w:tc>
          <w:tcPr>
            <w:tcW w:w="562" w:type="dxa"/>
            <w:tcBorders>
              <w:top w:val="nil"/>
              <w:bottom w:val="nil"/>
            </w:tcBorders>
            <w:tcMar>
              <w:top w:w="15" w:type="dxa"/>
              <w:left w:w="15" w:type="dxa"/>
              <w:bottom w:w="0" w:type="dxa"/>
              <w:right w:w="15" w:type="dxa"/>
            </w:tcMar>
            <w:vAlign w:val="center"/>
          </w:tcPr>
          <w:p w14:paraId="2744A03D">
            <w:pPr>
              <w:spacing w:line="440" w:lineRule="atLeast"/>
              <w:jc w:val="right"/>
              <w:textAlignment w:val="bottom"/>
              <w:rPr>
                <w:rFonts w:ascii="仿宋" w:hAnsi="仿宋" w:eastAsia="仿宋" w:cs="仿宋"/>
                <w:kern w:val="0"/>
                <w:sz w:val="24"/>
              </w:rPr>
            </w:pPr>
            <w:r>
              <w:rPr>
                <w:rFonts w:hint="eastAsia" w:ascii="仿宋" w:hAnsi="仿宋" w:eastAsia="仿宋" w:cs="仿宋"/>
                <w:kern w:val="24"/>
                <w:sz w:val="24"/>
              </w:rPr>
              <w:t>2%</w:t>
            </w:r>
          </w:p>
        </w:tc>
        <w:tc>
          <w:tcPr>
            <w:tcW w:w="562" w:type="dxa"/>
            <w:tcBorders>
              <w:top w:val="nil"/>
              <w:bottom w:val="nil"/>
            </w:tcBorders>
            <w:tcMar>
              <w:top w:w="15" w:type="dxa"/>
              <w:left w:w="15" w:type="dxa"/>
              <w:bottom w:w="0" w:type="dxa"/>
              <w:right w:w="15" w:type="dxa"/>
            </w:tcMar>
            <w:vAlign w:val="center"/>
          </w:tcPr>
          <w:p w14:paraId="30AA966A">
            <w:pPr>
              <w:spacing w:line="440" w:lineRule="atLeast"/>
              <w:jc w:val="right"/>
              <w:textAlignment w:val="bottom"/>
              <w:rPr>
                <w:rFonts w:ascii="仿宋" w:hAnsi="仿宋" w:eastAsia="仿宋" w:cs="仿宋"/>
                <w:kern w:val="0"/>
                <w:sz w:val="24"/>
              </w:rPr>
            </w:pPr>
            <w:r>
              <w:rPr>
                <w:rFonts w:hint="eastAsia" w:ascii="仿宋" w:hAnsi="仿宋" w:eastAsia="仿宋" w:cs="仿宋"/>
                <w:kern w:val="24"/>
                <w:sz w:val="24"/>
              </w:rPr>
              <w:t>1%</w:t>
            </w:r>
          </w:p>
        </w:tc>
        <w:tc>
          <w:tcPr>
            <w:tcW w:w="562" w:type="dxa"/>
            <w:tcBorders>
              <w:top w:val="nil"/>
              <w:bottom w:val="nil"/>
            </w:tcBorders>
            <w:tcMar>
              <w:top w:w="15" w:type="dxa"/>
              <w:left w:w="15" w:type="dxa"/>
              <w:bottom w:w="0" w:type="dxa"/>
              <w:right w:w="15" w:type="dxa"/>
            </w:tcMar>
            <w:vAlign w:val="center"/>
          </w:tcPr>
          <w:p w14:paraId="1F66F0D0">
            <w:pPr>
              <w:spacing w:line="440" w:lineRule="atLeast"/>
              <w:jc w:val="right"/>
              <w:textAlignment w:val="bottom"/>
              <w:rPr>
                <w:rFonts w:ascii="仿宋" w:hAnsi="仿宋" w:eastAsia="仿宋" w:cs="仿宋"/>
                <w:kern w:val="0"/>
                <w:sz w:val="24"/>
              </w:rPr>
            </w:pPr>
            <w:r>
              <w:rPr>
                <w:rFonts w:hint="eastAsia" w:ascii="仿宋" w:hAnsi="仿宋" w:eastAsia="仿宋" w:cs="仿宋"/>
                <w:kern w:val="24"/>
                <w:sz w:val="24"/>
              </w:rPr>
              <w:t>1%</w:t>
            </w:r>
          </w:p>
        </w:tc>
        <w:tc>
          <w:tcPr>
            <w:tcW w:w="562" w:type="dxa"/>
            <w:tcBorders>
              <w:top w:val="nil"/>
              <w:bottom w:val="nil"/>
            </w:tcBorders>
            <w:tcMar>
              <w:top w:w="15" w:type="dxa"/>
              <w:left w:w="15" w:type="dxa"/>
              <w:bottom w:w="0" w:type="dxa"/>
              <w:right w:w="15" w:type="dxa"/>
            </w:tcMar>
            <w:vAlign w:val="center"/>
          </w:tcPr>
          <w:p w14:paraId="3644A413">
            <w:pPr>
              <w:spacing w:line="440" w:lineRule="atLeast"/>
              <w:jc w:val="right"/>
              <w:textAlignment w:val="bottom"/>
              <w:rPr>
                <w:rFonts w:ascii="仿宋" w:hAnsi="仿宋" w:eastAsia="仿宋" w:cs="仿宋"/>
                <w:kern w:val="0"/>
                <w:sz w:val="24"/>
              </w:rPr>
            </w:pPr>
            <w:r>
              <w:rPr>
                <w:rFonts w:hint="eastAsia" w:ascii="仿宋" w:hAnsi="仿宋" w:eastAsia="仿宋" w:cs="仿宋"/>
                <w:kern w:val="24"/>
                <w:sz w:val="24"/>
              </w:rPr>
              <w:t>0%</w:t>
            </w:r>
          </w:p>
        </w:tc>
      </w:tr>
      <w:tr w14:paraId="45C7A53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86" w:hRule="atLeast"/>
        </w:trPr>
        <w:tc>
          <w:tcPr>
            <w:tcW w:w="2232" w:type="dxa"/>
            <w:tcBorders>
              <w:top w:val="nil"/>
              <w:bottom w:val="nil"/>
            </w:tcBorders>
            <w:tcMar>
              <w:top w:w="15" w:type="dxa"/>
              <w:left w:w="15" w:type="dxa"/>
              <w:bottom w:w="0" w:type="dxa"/>
              <w:right w:w="15" w:type="dxa"/>
            </w:tcMar>
            <w:vAlign w:val="center"/>
          </w:tcPr>
          <w:p w14:paraId="1ECFAD34">
            <w:pPr>
              <w:spacing w:line="440" w:lineRule="atLeast"/>
              <w:jc w:val="left"/>
              <w:textAlignment w:val="bottom"/>
              <w:rPr>
                <w:rFonts w:ascii="仿宋" w:hAnsi="仿宋" w:eastAsia="仿宋" w:cs="仿宋"/>
                <w:kern w:val="0"/>
                <w:sz w:val="24"/>
              </w:rPr>
            </w:pPr>
            <w:r>
              <w:rPr>
                <w:rFonts w:hint="eastAsia" w:ascii="仿宋" w:hAnsi="仿宋" w:eastAsia="仿宋" w:cs="仿宋"/>
                <w:kern w:val="24"/>
                <w:sz w:val="24"/>
              </w:rPr>
              <w:t>ANP（百万元）</w:t>
            </w:r>
          </w:p>
        </w:tc>
        <w:tc>
          <w:tcPr>
            <w:tcW w:w="562" w:type="dxa"/>
            <w:tcBorders>
              <w:top w:val="nil"/>
              <w:bottom w:val="nil"/>
            </w:tcBorders>
            <w:tcMar>
              <w:top w:w="15" w:type="dxa"/>
              <w:left w:w="15" w:type="dxa"/>
              <w:bottom w:w="0" w:type="dxa"/>
              <w:right w:w="15" w:type="dxa"/>
            </w:tcMar>
            <w:vAlign w:val="center"/>
          </w:tcPr>
          <w:p w14:paraId="2B2DC42F">
            <w:pPr>
              <w:spacing w:line="440" w:lineRule="atLeast"/>
              <w:jc w:val="right"/>
              <w:textAlignment w:val="bottom"/>
              <w:rPr>
                <w:rFonts w:ascii="仿宋" w:hAnsi="仿宋" w:eastAsia="仿宋" w:cs="仿宋"/>
                <w:kern w:val="0"/>
                <w:sz w:val="24"/>
              </w:rPr>
            </w:pPr>
            <w:r>
              <w:rPr>
                <w:rFonts w:hint="eastAsia" w:ascii="仿宋" w:hAnsi="仿宋" w:eastAsia="仿宋" w:cs="仿宋"/>
                <w:kern w:val="24"/>
                <w:sz w:val="24"/>
              </w:rPr>
              <w:t>44</w:t>
            </w:r>
          </w:p>
        </w:tc>
        <w:tc>
          <w:tcPr>
            <w:tcW w:w="562" w:type="dxa"/>
            <w:tcBorders>
              <w:top w:val="nil"/>
              <w:bottom w:val="nil"/>
            </w:tcBorders>
            <w:tcMar>
              <w:top w:w="15" w:type="dxa"/>
              <w:left w:w="15" w:type="dxa"/>
              <w:bottom w:w="0" w:type="dxa"/>
              <w:right w:w="15" w:type="dxa"/>
            </w:tcMar>
            <w:vAlign w:val="center"/>
          </w:tcPr>
          <w:p w14:paraId="6ACB539B">
            <w:pPr>
              <w:spacing w:line="440" w:lineRule="atLeast"/>
              <w:jc w:val="right"/>
              <w:textAlignment w:val="bottom"/>
              <w:rPr>
                <w:rFonts w:ascii="仿宋" w:hAnsi="仿宋" w:eastAsia="仿宋" w:cs="仿宋"/>
                <w:kern w:val="0"/>
                <w:sz w:val="24"/>
              </w:rPr>
            </w:pPr>
            <w:r>
              <w:rPr>
                <w:rFonts w:hint="eastAsia" w:ascii="仿宋" w:hAnsi="仿宋" w:eastAsia="仿宋" w:cs="仿宋"/>
                <w:kern w:val="24"/>
                <w:sz w:val="24"/>
              </w:rPr>
              <w:t>59</w:t>
            </w:r>
          </w:p>
        </w:tc>
        <w:tc>
          <w:tcPr>
            <w:tcW w:w="562" w:type="dxa"/>
            <w:tcBorders>
              <w:top w:val="nil"/>
              <w:bottom w:val="nil"/>
            </w:tcBorders>
            <w:tcMar>
              <w:top w:w="15" w:type="dxa"/>
              <w:left w:w="15" w:type="dxa"/>
              <w:bottom w:w="0" w:type="dxa"/>
              <w:right w:w="15" w:type="dxa"/>
            </w:tcMar>
            <w:vAlign w:val="center"/>
          </w:tcPr>
          <w:p w14:paraId="0B04B0BB">
            <w:pPr>
              <w:spacing w:line="440" w:lineRule="atLeast"/>
              <w:jc w:val="right"/>
              <w:textAlignment w:val="bottom"/>
              <w:rPr>
                <w:rFonts w:ascii="仿宋" w:hAnsi="仿宋" w:eastAsia="仿宋" w:cs="仿宋"/>
                <w:kern w:val="0"/>
                <w:sz w:val="24"/>
              </w:rPr>
            </w:pPr>
            <w:r>
              <w:rPr>
                <w:rFonts w:hint="eastAsia" w:ascii="仿宋" w:hAnsi="仿宋" w:eastAsia="仿宋" w:cs="仿宋"/>
                <w:kern w:val="24"/>
                <w:sz w:val="24"/>
              </w:rPr>
              <w:t>68</w:t>
            </w:r>
          </w:p>
        </w:tc>
        <w:tc>
          <w:tcPr>
            <w:tcW w:w="562" w:type="dxa"/>
            <w:tcBorders>
              <w:top w:val="nil"/>
              <w:bottom w:val="nil"/>
            </w:tcBorders>
            <w:tcMar>
              <w:top w:w="15" w:type="dxa"/>
              <w:left w:w="15" w:type="dxa"/>
              <w:bottom w:w="0" w:type="dxa"/>
              <w:right w:w="15" w:type="dxa"/>
            </w:tcMar>
            <w:vAlign w:val="center"/>
          </w:tcPr>
          <w:p w14:paraId="008D71CC">
            <w:pPr>
              <w:spacing w:line="440" w:lineRule="atLeast"/>
              <w:jc w:val="right"/>
              <w:textAlignment w:val="bottom"/>
              <w:rPr>
                <w:rFonts w:ascii="仿宋" w:hAnsi="仿宋" w:eastAsia="仿宋" w:cs="仿宋"/>
                <w:kern w:val="0"/>
                <w:sz w:val="24"/>
              </w:rPr>
            </w:pPr>
            <w:r>
              <w:rPr>
                <w:rFonts w:hint="eastAsia" w:ascii="仿宋" w:hAnsi="仿宋" w:eastAsia="仿宋" w:cs="仿宋"/>
                <w:kern w:val="24"/>
                <w:sz w:val="24"/>
              </w:rPr>
              <w:t>86</w:t>
            </w:r>
          </w:p>
        </w:tc>
        <w:tc>
          <w:tcPr>
            <w:tcW w:w="562" w:type="dxa"/>
            <w:tcBorders>
              <w:top w:val="nil"/>
              <w:bottom w:val="nil"/>
            </w:tcBorders>
            <w:tcMar>
              <w:top w:w="15" w:type="dxa"/>
              <w:left w:w="15" w:type="dxa"/>
              <w:bottom w:w="0" w:type="dxa"/>
              <w:right w:w="15" w:type="dxa"/>
            </w:tcMar>
            <w:vAlign w:val="center"/>
          </w:tcPr>
          <w:p w14:paraId="40455666">
            <w:pPr>
              <w:spacing w:line="440" w:lineRule="atLeast"/>
              <w:jc w:val="right"/>
              <w:textAlignment w:val="bottom"/>
              <w:rPr>
                <w:rFonts w:ascii="仿宋" w:hAnsi="仿宋" w:eastAsia="仿宋" w:cs="仿宋"/>
                <w:kern w:val="0"/>
                <w:sz w:val="24"/>
              </w:rPr>
            </w:pPr>
            <w:r>
              <w:rPr>
                <w:rFonts w:hint="eastAsia" w:ascii="仿宋" w:hAnsi="仿宋" w:eastAsia="仿宋" w:cs="仿宋"/>
                <w:kern w:val="24"/>
                <w:sz w:val="24"/>
              </w:rPr>
              <w:t>97</w:t>
            </w:r>
          </w:p>
        </w:tc>
        <w:tc>
          <w:tcPr>
            <w:tcW w:w="562" w:type="dxa"/>
            <w:tcBorders>
              <w:top w:val="nil"/>
              <w:bottom w:val="nil"/>
            </w:tcBorders>
            <w:tcMar>
              <w:top w:w="15" w:type="dxa"/>
              <w:left w:w="15" w:type="dxa"/>
              <w:bottom w:w="0" w:type="dxa"/>
              <w:right w:w="15" w:type="dxa"/>
            </w:tcMar>
            <w:vAlign w:val="center"/>
          </w:tcPr>
          <w:p w14:paraId="37537A63">
            <w:pPr>
              <w:spacing w:line="440" w:lineRule="atLeast"/>
              <w:jc w:val="right"/>
              <w:textAlignment w:val="bottom"/>
              <w:rPr>
                <w:rFonts w:ascii="仿宋" w:hAnsi="仿宋" w:eastAsia="仿宋" w:cs="仿宋"/>
                <w:kern w:val="0"/>
                <w:sz w:val="24"/>
              </w:rPr>
            </w:pPr>
            <w:r>
              <w:rPr>
                <w:rFonts w:hint="eastAsia" w:ascii="仿宋" w:hAnsi="仿宋" w:eastAsia="仿宋" w:cs="仿宋"/>
                <w:kern w:val="24"/>
                <w:sz w:val="24"/>
              </w:rPr>
              <w:t>109</w:t>
            </w:r>
          </w:p>
        </w:tc>
        <w:tc>
          <w:tcPr>
            <w:tcW w:w="562" w:type="dxa"/>
            <w:tcBorders>
              <w:top w:val="nil"/>
              <w:bottom w:val="nil"/>
            </w:tcBorders>
            <w:tcMar>
              <w:top w:w="15" w:type="dxa"/>
              <w:left w:w="15" w:type="dxa"/>
              <w:bottom w:w="0" w:type="dxa"/>
              <w:right w:w="15" w:type="dxa"/>
            </w:tcMar>
            <w:vAlign w:val="center"/>
          </w:tcPr>
          <w:p w14:paraId="395CC4CF">
            <w:pPr>
              <w:spacing w:line="440" w:lineRule="atLeast"/>
              <w:jc w:val="right"/>
              <w:textAlignment w:val="bottom"/>
              <w:rPr>
                <w:rFonts w:ascii="仿宋" w:hAnsi="仿宋" w:eastAsia="仿宋" w:cs="仿宋"/>
                <w:kern w:val="0"/>
                <w:sz w:val="24"/>
              </w:rPr>
            </w:pPr>
            <w:r>
              <w:rPr>
                <w:rFonts w:hint="eastAsia" w:ascii="仿宋" w:hAnsi="仿宋" w:eastAsia="仿宋" w:cs="仿宋"/>
                <w:kern w:val="24"/>
                <w:sz w:val="24"/>
              </w:rPr>
              <w:t>121</w:t>
            </w:r>
          </w:p>
        </w:tc>
        <w:tc>
          <w:tcPr>
            <w:tcW w:w="562" w:type="dxa"/>
            <w:tcBorders>
              <w:top w:val="nil"/>
              <w:bottom w:val="nil"/>
            </w:tcBorders>
            <w:tcMar>
              <w:top w:w="15" w:type="dxa"/>
              <w:left w:w="15" w:type="dxa"/>
              <w:bottom w:w="0" w:type="dxa"/>
              <w:right w:w="15" w:type="dxa"/>
            </w:tcMar>
            <w:vAlign w:val="center"/>
          </w:tcPr>
          <w:p w14:paraId="5F18F887">
            <w:pPr>
              <w:spacing w:line="440" w:lineRule="atLeast"/>
              <w:jc w:val="right"/>
              <w:textAlignment w:val="bottom"/>
              <w:rPr>
                <w:rFonts w:ascii="仿宋" w:hAnsi="仿宋" w:eastAsia="仿宋" w:cs="仿宋"/>
                <w:kern w:val="0"/>
                <w:sz w:val="24"/>
              </w:rPr>
            </w:pPr>
            <w:r>
              <w:rPr>
                <w:rFonts w:hint="eastAsia" w:ascii="仿宋" w:hAnsi="仿宋" w:eastAsia="仿宋" w:cs="仿宋"/>
                <w:kern w:val="24"/>
                <w:sz w:val="24"/>
              </w:rPr>
              <w:t>133</w:t>
            </w:r>
          </w:p>
        </w:tc>
        <w:tc>
          <w:tcPr>
            <w:tcW w:w="562" w:type="dxa"/>
            <w:tcBorders>
              <w:top w:val="nil"/>
              <w:bottom w:val="nil"/>
            </w:tcBorders>
            <w:tcMar>
              <w:top w:w="15" w:type="dxa"/>
              <w:left w:w="15" w:type="dxa"/>
              <w:bottom w:w="0" w:type="dxa"/>
              <w:right w:w="15" w:type="dxa"/>
            </w:tcMar>
            <w:vAlign w:val="center"/>
          </w:tcPr>
          <w:p w14:paraId="5A247F6D">
            <w:pPr>
              <w:spacing w:line="440" w:lineRule="atLeast"/>
              <w:jc w:val="right"/>
              <w:textAlignment w:val="bottom"/>
              <w:rPr>
                <w:rFonts w:ascii="仿宋" w:hAnsi="仿宋" w:eastAsia="仿宋" w:cs="仿宋"/>
                <w:kern w:val="0"/>
                <w:sz w:val="24"/>
              </w:rPr>
            </w:pPr>
            <w:r>
              <w:rPr>
                <w:rFonts w:hint="eastAsia" w:ascii="仿宋" w:hAnsi="仿宋" w:eastAsia="仿宋" w:cs="仿宋"/>
                <w:kern w:val="24"/>
                <w:sz w:val="24"/>
              </w:rPr>
              <w:t>145</w:t>
            </w:r>
          </w:p>
        </w:tc>
        <w:tc>
          <w:tcPr>
            <w:tcW w:w="562" w:type="dxa"/>
            <w:tcBorders>
              <w:top w:val="nil"/>
              <w:bottom w:val="nil"/>
            </w:tcBorders>
            <w:tcMar>
              <w:top w:w="15" w:type="dxa"/>
              <w:left w:w="15" w:type="dxa"/>
              <w:bottom w:w="0" w:type="dxa"/>
              <w:right w:w="15" w:type="dxa"/>
            </w:tcMar>
            <w:vAlign w:val="center"/>
          </w:tcPr>
          <w:p w14:paraId="3C4F42A7">
            <w:pPr>
              <w:spacing w:line="440" w:lineRule="atLeast"/>
              <w:jc w:val="right"/>
              <w:textAlignment w:val="bottom"/>
              <w:rPr>
                <w:rFonts w:ascii="仿宋" w:hAnsi="仿宋" w:eastAsia="仿宋" w:cs="仿宋"/>
                <w:kern w:val="0"/>
                <w:sz w:val="24"/>
              </w:rPr>
            </w:pPr>
            <w:r>
              <w:rPr>
                <w:rFonts w:hint="eastAsia" w:ascii="仿宋" w:hAnsi="仿宋" w:eastAsia="仿宋" w:cs="仿宋"/>
                <w:kern w:val="24"/>
                <w:sz w:val="24"/>
              </w:rPr>
              <w:t>156</w:t>
            </w:r>
          </w:p>
        </w:tc>
        <w:tc>
          <w:tcPr>
            <w:tcW w:w="562" w:type="dxa"/>
            <w:tcBorders>
              <w:top w:val="nil"/>
              <w:bottom w:val="nil"/>
            </w:tcBorders>
            <w:tcMar>
              <w:top w:w="15" w:type="dxa"/>
              <w:left w:w="15" w:type="dxa"/>
              <w:bottom w:w="0" w:type="dxa"/>
              <w:right w:w="15" w:type="dxa"/>
            </w:tcMar>
            <w:vAlign w:val="center"/>
          </w:tcPr>
          <w:p w14:paraId="6FD7AF4C">
            <w:pPr>
              <w:spacing w:line="440" w:lineRule="atLeast"/>
              <w:jc w:val="right"/>
              <w:textAlignment w:val="bottom"/>
              <w:rPr>
                <w:rFonts w:ascii="仿宋" w:hAnsi="仿宋" w:eastAsia="仿宋" w:cs="仿宋"/>
                <w:kern w:val="0"/>
                <w:sz w:val="24"/>
              </w:rPr>
            </w:pPr>
            <w:r>
              <w:rPr>
                <w:rFonts w:hint="eastAsia" w:ascii="仿宋" w:hAnsi="仿宋" w:eastAsia="仿宋" w:cs="仿宋"/>
                <w:kern w:val="24"/>
                <w:sz w:val="24"/>
              </w:rPr>
              <w:t>167</w:t>
            </w:r>
          </w:p>
        </w:tc>
        <w:tc>
          <w:tcPr>
            <w:tcW w:w="562" w:type="dxa"/>
            <w:tcBorders>
              <w:top w:val="nil"/>
              <w:bottom w:val="nil"/>
            </w:tcBorders>
            <w:tcMar>
              <w:top w:w="15" w:type="dxa"/>
              <w:left w:w="15" w:type="dxa"/>
              <w:bottom w:w="0" w:type="dxa"/>
              <w:right w:w="15" w:type="dxa"/>
            </w:tcMar>
            <w:vAlign w:val="center"/>
          </w:tcPr>
          <w:p w14:paraId="54CF7F1F">
            <w:pPr>
              <w:spacing w:line="440" w:lineRule="atLeast"/>
              <w:jc w:val="right"/>
              <w:textAlignment w:val="bottom"/>
              <w:rPr>
                <w:rFonts w:ascii="仿宋" w:hAnsi="仿宋" w:eastAsia="仿宋" w:cs="仿宋"/>
                <w:kern w:val="0"/>
                <w:sz w:val="24"/>
              </w:rPr>
            </w:pPr>
            <w:r>
              <w:rPr>
                <w:rFonts w:hint="eastAsia" w:ascii="仿宋" w:hAnsi="仿宋" w:eastAsia="仿宋" w:cs="仿宋"/>
                <w:kern w:val="24"/>
                <w:sz w:val="24"/>
              </w:rPr>
              <w:t>177</w:t>
            </w:r>
          </w:p>
        </w:tc>
      </w:tr>
      <w:tr w14:paraId="44EBC2F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97" w:hRule="atLeast"/>
        </w:trPr>
        <w:tc>
          <w:tcPr>
            <w:tcW w:w="2232" w:type="dxa"/>
            <w:tcBorders>
              <w:top w:val="nil"/>
              <w:bottom w:val="single" w:color="auto" w:sz="4" w:space="0"/>
            </w:tcBorders>
            <w:tcMar>
              <w:top w:w="15" w:type="dxa"/>
              <w:left w:w="15" w:type="dxa"/>
              <w:bottom w:w="0" w:type="dxa"/>
              <w:right w:w="15" w:type="dxa"/>
            </w:tcMar>
            <w:vAlign w:val="center"/>
          </w:tcPr>
          <w:p w14:paraId="72813D57">
            <w:pPr>
              <w:spacing w:line="440" w:lineRule="atLeast"/>
              <w:jc w:val="left"/>
              <w:textAlignment w:val="bottom"/>
              <w:rPr>
                <w:rFonts w:ascii="仿宋" w:hAnsi="仿宋" w:eastAsia="仿宋" w:cs="仿宋"/>
                <w:kern w:val="0"/>
                <w:sz w:val="24"/>
              </w:rPr>
            </w:pPr>
            <w:r>
              <w:rPr>
                <w:rFonts w:hint="eastAsia" w:ascii="仿宋" w:hAnsi="仿宋" w:eastAsia="仿宋" w:cs="仿宋"/>
                <w:b/>
                <w:bCs/>
                <w:kern w:val="24"/>
                <w:sz w:val="24"/>
              </w:rPr>
              <w:t>ANP合计</w:t>
            </w:r>
          </w:p>
        </w:tc>
        <w:tc>
          <w:tcPr>
            <w:tcW w:w="562" w:type="dxa"/>
            <w:tcBorders>
              <w:top w:val="nil"/>
              <w:bottom w:val="single" w:color="auto" w:sz="4" w:space="0"/>
            </w:tcBorders>
            <w:tcMar>
              <w:top w:w="15" w:type="dxa"/>
              <w:left w:w="15" w:type="dxa"/>
              <w:bottom w:w="0" w:type="dxa"/>
              <w:right w:w="15" w:type="dxa"/>
            </w:tcMar>
            <w:vAlign w:val="center"/>
          </w:tcPr>
          <w:p w14:paraId="636B5593">
            <w:pPr>
              <w:spacing w:line="440" w:lineRule="atLeast"/>
              <w:jc w:val="right"/>
              <w:textAlignment w:val="bottom"/>
              <w:rPr>
                <w:rFonts w:ascii="仿宋" w:hAnsi="仿宋" w:eastAsia="仿宋" w:cs="仿宋"/>
                <w:kern w:val="0"/>
                <w:sz w:val="24"/>
              </w:rPr>
            </w:pPr>
            <w:r>
              <w:rPr>
                <w:rFonts w:hint="eastAsia" w:ascii="仿宋" w:hAnsi="仿宋" w:eastAsia="仿宋" w:cs="仿宋"/>
                <w:b/>
                <w:bCs/>
                <w:kern w:val="24"/>
                <w:sz w:val="24"/>
              </w:rPr>
              <w:t>554</w:t>
            </w:r>
          </w:p>
        </w:tc>
        <w:tc>
          <w:tcPr>
            <w:tcW w:w="562" w:type="dxa"/>
            <w:tcBorders>
              <w:top w:val="nil"/>
              <w:bottom w:val="single" w:color="auto" w:sz="4" w:space="0"/>
            </w:tcBorders>
            <w:tcMar>
              <w:top w:w="15" w:type="dxa"/>
              <w:left w:w="15" w:type="dxa"/>
              <w:bottom w:w="0" w:type="dxa"/>
              <w:right w:w="15" w:type="dxa"/>
            </w:tcMar>
            <w:vAlign w:val="center"/>
          </w:tcPr>
          <w:p w14:paraId="0970D560">
            <w:pPr>
              <w:spacing w:line="440" w:lineRule="atLeast"/>
              <w:jc w:val="right"/>
              <w:textAlignment w:val="bottom"/>
              <w:rPr>
                <w:rFonts w:ascii="仿宋" w:hAnsi="仿宋" w:eastAsia="仿宋" w:cs="仿宋"/>
                <w:kern w:val="0"/>
                <w:sz w:val="24"/>
              </w:rPr>
            </w:pPr>
            <w:r>
              <w:rPr>
                <w:rFonts w:hint="eastAsia" w:ascii="仿宋" w:hAnsi="仿宋" w:eastAsia="仿宋" w:cs="仿宋"/>
                <w:b/>
                <w:bCs/>
                <w:kern w:val="24"/>
                <w:sz w:val="24"/>
              </w:rPr>
              <w:t>650</w:t>
            </w:r>
          </w:p>
        </w:tc>
        <w:tc>
          <w:tcPr>
            <w:tcW w:w="562" w:type="dxa"/>
            <w:tcBorders>
              <w:top w:val="nil"/>
              <w:bottom w:val="single" w:color="auto" w:sz="4" w:space="0"/>
            </w:tcBorders>
            <w:tcMar>
              <w:top w:w="15" w:type="dxa"/>
              <w:left w:w="15" w:type="dxa"/>
              <w:bottom w:w="0" w:type="dxa"/>
              <w:right w:w="15" w:type="dxa"/>
            </w:tcMar>
            <w:vAlign w:val="center"/>
          </w:tcPr>
          <w:p w14:paraId="336619E6">
            <w:pPr>
              <w:spacing w:line="440" w:lineRule="atLeast"/>
              <w:jc w:val="right"/>
              <w:textAlignment w:val="bottom"/>
              <w:rPr>
                <w:rFonts w:ascii="仿宋" w:hAnsi="仿宋" w:eastAsia="仿宋" w:cs="仿宋"/>
                <w:kern w:val="0"/>
                <w:sz w:val="24"/>
              </w:rPr>
            </w:pPr>
            <w:r>
              <w:rPr>
                <w:rFonts w:hint="eastAsia" w:ascii="仿宋" w:hAnsi="仿宋" w:eastAsia="仿宋" w:cs="仿宋"/>
                <w:b/>
                <w:bCs/>
                <w:kern w:val="24"/>
                <w:sz w:val="24"/>
              </w:rPr>
              <w:t>754</w:t>
            </w:r>
          </w:p>
        </w:tc>
        <w:tc>
          <w:tcPr>
            <w:tcW w:w="562" w:type="dxa"/>
            <w:tcBorders>
              <w:top w:val="nil"/>
              <w:bottom w:val="single" w:color="auto" w:sz="4" w:space="0"/>
            </w:tcBorders>
            <w:tcMar>
              <w:top w:w="15" w:type="dxa"/>
              <w:left w:w="15" w:type="dxa"/>
              <w:bottom w:w="0" w:type="dxa"/>
              <w:right w:w="15" w:type="dxa"/>
            </w:tcMar>
            <w:vAlign w:val="center"/>
          </w:tcPr>
          <w:p w14:paraId="70BE245B">
            <w:pPr>
              <w:spacing w:line="440" w:lineRule="atLeast"/>
              <w:jc w:val="right"/>
              <w:textAlignment w:val="bottom"/>
              <w:rPr>
                <w:rFonts w:ascii="仿宋" w:hAnsi="仿宋" w:eastAsia="仿宋" w:cs="仿宋"/>
                <w:kern w:val="0"/>
                <w:sz w:val="24"/>
              </w:rPr>
            </w:pPr>
            <w:r>
              <w:rPr>
                <w:rFonts w:hint="eastAsia" w:ascii="仿宋" w:hAnsi="仿宋" w:eastAsia="仿宋" w:cs="仿宋"/>
                <w:b/>
                <w:bCs/>
                <w:kern w:val="24"/>
                <w:sz w:val="24"/>
              </w:rPr>
              <w:t>860</w:t>
            </w:r>
          </w:p>
        </w:tc>
        <w:tc>
          <w:tcPr>
            <w:tcW w:w="562" w:type="dxa"/>
            <w:tcBorders>
              <w:top w:val="nil"/>
              <w:bottom w:val="single" w:color="auto" w:sz="4" w:space="0"/>
            </w:tcBorders>
            <w:tcMar>
              <w:top w:w="15" w:type="dxa"/>
              <w:left w:w="15" w:type="dxa"/>
              <w:bottom w:w="0" w:type="dxa"/>
              <w:right w:w="15" w:type="dxa"/>
            </w:tcMar>
            <w:vAlign w:val="center"/>
          </w:tcPr>
          <w:p w14:paraId="3FF0D57E">
            <w:pPr>
              <w:spacing w:line="440" w:lineRule="atLeast"/>
              <w:jc w:val="right"/>
              <w:textAlignment w:val="bottom"/>
              <w:rPr>
                <w:rFonts w:ascii="仿宋" w:hAnsi="仿宋" w:eastAsia="仿宋" w:cs="仿宋"/>
                <w:kern w:val="0"/>
                <w:sz w:val="24"/>
              </w:rPr>
            </w:pPr>
            <w:r>
              <w:rPr>
                <w:rFonts w:hint="eastAsia" w:ascii="仿宋" w:hAnsi="仿宋" w:eastAsia="仿宋" w:cs="仿宋"/>
                <w:b/>
                <w:bCs/>
                <w:kern w:val="24"/>
                <w:sz w:val="24"/>
              </w:rPr>
              <w:t>971</w:t>
            </w:r>
          </w:p>
        </w:tc>
        <w:tc>
          <w:tcPr>
            <w:tcW w:w="562" w:type="dxa"/>
            <w:tcBorders>
              <w:top w:val="nil"/>
              <w:bottom w:val="single" w:color="auto" w:sz="4" w:space="0"/>
            </w:tcBorders>
            <w:tcMar>
              <w:top w:w="15" w:type="dxa"/>
              <w:left w:w="15" w:type="dxa"/>
              <w:bottom w:w="0" w:type="dxa"/>
              <w:right w:w="15" w:type="dxa"/>
            </w:tcMar>
            <w:vAlign w:val="center"/>
          </w:tcPr>
          <w:p w14:paraId="387FEC50">
            <w:pPr>
              <w:spacing w:line="440" w:lineRule="atLeast"/>
              <w:jc w:val="right"/>
              <w:textAlignment w:val="bottom"/>
              <w:rPr>
                <w:rFonts w:ascii="仿宋" w:hAnsi="仿宋" w:eastAsia="仿宋" w:cs="仿宋"/>
                <w:kern w:val="0"/>
                <w:sz w:val="24"/>
              </w:rPr>
            </w:pPr>
            <w:r>
              <w:rPr>
                <w:rFonts w:hint="eastAsia" w:ascii="仿宋" w:hAnsi="仿宋" w:eastAsia="仿宋" w:cs="仿宋"/>
                <w:b/>
                <w:bCs/>
                <w:kern w:val="24"/>
                <w:sz w:val="24"/>
              </w:rPr>
              <w:t>1,088</w:t>
            </w:r>
          </w:p>
        </w:tc>
        <w:tc>
          <w:tcPr>
            <w:tcW w:w="562" w:type="dxa"/>
            <w:tcBorders>
              <w:top w:val="nil"/>
              <w:bottom w:val="single" w:color="auto" w:sz="4" w:space="0"/>
            </w:tcBorders>
            <w:tcMar>
              <w:top w:w="15" w:type="dxa"/>
              <w:left w:w="15" w:type="dxa"/>
              <w:bottom w:w="0" w:type="dxa"/>
              <w:right w:w="15" w:type="dxa"/>
            </w:tcMar>
            <w:vAlign w:val="center"/>
          </w:tcPr>
          <w:p w14:paraId="67458651">
            <w:pPr>
              <w:spacing w:line="440" w:lineRule="atLeast"/>
              <w:jc w:val="right"/>
              <w:textAlignment w:val="bottom"/>
              <w:rPr>
                <w:rFonts w:ascii="仿宋" w:hAnsi="仿宋" w:eastAsia="仿宋" w:cs="仿宋"/>
                <w:kern w:val="0"/>
                <w:sz w:val="24"/>
              </w:rPr>
            </w:pPr>
            <w:r>
              <w:rPr>
                <w:rFonts w:hint="eastAsia" w:ascii="仿宋" w:hAnsi="仿宋" w:eastAsia="仿宋" w:cs="仿宋"/>
                <w:b/>
                <w:bCs/>
                <w:kern w:val="24"/>
                <w:sz w:val="24"/>
              </w:rPr>
              <w:t>1,208</w:t>
            </w:r>
          </w:p>
        </w:tc>
        <w:tc>
          <w:tcPr>
            <w:tcW w:w="562" w:type="dxa"/>
            <w:tcBorders>
              <w:top w:val="nil"/>
              <w:bottom w:val="single" w:color="auto" w:sz="4" w:space="0"/>
            </w:tcBorders>
            <w:tcMar>
              <w:top w:w="15" w:type="dxa"/>
              <w:left w:w="15" w:type="dxa"/>
              <w:bottom w:w="0" w:type="dxa"/>
              <w:right w:w="15" w:type="dxa"/>
            </w:tcMar>
            <w:vAlign w:val="center"/>
          </w:tcPr>
          <w:p w14:paraId="68AE7B14">
            <w:pPr>
              <w:spacing w:line="440" w:lineRule="atLeast"/>
              <w:jc w:val="right"/>
              <w:textAlignment w:val="bottom"/>
              <w:rPr>
                <w:rFonts w:ascii="仿宋" w:hAnsi="仿宋" w:eastAsia="仿宋" w:cs="仿宋"/>
                <w:kern w:val="0"/>
                <w:sz w:val="24"/>
              </w:rPr>
            </w:pPr>
            <w:r>
              <w:rPr>
                <w:rFonts w:hint="eastAsia" w:ascii="仿宋" w:hAnsi="仿宋" w:eastAsia="仿宋" w:cs="仿宋"/>
                <w:b/>
                <w:bCs/>
                <w:kern w:val="24"/>
                <w:sz w:val="24"/>
              </w:rPr>
              <w:t>1,328</w:t>
            </w:r>
          </w:p>
        </w:tc>
        <w:tc>
          <w:tcPr>
            <w:tcW w:w="562" w:type="dxa"/>
            <w:tcBorders>
              <w:top w:val="nil"/>
              <w:bottom w:val="single" w:color="auto" w:sz="4" w:space="0"/>
            </w:tcBorders>
            <w:tcMar>
              <w:top w:w="15" w:type="dxa"/>
              <w:left w:w="15" w:type="dxa"/>
              <w:bottom w:w="0" w:type="dxa"/>
              <w:right w:w="15" w:type="dxa"/>
            </w:tcMar>
            <w:vAlign w:val="center"/>
          </w:tcPr>
          <w:p w14:paraId="64E86CFB">
            <w:pPr>
              <w:spacing w:line="440" w:lineRule="atLeast"/>
              <w:jc w:val="right"/>
              <w:textAlignment w:val="bottom"/>
              <w:rPr>
                <w:rFonts w:ascii="仿宋" w:hAnsi="仿宋" w:eastAsia="仿宋" w:cs="仿宋"/>
                <w:kern w:val="0"/>
                <w:sz w:val="24"/>
              </w:rPr>
            </w:pPr>
            <w:r>
              <w:rPr>
                <w:rFonts w:hint="eastAsia" w:ascii="仿宋" w:hAnsi="仿宋" w:eastAsia="仿宋" w:cs="仿宋"/>
                <w:b/>
                <w:bCs/>
                <w:kern w:val="24"/>
                <w:sz w:val="24"/>
              </w:rPr>
              <w:t>1,448</w:t>
            </w:r>
          </w:p>
        </w:tc>
        <w:tc>
          <w:tcPr>
            <w:tcW w:w="562" w:type="dxa"/>
            <w:tcBorders>
              <w:top w:val="nil"/>
              <w:bottom w:val="single" w:color="auto" w:sz="4" w:space="0"/>
            </w:tcBorders>
            <w:tcMar>
              <w:top w:w="15" w:type="dxa"/>
              <w:left w:w="15" w:type="dxa"/>
              <w:bottom w:w="0" w:type="dxa"/>
              <w:right w:w="15" w:type="dxa"/>
            </w:tcMar>
            <w:vAlign w:val="center"/>
          </w:tcPr>
          <w:p w14:paraId="25BC6FAE">
            <w:pPr>
              <w:spacing w:line="440" w:lineRule="atLeast"/>
              <w:jc w:val="right"/>
              <w:textAlignment w:val="bottom"/>
              <w:rPr>
                <w:rFonts w:ascii="仿宋" w:hAnsi="仿宋" w:eastAsia="仿宋" w:cs="仿宋"/>
                <w:kern w:val="0"/>
                <w:sz w:val="24"/>
              </w:rPr>
            </w:pPr>
            <w:r>
              <w:rPr>
                <w:rFonts w:hint="eastAsia" w:ascii="仿宋" w:hAnsi="仿宋" w:eastAsia="仿宋" w:cs="仿宋"/>
                <w:b/>
                <w:bCs/>
                <w:kern w:val="24"/>
                <w:sz w:val="24"/>
              </w:rPr>
              <w:t>1,564</w:t>
            </w:r>
          </w:p>
        </w:tc>
        <w:tc>
          <w:tcPr>
            <w:tcW w:w="562" w:type="dxa"/>
            <w:tcBorders>
              <w:top w:val="nil"/>
              <w:bottom w:val="single" w:color="auto" w:sz="4" w:space="0"/>
            </w:tcBorders>
            <w:tcMar>
              <w:top w:w="15" w:type="dxa"/>
              <w:left w:w="15" w:type="dxa"/>
              <w:bottom w:w="0" w:type="dxa"/>
              <w:right w:w="15" w:type="dxa"/>
            </w:tcMar>
            <w:vAlign w:val="center"/>
          </w:tcPr>
          <w:p w14:paraId="3BDC99B1">
            <w:pPr>
              <w:spacing w:line="440" w:lineRule="atLeast"/>
              <w:jc w:val="right"/>
              <w:textAlignment w:val="bottom"/>
              <w:rPr>
                <w:rFonts w:ascii="仿宋" w:hAnsi="仿宋" w:eastAsia="仿宋" w:cs="仿宋"/>
                <w:kern w:val="0"/>
                <w:sz w:val="24"/>
              </w:rPr>
            </w:pPr>
            <w:r>
              <w:rPr>
                <w:rFonts w:hint="eastAsia" w:ascii="仿宋" w:hAnsi="仿宋" w:eastAsia="仿宋" w:cs="仿宋"/>
                <w:b/>
                <w:bCs/>
                <w:kern w:val="24"/>
                <w:sz w:val="24"/>
              </w:rPr>
              <w:t>1,673</w:t>
            </w:r>
          </w:p>
        </w:tc>
        <w:tc>
          <w:tcPr>
            <w:tcW w:w="562" w:type="dxa"/>
            <w:tcBorders>
              <w:top w:val="nil"/>
              <w:bottom w:val="single" w:color="auto" w:sz="4" w:space="0"/>
            </w:tcBorders>
            <w:tcMar>
              <w:top w:w="15" w:type="dxa"/>
              <w:left w:w="15" w:type="dxa"/>
              <w:bottom w:w="0" w:type="dxa"/>
              <w:right w:w="15" w:type="dxa"/>
            </w:tcMar>
            <w:vAlign w:val="center"/>
          </w:tcPr>
          <w:p w14:paraId="0F46CF2E">
            <w:pPr>
              <w:spacing w:line="440" w:lineRule="atLeast"/>
              <w:jc w:val="right"/>
              <w:textAlignment w:val="bottom"/>
              <w:rPr>
                <w:rFonts w:ascii="仿宋" w:hAnsi="仿宋" w:eastAsia="仿宋" w:cs="仿宋"/>
                <w:kern w:val="0"/>
                <w:sz w:val="24"/>
              </w:rPr>
            </w:pPr>
            <w:r>
              <w:rPr>
                <w:rFonts w:hint="eastAsia" w:ascii="仿宋" w:hAnsi="仿宋" w:eastAsia="仿宋" w:cs="仿宋"/>
                <w:b/>
                <w:bCs/>
                <w:kern w:val="24"/>
                <w:sz w:val="24"/>
              </w:rPr>
              <w:t>1,773</w:t>
            </w:r>
          </w:p>
        </w:tc>
      </w:tr>
    </w:tbl>
    <w:p w14:paraId="6FF0537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参考xx保险公司在过去10多年平均增长速度远高于行业平均水平的经验，精算师对其商业计划进行了复核，认为其预计增长率水平可行、有效。保险业务收入的预测详见保费收入预测表。</w:t>
      </w:r>
    </w:p>
    <w:p w14:paraId="5178906F">
      <w:pPr>
        <w:spacing w:line="440" w:lineRule="atLeast"/>
        <w:jc w:val="center"/>
        <w:rPr>
          <w:rFonts w:ascii="仿宋" w:hAnsi="仿宋" w:eastAsia="仿宋" w:cs="仿宋"/>
          <w:sz w:val="24"/>
        </w:rPr>
      </w:pPr>
      <w:r>
        <w:rPr>
          <w:rFonts w:hint="eastAsia" w:ascii="仿宋" w:hAnsi="仿宋" w:eastAsia="仿宋" w:cs="仿宋"/>
          <w:sz w:val="24"/>
        </w:rPr>
        <w:t>xx保险公司20x4-20y4年年化新业务保费增长率</w:t>
      </w:r>
    </w:p>
    <w:tbl>
      <w:tblPr>
        <w:tblStyle w:val="24"/>
        <w:tblW w:w="91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9"/>
        <w:gridCol w:w="708"/>
        <w:gridCol w:w="708"/>
        <w:gridCol w:w="708"/>
        <w:gridCol w:w="708"/>
        <w:gridCol w:w="708"/>
        <w:gridCol w:w="708"/>
        <w:gridCol w:w="707"/>
        <w:gridCol w:w="707"/>
        <w:gridCol w:w="707"/>
        <w:gridCol w:w="707"/>
        <w:gridCol w:w="707"/>
      </w:tblGrid>
      <w:tr w14:paraId="42893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379" w:type="dxa"/>
            <w:vAlign w:val="center"/>
          </w:tcPr>
          <w:p w14:paraId="1BA0E1FD">
            <w:pPr>
              <w:spacing w:line="440" w:lineRule="atLeast"/>
              <w:jc w:val="center"/>
              <w:rPr>
                <w:rFonts w:ascii="仿宋" w:hAnsi="仿宋" w:eastAsia="仿宋" w:cs="仿宋"/>
                <w:b/>
                <w:kern w:val="0"/>
                <w:sz w:val="24"/>
              </w:rPr>
            </w:pPr>
            <w:r>
              <w:rPr>
                <w:rFonts w:hint="eastAsia" w:ascii="仿宋" w:hAnsi="仿宋" w:eastAsia="仿宋" w:cs="仿宋"/>
                <w:b/>
                <w:kern w:val="0"/>
                <w:sz w:val="24"/>
              </w:rPr>
              <w:t>年份</w:t>
            </w:r>
          </w:p>
        </w:tc>
        <w:tc>
          <w:tcPr>
            <w:tcW w:w="708" w:type="dxa"/>
            <w:vAlign w:val="center"/>
          </w:tcPr>
          <w:p w14:paraId="7CAAF5D3">
            <w:pPr>
              <w:spacing w:line="440" w:lineRule="atLeast"/>
              <w:jc w:val="center"/>
              <w:rPr>
                <w:rFonts w:ascii="仿宋" w:hAnsi="仿宋" w:eastAsia="仿宋" w:cs="仿宋"/>
                <w:b/>
                <w:kern w:val="0"/>
                <w:sz w:val="24"/>
              </w:rPr>
            </w:pPr>
            <w:r>
              <w:rPr>
                <w:rFonts w:hint="eastAsia" w:ascii="仿宋" w:hAnsi="仿宋" w:eastAsia="仿宋" w:cs="仿宋"/>
                <w:b/>
                <w:kern w:val="0"/>
                <w:sz w:val="24"/>
              </w:rPr>
              <w:t>20x4</w:t>
            </w:r>
          </w:p>
        </w:tc>
        <w:tc>
          <w:tcPr>
            <w:tcW w:w="708" w:type="dxa"/>
            <w:vAlign w:val="center"/>
          </w:tcPr>
          <w:p w14:paraId="2D1EBE60">
            <w:pPr>
              <w:spacing w:line="440" w:lineRule="atLeast"/>
              <w:jc w:val="center"/>
              <w:rPr>
                <w:rFonts w:ascii="仿宋" w:hAnsi="仿宋" w:eastAsia="仿宋" w:cs="仿宋"/>
                <w:b/>
                <w:kern w:val="0"/>
                <w:sz w:val="24"/>
              </w:rPr>
            </w:pPr>
            <w:r>
              <w:rPr>
                <w:rFonts w:hint="eastAsia" w:ascii="仿宋" w:hAnsi="仿宋" w:eastAsia="仿宋" w:cs="仿宋"/>
                <w:b/>
                <w:kern w:val="0"/>
                <w:sz w:val="24"/>
              </w:rPr>
              <w:t>20x5</w:t>
            </w:r>
          </w:p>
        </w:tc>
        <w:tc>
          <w:tcPr>
            <w:tcW w:w="708" w:type="dxa"/>
            <w:vAlign w:val="center"/>
          </w:tcPr>
          <w:p w14:paraId="15A1B4D1">
            <w:pPr>
              <w:spacing w:line="440" w:lineRule="atLeast"/>
              <w:jc w:val="center"/>
              <w:rPr>
                <w:rFonts w:ascii="仿宋" w:hAnsi="仿宋" w:eastAsia="仿宋" w:cs="仿宋"/>
                <w:b/>
                <w:kern w:val="0"/>
                <w:sz w:val="24"/>
              </w:rPr>
            </w:pPr>
            <w:r>
              <w:rPr>
                <w:rFonts w:hint="eastAsia" w:ascii="仿宋" w:hAnsi="仿宋" w:eastAsia="仿宋" w:cs="仿宋"/>
                <w:b/>
                <w:kern w:val="0"/>
                <w:sz w:val="24"/>
              </w:rPr>
              <w:t>20x6</w:t>
            </w:r>
          </w:p>
        </w:tc>
        <w:tc>
          <w:tcPr>
            <w:tcW w:w="708" w:type="dxa"/>
            <w:vAlign w:val="center"/>
          </w:tcPr>
          <w:p w14:paraId="3C4008DE">
            <w:pPr>
              <w:spacing w:line="440" w:lineRule="atLeast"/>
              <w:jc w:val="center"/>
              <w:rPr>
                <w:rFonts w:ascii="仿宋" w:hAnsi="仿宋" w:eastAsia="仿宋" w:cs="仿宋"/>
                <w:b/>
                <w:kern w:val="0"/>
                <w:sz w:val="24"/>
              </w:rPr>
            </w:pPr>
            <w:r>
              <w:rPr>
                <w:rFonts w:hint="eastAsia" w:ascii="仿宋" w:hAnsi="仿宋" w:eastAsia="仿宋" w:cs="仿宋"/>
                <w:b/>
                <w:kern w:val="0"/>
                <w:sz w:val="24"/>
              </w:rPr>
              <w:t>20x7</w:t>
            </w:r>
          </w:p>
        </w:tc>
        <w:tc>
          <w:tcPr>
            <w:tcW w:w="708" w:type="dxa"/>
            <w:vAlign w:val="center"/>
          </w:tcPr>
          <w:p w14:paraId="3C289B4F">
            <w:pPr>
              <w:spacing w:line="440" w:lineRule="atLeast"/>
              <w:jc w:val="center"/>
              <w:rPr>
                <w:rFonts w:ascii="仿宋" w:hAnsi="仿宋" w:eastAsia="仿宋" w:cs="仿宋"/>
                <w:b/>
                <w:kern w:val="0"/>
                <w:sz w:val="24"/>
              </w:rPr>
            </w:pPr>
            <w:r>
              <w:rPr>
                <w:rFonts w:hint="eastAsia" w:ascii="仿宋" w:hAnsi="仿宋" w:eastAsia="仿宋" w:cs="仿宋"/>
                <w:b/>
                <w:kern w:val="0"/>
                <w:sz w:val="24"/>
              </w:rPr>
              <w:t>20x8</w:t>
            </w:r>
          </w:p>
        </w:tc>
        <w:tc>
          <w:tcPr>
            <w:tcW w:w="708" w:type="dxa"/>
            <w:vAlign w:val="center"/>
          </w:tcPr>
          <w:p w14:paraId="19AEDF52">
            <w:pPr>
              <w:spacing w:line="440" w:lineRule="atLeast"/>
              <w:jc w:val="center"/>
              <w:rPr>
                <w:rFonts w:ascii="仿宋" w:hAnsi="仿宋" w:eastAsia="仿宋" w:cs="仿宋"/>
                <w:b/>
                <w:kern w:val="0"/>
                <w:sz w:val="24"/>
              </w:rPr>
            </w:pPr>
            <w:r>
              <w:rPr>
                <w:rFonts w:hint="eastAsia" w:ascii="仿宋" w:hAnsi="仿宋" w:eastAsia="仿宋" w:cs="仿宋"/>
                <w:b/>
                <w:kern w:val="0"/>
                <w:sz w:val="24"/>
              </w:rPr>
              <w:t>20x9</w:t>
            </w:r>
          </w:p>
        </w:tc>
        <w:tc>
          <w:tcPr>
            <w:tcW w:w="707" w:type="dxa"/>
            <w:vAlign w:val="center"/>
          </w:tcPr>
          <w:p w14:paraId="4E549BCB">
            <w:pPr>
              <w:spacing w:line="440" w:lineRule="atLeast"/>
              <w:jc w:val="center"/>
              <w:rPr>
                <w:rFonts w:ascii="仿宋" w:hAnsi="仿宋" w:eastAsia="仿宋" w:cs="仿宋"/>
                <w:b/>
                <w:kern w:val="0"/>
                <w:sz w:val="24"/>
              </w:rPr>
            </w:pPr>
            <w:r>
              <w:rPr>
                <w:rFonts w:hint="eastAsia" w:ascii="仿宋" w:hAnsi="仿宋" w:eastAsia="仿宋" w:cs="仿宋"/>
                <w:b/>
                <w:kern w:val="0"/>
                <w:sz w:val="24"/>
              </w:rPr>
              <w:t>20y0</w:t>
            </w:r>
          </w:p>
        </w:tc>
        <w:tc>
          <w:tcPr>
            <w:tcW w:w="707" w:type="dxa"/>
            <w:vAlign w:val="center"/>
          </w:tcPr>
          <w:p w14:paraId="6F3BFFAF">
            <w:pPr>
              <w:spacing w:line="440" w:lineRule="atLeast"/>
              <w:jc w:val="center"/>
              <w:rPr>
                <w:rFonts w:ascii="仿宋" w:hAnsi="仿宋" w:eastAsia="仿宋" w:cs="仿宋"/>
                <w:b/>
                <w:kern w:val="0"/>
                <w:sz w:val="24"/>
              </w:rPr>
            </w:pPr>
            <w:r>
              <w:rPr>
                <w:rFonts w:hint="eastAsia" w:ascii="仿宋" w:hAnsi="仿宋" w:eastAsia="仿宋" w:cs="仿宋"/>
                <w:b/>
                <w:kern w:val="0"/>
                <w:sz w:val="24"/>
              </w:rPr>
              <w:t>20y1</w:t>
            </w:r>
          </w:p>
        </w:tc>
        <w:tc>
          <w:tcPr>
            <w:tcW w:w="707" w:type="dxa"/>
            <w:vAlign w:val="center"/>
          </w:tcPr>
          <w:p w14:paraId="158AC7B5">
            <w:pPr>
              <w:spacing w:line="440" w:lineRule="atLeast"/>
              <w:jc w:val="center"/>
              <w:rPr>
                <w:rFonts w:ascii="仿宋" w:hAnsi="仿宋" w:eastAsia="仿宋" w:cs="仿宋"/>
                <w:b/>
                <w:kern w:val="0"/>
                <w:sz w:val="24"/>
              </w:rPr>
            </w:pPr>
            <w:r>
              <w:rPr>
                <w:rFonts w:hint="eastAsia" w:ascii="仿宋" w:hAnsi="仿宋" w:eastAsia="仿宋" w:cs="仿宋"/>
                <w:b/>
                <w:kern w:val="0"/>
                <w:sz w:val="24"/>
              </w:rPr>
              <w:t>20y2</w:t>
            </w:r>
          </w:p>
        </w:tc>
        <w:tc>
          <w:tcPr>
            <w:tcW w:w="707" w:type="dxa"/>
            <w:vAlign w:val="center"/>
          </w:tcPr>
          <w:p w14:paraId="20DE006B">
            <w:pPr>
              <w:spacing w:line="440" w:lineRule="atLeast"/>
              <w:jc w:val="center"/>
              <w:rPr>
                <w:rFonts w:ascii="仿宋" w:hAnsi="仿宋" w:eastAsia="仿宋" w:cs="仿宋"/>
                <w:b/>
                <w:kern w:val="0"/>
                <w:sz w:val="24"/>
              </w:rPr>
            </w:pPr>
            <w:r>
              <w:rPr>
                <w:rFonts w:hint="eastAsia" w:ascii="仿宋" w:hAnsi="仿宋" w:eastAsia="仿宋" w:cs="仿宋"/>
                <w:b/>
                <w:kern w:val="0"/>
                <w:sz w:val="24"/>
              </w:rPr>
              <w:t>20y3</w:t>
            </w:r>
          </w:p>
        </w:tc>
        <w:tc>
          <w:tcPr>
            <w:tcW w:w="707" w:type="dxa"/>
            <w:vAlign w:val="center"/>
          </w:tcPr>
          <w:p w14:paraId="30DA7887">
            <w:pPr>
              <w:spacing w:line="440" w:lineRule="atLeast"/>
              <w:jc w:val="center"/>
              <w:rPr>
                <w:rFonts w:ascii="仿宋" w:hAnsi="仿宋" w:eastAsia="仿宋" w:cs="仿宋"/>
                <w:b/>
                <w:kern w:val="0"/>
                <w:sz w:val="24"/>
              </w:rPr>
            </w:pPr>
            <w:r>
              <w:rPr>
                <w:rFonts w:hint="eastAsia" w:ascii="仿宋" w:hAnsi="仿宋" w:eastAsia="仿宋" w:cs="仿宋"/>
                <w:b/>
                <w:kern w:val="0"/>
                <w:sz w:val="24"/>
              </w:rPr>
              <w:t>20y4</w:t>
            </w:r>
          </w:p>
        </w:tc>
      </w:tr>
      <w:tr w14:paraId="6E89E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379" w:type="dxa"/>
            <w:vAlign w:val="center"/>
          </w:tcPr>
          <w:p w14:paraId="30CB551A">
            <w:pPr>
              <w:spacing w:line="440" w:lineRule="atLeast"/>
              <w:jc w:val="center"/>
              <w:rPr>
                <w:rFonts w:ascii="仿宋" w:hAnsi="仿宋" w:eastAsia="仿宋" w:cs="仿宋"/>
                <w:kern w:val="0"/>
                <w:sz w:val="24"/>
              </w:rPr>
            </w:pPr>
            <w:r>
              <w:rPr>
                <w:rFonts w:hint="eastAsia" w:ascii="仿宋" w:hAnsi="仿宋" w:eastAsia="仿宋" w:cs="仿宋"/>
                <w:kern w:val="0"/>
                <w:sz w:val="24"/>
              </w:rPr>
              <w:t>ANP增长率</w:t>
            </w:r>
          </w:p>
        </w:tc>
        <w:tc>
          <w:tcPr>
            <w:tcW w:w="708" w:type="dxa"/>
            <w:vAlign w:val="center"/>
          </w:tcPr>
          <w:p w14:paraId="37595BEE">
            <w:pPr>
              <w:spacing w:line="440" w:lineRule="atLeast"/>
              <w:jc w:val="center"/>
              <w:rPr>
                <w:rFonts w:ascii="仿宋" w:hAnsi="仿宋" w:eastAsia="仿宋" w:cs="仿宋"/>
                <w:kern w:val="0"/>
                <w:sz w:val="24"/>
              </w:rPr>
            </w:pPr>
            <w:r>
              <w:rPr>
                <w:rFonts w:hint="eastAsia" w:ascii="仿宋" w:hAnsi="仿宋" w:eastAsia="仿宋" w:cs="仿宋"/>
                <w:kern w:val="0"/>
                <w:sz w:val="24"/>
              </w:rPr>
              <w:t>17%</w:t>
            </w:r>
          </w:p>
        </w:tc>
        <w:tc>
          <w:tcPr>
            <w:tcW w:w="708" w:type="dxa"/>
            <w:vAlign w:val="center"/>
          </w:tcPr>
          <w:p w14:paraId="70C006B9">
            <w:pPr>
              <w:spacing w:line="440" w:lineRule="atLeast"/>
              <w:jc w:val="center"/>
              <w:rPr>
                <w:rFonts w:ascii="仿宋" w:hAnsi="仿宋" w:eastAsia="仿宋" w:cs="仿宋"/>
                <w:kern w:val="0"/>
                <w:sz w:val="24"/>
              </w:rPr>
            </w:pPr>
            <w:r>
              <w:rPr>
                <w:rFonts w:hint="eastAsia" w:ascii="仿宋" w:hAnsi="仿宋" w:eastAsia="仿宋" w:cs="仿宋"/>
                <w:kern w:val="0"/>
                <w:sz w:val="24"/>
              </w:rPr>
              <w:t>16%</w:t>
            </w:r>
          </w:p>
        </w:tc>
        <w:tc>
          <w:tcPr>
            <w:tcW w:w="708" w:type="dxa"/>
            <w:vAlign w:val="center"/>
          </w:tcPr>
          <w:p w14:paraId="3F329356">
            <w:pPr>
              <w:spacing w:line="440" w:lineRule="atLeast"/>
              <w:jc w:val="center"/>
              <w:rPr>
                <w:rFonts w:ascii="仿宋" w:hAnsi="仿宋" w:eastAsia="仿宋" w:cs="仿宋"/>
                <w:kern w:val="0"/>
                <w:sz w:val="24"/>
              </w:rPr>
            </w:pPr>
            <w:r>
              <w:rPr>
                <w:rFonts w:hint="eastAsia" w:ascii="仿宋" w:hAnsi="仿宋" w:eastAsia="仿宋" w:cs="仿宋"/>
                <w:kern w:val="0"/>
                <w:sz w:val="24"/>
              </w:rPr>
              <w:t>14%</w:t>
            </w:r>
          </w:p>
        </w:tc>
        <w:tc>
          <w:tcPr>
            <w:tcW w:w="708" w:type="dxa"/>
            <w:vAlign w:val="center"/>
          </w:tcPr>
          <w:p w14:paraId="74DEC3D9">
            <w:pPr>
              <w:spacing w:line="440" w:lineRule="atLeast"/>
              <w:jc w:val="center"/>
              <w:rPr>
                <w:rFonts w:ascii="仿宋" w:hAnsi="仿宋" w:eastAsia="仿宋" w:cs="仿宋"/>
                <w:kern w:val="0"/>
                <w:sz w:val="24"/>
              </w:rPr>
            </w:pPr>
            <w:r>
              <w:rPr>
                <w:rFonts w:hint="eastAsia" w:ascii="仿宋" w:hAnsi="仿宋" w:eastAsia="仿宋" w:cs="仿宋"/>
                <w:kern w:val="0"/>
                <w:sz w:val="24"/>
              </w:rPr>
              <w:t>13%</w:t>
            </w:r>
          </w:p>
        </w:tc>
        <w:tc>
          <w:tcPr>
            <w:tcW w:w="708" w:type="dxa"/>
            <w:vAlign w:val="center"/>
          </w:tcPr>
          <w:p w14:paraId="0F6179A5">
            <w:pPr>
              <w:spacing w:line="440" w:lineRule="atLeast"/>
              <w:jc w:val="center"/>
              <w:rPr>
                <w:rFonts w:ascii="仿宋" w:hAnsi="仿宋" w:eastAsia="仿宋" w:cs="仿宋"/>
                <w:kern w:val="0"/>
                <w:sz w:val="24"/>
              </w:rPr>
            </w:pPr>
            <w:r>
              <w:rPr>
                <w:rFonts w:hint="eastAsia" w:ascii="仿宋" w:hAnsi="仿宋" w:eastAsia="仿宋" w:cs="仿宋"/>
                <w:kern w:val="0"/>
                <w:sz w:val="24"/>
              </w:rPr>
              <w:t>12%</w:t>
            </w:r>
          </w:p>
        </w:tc>
        <w:tc>
          <w:tcPr>
            <w:tcW w:w="708" w:type="dxa"/>
            <w:vAlign w:val="center"/>
          </w:tcPr>
          <w:p w14:paraId="0F17A987">
            <w:pPr>
              <w:spacing w:line="440" w:lineRule="atLeast"/>
              <w:jc w:val="center"/>
              <w:rPr>
                <w:rFonts w:ascii="仿宋" w:hAnsi="仿宋" w:eastAsia="仿宋" w:cs="仿宋"/>
                <w:kern w:val="0"/>
                <w:sz w:val="24"/>
              </w:rPr>
            </w:pPr>
            <w:r>
              <w:rPr>
                <w:rFonts w:hint="eastAsia" w:ascii="仿宋" w:hAnsi="仿宋" w:eastAsia="仿宋" w:cs="仿宋"/>
                <w:kern w:val="0"/>
                <w:sz w:val="24"/>
              </w:rPr>
              <w:t>11%</w:t>
            </w:r>
          </w:p>
        </w:tc>
        <w:tc>
          <w:tcPr>
            <w:tcW w:w="707" w:type="dxa"/>
            <w:vAlign w:val="center"/>
          </w:tcPr>
          <w:p w14:paraId="7BD46B08">
            <w:pPr>
              <w:spacing w:line="440" w:lineRule="atLeast"/>
              <w:jc w:val="center"/>
              <w:rPr>
                <w:rFonts w:ascii="仿宋" w:hAnsi="仿宋" w:eastAsia="仿宋" w:cs="仿宋"/>
                <w:kern w:val="0"/>
                <w:sz w:val="24"/>
              </w:rPr>
            </w:pPr>
            <w:r>
              <w:rPr>
                <w:rFonts w:hint="eastAsia" w:ascii="仿宋" w:hAnsi="仿宋" w:eastAsia="仿宋" w:cs="仿宋"/>
                <w:kern w:val="0"/>
                <w:sz w:val="24"/>
              </w:rPr>
              <w:t>10%</w:t>
            </w:r>
          </w:p>
        </w:tc>
        <w:tc>
          <w:tcPr>
            <w:tcW w:w="707" w:type="dxa"/>
            <w:vAlign w:val="center"/>
          </w:tcPr>
          <w:p w14:paraId="39D14A09">
            <w:pPr>
              <w:spacing w:line="440" w:lineRule="atLeast"/>
              <w:jc w:val="center"/>
              <w:rPr>
                <w:rFonts w:ascii="仿宋" w:hAnsi="仿宋" w:eastAsia="仿宋" w:cs="仿宋"/>
                <w:kern w:val="0"/>
                <w:sz w:val="24"/>
              </w:rPr>
            </w:pPr>
            <w:r>
              <w:rPr>
                <w:rFonts w:hint="eastAsia" w:ascii="仿宋" w:hAnsi="仿宋" w:eastAsia="仿宋" w:cs="仿宋"/>
                <w:kern w:val="0"/>
                <w:sz w:val="24"/>
              </w:rPr>
              <w:t>9%</w:t>
            </w:r>
          </w:p>
        </w:tc>
        <w:tc>
          <w:tcPr>
            <w:tcW w:w="707" w:type="dxa"/>
            <w:vAlign w:val="center"/>
          </w:tcPr>
          <w:p w14:paraId="67B54652">
            <w:pPr>
              <w:spacing w:line="440" w:lineRule="atLeast"/>
              <w:jc w:val="center"/>
              <w:rPr>
                <w:rFonts w:ascii="仿宋" w:hAnsi="仿宋" w:eastAsia="仿宋" w:cs="仿宋"/>
                <w:kern w:val="0"/>
                <w:sz w:val="24"/>
              </w:rPr>
            </w:pPr>
            <w:r>
              <w:rPr>
                <w:rFonts w:hint="eastAsia" w:ascii="仿宋" w:hAnsi="仿宋" w:eastAsia="仿宋" w:cs="仿宋"/>
                <w:kern w:val="0"/>
                <w:sz w:val="24"/>
              </w:rPr>
              <w:t>8%</w:t>
            </w:r>
          </w:p>
        </w:tc>
        <w:tc>
          <w:tcPr>
            <w:tcW w:w="707" w:type="dxa"/>
            <w:vAlign w:val="center"/>
          </w:tcPr>
          <w:p w14:paraId="1AC47B21">
            <w:pPr>
              <w:spacing w:line="440" w:lineRule="atLeast"/>
              <w:jc w:val="center"/>
              <w:rPr>
                <w:rFonts w:ascii="仿宋" w:hAnsi="仿宋" w:eastAsia="仿宋" w:cs="仿宋"/>
                <w:kern w:val="0"/>
                <w:sz w:val="24"/>
              </w:rPr>
            </w:pPr>
            <w:r>
              <w:rPr>
                <w:rFonts w:hint="eastAsia" w:ascii="仿宋" w:hAnsi="仿宋" w:eastAsia="仿宋" w:cs="仿宋"/>
                <w:kern w:val="0"/>
                <w:sz w:val="24"/>
              </w:rPr>
              <w:t>7%</w:t>
            </w:r>
          </w:p>
        </w:tc>
        <w:tc>
          <w:tcPr>
            <w:tcW w:w="707" w:type="dxa"/>
            <w:vAlign w:val="center"/>
          </w:tcPr>
          <w:p w14:paraId="14C5D293">
            <w:pPr>
              <w:spacing w:line="440" w:lineRule="atLeast"/>
              <w:jc w:val="center"/>
              <w:rPr>
                <w:rFonts w:ascii="仿宋" w:hAnsi="仿宋" w:eastAsia="仿宋" w:cs="仿宋"/>
                <w:kern w:val="0"/>
                <w:sz w:val="24"/>
              </w:rPr>
            </w:pPr>
            <w:r>
              <w:rPr>
                <w:rFonts w:hint="eastAsia" w:ascii="仿宋" w:hAnsi="仿宋" w:eastAsia="仿宋" w:cs="仿宋"/>
                <w:kern w:val="0"/>
                <w:sz w:val="24"/>
              </w:rPr>
              <w:t>6%</w:t>
            </w:r>
          </w:p>
        </w:tc>
      </w:tr>
    </w:tbl>
    <w:p w14:paraId="03DA0F0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lang w:val="zh-CN"/>
        </w:rPr>
        <w:t>本次评估以</w:t>
      </w:r>
      <w:r>
        <w:rPr>
          <w:rFonts w:hint="eastAsia" w:ascii="宋体" w:hAnsi="宋体" w:eastAsia="宋体" w:cs="宋体"/>
          <w:color w:val="000000"/>
          <w:kern w:val="0"/>
          <w:sz w:val="24"/>
          <w:shd w:val="clear" w:color="auto" w:fill="FFFFFF"/>
        </w:rPr>
        <w:t>目前所经营的业务类别为基础，参照xx保险公司未来年度商业计划，在20x3年的基础上，考虑国民经济的整体发展和保险深度的加强，对不同产品的保险业务收入进行预测。</w:t>
      </w:r>
    </w:p>
    <w:p w14:paraId="7FD0608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2、分出保费与未到期责任准备金</w:t>
      </w:r>
    </w:p>
    <w:p w14:paraId="0013A68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分出保费是保险公司为了控制风险、提高偿付能力充足率，将部分风险向再保险公司分出（也叫再保险），由此产生了分出保费。xx保险公司存在8个有效财务再保险合同。xx保险公司目前的主要保费分出方为xx再保险公司、xx再保险公司及xx再保险公司。20x2年分出保费较20x1年减少或5.78%，主要原因为：20x1年为收取再保佣金，减少亏损，提高偿付能力，导致分出保费规模较大。20x2年业务规模增长很大，分出保费规模下降。20x3年xx保险公司分出保费的金额为93,214.63万元，较20x2年增长8%。本次评估在xx保险公司商业计划的基础上对未来年度分出保费进行预测，xx保险公司在估计再保险影响时，仅考虑目前已生效的再保险合同，未来不增加再保险合同。分出保费的预测详见保费收入预测表。</w:t>
      </w:r>
    </w:p>
    <w:p w14:paraId="7185AB1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未到期责任准备金指公司一年以内的财产险、意外伤害险、健康险业务按规定从本期保险责任尚未到期，应属于下一年度的部分保险费中提取出来形成的准备金。20x2年提取未到期责任准备金为34万，较20x1年下降85.87%。主要原因是：未到期责任准备金针对的是短期险，20x1年短期保险有较大增长，20x2年该类业务量变动不大，引起准备金变动较小。按照我国保险精算规定：会计年度末未到期责任准备金按照本会计年度自留毛保费的50%提取。本次评估对未到期责任准备金的预测按照保险精算规定进行提取。未到期责任准备金的预测详见保费收入预测表。</w:t>
      </w:r>
    </w:p>
    <w:p w14:paraId="2554367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3、已赚保费</w:t>
      </w:r>
    </w:p>
    <w:p w14:paraId="61CF533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当年的保费收入扣除分出保费和提取未到期责任准备金之后，得到公司当年的已赚保费。详见下表：</w:t>
      </w:r>
    </w:p>
    <w:p w14:paraId="05C9632E">
      <w:pPr>
        <w:spacing w:line="440" w:lineRule="atLeast"/>
        <w:ind w:firstLine="480" w:firstLineChars="200"/>
        <w:jc w:val="center"/>
        <w:rPr>
          <w:rFonts w:ascii="仿宋" w:hAnsi="仿宋" w:eastAsia="仿宋" w:cs="仿宋"/>
          <w:sz w:val="24"/>
        </w:rPr>
      </w:pPr>
      <w:r>
        <w:rPr>
          <w:rFonts w:hint="eastAsia" w:ascii="仿宋" w:hAnsi="仿宋" w:eastAsia="仿宋" w:cs="仿宋"/>
          <w:sz w:val="24"/>
        </w:rPr>
        <w:t>20x4年-20y4年保费收入及已赚保费预测表</w:t>
      </w:r>
    </w:p>
    <w:p w14:paraId="07FACA8C">
      <w:pPr>
        <w:spacing w:line="440" w:lineRule="atLeast"/>
        <w:ind w:firstLine="480" w:firstLineChars="200"/>
        <w:jc w:val="right"/>
        <w:rPr>
          <w:rFonts w:ascii="仿宋" w:hAnsi="仿宋" w:eastAsia="仿宋" w:cs="仿宋"/>
          <w:sz w:val="24"/>
        </w:rPr>
      </w:pPr>
      <w:r>
        <w:rPr>
          <w:rFonts w:hint="eastAsia" w:ascii="仿宋" w:hAnsi="仿宋" w:eastAsia="仿宋" w:cs="仿宋"/>
          <w:sz w:val="24"/>
        </w:rPr>
        <w:t>金额单位：人民币亿元</w:t>
      </w:r>
    </w:p>
    <w:tbl>
      <w:tblPr>
        <w:tblStyle w:val="24"/>
        <w:tblW w:w="9162"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960"/>
        <w:gridCol w:w="657"/>
        <w:gridCol w:w="657"/>
        <w:gridCol w:w="655"/>
        <w:gridCol w:w="655"/>
        <w:gridCol w:w="654"/>
        <w:gridCol w:w="654"/>
        <w:gridCol w:w="654"/>
        <w:gridCol w:w="654"/>
        <w:gridCol w:w="654"/>
        <w:gridCol w:w="654"/>
        <w:gridCol w:w="654"/>
      </w:tblGrid>
      <w:tr w14:paraId="3754F97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960" w:type="dxa"/>
            <w:vAlign w:val="center"/>
          </w:tcPr>
          <w:p w14:paraId="3A1AC69E">
            <w:pPr>
              <w:spacing w:line="440" w:lineRule="atLeast"/>
              <w:jc w:val="center"/>
              <w:rPr>
                <w:rFonts w:ascii="仿宋" w:hAnsi="仿宋" w:eastAsia="仿宋" w:cs="仿宋"/>
                <w:b/>
                <w:kern w:val="0"/>
                <w:sz w:val="24"/>
              </w:rPr>
            </w:pPr>
            <w:r>
              <w:rPr>
                <w:rFonts w:hint="eastAsia" w:ascii="仿宋" w:hAnsi="仿宋" w:eastAsia="仿宋" w:cs="仿宋"/>
                <w:b/>
                <w:kern w:val="0"/>
                <w:sz w:val="24"/>
              </w:rPr>
              <w:t>年份</w:t>
            </w:r>
          </w:p>
        </w:tc>
        <w:tc>
          <w:tcPr>
            <w:tcW w:w="657" w:type="dxa"/>
            <w:vAlign w:val="center"/>
          </w:tcPr>
          <w:p w14:paraId="5F1FCA61">
            <w:pPr>
              <w:spacing w:line="440" w:lineRule="atLeast"/>
              <w:jc w:val="center"/>
              <w:rPr>
                <w:rFonts w:ascii="仿宋" w:hAnsi="仿宋" w:eastAsia="仿宋" w:cs="仿宋"/>
                <w:b/>
                <w:kern w:val="0"/>
                <w:sz w:val="24"/>
              </w:rPr>
            </w:pPr>
            <w:r>
              <w:rPr>
                <w:rFonts w:hint="eastAsia" w:ascii="仿宋" w:hAnsi="仿宋" w:eastAsia="仿宋" w:cs="仿宋"/>
                <w:b/>
                <w:kern w:val="0"/>
                <w:sz w:val="24"/>
              </w:rPr>
              <w:t>20x4</w:t>
            </w:r>
          </w:p>
        </w:tc>
        <w:tc>
          <w:tcPr>
            <w:tcW w:w="657" w:type="dxa"/>
            <w:vAlign w:val="center"/>
          </w:tcPr>
          <w:p w14:paraId="5FCABAE2">
            <w:pPr>
              <w:spacing w:line="440" w:lineRule="atLeast"/>
              <w:jc w:val="center"/>
              <w:rPr>
                <w:rFonts w:ascii="仿宋" w:hAnsi="仿宋" w:eastAsia="仿宋" w:cs="仿宋"/>
                <w:b/>
                <w:kern w:val="0"/>
                <w:sz w:val="24"/>
              </w:rPr>
            </w:pPr>
            <w:r>
              <w:rPr>
                <w:rFonts w:hint="eastAsia" w:ascii="仿宋" w:hAnsi="仿宋" w:eastAsia="仿宋" w:cs="仿宋"/>
                <w:b/>
                <w:kern w:val="0"/>
                <w:sz w:val="24"/>
              </w:rPr>
              <w:t>20x5</w:t>
            </w:r>
          </w:p>
        </w:tc>
        <w:tc>
          <w:tcPr>
            <w:tcW w:w="655" w:type="dxa"/>
            <w:vAlign w:val="center"/>
          </w:tcPr>
          <w:p w14:paraId="7A51C45C">
            <w:pPr>
              <w:spacing w:line="440" w:lineRule="atLeast"/>
              <w:jc w:val="center"/>
              <w:rPr>
                <w:rFonts w:ascii="仿宋" w:hAnsi="仿宋" w:eastAsia="仿宋" w:cs="仿宋"/>
                <w:b/>
                <w:kern w:val="0"/>
                <w:sz w:val="24"/>
              </w:rPr>
            </w:pPr>
            <w:r>
              <w:rPr>
                <w:rFonts w:hint="eastAsia" w:ascii="仿宋" w:hAnsi="仿宋" w:eastAsia="仿宋" w:cs="仿宋"/>
                <w:b/>
                <w:kern w:val="0"/>
                <w:sz w:val="24"/>
              </w:rPr>
              <w:t>20x6</w:t>
            </w:r>
          </w:p>
        </w:tc>
        <w:tc>
          <w:tcPr>
            <w:tcW w:w="655" w:type="dxa"/>
            <w:vAlign w:val="center"/>
          </w:tcPr>
          <w:p w14:paraId="6FF25503">
            <w:pPr>
              <w:spacing w:line="440" w:lineRule="atLeast"/>
              <w:jc w:val="center"/>
              <w:rPr>
                <w:rFonts w:ascii="仿宋" w:hAnsi="仿宋" w:eastAsia="仿宋" w:cs="仿宋"/>
                <w:b/>
                <w:kern w:val="0"/>
                <w:sz w:val="24"/>
              </w:rPr>
            </w:pPr>
            <w:r>
              <w:rPr>
                <w:rFonts w:hint="eastAsia" w:ascii="仿宋" w:hAnsi="仿宋" w:eastAsia="仿宋" w:cs="仿宋"/>
                <w:b/>
                <w:kern w:val="0"/>
                <w:sz w:val="24"/>
              </w:rPr>
              <w:t>20x7</w:t>
            </w:r>
          </w:p>
        </w:tc>
        <w:tc>
          <w:tcPr>
            <w:tcW w:w="654" w:type="dxa"/>
            <w:vAlign w:val="center"/>
          </w:tcPr>
          <w:p w14:paraId="4BF5559B">
            <w:pPr>
              <w:spacing w:line="440" w:lineRule="atLeast"/>
              <w:jc w:val="center"/>
              <w:rPr>
                <w:rFonts w:ascii="仿宋" w:hAnsi="仿宋" w:eastAsia="仿宋" w:cs="仿宋"/>
                <w:b/>
                <w:kern w:val="0"/>
                <w:sz w:val="24"/>
              </w:rPr>
            </w:pPr>
            <w:r>
              <w:rPr>
                <w:rFonts w:hint="eastAsia" w:ascii="仿宋" w:hAnsi="仿宋" w:eastAsia="仿宋" w:cs="仿宋"/>
                <w:b/>
                <w:kern w:val="0"/>
                <w:sz w:val="24"/>
              </w:rPr>
              <w:t>20x8</w:t>
            </w:r>
          </w:p>
        </w:tc>
        <w:tc>
          <w:tcPr>
            <w:tcW w:w="654" w:type="dxa"/>
            <w:vAlign w:val="center"/>
          </w:tcPr>
          <w:p w14:paraId="29A9376D">
            <w:pPr>
              <w:spacing w:line="440" w:lineRule="atLeast"/>
              <w:jc w:val="center"/>
              <w:rPr>
                <w:rFonts w:ascii="仿宋" w:hAnsi="仿宋" w:eastAsia="仿宋" w:cs="仿宋"/>
                <w:b/>
                <w:kern w:val="0"/>
                <w:sz w:val="24"/>
              </w:rPr>
            </w:pPr>
            <w:r>
              <w:rPr>
                <w:rFonts w:hint="eastAsia" w:ascii="仿宋" w:hAnsi="仿宋" w:eastAsia="仿宋" w:cs="仿宋"/>
                <w:b/>
                <w:kern w:val="0"/>
                <w:sz w:val="24"/>
              </w:rPr>
              <w:t>20x9</w:t>
            </w:r>
          </w:p>
        </w:tc>
        <w:tc>
          <w:tcPr>
            <w:tcW w:w="654" w:type="dxa"/>
            <w:vAlign w:val="center"/>
          </w:tcPr>
          <w:p w14:paraId="629919E3">
            <w:pPr>
              <w:spacing w:line="440" w:lineRule="atLeast"/>
              <w:jc w:val="center"/>
              <w:rPr>
                <w:rFonts w:ascii="仿宋" w:hAnsi="仿宋" w:eastAsia="仿宋" w:cs="仿宋"/>
                <w:b/>
                <w:kern w:val="0"/>
                <w:sz w:val="24"/>
              </w:rPr>
            </w:pPr>
            <w:r>
              <w:rPr>
                <w:rFonts w:hint="eastAsia" w:ascii="仿宋" w:hAnsi="仿宋" w:eastAsia="仿宋" w:cs="仿宋"/>
                <w:b/>
                <w:kern w:val="0"/>
                <w:sz w:val="24"/>
              </w:rPr>
              <w:t>20y0</w:t>
            </w:r>
          </w:p>
        </w:tc>
        <w:tc>
          <w:tcPr>
            <w:tcW w:w="654" w:type="dxa"/>
            <w:vAlign w:val="center"/>
          </w:tcPr>
          <w:p w14:paraId="491DFD23">
            <w:pPr>
              <w:spacing w:line="440" w:lineRule="atLeast"/>
              <w:jc w:val="center"/>
              <w:rPr>
                <w:rFonts w:ascii="仿宋" w:hAnsi="仿宋" w:eastAsia="仿宋" w:cs="仿宋"/>
                <w:b/>
                <w:kern w:val="0"/>
                <w:sz w:val="24"/>
              </w:rPr>
            </w:pPr>
            <w:r>
              <w:rPr>
                <w:rFonts w:hint="eastAsia" w:ascii="仿宋" w:hAnsi="仿宋" w:eastAsia="仿宋" w:cs="仿宋"/>
                <w:b/>
                <w:kern w:val="0"/>
                <w:sz w:val="24"/>
              </w:rPr>
              <w:t>20y1</w:t>
            </w:r>
          </w:p>
        </w:tc>
        <w:tc>
          <w:tcPr>
            <w:tcW w:w="654" w:type="dxa"/>
            <w:vAlign w:val="center"/>
          </w:tcPr>
          <w:p w14:paraId="393A8149">
            <w:pPr>
              <w:spacing w:line="440" w:lineRule="atLeast"/>
              <w:jc w:val="center"/>
              <w:rPr>
                <w:rFonts w:ascii="仿宋" w:hAnsi="仿宋" w:eastAsia="仿宋" w:cs="仿宋"/>
                <w:b/>
                <w:kern w:val="0"/>
                <w:sz w:val="24"/>
              </w:rPr>
            </w:pPr>
            <w:r>
              <w:rPr>
                <w:rFonts w:hint="eastAsia" w:ascii="仿宋" w:hAnsi="仿宋" w:eastAsia="仿宋" w:cs="仿宋"/>
                <w:b/>
                <w:kern w:val="0"/>
                <w:sz w:val="24"/>
              </w:rPr>
              <w:t>20y2</w:t>
            </w:r>
          </w:p>
        </w:tc>
        <w:tc>
          <w:tcPr>
            <w:tcW w:w="654" w:type="dxa"/>
            <w:vAlign w:val="center"/>
          </w:tcPr>
          <w:p w14:paraId="5A197826">
            <w:pPr>
              <w:spacing w:line="440" w:lineRule="atLeast"/>
              <w:jc w:val="center"/>
              <w:rPr>
                <w:rFonts w:ascii="仿宋" w:hAnsi="仿宋" w:eastAsia="仿宋" w:cs="仿宋"/>
                <w:b/>
                <w:kern w:val="0"/>
                <w:sz w:val="24"/>
              </w:rPr>
            </w:pPr>
            <w:r>
              <w:rPr>
                <w:rFonts w:hint="eastAsia" w:ascii="仿宋" w:hAnsi="仿宋" w:eastAsia="仿宋" w:cs="仿宋"/>
                <w:b/>
                <w:kern w:val="0"/>
                <w:sz w:val="24"/>
              </w:rPr>
              <w:t>20y3</w:t>
            </w:r>
          </w:p>
        </w:tc>
        <w:tc>
          <w:tcPr>
            <w:tcW w:w="654" w:type="dxa"/>
            <w:vAlign w:val="center"/>
          </w:tcPr>
          <w:p w14:paraId="5445BA19">
            <w:pPr>
              <w:spacing w:line="440" w:lineRule="atLeast"/>
              <w:jc w:val="center"/>
              <w:rPr>
                <w:rFonts w:ascii="仿宋" w:hAnsi="仿宋" w:eastAsia="仿宋" w:cs="仿宋"/>
                <w:b/>
                <w:kern w:val="0"/>
                <w:sz w:val="24"/>
              </w:rPr>
            </w:pPr>
            <w:r>
              <w:rPr>
                <w:rFonts w:hint="eastAsia" w:ascii="仿宋" w:hAnsi="仿宋" w:eastAsia="仿宋" w:cs="仿宋"/>
                <w:b/>
                <w:kern w:val="0"/>
                <w:sz w:val="24"/>
              </w:rPr>
              <w:t>20y4</w:t>
            </w:r>
          </w:p>
        </w:tc>
      </w:tr>
      <w:tr w14:paraId="377E0AB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960" w:type="dxa"/>
            <w:vAlign w:val="center"/>
          </w:tcPr>
          <w:p w14:paraId="199CE043">
            <w:pPr>
              <w:spacing w:line="440" w:lineRule="atLeast"/>
              <w:jc w:val="left"/>
              <w:rPr>
                <w:rFonts w:ascii="仿宋" w:hAnsi="仿宋" w:eastAsia="仿宋" w:cs="仿宋"/>
                <w:b/>
                <w:kern w:val="0"/>
                <w:sz w:val="24"/>
              </w:rPr>
            </w:pPr>
            <w:r>
              <w:rPr>
                <w:rFonts w:hint="eastAsia" w:ascii="仿宋" w:hAnsi="仿宋" w:eastAsia="仿宋" w:cs="仿宋"/>
                <w:b/>
                <w:kern w:val="0"/>
                <w:sz w:val="24"/>
              </w:rPr>
              <w:t>保险业务收入</w:t>
            </w:r>
          </w:p>
        </w:tc>
        <w:tc>
          <w:tcPr>
            <w:tcW w:w="657" w:type="dxa"/>
            <w:vAlign w:val="center"/>
          </w:tcPr>
          <w:p w14:paraId="461B8803">
            <w:pPr>
              <w:spacing w:line="440" w:lineRule="atLeast"/>
              <w:jc w:val="center"/>
              <w:rPr>
                <w:rFonts w:ascii="仿宋" w:hAnsi="仿宋" w:eastAsia="仿宋" w:cs="仿宋"/>
                <w:kern w:val="0"/>
                <w:sz w:val="24"/>
              </w:rPr>
            </w:pPr>
            <w:r>
              <w:rPr>
                <w:rFonts w:hint="eastAsia" w:ascii="仿宋" w:hAnsi="仿宋" w:eastAsia="仿宋" w:cs="仿宋"/>
                <w:kern w:val="0"/>
                <w:sz w:val="24"/>
              </w:rPr>
              <w:t>21.61</w:t>
            </w:r>
          </w:p>
        </w:tc>
        <w:tc>
          <w:tcPr>
            <w:tcW w:w="657" w:type="dxa"/>
            <w:vAlign w:val="center"/>
          </w:tcPr>
          <w:p w14:paraId="4103B043">
            <w:pPr>
              <w:spacing w:line="440" w:lineRule="atLeast"/>
              <w:jc w:val="center"/>
              <w:rPr>
                <w:rFonts w:ascii="仿宋" w:hAnsi="仿宋" w:eastAsia="仿宋" w:cs="仿宋"/>
                <w:kern w:val="0"/>
                <w:sz w:val="24"/>
              </w:rPr>
            </w:pPr>
            <w:r>
              <w:rPr>
                <w:rFonts w:hint="eastAsia" w:ascii="仿宋" w:hAnsi="仿宋" w:eastAsia="仿宋" w:cs="仿宋"/>
                <w:kern w:val="0"/>
                <w:sz w:val="24"/>
              </w:rPr>
              <w:t>24.67</w:t>
            </w:r>
          </w:p>
        </w:tc>
        <w:tc>
          <w:tcPr>
            <w:tcW w:w="655" w:type="dxa"/>
            <w:vAlign w:val="center"/>
          </w:tcPr>
          <w:p w14:paraId="20FF2EED">
            <w:pPr>
              <w:spacing w:line="440" w:lineRule="atLeast"/>
              <w:jc w:val="center"/>
              <w:rPr>
                <w:rFonts w:ascii="仿宋" w:hAnsi="仿宋" w:eastAsia="仿宋" w:cs="仿宋"/>
                <w:kern w:val="0"/>
                <w:sz w:val="24"/>
              </w:rPr>
            </w:pPr>
            <w:r>
              <w:rPr>
                <w:rFonts w:hint="eastAsia" w:ascii="仿宋" w:hAnsi="仿宋" w:eastAsia="仿宋" w:cs="仿宋"/>
                <w:kern w:val="0"/>
                <w:sz w:val="24"/>
              </w:rPr>
              <w:t>29.20</w:t>
            </w:r>
          </w:p>
        </w:tc>
        <w:tc>
          <w:tcPr>
            <w:tcW w:w="655" w:type="dxa"/>
            <w:vAlign w:val="center"/>
          </w:tcPr>
          <w:p w14:paraId="27416F8A">
            <w:pPr>
              <w:spacing w:line="440" w:lineRule="atLeast"/>
              <w:jc w:val="center"/>
              <w:rPr>
                <w:rFonts w:ascii="仿宋" w:hAnsi="仿宋" w:eastAsia="仿宋" w:cs="仿宋"/>
                <w:kern w:val="0"/>
                <w:sz w:val="24"/>
              </w:rPr>
            </w:pPr>
            <w:r>
              <w:rPr>
                <w:rFonts w:hint="eastAsia" w:ascii="仿宋" w:hAnsi="仿宋" w:eastAsia="仿宋" w:cs="仿宋"/>
                <w:kern w:val="0"/>
                <w:sz w:val="24"/>
              </w:rPr>
              <w:t>34.26</w:t>
            </w:r>
          </w:p>
        </w:tc>
        <w:tc>
          <w:tcPr>
            <w:tcW w:w="654" w:type="dxa"/>
            <w:vAlign w:val="center"/>
          </w:tcPr>
          <w:p w14:paraId="7A142C5C">
            <w:pPr>
              <w:spacing w:line="440" w:lineRule="atLeast"/>
              <w:jc w:val="center"/>
              <w:rPr>
                <w:rFonts w:ascii="仿宋" w:hAnsi="仿宋" w:eastAsia="仿宋" w:cs="仿宋"/>
                <w:kern w:val="0"/>
                <w:sz w:val="24"/>
              </w:rPr>
            </w:pPr>
            <w:r>
              <w:rPr>
                <w:rFonts w:hint="eastAsia" w:ascii="仿宋" w:hAnsi="仿宋" w:eastAsia="仿宋" w:cs="仿宋"/>
                <w:kern w:val="0"/>
                <w:sz w:val="24"/>
              </w:rPr>
              <w:t>39.78</w:t>
            </w:r>
          </w:p>
        </w:tc>
        <w:tc>
          <w:tcPr>
            <w:tcW w:w="654" w:type="dxa"/>
            <w:vAlign w:val="center"/>
          </w:tcPr>
          <w:p w14:paraId="39616400">
            <w:pPr>
              <w:spacing w:line="440" w:lineRule="atLeast"/>
              <w:jc w:val="center"/>
              <w:rPr>
                <w:rFonts w:ascii="仿宋" w:hAnsi="仿宋" w:eastAsia="仿宋" w:cs="仿宋"/>
                <w:kern w:val="0"/>
                <w:sz w:val="24"/>
              </w:rPr>
            </w:pPr>
            <w:r>
              <w:rPr>
                <w:rFonts w:hint="eastAsia" w:ascii="仿宋" w:hAnsi="仿宋" w:eastAsia="仿宋" w:cs="仿宋"/>
                <w:kern w:val="0"/>
                <w:sz w:val="24"/>
              </w:rPr>
              <w:t>45.21</w:t>
            </w:r>
          </w:p>
        </w:tc>
        <w:tc>
          <w:tcPr>
            <w:tcW w:w="654" w:type="dxa"/>
            <w:vAlign w:val="center"/>
          </w:tcPr>
          <w:p w14:paraId="0919D1EE">
            <w:pPr>
              <w:spacing w:line="440" w:lineRule="atLeast"/>
              <w:jc w:val="center"/>
              <w:rPr>
                <w:rFonts w:ascii="仿宋" w:hAnsi="仿宋" w:eastAsia="仿宋" w:cs="仿宋"/>
                <w:kern w:val="0"/>
                <w:sz w:val="24"/>
              </w:rPr>
            </w:pPr>
            <w:r>
              <w:rPr>
                <w:rFonts w:hint="eastAsia" w:ascii="仿宋" w:hAnsi="仿宋" w:eastAsia="仿宋" w:cs="仿宋"/>
                <w:kern w:val="0"/>
                <w:sz w:val="24"/>
              </w:rPr>
              <w:t>50.67</w:t>
            </w:r>
          </w:p>
        </w:tc>
        <w:tc>
          <w:tcPr>
            <w:tcW w:w="654" w:type="dxa"/>
            <w:vAlign w:val="center"/>
          </w:tcPr>
          <w:p w14:paraId="56CE3BC3">
            <w:pPr>
              <w:spacing w:line="440" w:lineRule="atLeast"/>
              <w:jc w:val="center"/>
              <w:rPr>
                <w:rFonts w:ascii="仿宋" w:hAnsi="仿宋" w:eastAsia="仿宋" w:cs="仿宋"/>
                <w:kern w:val="0"/>
                <w:sz w:val="24"/>
              </w:rPr>
            </w:pPr>
            <w:r>
              <w:rPr>
                <w:rFonts w:hint="eastAsia" w:ascii="仿宋" w:hAnsi="仿宋" w:eastAsia="仿宋" w:cs="仿宋"/>
                <w:kern w:val="0"/>
                <w:sz w:val="24"/>
              </w:rPr>
              <w:t>56.32</w:t>
            </w:r>
          </w:p>
        </w:tc>
        <w:tc>
          <w:tcPr>
            <w:tcW w:w="654" w:type="dxa"/>
            <w:vAlign w:val="center"/>
          </w:tcPr>
          <w:p w14:paraId="27604143">
            <w:pPr>
              <w:spacing w:line="440" w:lineRule="atLeast"/>
              <w:jc w:val="center"/>
              <w:rPr>
                <w:rFonts w:ascii="仿宋" w:hAnsi="仿宋" w:eastAsia="仿宋" w:cs="仿宋"/>
                <w:kern w:val="0"/>
                <w:sz w:val="24"/>
              </w:rPr>
            </w:pPr>
            <w:r>
              <w:rPr>
                <w:rFonts w:hint="eastAsia" w:ascii="仿宋" w:hAnsi="仿宋" w:eastAsia="仿宋" w:cs="仿宋"/>
                <w:kern w:val="0"/>
                <w:sz w:val="24"/>
              </w:rPr>
              <w:t>61.68</w:t>
            </w:r>
          </w:p>
        </w:tc>
        <w:tc>
          <w:tcPr>
            <w:tcW w:w="654" w:type="dxa"/>
            <w:vAlign w:val="center"/>
          </w:tcPr>
          <w:p w14:paraId="0CFC9CA1">
            <w:pPr>
              <w:spacing w:line="440" w:lineRule="atLeast"/>
              <w:jc w:val="center"/>
              <w:rPr>
                <w:rFonts w:ascii="仿宋" w:hAnsi="仿宋" w:eastAsia="仿宋" w:cs="仿宋"/>
                <w:kern w:val="0"/>
                <w:sz w:val="24"/>
              </w:rPr>
            </w:pPr>
            <w:r>
              <w:rPr>
                <w:rFonts w:hint="eastAsia" w:ascii="仿宋" w:hAnsi="仿宋" w:eastAsia="仿宋" w:cs="仿宋"/>
                <w:kern w:val="0"/>
                <w:sz w:val="24"/>
              </w:rPr>
              <w:t>67.48</w:t>
            </w:r>
          </w:p>
        </w:tc>
        <w:tc>
          <w:tcPr>
            <w:tcW w:w="654" w:type="dxa"/>
            <w:vAlign w:val="center"/>
          </w:tcPr>
          <w:p w14:paraId="21DF41C9">
            <w:pPr>
              <w:spacing w:line="440" w:lineRule="atLeast"/>
              <w:jc w:val="center"/>
              <w:rPr>
                <w:rFonts w:ascii="仿宋" w:hAnsi="仿宋" w:eastAsia="仿宋" w:cs="仿宋"/>
                <w:kern w:val="0"/>
                <w:sz w:val="24"/>
              </w:rPr>
            </w:pPr>
            <w:r>
              <w:rPr>
                <w:rFonts w:hint="eastAsia" w:ascii="仿宋" w:hAnsi="仿宋" w:eastAsia="仿宋" w:cs="仿宋"/>
                <w:kern w:val="0"/>
                <w:sz w:val="24"/>
              </w:rPr>
              <w:t>73.29</w:t>
            </w:r>
          </w:p>
        </w:tc>
      </w:tr>
      <w:tr w14:paraId="3D4294A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960" w:type="dxa"/>
            <w:vAlign w:val="center"/>
          </w:tcPr>
          <w:p w14:paraId="7F3B6857">
            <w:pPr>
              <w:spacing w:line="440" w:lineRule="atLeast"/>
              <w:jc w:val="left"/>
              <w:rPr>
                <w:rFonts w:ascii="仿宋" w:hAnsi="仿宋" w:eastAsia="仿宋" w:cs="仿宋"/>
                <w:b/>
                <w:kern w:val="0"/>
                <w:sz w:val="24"/>
              </w:rPr>
            </w:pPr>
            <w:r>
              <w:rPr>
                <w:rFonts w:hint="eastAsia" w:ascii="仿宋" w:hAnsi="仿宋" w:eastAsia="仿宋" w:cs="仿宋"/>
                <w:b/>
                <w:kern w:val="0"/>
                <w:sz w:val="24"/>
              </w:rPr>
              <w:t>分出保费</w:t>
            </w:r>
          </w:p>
        </w:tc>
        <w:tc>
          <w:tcPr>
            <w:tcW w:w="657" w:type="dxa"/>
            <w:vAlign w:val="center"/>
          </w:tcPr>
          <w:p w14:paraId="7DCCA239">
            <w:pPr>
              <w:spacing w:line="440" w:lineRule="atLeast"/>
              <w:jc w:val="center"/>
              <w:rPr>
                <w:rFonts w:ascii="仿宋" w:hAnsi="仿宋" w:eastAsia="仿宋" w:cs="仿宋"/>
                <w:kern w:val="0"/>
                <w:sz w:val="24"/>
              </w:rPr>
            </w:pPr>
            <w:r>
              <w:rPr>
                <w:rFonts w:hint="eastAsia" w:ascii="仿宋" w:hAnsi="仿宋" w:eastAsia="仿宋" w:cs="仿宋"/>
                <w:kern w:val="0"/>
                <w:sz w:val="24"/>
              </w:rPr>
              <w:t>11.23</w:t>
            </w:r>
          </w:p>
        </w:tc>
        <w:tc>
          <w:tcPr>
            <w:tcW w:w="657" w:type="dxa"/>
            <w:vAlign w:val="center"/>
          </w:tcPr>
          <w:p w14:paraId="1ACF29F8">
            <w:pPr>
              <w:spacing w:line="440" w:lineRule="atLeast"/>
              <w:jc w:val="center"/>
              <w:rPr>
                <w:rFonts w:ascii="仿宋" w:hAnsi="仿宋" w:eastAsia="仿宋" w:cs="仿宋"/>
                <w:kern w:val="0"/>
                <w:sz w:val="24"/>
              </w:rPr>
            </w:pPr>
            <w:r>
              <w:rPr>
                <w:rFonts w:hint="eastAsia" w:ascii="仿宋" w:hAnsi="仿宋" w:eastAsia="仿宋" w:cs="仿宋"/>
                <w:kern w:val="0"/>
                <w:sz w:val="24"/>
              </w:rPr>
              <w:t>9.00</w:t>
            </w:r>
          </w:p>
        </w:tc>
        <w:tc>
          <w:tcPr>
            <w:tcW w:w="655" w:type="dxa"/>
            <w:vAlign w:val="center"/>
          </w:tcPr>
          <w:p w14:paraId="298CD301">
            <w:pPr>
              <w:spacing w:line="440" w:lineRule="atLeast"/>
              <w:jc w:val="center"/>
              <w:rPr>
                <w:rFonts w:ascii="仿宋" w:hAnsi="仿宋" w:eastAsia="仿宋" w:cs="仿宋"/>
                <w:kern w:val="0"/>
                <w:sz w:val="24"/>
              </w:rPr>
            </w:pPr>
            <w:r>
              <w:rPr>
                <w:rFonts w:hint="eastAsia" w:ascii="仿宋" w:hAnsi="仿宋" w:eastAsia="仿宋" w:cs="仿宋"/>
                <w:kern w:val="0"/>
                <w:sz w:val="24"/>
              </w:rPr>
              <w:t>7.27</w:t>
            </w:r>
          </w:p>
        </w:tc>
        <w:tc>
          <w:tcPr>
            <w:tcW w:w="655" w:type="dxa"/>
            <w:vAlign w:val="center"/>
          </w:tcPr>
          <w:p w14:paraId="62693596">
            <w:pPr>
              <w:spacing w:line="440" w:lineRule="atLeast"/>
              <w:jc w:val="center"/>
              <w:rPr>
                <w:rFonts w:ascii="仿宋" w:hAnsi="仿宋" w:eastAsia="仿宋" w:cs="仿宋"/>
                <w:kern w:val="0"/>
                <w:sz w:val="24"/>
              </w:rPr>
            </w:pPr>
            <w:r>
              <w:rPr>
                <w:rFonts w:hint="eastAsia" w:ascii="仿宋" w:hAnsi="仿宋" w:eastAsia="仿宋" w:cs="仿宋"/>
                <w:kern w:val="0"/>
                <w:sz w:val="24"/>
              </w:rPr>
              <w:t>6.39</w:t>
            </w:r>
          </w:p>
        </w:tc>
        <w:tc>
          <w:tcPr>
            <w:tcW w:w="654" w:type="dxa"/>
            <w:vAlign w:val="center"/>
          </w:tcPr>
          <w:p w14:paraId="08BA25A4">
            <w:pPr>
              <w:spacing w:line="440" w:lineRule="atLeast"/>
              <w:jc w:val="center"/>
              <w:rPr>
                <w:rFonts w:ascii="仿宋" w:hAnsi="仿宋" w:eastAsia="仿宋" w:cs="仿宋"/>
                <w:kern w:val="0"/>
                <w:sz w:val="24"/>
              </w:rPr>
            </w:pPr>
            <w:r>
              <w:rPr>
                <w:rFonts w:hint="eastAsia" w:ascii="仿宋" w:hAnsi="仿宋" w:eastAsia="仿宋" w:cs="仿宋"/>
                <w:kern w:val="0"/>
                <w:sz w:val="24"/>
              </w:rPr>
              <w:t>5.65</w:t>
            </w:r>
          </w:p>
        </w:tc>
        <w:tc>
          <w:tcPr>
            <w:tcW w:w="654" w:type="dxa"/>
            <w:vAlign w:val="center"/>
          </w:tcPr>
          <w:p w14:paraId="7DCC4797">
            <w:pPr>
              <w:spacing w:line="440" w:lineRule="atLeast"/>
              <w:jc w:val="center"/>
              <w:rPr>
                <w:rFonts w:ascii="仿宋" w:hAnsi="仿宋" w:eastAsia="仿宋" w:cs="仿宋"/>
                <w:kern w:val="0"/>
                <w:sz w:val="24"/>
              </w:rPr>
            </w:pPr>
            <w:r>
              <w:rPr>
                <w:rFonts w:hint="eastAsia" w:ascii="仿宋" w:hAnsi="仿宋" w:eastAsia="仿宋" w:cs="仿宋"/>
                <w:kern w:val="0"/>
                <w:sz w:val="24"/>
              </w:rPr>
              <w:t>5.18</w:t>
            </w:r>
          </w:p>
        </w:tc>
        <w:tc>
          <w:tcPr>
            <w:tcW w:w="654" w:type="dxa"/>
            <w:vAlign w:val="center"/>
          </w:tcPr>
          <w:p w14:paraId="775F45E8">
            <w:pPr>
              <w:spacing w:line="440" w:lineRule="atLeast"/>
              <w:jc w:val="center"/>
              <w:rPr>
                <w:rFonts w:ascii="仿宋" w:hAnsi="仿宋" w:eastAsia="仿宋" w:cs="仿宋"/>
                <w:kern w:val="0"/>
                <w:sz w:val="24"/>
              </w:rPr>
            </w:pPr>
            <w:r>
              <w:rPr>
                <w:rFonts w:hint="eastAsia" w:ascii="仿宋" w:hAnsi="仿宋" w:eastAsia="仿宋" w:cs="仿宋"/>
                <w:kern w:val="0"/>
                <w:sz w:val="24"/>
              </w:rPr>
              <w:t>4.83</w:t>
            </w:r>
          </w:p>
        </w:tc>
        <w:tc>
          <w:tcPr>
            <w:tcW w:w="654" w:type="dxa"/>
            <w:vAlign w:val="center"/>
          </w:tcPr>
          <w:p w14:paraId="6E445B3B">
            <w:pPr>
              <w:spacing w:line="440" w:lineRule="atLeast"/>
              <w:jc w:val="center"/>
              <w:rPr>
                <w:rFonts w:ascii="仿宋" w:hAnsi="仿宋" w:eastAsia="仿宋" w:cs="仿宋"/>
                <w:kern w:val="0"/>
                <w:sz w:val="24"/>
              </w:rPr>
            </w:pPr>
            <w:r>
              <w:rPr>
                <w:rFonts w:hint="eastAsia" w:ascii="仿宋" w:hAnsi="仿宋" w:eastAsia="仿宋" w:cs="仿宋"/>
                <w:kern w:val="0"/>
                <w:sz w:val="24"/>
              </w:rPr>
              <w:t>3.95</w:t>
            </w:r>
          </w:p>
        </w:tc>
        <w:tc>
          <w:tcPr>
            <w:tcW w:w="654" w:type="dxa"/>
            <w:vAlign w:val="center"/>
          </w:tcPr>
          <w:p w14:paraId="02C08FFE">
            <w:pPr>
              <w:spacing w:line="440" w:lineRule="atLeast"/>
              <w:jc w:val="center"/>
              <w:rPr>
                <w:rFonts w:ascii="仿宋" w:hAnsi="仿宋" w:eastAsia="仿宋" w:cs="仿宋"/>
                <w:kern w:val="0"/>
                <w:sz w:val="24"/>
              </w:rPr>
            </w:pPr>
            <w:r>
              <w:rPr>
                <w:rFonts w:hint="eastAsia" w:ascii="仿宋" w:hAnsi="仿宋" w:eastAsia="仿宋" w:cs="仿宋"/>
                <w:kern w:val="0"/>
                <w:sz w:val="24"/>
              </w:rPr>
              <w:t>1.74</w:t>
            </w:r>
          </w:p>
        </w:tc>
        <w:tc>
          <w:tcPr>
            <w:tcW w:w="654" w:type="dxa"/>
            <w:vAlign w:val="center"/>
          </w:tcPr>
          <w:p w14:paraId="23383634">
            <w:pPr>
              <w:spacing w:line="440" w:lineRule="atLeast"/>
              <w:jc w:val="center"/>
              <w:rPr>
                <w:rFonts w:ascii="仿宋" w:hAnsi="仿宋" w:eastAsia="仿宋" w:cs="仿宋"/>
                <w:kern w:val="0"/>
                <w:sz w:val="24"/>
              </w:rPr>
            </w:pPr>
            <w:r>
              <w:rPr>
                <w:rFonts w:hint="eastAsia" w:ascii="仿宋" w:hAnsi="仿宋" w:eastAsia="仿宋" w:cs="仿宋"/>
                <w:kern w:val="0"/>
                <w:sz w:val="24"/>
              </w:rPr>
              <w:t>1.09</w:t>
            </w:r>
          </w:p>
        </w:tc>
        <w:tc>
          <w:tcPr>
            <w:tcW w:w="654" w:type="dxa"/>
            <w:vAlign w:val="center"/>
          </w:tcPr>
          <w:p w14:paraId="7708B21B">
            <w:pPr>
              <w:spacing w:line="440" w:lineRule="atLeast"/>
              <w:jc w:val="center"/>
              <w:rPr>
                <w:rFonts w:ascii="仿宋" w:hAnsi="仿宋" w:eastAsia="仿宋" w:cs="仿宋"/>
                <w:kern w:val="0"/>
                <w:sz w:val="24"/>
              </w:rPr>
            </w:pPr>
            <w:r>
              <w:rPr>
                <w:rFonts w:hint="eastAsia" w:ascii="仿宋" w:hAnsi="仿宋" w:eastAsia="仿宋" w:cs="仿宋"/>
                <w:kern w:val="0"/>
                <w:sz w:val="24"/>
              </w:rPr>
              <w:t>0.59</w:t>
            </w:r>
          </w:p>
        </w:tc>
      </w:tr>
      <w:tr w14:paraId="1C570B6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960" w:type="dxa"/>
            <w:vAlign w:val="center"/>
          </w:tcPr>
          <w:p w14:paraId="08DCA10D">
            <w:pPr>
              <w:spacing w:line="440" w:lineRule="atLeast"/>
              <w:jc w:val="left"/>
              <w:rPr>
                <w:rFonts w:ascii="仿宋" w:hAnsi="仿宋" w:eastAsia="仿宋" w:cs="仿宋"/>
                <w:b/>
                <w:kern w:val="0"/>
                <w:sz w:val="24"/>
              </w:rPr>
            </w:pPr>
            <w:r>
              <w:rPr>
                <w:rFonts w:hint="eastAsia" w:ascii="仿宋" w:hAnsi="仿宋" w:eastAsia="仿宋" w:cs="仿宋"/>
                <w:b/>
                <w:kern w:val="0"/>
                <w:sz w:val="24"/>
              </w:rPr>
              <w:t>提取未到期</w:t>
            </w:r>
          </w:p>
          <w:p w14:paraId="47BE8EAF">
            <w:pPr>
              <w:spacing w:line="440" w:lineRule="atLeast"/>
              <w:jc w:val="left"/>
              <w:rPr>
                <w:rFonts w:ascii="仿宋" w:hAnsi="仿宋" w:eastAsia="仿宋" w:cs="仿宋"/>
                <w:b/>
                <w:kern w:val="0"/>
                <w:sz w:val="24"/>
              </w:rPr>
            </w:pPr>
            <w:r>
              <w:rPr>
                <w:rFonts w:hint="eastAsia" w:ascii="仿宋" w:hAnsi="仿宋" w:eastAsia="仿宋" w:cs="仿宋"/>
                <w:b/>
                <w:kern w:val="0"/>
                <w:sz w:val="24"/>
              </w:rPr>
              <w:t>责任准备金</w:t>
            </w:r>
          </w:p>
        </w:tc>
        <w:tc>
          <w:tcPr>
            <w:tcW w:w="657" w:type="dxa"/>
            <w:vAlign w:val="center"/>
          </w:tcPr>
          <w:p w14:paraId="03FE8925">
            <w:pPr>
              <w:spacing w:line="440" w:lineRule="atLeast"/>
              <w:jc w:val="center"/>
              <w:rPr>
                <w:rFonts w:ascii="仿宋" w:hAnsi="仿宋" w:eastAsia="仿宋" w:cs="仿宋"/>
                <w:kern w:val="0"/>
                <w:sz w:val="24"/>
              </w:rPr>
            </w:pPr>
            <w:r>
              <w:rPr>
                <w:rFonts w:hint="eastAsia" w:ascii="仿宋" w:hAnsi="仿宋" w:eastAsia="仿宋" w:cs="仿宋"/>
                <w:kern w:val="0"/>
                <w:sz w:val="24"/>
              </w:rPr>
              <w:t>0.03</w:t>
            </w:r>
          </w:p>
        </w:tc>
        <w:tc>
          <w:tcPr>
            <w:tcW w:w="657" w:type="dxa"/>
            <w:vAlign w:val="center"/>
          </w:tcPr>
          <w:p w14:paraId="273E9FFA">
            <w:pPr>
              <w:spacing w:line="440" w:lineRule="atLeast"/>
              <w:jc w:val="center"/>
              <w:rPr>
                <w:rFonts w:ascii="仿宋" w:hAnsi="仿宋" w:eastAsia="仿宋" w:cs="仿宋"/>
                <w:kern w:val="0"/>
                <w:sz w:val="24"/>
              </w:rPr>
            </w:pPr>
            <w:r>
              <w:rPr>
                <w:rFonts w:hint="eastAsia" w:ascii="仿宋" w:hAnsi="仿宋" w:eastAsia="仿宋" w:cs="仿宋"/>
                <w:kern w:val="0"/>
                <w:sz w:val="24"/>
              </w:rPr>
              <w:t>0.04</w:t>
            </w:r>
          </w:p>
        </w:tc>
        <w:tc>
          <w:tcPr>
            <w:tcW w:w="655" w:type="dxa"/>
            <w:vAlign w:val="center"/>
          </w:tcPr>
          <w:p w14:paraId="42DC607F">
            <w:pPr>
              <w:spacing w:line="440" w:lineRule="atLeast"/>
              <w:jc w:val="center"/>
              <w:rPr>
                <w:rFonts w:ascii="仿宋" w:hAnsi="仿宋" w:eastAsia="仿宋" w:cs="仿宋"/>
                <w:kern w:val="0"/>
                <w:sz w:val="24"/>
              </w:rPr>
            </w:pPr>
            <w:r>
              <w:rPr>
                <w:rFonts w:hint="eastAsia" w:ascii="仿宋" w:hAnsi="仿宋" w:eastAsia="仿宋" w:cs="仿宋"/>
                <w:kern w:val="0"/>
                <w:sz w:val="24"/>
              </w:rPr>
              <w:t>0.04</w:t>
            </w:r>
          </w:p>
        </w:tc>
        <w:tc>
          <w:tcPr>
            <w:tcW w:w="655" w:type="dxa"/>
            <w:vAlign w:val="center"/>
          </w:tcPr>
          <w:p w14:paraId="5C5D1BE1">
            <w:pPr>
              <w:spacing w:line="440" w:lineRule="atLeast"/>
              <w:jc w:val="center"/>
              <w:rPr>
                <w:rFonts w:ascii="仿宋" w:hAnsi="仿宋" w:eastAsia="仿宋" w:cs="仿宋"/>
                <w:kern w:val="0"/>
                <w:sz w:val="24"/>
              </w:rPr>
            </w:pPr>
            <w:r>
              <w:rPr>
                <w:rFonts w:hint="eastAsia" w:ascii="仿宋" w:hAnsi="仿宋" w:eastAsia="仿宋" w:cs="仿宋"/>
                <w:kern w:val="0"/>
                <w:sz w:val="24"/>
              </w:rPr>
              <w:t>0.04</w:t>
            </w:r>
          </w:p>
        </w:tc>
        <w:tc>
          <w:tcPr>
            <w:tcW w:w="654" w:type="dxa"/>
            <w:vAlign w:val="center"/>
          </w:tcPr>
          <w:p w14:paraId="2492928A">
            <w:pPr>
              <w:spacing w:line="440" w:lineRule="atLeast"/>
              <w:jc w:val="center"/>
              <w:rPr>
                <w:rFonts w:ascii="仿宋" w:hAnsi="仿宋" w:eastAsia="仿宋" w:cs="仿宋"/>
                <w:kern w:val="0"/>
                <w:sz w:val="24"/>
              </w:rPr>
            </w:pPr>
            <w:r>
              <w:rPr>
                <w:rFonts w:hint="eastAsia" w:ascii="仿宋" w:hAnsi="仿宋" w:eastAsia="仿宋" w:cs="仿宋"/>
                <w:kern w:val="0"/>
                <w:sz w:val="24"/>
              </w:rPr>
              <w:t>0.05</w:t>
            </w:r>
          </w:p>
        </w:tc>
        <w:tc>
          <w:tcPr>
            <w:tcW w:w="654" w:type="dxa"/>
            <w:vAlign w:val="center"/>
          </w:tcPr>
          <w:p w14:paraId="43724DB2">
            <w:pPr>
              <w:spacing w:line="440" w:lineRule="atLeast"/>
              <w:jc w:val="center"/>
              <w:rPr>
                <w:rFonts w:ascii="仿宋" w:hAnsi="仿宋" w:eastAsia="仿宋" w:cs="仿宋"/>
                <w:kern w:val="0"/>
                <w:sz w:val="24"/>
              </w:rPr>
            </w:pPr>
            <w:r>
              <w:rPr>
                <w:rFonts w:hint="eastAsia" w:ascii="仿宋" w:hAnsi="仿宋" w:eastAsia="仿宋" w:cs="仿宋"/>
                <w:kern w:val="0"/>
                <w:sz w:val="24"/>
              </w:rPr>
              <w:t>0.05</w:t>
            </w:r>
          </w:p>
        </w:tc>
        <w:tc>
          <w:tcPr>
            <w:tcW w:w="654" w:type="dxa"/>
            <w:vAlign w:val="center"/>
          </w:tcPr>
          <w:p w14:paraId="3A68285C">
            <w:pPr>
              <w:spacing w:line="440" w:lineRule="atLeast"/>
              <w:jc w:val="center"/>
              <w:rPr>
                <w:rFonts w:ascii="仿宋" w:hAnsi="仿宋" w:eastAsia="仿宋" w:cs="仿宋"/>
                <w:kern w:val="0"/>
                <w:sz w:val="24"/>
              </w:rPr>
            </w:pPr>
            <w:r>
              <w:rPr>
                <w:rFonts w:hint="eastAsia" w:ascii="仿宋" w:hAnsi="仿宋" w:eastAsia="仿宋" w:cs="仿宋"/>
                <w:kern w:val="0"/>
                <w:sz w:val="24"/>
              </w:rPr>
              <w:t>0.06</w:t>
            </w:r>
          </w:p>
        </w:tc>
        <w:tc>
          <w:tcPr>
            <w:tcW w:w="654" w:type="dxa"/>
            <w:vAlign w:val="center"/>
          </w:tcPr>
          <w:p w14:paraId="06739D0A">
            <w:pPr>
              <w:spacing w:line="440" w:lineRule="atLeast"/>
              <w:jc w:val="center"/>
              <w:rPr>
                <w:rFonts w:ascii="仿宋" w:hAnsi="仿宋" w:eastAsia="仿宋" w:cs="仿宋"/>
                <w:kern w:val="0"/>
                <w:sz w:val="24"/>
              </w:rPr>
            </w:pPr>
            <w:r>
              <w:rPr>
                <w:rFonts w:hint="eastAsia" w:ascii="仿宋" w:hAnsi="仿宋" w:eastAsia="仿宋" w:cs="仿宋"/>
                <w:kern w:val="0"/>
                <w:sz w:val="24"/>
              </w:rPr>
              <w:t>0.07</w:t>
            </w:r>
          </w:p>
        </w:tc>
        <w:tc>
          <w:tcPr>
            <w:tcW w:w="654" w:type="dxa"/>
            <w:vAlign w:val="center"/>
          </w:tcPr>
          <w:p w14:paraId="2EE8FE03">
            <w:pPr>
              <w:spacing w:line="440" w:lineRule="atLeast"/>
              <w:jc w:val="center"/>
              <w:rPr>
                <w:rFonts w:ascii="仿宋" w:hAnsi="仿宋" w:eastAsia="仿宋" w:cs="仿宋"/>
                <w:kern w:val="0"/>
                <w:sz w:val="24"/>
              </w:rPr>
            </w:pPr>
            <w:r>
              <w:rPr>
                <w:rFonts w:hint="eastAsia" w:ascii="仿宋" w:hAnsi="仿宋" w:eastAsia="仿宋" w:cs="仿宋"/>
                <w:kern w:val="0"/>
                <w:sz w:val="24"/>
              </w:rPr>
              <w:t>0.07</w:t>
            </w:r>
          </w:p>
        </w:tc>
        <w:tc>
          <w:tcPr>
            <w:tcW w:w="654" w:type="dxa"/>
            <w:vAlign w:val="center"/>
          </w:tcPr>
          <w:p w14:paraId="1A8C3CFD">
            <w:pPr>
              <w:spacing w:line="440" w:lineRule="atLeast"/>
              <w:jc w:val="center"/>
              <w:rPr>
                <w:rFonts w:ascii="仿宋" w:hAnsi="仿宋" w:eastAsia="仿宋" w:cs="仿宋"/>
                <w:kern w:val="0"/>
                <w:sz w:val="24"/>
              </w:rPr>
            </w:pPr>
            <w:r>
              <w:rPr>
                <w:rFonts w:hint="eastAsia" w:ascii="仿宋" w:hAnsi="仿宋" w:eastAsia="仿宋" w:cs="仿宋"/>
                <w:kern w:val="0"/>
                <w:sz w:val="24"/>
              </w:rPr>
              <w:t>0.08</w:t>
            </w:r>
          </w:p>
        </w:tc>
        <w:tc>
          <w:tcPr>
            <w:tcW w:w="654" w:type="dxa"/>
            <w:vAlign w:val="center"/>
          </w:tcPr>
          <w:p w14:paraId="025B40E0">
            <w:pPr>
              <w:spacing w:line="440" w:lineRule="atLeast"/>
              <w:jc w:val="center"/>
              <w:rPr>
                <w:rFonts w:ascii="仿宋" w:hAnsi="仿宋" w:eastAsia="仿宋" w:cs="仿宋"/>
                <w:kern w:val="0"/>
                <w:sz w:val="24"/>
              </w:rPr>
            </w:pPr>
            <w:r>
              <w:rPr>
                <w:rFonts w:hint="eastAsia" w:ascii="仿宋" w:hAnsi="仿宋" w:eastAsia="仿宋" w:cs="仿宋"/>
                <w:kern w:val="0"/>
                <w:sz w:val="24"/>
              </w:rPr>
              <w:t>0.09</w:t>
            </w:r>
          </w:p>
        </w:tc>
      </w:tr>
      <w:tr w14:paraId="29573C9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960" w:type="dxa"/>
            <w:vAlign w:val="center"/>
          </w:tcPr>
          <w:p w14:paraId="51D16ECE">
            <w:pPr>
              <w:spacing w:line="440" w:lineRule="atLeast"/>
              <w:jc w:val="left"/>
              <w:rPr>
                <w:rFonts w:ascii="仿宋" w:hAnsi="仿宋" w:eastAsia="仿宋" w:cs="仿宋"/>
                <w:b/>
                <w:kern w:val="0"/>
                <w:sz w:val="24"/>
              </w:rPr>
            </w:pPr>
            <w:r>
              <w:rPr>
                <w:rFonts w:hint="eastAsia" w:ascii="仿宋" w:hAnsi="仿宋" w:eastAsia="仿宋" w:cs="仿宋"/>
                <w:b/>
                <w:kern w:val="0"/>
                <w:sz w:val="24"/>
              </w:rPr>
              <w:t>已赚保费</w:t>
            </w:r>
          </w:p>
        </w:tc>
        <w:tc>
          <w:tcPr>
            <w:tcW w:w="657" w:type="dxa"/>
            <w:vAlign w:val="center"/>
          </w:tcPr>
          <w:p w14:paraId="6AA0BF9D">
            <w:pPr>
              <w:spacing w:line="440" w:lineRule="atLeast"/>
              <w:jc w:val="center"/>
              <w:rPr>
                <w:rFonts w:ascii="仿宋" w:hAnsi="仿宋" w:eastAsia="仿宋" w:cs="仿宋"/>
                <w:b/>
                <w:kern w:val="0"/>
                <w:sz w:val="24"/>
              </w:rPr>
            </w:pPr>
            <w:r>
              <w:rPr>
                <w:rFonts w:hint="eastAsia" w:ascii="仿宋" w:hAnsi="仿宋" w:eastAsia="仿宋" w:cs="仿宋"/>
                <w:b/>
                <w:kern w:val="0"/>
                <w:sz w:val="24"/>
              </w:rPr>
              <w:t>10.35</w:t>
            </w:r>
          </w:p>
        </w:tc>
        <w:tc>
          <w:tcPr>
            <w:tcW w:w="657" w:type="dxa"/>
            <w:vAlign w:val="center"/>
          </w:tcPr>
          <w:p w14:paraId="634A2B23">
            <w:pPr>
              <w:spacing w:line="440" w:lineRule="atLeast"/>
              <w:jc w:val="center"/>
              <w:rPr>
                <w:rFonts w:ascii="仿宋" w:hAnsi="仿宋" w:eastAsia="仿宋" w:cs="仿宋"/>
                <w:b/>
                <w:kern w:val="0"/>
                <w:sz w:val="24"/>
              </w:rPr>
            </w:pPr>
            <w:r>
              <w:rPr>
                <w:rFonts w:hint="eastAsia" w:ascii="仿宋" w:hAnsi="仿宋" w:eastAsia="仿宋" w:cs="仿宋"/>
                <w:b/>
                <w:kern w:val="0"/>
                <w:sz w:val="24"/>
              </w:rPr>
              <w:t>15.64</w:t>
            </w:r>
          </w:p>
        </w:tc>
        <w:tc>
          <w:tcPr>
            <w:tcW w:w="655" w:type="dxa"/>
            <w:vAlign w:val="center"/>
          </w:tcPr>
          <w:p w14:paraId="5A468B94">
            <w:pPr>
              <w:spacing w:line="440" w:lineRule="atLeast"/>
              <w:jc w:val="center"/>
              <w:rPr>
                <w:rFonts w:ascii="仿宋" w:hAnsi="仿宋" w:eastAsia="仿宋" w:cs="仿宋"/>
                <w:b/>
                <w:kern w:val="0"/>
                <w:sz w:val="24"/>
              </w:rPr>
            </w:pPr>
            <w:r>
              <w:rPr>
                <w:rFonts w:hint="eastAsia" w:ascii="仿宋" w:hAnsi="仿宋" w:eastAsia="仿宋" w:cs="仿宋"/>
                <w:b/>
                <w:kern w:val="0"/>
                <w:sz w:val="24"/>
              </w:rPr>
              <w:t>21.89</w:t>
            </w:r>
          </w:p>
        </w:tc>
        <w:tc>
          <w:tcPr>
            <w:tcW w:w="655" w:type="dxa"/>
            <w:vAlign w:val="center"/>
          </w:tcPr>
          <w:p w14:paraId="5E2A7F24">
            <w:pPr>
              <w:spacing w:line="440" w:lineRule="atLeast"/>
              <w:jc w:val="center"/>
              <w:rPr>
                <w:rFonts w:ascii="仿宋" w:hAnsi="仿宋" w:eastAsia="仿宋" w:cs="仿宋"/>
                <w:b/>
                <w:kern w:val="0"/>
                <w:sz w:val="24"/>
              </w:rPr>
            </w:pPr>
            <w:r>
              <w:rPr>
                <w:rFonts w:hint="eastAsia" w:ascii="仿宋" w:hAnsi="仿宋" w:eastAsia="仿宋" w:cs="仿宋"/>
                <w:b/>
                <w:kern w:val="0"/>
                <w:sz w:val="24"/>
              </w:rPr>
              <w:t>27.83</w:t>
            </w:r>
          </w:p>
        </w:tc>
        <w:tc>
          <w:tcPr>
            <w:tcW w:w="654" w:type="dxa"/>
            <w:vAlign w:val="center"/>
          </w:tcPr>
          <w:p w14:paraId="39ADA0D1">
            <w:pPr>
              <w:spacing w:line="440" w:lineRule="atLeast"/>
              <w:jc w:val="center"/>
              <w:rPr>
                <w:rFonts w:ascii="仿宋" w:hAnsi="仿宋" w:eastAsia="仿宋" w:cs="仿宋"/>
                <w:b/>
                <w:kern w:val="0"/>
                <w:sz w:val="24"/>
              </w:rPr>
            </w:pPr>
            <w:r>
              <w:rPr>
                <w:rFonts w:hint="eastAsia" w:ascii="仿宋" w:hAnsi="仿宋" w:eastAsia="仿宋" w:cs="仿宋"/>
                <w:b/>
                <w:kern w:val="0"/>
                <w:sz w:val="24"/>
              </w:rPr>
              <w:t>34.08</w:t>
            </w:r>
          </w:p>
        </w:tc>
        <w:tc>
          <w:tcPr>
            <w:tcW w:w="654" w:type="dxa"/>
            <w:vAlign w:val="center"/>
          </w:tcPr>
          <w:p w14:paraId="1485AD2A">
            <w:pPr>
              <w:spacing w:line="440" w:lineRule="atLeast"/>
              <w:jc w:val="center"/>
              <w:rPr>
                <w:rFonts w:ascii="仿宋" w:hAnsi="仿宋" w:eastAsia="仿宋" w:cs="仿宋"/>
                <w:b/>
                <w:kern w:val="0"/>
                <w:sz w:val="24"/>
              </w:rPr>
            </w:pPr>
            <w:r>
              <w:rPr>
                <w:rFonts w:hint="eastAsia" w:ascii="仿宋" w:hAnsi="仿宋" w:eastAsia="仿宋" w:cs="仿宋"/>
                <w:b/>
                <w:kern w:val="0"/>
                <w:sz w:val="24"/>
              </w:rPr>
              <w:t>39.98</w:t>
            </w:r>
          </w:p>
        </w:tc>
        <w:tc>
          <w:tcPr>
            <w:tcW w:w="654" w:type="dxa"/>
            <w:vAlign w:val="center"/>
          </w:tcPr>
          <w:p w14:paraId="3C9C1438">
            <w:pPr>
              <w:spacing w:line="440" w:lineRule="atLeast"/>
              <w:jc w:val="center"/>
              <w:rPr>
                <w:rFonts w:ascii="仿宋" w:hAnsi="仿宋" w:eastAsia="仿宋" w:cs="仿宋"/>
                <w:b/>
                <w:kern w:val="0"/>
                <w:sz w:val="24"/>
              </w:rPr>
            </w:pPr>
            <w:r>
              <w:rPr>
                <w:rFonts w:hint="eastAsia" w:ascii="仿宋" w:hAnsi="仿宋" w:eastAsia="仿宋" w:cs="仿宋"/>
                <w:b/>
                <w:kern w:val="0"/>
                <w:sz w:val="24"/>
              </w:rPr>
              <w:t>45.78</w:t>
            </w:r>
          </w:p>
        </w:tc>
        <w:tc>
          <w:tcPr>
            <w:tcW w:w="654" w:type="dxa"/>
            <w:vAlign w:val="center"/>
          </w:tcPr>
          <w:p w14:paraId="248EC33A">
            <w:pPr>
              <w:spacing w:line="440" w:lineRule="atLeast"/>
              <w:jc w:val="center"/>
              <w:rPr>
                <w:rFonts w:ascii="仿宋" w:hAnsi="仿宋" w:eastAsia="仿宋" w:cs="仿宋"/>
                <w:b/>
                <w:kern w:val="0"/>
                <w:sz w:val="24"/>
              </w:rPr>
            </w:pPr>
            <w:r>
              <w:rPr>
                <w:rFonts w:hint="eastAsia" w:ascii="仿宋" w:hAnsi="仿宋" w:eastAsia="仿宋" w:cs="仿宋"/>
                <w:b/>
                <w:kern w:val="0"/>
                <w:sz w:val="24"/>
              </w:rPr>
              <w:t>52.30</w:t>
            </w:r>
          </w:p>
        </w:tc>
        <w:tc>
          <w:tcPr>
            <w:tcW w:w="654" w:type="dxa"/>
            <w:vAlign w:val="center"/>
          </w:tcPr>
          <w:p w14:paraId="733CD660">
            <w:pPr>
              <w:spacing w:line="440" w:lineRule="atLeast"/>
              <w:jc w:val="center"/>
              <w:rPr>
                <w:rFonts w:ascii="仿宋" w:hAnsi="仿宋" w:eastAsia="仿宋" w:cs="仿宋"/>
                <w:b/>
                <w:kern w:val="0"/>
                <w:sz w:val="24"/>
              </w:rPr>
            </w:pPr>
            <w:r>
              <w:rPr>
                <w:rFonts w:hint="eastAsia" w:ascii="仿宋" w:hAnsi="仿宋" w:eastAsia="仿宋" w:cs="仿宋"/>
                <w:b/>
                <w:kern w:val="0"/>
                <w:sz w:val="24"/>
              </w:rPr>
              <w:t>59.87</w:t>
            </w:r>
          </w:p>
        </w:tc>
        <w:tc>
          <w:tcPr>
            <w:tcW w:w="654" w:type="dxa"/>
            <w:vAlign w:val="center"/>
          </w:tcPr>
          <w:p w14:paraId="44FF374E">
            <w:pPr>
              <w:spacing w:line="440" w:lineRule="atLeast"/>
              <w:jc w:val="center"/>
              <w:rPr>
                <w:rFonts w:ascii="仿宋" w:hAnsi="仿宋" w:eastAsia="仿宋" w:cs="仿宋"/>
                <w:b/>
                <w:kern w:val="0"/>
                <w:sz w:val="24"/>
              </w:rPr>
            </w:pPr>
            <w:r>
              <w:rPr>
                <w:rFonts w:hint="eastAsia" w:ascii="仿宋" w:hAnsi="仿宋" w:eastAsia="仿宋" w:cs="仿宋"/>
                <w:b/>
                <w:kern w:val="0"/>
                <w:sz w:val="24"/>
              </w:rPr>
              <w:t>66.31</w:t>
            </w:r>
          </w:p>
        </w:tc>
        <w:tc>
          <w:tcPr>
            <w:tcW w:w="654" w:type="dxa"/>
            <w:vAlign w:val="center"/>
          </w:tcPr>
          <w:p w14:paraId="1C0C8D47">
            <w:pPr>
              <w:spacing w:line="440" w:lineRule="atLeast"/>
              <w:jc w:val="center"/>
              <w:rPr>
                <w:rFonts w:ascii="仿宋" w:hAnsi="仿宋" w:eastAsia="仿宋" w:cs="仿宋"/>
                <w:b/>
                <w:kern w:val="0"/>
                <w:sz w:val="24"/>
              </w:rPr>
            </w:pPr>
            <w:r>
              <w:rPr>
                <w:rFonts w:hint="eastAsia" w:ascii="仿宋" w:hAnsi="仿宋" w:eastAsia="仿宋" w:cs="仿宋"/>
                <w:b/>
                <w:kern w:val="0"/>
                <w:sz w:val="24"/>
              </w:rPr>
              <w:t>72.62</w:t>
            </w:r>
          </w:p>
        </w:tc>
      </w:tr>
    </w:tbl>
    <w:p w14:paraId="4C849970">
      <w:pPr>
        <w:shd w:val="clear" w:color="auto" w:fill="FFFFFF"/>
        <w:spacing w:line="440" w:lineRule="atLeast"/>
        <w:ind w:firstLine="482" w:firstLineChars="200"/>
        <w:rPr>
          <w:rFonts w:ascii="宋体" w:hAnsi="宋体" w:eastAsia="宋体" w:cs="宋体"/>
          <w:b/>
          <w:bCs/>
          <w:color w:val="000000"/>
          <w:kern w:val="0"/>
          <w:sz w:val="24"/>
          <w:shd w:val="clear" w:color="auto" w:fill="FFFFFF"/>
          <w:lang w:val="zh-TW" w:eastAsia="zh-TW"/>
        </w:rPr>
      </w:pPr>
      <w:r>
        <w:rPr>
          <w:rFonts w:hint="eastAsia" w:ascii="宋体" w:hAnsi="宋体" w:eastAsia="宋体" w:cs="宋体"/>
          <w:b/>
          <w:bCs/>
          <w:color w:val="000000"/>
          <w:kern w:val="0"/>
          <w:sz w:val="24"/>
          <w:shd w:val="clear" w:color="auto" w:fill="FFFFFF"/>
          <w:lang w:val="zh-TW" w:eastAsia="zh-TW"/>
        </w:rPr>
        <w:t>案例六：信托公司信托业务手续费及佣金收入的预测</w:t>
      </w:r>
    </w:p>
    <w:p w14:paraId="044236F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信托业务手续费及佣金收入=信托资产规模×手续费率</w:t>
      </w:r>
    </w:p>
    <w:p w14:paraId="756FECE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xx信托公司信托资产包括集合类信托、单一类信托、财产信托三种。根据对xx公司基准日前一期的三类信托资产的规模和手续费收入分析，评估基准日集合类信托、单一类信托、财产信托手续费率分别为1.6386%、0.1358%、0.3117%，各类信托业务手续费费率差距较大。因此，资产评估师对三类信托业务资产规模分别进行预测。</w:t>
      </w:r>
    </w:p>
    <w:p w14:paraId="08349FC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1、信托资产规模预测</w:t>
      </w:r>
    </w:p>
    <w:p w14:paraId="5CD1E05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对xx信托公司信托资产规模预测基于整个信托行业信托资产规模及xx信托公司的信托业务市场份额。</w:t>
      </w:r>
    </w:p>
    <w:p w14:paraId="5486FE2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（1）信托行业信托资产规模预测</w:t>
      </w:r>
    </w:p>
    <w:p w14:paraId="0B014E7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我们查阅了相关经济学研究文献，结合经济学相关原理，综合分析了对信托规模产生影响的相关因素，包括城乡居民储蓄余额、固定资产投资总额、社会融资总额、新增人民币贷款、货币供应量和利率七个变量，我们选取了从200x年-201x年的七个变量的年度数据，除信托规模数据取自《信托业发展报告20xx》外，其余数据均取自wind数据，根据数据计量分析结果，新增人民币贷款、货币供应量和利率三个变量，并没有表现出与信托规模的良好的长期均衡关系，故我们将其剔除。最后通过计量我们建立了信托规模、城乡居民储蓄余额、固定资产投资总额和社会融资总额四个时间序列的协整方程模型。方程如下：</w:t>
      </w:r>
    </w:p>
    <w:p w14:paraId="40241F0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LNTS=3.126LNFI　-3.193LNRS　+1.017LNSCx</w:t>
      </w:r>
    </w:p>
    <w:p w14:paraId="1DA5BBD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其中，LNTS为信托规模，LNFI为固定资产投资总额，LNRS为城乡居民储蓄余额，LNSCx为社会融资总额，这里的社会融资总额是剔除了社会融资总额统计中的信托贷款额度的修正数据。</w:t>
      </w:r>
    </w:p>
    <w:p w14:paraId="5D97C49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从方程中我们可以看到，固定资产投资总额、社会融资总额与信托规模表现出正相关关系。信托融资中很大一部分都投向了固定资产投资，从统计数据来看，信托资产投向基础产业和房地产业的总和达到了信托总规模30%以上，固定资产投资对信托规模产生较大影响，和计量分析结果一致。而剔除了信托贷款统计的社会融资总额与信托规模也表现出了正相关关系，虽然信托和其他方式的社会融资存在一定程度的替代效应，但社会融资总额的增长表现出了社会对融资总体的需求，当这种需求远大于融资方式的替代效应时，就表现出了社会融资总额与信托规模的同步增长态势，但这种影响却远没有固定资产投资的大，从计量结果来看，只有固定资产投资影响的三分之一。</w:t>
      </w:r>
    </w:p>
    <w:p w14:paraId="6AD4196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从计量结果来看，城乡居民储蓄余额与信托规模表现出了负相关关系，因为对信托产品的购买直接促使了存款的下降。</w:t>
      </w:r>
    </w:p>
    <w:p w14:paraId="5144C0A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从中国宏观形势来看，过去那种过度依靠投资拉动、信贷拉动的粗放式经济增长模式会逐步转变，过去货币供应量的大幅增长也将会放缓，李克强总理也强调了“控制增量、用好存量”的指导方针。过去城乡居民储蓄余额表现出了平稳增长，过去10年的平均增速在16.28%，即使未来货币供应量增速放缓的情况下，考虑到国家对提高居民收入的政策导向，城乡居民储蓄余额预计也将保持这一增速。固定资产投资总额过去10年一直保持快速增长，平均增速达到27%，但在地方政府债务高企、增长模式急需转变的情况下，这一增速很难维持，预计未来增速将会维持在20%左右的水平上。信托业近年来发展较为迅速，目前整体规模已经超越保险业，成为金融行业中即银行业之后规模最大的行业，但在整体规模达到一定量级后其增速也会逐步放缓。纵观信托业的发展历程来看，信托行业的发展也并非一帆风顺，中国信托业共经历了5次大的政策调整，从历史数据来看，大的调整周期一般在两年左右，在调整期内信托资产整体规模会有10%-20%的下降。考虑到国家对影子银行管控的加强，以及对地方政府融资平台的控制，预计信托业在经历了过去10年的高速发展后，将很快迎来一次大的调整。</w:t>
      </w:r>
    </w:p>
    <w:p w14:paraId="39050E7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结合经济发展规律，根据计量模型分析，我们预计未来信托业信托规模未来5年增速如下表所示。</w:t>
      </w:r>
    </w:p>
    <w:p w14:paraId="7C9441F7">
      <w:pPr>
        <w:spacing w:line="440" w:lineRule="atLeast"/>
        <w:jc w:val="center"/>
        <w:rPr>
          <w:rFonts w:ascii="仿宋" w:hAnsi="仿宋" w:eastAsia="仿宋" w:cs="仿宋"/>
          <w:sz w:val="24"/>
        </w:rPr>
      </w:pPr>
      <w:r>
        <w:rPr>
          <w:rFonts w:hint="eastAsia" w:ascii="仿宋" w:hAnsi="仿宋" w:eastAsia="仿宋" w:cs="仿宋"/>
          <w:sz w:val="24"/>
        </w:rPr>
        <w:t>未来信托业信托规模增速</w:t>
      </w:r>
    </w:p>
    <w:tbl>
      <w:tblPr>
        <w:tblStyle w:val="24"/>
        <w:tblW w:w="91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7"/>
        <w:gridCol w:w="1391"/>
        <w:gridCol w:w="1504"/>
        <w:gridCol w:w="1391"/>
        <w:gridCol w:w="1391"/>
        <w:gridCol w:w="1224"/>
        <w:gridCol w:w="1224"/>
      </w:tblGrid>
      <w:tr w14:paraId="762FF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vAlign w:val="center"/>
          </w:tcPr>
          <w:p w14:paraId="4CFEFDC8">
            <w:pPr>
              <w:spacing w:line="440" w:lineRule="atLeast"/>
              <w:jc w:val="center"/>
              <w:rPr>
                <w:rFonts w:ascii="仿宋" w:hAnsi="仿宋" w:eastAsia="仿宋" w:cs="仿宋"/>
                <w:b/>
                <w:sz w:val="24"/>
              </w:rPr>
            </w:pPr>
            <w:r>
              <w:rPr>
                <w:rFonts w:hint="eastAsia" w:ascii="仿宋" w:hAnsi="仿宋" w:eastAsia="仿宋" w:cs="仿宋"/>
                <w:b/>
                <w:sz w:val="24"/>
              </w:rPr>
              <w:t>年份</w:t>
            </w:r>
          </w:p>
        </w:tc>
        <w:tc>
          <w:tcPr>
            <w:tcW w:w="1391" w:type="dxa"/>
            <w:vAlign w:val="center"/>
          </w:tcPr>
          <w:p w14:paraId="6892EE3A">
            <w:pPr>
              <w:spacing w:line="440" w:lineRule="atLeast"/>
              <w:jc w:val="center"/>
              <w:rPr>
                <w:rFonts w:ascii="仿宋" w:hAnsi="仿宋" w:eastAsia="仿宋" w:cs="仿宋"/>
                <w:b/>
                <w:sz w:val="24"/>
              </w:rPr>
            </w:pPr>
            <w:r>
              <w:rPr>
                <w:rFonts w:hint="eastAsia" w:ascii="仿宋" w:hAnsi="仿宋" w:eastAsia="仿宋" w:cs="仿宋"/>
                <w:b/>
                <w:sz w:val="24"/>
              </w:rPr>
              <w:t>20x3</w:t>
            </w:r>
          </w:p>
        </w:tc>
        <w:tc>
          <w:tcPr>
            <w:tcW w:w="1504" w:type="dxa"/>
            <w:vAlign w:val="center"/>
          </w:tcPr>
          <w:p w14:paraId="277C88FE">
            <w:pPr>
              <w:spacing w:line="440" w:lineRule="atLeast"/>
              <w:jc w:val="center"/>
              <w:rPr>
                <w:rFonts w:ascii="仿宋" w:hAnsi="仿宋" w:eastAsia="仿宋" w:cs="仿宋"/>
                <w:b/>
                <w:sz w:val="24"/>
              </w:rPr>
            </w:pPr>
            <w:r>
              <w:rPr>
                <w:rFonts w:hint="eastAsia" w:ascii="仿宋" w:hAnsi="仿宋" w:eastAsia="仿宋" w:cs="仿宋"/>
                <w:b/>
                <w:sz w:val="24"/>
              </w:rPr>
              <w:t>20x4</w:t>
            </w:r>
          </w:p>
        </w:tc>
        <w:tc>
          <w:tcPr>
            <w:tcW w:w="1391" w:type="dxa"/>
            <w:vAlign w:val="center"/>
          </w:tcPr>
          <w:p w14:paraId="0E1C244F">
            <w:pPr>
              <w:spacing w:line="440" w:lineRule="atLeast"/>
              <w:jc w:val="center"/>
              <w:rPr>
                <w:rFonts w:ascii="仿宋" w:hAnsi="仿宋" w:eastAsia="仿宋" w:cs="仿宋"/>
                <w:b/>
                <w:sz w:val="24"/>
              </w:rPr>
            </w:pPr>
            <w:r>
              <w:rPr>
                <w:rFonts w:hint="eastAsia" w:ascii="仿宋" w:hAnsi="仿宋" w:eastAsia="仿宋" w:cs="仿宋"/>
                <w:b/>
                <w:sz w:val="24"/>
              </w:rPr>
              <w:t>20x5</w:t>
            </w:r>
          </w:p>
        </w:tc>
        <w:tc>
          <w:tcPr>
            <w:tcW w:w="1391" w:type="dxa"/>
            <w:vAlign w:val="center"/>
          </w:tcPr>
          <w:p w14:paraId="4D18221C">
            <w:pPr>
              <w:spacing w:line="440" w:lineRule="atLeast"/>
              <w:jc w:val="center"/>
              <w:rPr>
                <w:rFonts w:ascii="仿宋" w:hAnsi="仿宋" w:eastAsia="仿宋" w:cs="仿宋"/>
                <w:b/>
                <w:sz w:val="24"/>
              </w:rPr>
            </w:pPr>
            <w:r>
              <w:rPr>
                <w:rFonts w:hint="eastAsia" w:ascii="仿宋" w:hAnsi="仿宋" w:eastAsia="仿宋" w:cs="仿宋"/>
                <w:b/>
                <w:sz w:val="24"/>
              </w:rPr>
              <w:t>20x6</w:t>
            </w:r>
          </w:p>
        </w:tc>
        <w:tc>
          <w:tcPr>
            <w:tcW w:w="1224" w:type="dxa"/>
            <w:vAlign w:val="center"/>
          </w:tcPr>
          <w:p w14:paraId="3BD6AD0A">
            <w:pPr>
              <w:spacing w:line="440" w:lineRule="atLeast"/>
              <w:jc w:val="center"/>
              <w:rPr>
                <w:rFonts w:ascii="仿宋" w:hAnsi="仿宋" w:eastAsia="仿宋" w:cs="仿宋"/>
                <w:b/>
                <w:sz w:val="24"/>
              </w:rPr>
            </w:pPr>
            <w:r>
              <w:rPr>
                <w:rFonts w:hint="eastAsia" w:ascii="仿宋" w:hAnsi="仿宋" w:eastAsia="仿宋" w:cs="仿宋"/>
                <w:b/>
                <w:sz w:val="24"/>
              </w:rPr>
              <w:t>20x7</w:t>
            </w:r>
          </w:p>
        </w:tc>
        <w:tc>
          <w:tcPr>
            <w:tcW w:w="1224" w:type="dxa"/>
            <w:vAlign w:val="center"/>
          </w:tcPr>
          <w:p w14:paraId="02167EA1">
            <w:pPr>
              <w:spacing w:line="440" w:lineRule="atLeast"/>
              <w:jc w:val="center"/>
              <w:rPr>
                <w:rFonts w:ascii="仿宋" w:hAnsi="仿宋" w:eastAsia="仿宋" w:cs="仿宋"/>
                <w:b/>
                <w:sz w:val="24"/>
              </w:rPr>
            </w:pPr>
            <w:r>
              <w:rPr>
                <w:rFonts w:hint="eastAsia" w:ascii="仿宋" w:hAnsi="仿宋" w:eastAsia="仿宋" w:cs="仿宋"/>
                <w:b/>
                <w:sz w:val="24"/>
              </w:rPr>
              <w:t>20x8</w:t>
            </w:r>
          </w:p>
        </w:tc>
      </w:tr>
      <w:tr w14:paraId="36FAD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vAlign w:val="center"/>
          </w:tcPr>
          <w:p w14:paraId="4798B83E">
            <w:pPr>
              <w:spacing w:line="440" w:lineRule="atLeast"/>
              <w:jc w:val="center"/>
              <w:rPr>
                <w:rFonts w:ascii="仿宋" w:hAnsi="仿宋" w:eastAsia="仿宋" w:cs="仿宋"/>
                <w:b/>
                <w:sz w:val="24"/>
              </w:rPr>
            </w:pPr>
            <w:r>
              <w:rPr>
                <w:rFonts w:hint="eastAsia" w:ascii="仿宋" w:hAnsi="仿宋" w:eastAsia="仿宋" w:cs="仿宋"/>
                <w:b/>
                <w:sz w:val="24"/>
              </w:rPr>
              <w:t>增速</w:t>
            </w:r>
          </w:p>
        </w:tc>
        <w:tc>
          <w:tcPr>
            <w:tcW w:w="1391" w:type="dxa"/>
            <w:vAlign w:val="center"/>
          </w:tcPr>
          <w:p w14:paraId="3A11E969">
            <w:pPr>
              <w:spacing w:line="440" w:lineRule="atLeast"/>
              <w:jc w:val="center"/>
              <w:rPr>
                <w:rFonts w:ascii="仿宋" w:hAnsi="仿宋" w:eastAsia="仿宋" w:cs="仿宋"/>
                <w:sz w:val="24"/>
              </w:rPr>
            </w:pPr>
            <w:r>
              <w:rPr>
                <w:rFonts w:hint="eastAsia" w:ascii="仿宋" w:hAnsi="仿宋" w:eastAsia="仿宋" w:cs="仿宋"/>
                <w:sz w:val="24"/>
              </w:rPr>
              <w:t>27.41%</w:t>
            </w:r>
          </w:p>
        </w:tc>
        <w:tc>
          <w:tcPr>
            <w:tcW w:w="1504" w:type="dxa"/>
            <w:vAlign w:val="center"/>
          </w:tcPr>
          <w:p w14:paraId="108DFBAD">
            <w:pPr>
              <w:spacing w:line="440" w:lineRule="atLeast"/>
              <w:jc w:val="center"/>
              <w:rPr>
                <w:rFonts w:ascii="仿宋" w:hAnsi="仿宋" w:eastAsia="仿宋" w:cs="仿宋"/>
                <w:sz w:val="24"/>
              </w:rPr>
            </w:pPr>
            <w:r>
              <w:rPr>
                <w:rFonts w:hint="eastAsia" w:ascii="仿宋" w:hAnsi="仿宋" w:eastAsia="仿宋" w:cs="仿宋"/>
                <w:sz w:val="24"/>
              </w:rPr>
              <w:t>-13.95%</w:t>
            </w:r>
          </w:p>
        </w:tc>
        <w:tc>
          <w:tcPr>
            <w:tcW w:w="1391" w:type="dxa"/>
            <w:vAlign w:val="center"/>
          </w:tcPr>
          <w:p w14:paraId="46037B16">
            <w:pPr>
              <w:spacing w:line="440" w:lineRule="atLeast"/>
              <w:jc w:val="center"/>
              <w:rPr>
                <w:rFonts w:ascii="仿宋" w:hAnsi="仿宋" w:eastAsia="仿宋" w:cs="仿宋"/>
                <w:sz w:val="24"/>
              </w:rPr>
            </w:pPr>
            <w:r>
              <w:rPr>
                <w:rFonts w:hint="eastAsia" w:ascii="仿宋" w:hAnsi="仿宋" w:eastAsia="仿宋" w:cs="仿宋"/>
                <w:sz w:val="24"/>
              </w:rPr>
              <w:t>21.47%</w:t>
            </w:r>
          </w:p>
        </w:tc>
        <w:tc>
          <w:tcPr>
            <w:tcW w:w="1391" w:type="dxa"/>
            <w:vAlign w:val="center"/>
          </w:tcPr>
          <w:p w14:paraId="26837017">
            <w:pPr>
              <w:spacing w:line="440" w:lineRule="atLeast"/>
              <w:jc w:val="center"/>
              <w:rPr>
                <w:rFonts w:ascii="仿宋" w:hAnsi="仿宋" w:eastAsia="仿宋" w:cs="仿宋"/>
                <w:sz w:val="24"/>
              </w:rPr>
            </w:pPr>
            <w:r>
              <w:rPr>
                <w:rFonts w:hint="eastAsia" w:ascii="仿宋" w:hAnsi="仿宋" w:eastAsia="仿宋" w:cs="仿宋"/>
                <w:sz w:val="24"/>
              </w:rPr>
              <w:t>14.16%</w:t>
            </w:r>
          </w:p>
        </w:tc>
        <w:tc>
          <w:tcPr>
            <w:tcW w:w="1224" w:type="dxa"/>
            <w:vAlign w:val="center"/>
          </w:tcPr>
          <w:p w14:paraId="2128E62F">
            <w:pPr>
              <w:spacing w:line="440" w:lineRule="atLeast"/>
              <w:jc w:val="center"/>
              <w:rPr>
                <w:rFonts w:ascii="仿宋" w:hAnsi="仿宋" w:eastAsia="仿宋" w:cs="仿宋"/>
                <w:sz w:val="24"/>
              </w:rPr>
            </w:pPr>
            <w:r>
              <w:rPr>
                <w:rFonts w:hint="eastAsia" w:ascii="仿宋" w:hAnsi="仿宋" w:eastAsia="仿宋" w:cs="仿宋"/>
                <w:sz w:val="24"/>
              </w:rPr>
              <w:t>3.97%</w:t>
            </w:r>
          </w:p>
        </w:tc>
        <w:tc>
          <w:tcPr>
            <w:tcW w:w="1224" w:type="dxa"/>
            <w:vAlign w:val="center"/>
          </w:tcPr>
          <w:p w14:paraId="011DBECD">
            <w:pPr>
              <w:spacing w:line="440" w:lineRule="atLeast"/>
              <w:jc w:val="center"/>
              <w:rPr>
                <w:rFonts w:ascii="仿宋" w:hAnsi="仿宋" w:eastAsia="仿宋" w:cs="仿宋"/>
                <w:sz w:val="24"/>
              </w:rPr>
            </w:pPr>
            <w:r>
              <w:rPr>
                <w:rFonts w:hint="eastAsia" w:ascii="仿宋" w:hAnsi="仿宋" w:eastAsia="仿宋" w:cs="仿宋"/>
                <w:sz w:val="24"/>
              </w:rPr>
              <w:t>1.98%</w:t>
            </w:r>
          </w:p>
        </w:tc>
      </w:tr>
    </w:tbl>
    <w:p w14:paraId="176CAB29">
      <w:pPr>
        <w:spacing w:line="440" w:lineRule="atLeast"/>
        <w:ind w:firstLine="480" w:firstLineChars="200"/>
        <w:rPr>
          <w:rFonts w:ascii="仿宋" w:hAnsi="仿宋" w:eastAsia="仿宋" w:cs="仿宋"/>
          <w:sz w:val="24"/>
        </w:rPr>
      </w:pPr>
    </w:p>
    <w:p w14:paraId="41DF6B7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（2）xx信托公司信托资产规模预测</w:t>
      </w:r>
    </w:p>
    <w:p w14:paraId="7088900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我们对xx信托公司业务规划访谈了解到，xx信托公司信托资产在预测期将保持目前类型结构比例不变，且市场份额规划目标为保持评估基准日的水平。对xx信托未来年度信托规模预测数据如下表所示。</w:t>
      </w:r>
    </w:p>
    <w:tbl>
      <w:tblPr>
        <w:tblStyle w:val="24"/>
        <w:tblW w:w="9162" w:type="dxa"/>
        <w:tblInd w:w="0" w:type="dxa"/>
        <w:tblLayout w:type="fixed"/>
        <w:tblCellMar>
          <w:top w:w="0" w:type="dxa"/>
          <w:left w:w="108" w:type="dxa"/>
          <w:bottom w:w="0" w:type="dxa"/>
          <w:right w:w="108" w:type="dxa"/>
        </w:tblCellMar>
      </w:tblPr>
      <w:tblGrid>
        <w:gridCol w:w="897"/>
        <w:gridCol w:w="1653"/>
        <w:gridCol w:w="1653"/>
        <w:gridCol w:w="1653"/>
        <w:gridCol w:w="1653"/>
        <w:gridCol w:w="1653"/>
      </w:tblGrid>
      <w:tr w14:paraId="01D89A6B">
        <w:tblPrEx>
          <w:tblCellMar>
            <w:top w:w="0" w:type="dxa"/>
            <w:left w:w="108" w:type="dxa"/>
            <w:bottom w:w="0" w:type="dxa"/>
            <w:right w:w="108" w:type="dxa"/>
          </w:tblCellMar>
        </w:tblPrEx>
        <w:trPr>
          <w:trHeight w:val="240" w:hRule="atLeast"/>
          <w:tblHeader/>
        </w:trPr>
        <w:tc>
          <w:tcPr>
            <w:tcW w:w="897" w:type="dxa"/>
            <w:tcBorders>
              <w:top w:val="single" w:color="auto" w:sz="4" w:space="0"/>
              <w:left w:val="single" w:color="auto" w:sz="4" w:space="0"/>
              <w:bottom w:val="single" w:color="auto" w:sz="4" w:space="0"/>
              <w:right w:val="single" w:color="auto" w:sz="4" w:space="0"/>
            </w:tcBorders>
            <w:vAlign w:val="center"/>
          </w:tcPr>
          <w:p w14:paraId="3A66C7F2">
            <w:pPr>
              <w:spacing w:line="440" w:lineRule="atLeast"/>
              <w:jc w:val="center"/>
              <w:rPr>
                <w:rFonts w:ascii="仿宋" w:hAnsi="仿宋" w:eastAsia="仿宋" w:cs="仿宋"/>
                <w:b/>
                <w:kern w:val="0"/>
                <w:sz w:val="24"/>
              </w:rPr>
            </w:pPr>
            <w:r>
              <w:rPr>
                <w:rFonts w:hint="eastAsia" w:ascii="仿宋" w:hAnsi="仿宋" w:eastAsia="仿宋" w:cs="仿宋"/>
                <w:b/>
                <w:kern w:val="0"/>
                <w:sz w:val="24"/>
              </w:rPr>
              <w:t>年份</w:t>
            </w:r>
          </w:p>
        </w:tc>
        <w:tc>
          <w:tcPr>
            <w:tcW w:w="1653" w:type="dxa"/>
            <w:tcBorders>
              <w:top w:val="single" w:color="auto" w:sz="4" w:space="0"/>
              <w:left w:val="nil"/>
              <w:bottom w:val="single" w:color="auto" w:sz="4" w:space="0"/>
              <w:right w:val="single" w:color="auto" w:sz="4" w:space="0"/>
            </w:tcBorders>
            <w:vAlign w:val="center"/>
          </w:tcPr>
          <w:p w14:paraId="4FB50993">
            <w:pPr>
              <w:spacing w:line="440" w:lineRule="atLeast"/>
              <w:jc w:val="center"/>
              <w:rPr>
                <w:rFonts w:ascii="仿宋" w:hAnsi="仿宋" w:eastAsia="仿宋" w:cs="仿宋"/>
                <w:b/>
                <w:kern w:val="0"/>
                <w:sz w:val="24"/>
              </w:rPr>
            </w:pPr>
            <w:r>
              <w:rPr>
                <w:rFonts w:hint="eastAsia" w:ascii="仿宋" w:hAnsi="仿宋" w:eastAsia="仿宋" w:cs="仿宋"/>
                <w:b/>
                <w:kern w:val="0"/>
                <w:sz w:val="24"/>
              </w:rPr>
              <w:t>20x4年</w:t>
            </w:r>
          </w:p>
        </w:tc>
        <w:tc>
          <w:tcPr>
            <w:tcW w:w="1653" w:type="dxa"/>
            <w:tcBorders>
              <w:top w:val="single" w:color="auto" w:sz="4" w:space="0"/>
              <w:left w:val="nil"/>
              <w:bottom w:val="single" w:color="auto" w:sz="4" w:space="0"/>
              <w:right w:val="single" w:color="auto" w:sz="4" w:space="0"/>
            </w:tcBorders>
            <w:vAlign w:val="center"/>
          </w:tcPr>
          <w:p w14:paraId="7B9B9BD9">
            <w:pPr>
              <w:spacing w:line="440" w:lineRule="atLeast"/>
              <w:jc w:val="center"/>
              <w:rPr>
                <w:rFonts w:ascii="仿宋" w:hAnsi="仿宋" w:eastAsia="仿宋" w:cs="仿宋"/>
                <w:b/>
                <w:kern w:val="0"/>
                <w:sz w:val="24"/>
              </w:rPr>
            </w:pPr>
            <w:r>
              <w:rPr>
                <w:rFonts w:hint="eastAsia" w:ascii="仿宋" w:hAnsi="仿宋" w:eastAsia="仿宋" w:cs="仿宋"/>
                <w:b/>
                <w:kern w:val="0"/>
                <w:sz w:val="24"/>
              </w:rPr>
              <w:t>20x5年</w:t>
            </w:r>
          </w:p>
        </w:tc>
        <w:tc>
          <w:tcPr>
            <w:tcW w:w="1653" w:type="dxa"/>
            <w:tcBorders>
              <w:top w:val="single" w:color="auto" w:sz="4" w:space="0"/>
              <w:left w:val="nil"/>
              <w:bottom w:val="single" w:color="auto" w:sz="4" w:space="0"/>
              <w:right w:val="single" w:color="auto" w:sz="4" w:space="0"/>
            </w:tcBorders>
            <w:vAlign w:val="center"/>
          </w:tcPr>
          <w:p w14:paraId="53427F26">
            <w:pPr>
              <w:spacing w:line="440" w:lineRule="atLeast"/>
              <w:jc w:val="center"/>
              <w:rPr>
                <w:rFonts w:ascii="仿宋" w:hAnsi="仿宋" w:eastAsia="仿宋" w:cs="仿宋"/>
                <w:b/>
                <w:kern w:val="0"/>
                <w:sz w:val="24"/>
              </w:rPr>
            </w:pPr>
            <w:r>
              <w:rPr>
                <w:rFonts w:hint="eastAsia" w:ascii="仿宋" w:hAnsi="仿宋" w:eastAsia="仿宋" w:cs="仿宋"/>
                <w:b/>
                <w:kern w:val="0"/>
                <w:sz w:val="24"/>
              </w:rPr>
              <w:t>20x6年</w:t>
            </w:r>
          </w:p>
        </w:tc>
        <w:tc>
          <w:tcPr>
            <w:tcW w:w="1653" w:type="dxa"/>
            <w:tcBorders>
              <w:top w:val="single" w:color="auto" w:sz="4" w:space="0"/>
              <w:left w:val="nil"/>
              <w:bottom w:val="single" w:color="auto" w:sz="4" w:space="0"/>
              <w:right w:val="single" w:color="auto" w:sz="4" w:space="0"/>
            </w:tcBorders>
            <w:vAlign w:val="center"/>
          </w:tcPr>
          <w:p w14:paraId="02DC8AD9">
            <w:pPr>
              <w:spacing w:line="440" w:lineRule="atLeast"/>
              <w:jc w:val="center"/>
              <w:rPr>
                <w:rFonts w:ascii="仿宋" w:hAnsi="仿宋" w:eastAsia="仿宋" w:cs="仿宋"/>
                <w:b/>
                <w:kern w:val="0"/>
                <w:sz w:val="24"/>
              </w:rPr>
            </w:pPr>
            <w:r>
              <w:rPr>
                <w:rFonts w:hint="eastAsia" w:ascii="仿宋" w:hAnsi="仿宋" w:eastAsia="仿宋" w:cs="仿宋"/>
                <w:b/>
                <w:kern w:val="0"/>
                <w:sz w:val="24"/>
              </w:rPr>
              <w:t>20x7年</w:t>
            </w:r>
          </w:p>
        </w:tc>
        <w:tc>
          <w:tcPr>
            <w:tcW w:w="1653" w:type="dxa"/>
            <w:tcBorders>
              <w:top w:val="single" w:color="auto" w:sz="4" w:space="0"/>
              <w:left w:val="nil"/>
              <w:bottom w:val="single" w:color="auto" w:sz="4" w:space="0"/>
              <w:right w:val="single" w:color="auto" w:sz="4" w:space="0"/>
            </w:tcBorders>
            <w:vAlign w:val="center"/>
          </w:tcPr>
          <w:p w14:paraId="275253F1">
            <w:pPr>
              <w:spacing w:line="440" w:lineRule="atLeast"/>
              <w:jc w:val="center"/>
              <w:rPr>
                <w:rFonts w:ascii="仿宋" w:hAnsi="仿宋" w:eastAsia="仿宋" w:cs="仿宋"/>
                <w:b/>
                <w:kern w:val="0"/>
                <w:sz w:val="24"/>
              </w:rPr>
            </w:pPr>
            <w:r>
              <w:rPr>
                <w:rFonts w:hint="eastAsia" w:ascii="仿宋" w:hAnsi="仿宋" w:eastAsia="仿宋" w:cs="仿宋"/>
                <w:b/>
                <w:kern w:val="0"/>
                <w:sz w:val="24"/>
              </w:rPr>
              <w:t>20x8年</w:t>
            </w:r>
          </w:p>
        </w:tc>
      </w:tr>
      <w:tr w14:paraId="6887CB11">
        <w:tblPrEx>
          <w:tblCellMar>
            <w:top w:w="0" w:type="dxa"/>
            <w:left w:w="108" w:type="dxa"/>
            <w:bottom w:w="0" w:type="dxa"/>
            <w:right w:w="108" w:type="dxa"/>
          </w:tblCellMar>
        </w:tblPrEx>
        <w:trPr>
          <w:trHeight w:val="240" w:hRule="atLeast"/>
        </w:trPr>
        <w:tc>
          <w:tcPr>
            <w:tcW w:w="897" w:type="dxa"/>
            <w:tcBorders>
              <w:top w:val="single" w:color="auto" w:sz="4" w:space="0"/>
              <w:left w:val="single" w:color="auto" w:sz="4" w:space="0"/>
              <w:bottom w:val="single" w:color="auto" w:sz="4" w:space="0"/>
              <w:right w:val="single" w:color="auto" w:sz="4" w:space="0"/>
            </w:tcBorders>
            <w:vAlign w:val="center"/>
          </w:tcPr>
          <w:p w14:paraId="1F017C39">
            <w:pPr>
              <w:spacing w:line="440" w:lineRule="atLeast"/>
              <w:jc w:val="center"/>
              <w:rPr>
                <w:rFonts w:ascii="仿宋" w:hAnsi="仿宋" w:eastAsia="仿宋" w:cs="仿宋"/>
                <w:b/>
                <w:kern w:val="0"/>
                <w:sz w:val="24"/>
              </w:rPr>
            </w:pPr>
            <w:r>
              <w:rPr>
                <w:rFonts w:hint="eastAsia" w:ascii="仿宋" w:hAnsi="仿宋" w:eastAsia="仿宋" w:cs="仿宋"/>
                <w:b/>
                <w:kern w:val="0"/>
                <w:sz w:val="24"/>
              </w:rPr>
              <w:t>集合类</w:t>
            </w:r>
          </w:p>
        </w:tc>
        <w:tc>
          <w:tcPr>
            <w:tcW w:w="1653" w:type="dxa"/>
            <w:tcBorders>
              <w:top w:val="single" w:color="auto" w:sz="4" w:space="0"/>
              <w:left w:val="nil"/>
              <w:bottom w:val="single" w:color="auto" w:sz="4" w:space="0"/>
              <w:right w:val="single" w:color="auto" w:sz="4" w:space="0"/>
            </w:tcBorders>
            <w:vAlign w:val="center"/>
          </w:tcPr>
          <w:p w14:paraId="05FDEA9D">
            <w:pPr>
              <w:spacing w:line="440" w:lineRule="atLeast"/>
              <w:jc w:val="right"/>
              <w:rPr>
                <w:rFonts w:ascii="仿宋" w:hAnsi="仿宋" w:eastAsia="仿宋" w:cs="仿宋"/>
                <w:sz w:val="24"/>
              </w:rPr>
            </w:pPr>
            <w:r>
              <w:rPr>
                <w:rFonts w:hint="eastAsia" w:ascii="仿宋" w:hAnsi="仿宋" w:eastAsia="仿宋" w:cs="仿宋"/>
                <w:sz w:val="24"/>
              </w:rPr>
              <w:t>942,506.75</w:t>
            </w:r>
          </w:p>
        </w:tc>
        <w:tc>
          <w:tcPr>
            <w:tcW w:w="1653" w:type="dxa"/>
            <w:tcBorders>
              <w:top w:val="single" w:color="auto" w:sz="4" w:space="0"/>
              <w:left w:val="nil"/>
              <w:bottom w:val="single" w:color="auto" w:sz="4" w:space="0"/>
              <w:right w:val="single" w:color="auto" w:sz="4" w:space="0"/>
            </w:tcBorders>
            <w:vAlign w:val="center"/>
          </w:tcPr>
          <w:p w14:paraId="35653BBB">
            <w:pPr>
              <w:spacing w:line="440" w:lineRule="atLeast"/>
              <w:jc w:val="right"/>
              <w:rPr>
                <w:rFonts w:ascii="仿宋" w:hAnsi="仿宋" w:eastAsia="仿宋" w:cs="仿宋"/>
                <w:sz w:val="24"/>
              </w:rPr>
            </w:pPr>
            <w:r>
              <w:rPr>
                <w:rFonts w:hint="eastAsia" w:ascii="仿宋" w:hAnsi="仿宋" w:eastAsia="仿宋" w:cs="仿宋"/>
                <w:sz w:val="24"/>
              </w:rPr>
              <w:t>1,144,862.95</w:t>
            </w:r>
          </w:p>
        </w:tc>
        <w:tc>
          <w:tcPr>
            <w:tcW w:w="1653" w:type="dxa"/>
            <w:tcBorders>
              <w:top w:val="single" w:color="auto" w:sz="4" w:space="0"/>
              <w:left w:val="nil"/>
              <w:bottom w:val="single" w:color="auto" w:sz="4" w:space="0"/>
              <w:right w:val="single" w:color="auto" w:sz="4" w:space="0"/>
            </w:tcBorders>
            <w:vAlign w:val="center"/>
          </w:tcPr>
          <w:p w14:paraId="29954E59">
            <w:pPr>
              <w:spacing w:line="440" w:lineRule="atLeast"/>
              <w:jc w:val="right"/>
              <w:rPr>
                <w:rFonts w:ascii="仿宋" w:hAnsi="仿宋" w:eastAsia="仿宋" w:cs="仿宋"/>
                <w:sz w:val="24"/>
              </w:rPr>
            </w:pPr>
            <w:r>
              <w:rPr>
                <w:rFonts w:hint="eastAsia" w:ascii="仿宋" w:hAnsi="仿宋" w:eastAsia="仿宋" w:cs="仿宋"/>
                <w:sz w:val="24"/>
              </w:rPr>
              <w:t>1,306,975.54</w:t>
            </w:r>
          </w:p>
        </w:tc>
        <w:tc>
          <w:tcPr>
            <w:tcW w:w="1653" w:type="dxa"/>
            <w:tcBorders>
              <w:top w:val="single" w:color="auto" w:sz="4" w:space="0"/>
              <w:left w:val="nil"/>
              <w:bottom w:val="single" w:color="auto" w:sz="4" w:space="0"/>
              <w:right w:val="single" w:color="auto" w:sz="4" w:space="0"/>
            </w:tcBorders>
            <w:vAlign w:val="center"/>
          </w:tcPr>
          <w:p w14:paraId="22B198BE">
            <w:pPr>
              <w:spacing w:line="440" w:lineRule="atLeast"/>
              <w:jc w:val="right"/>
              <w:rPr>
                <w:rFonts w:ascii="仿宋" w:hAnsi="仿宋" w:eastAsia="仿宋" w:cs="仿宋"/>
                <w:sz w:val="24"/>
              </w:rPr>
            </w:pPr>
            <w:r>
              <w:rPr>
                <w:rFonts w:hint="eastAsia" w:ascii="仿宋" w:hAnsi="仿宋" w:eastAsia="仿宋" w:cs="仿宋"/>
                <w:sz w:val="24"/>
              </w:rPr>
              <w:t>1,358,862.46</w:t>
            </w:r>
          </w:p>
        </w:tc>
        <w:tc>
          <w:tcPr>
            <w:tcW w:w="1653" w:type="dxa"/>
            <w:tcBorders>
              <w:top w:val="single" w:color="auto" w:sz="4" w:space="0"/>
              <w:left w:val="nil"/>
              <w:bottom w:val="single" w:color="auto" w:sz="4" w:space="0"/>
              <w:right w:val="single" w:color="auto" w:sz="4" w:space="0"/>
            </w:tcBorders>
            <w:vAlign w:val="center"/>
          </w:tcPr>
          <w:p w14:paraId="7DE85BBB">
            <w:pPr>
              <w:spacing w:line="440" w:lineRule="atLeast"/>
              <w:jc w:val="right"/>
              <w:rPr>
                <w:rFonts w:ascii="仿宋" w:hAnsi="仿宋" w:eastAsia="仿宋" w:cs="仿宋"/>
                <w:sz w:val="24"/>
              </w:rPr>
            </w:pPr>
            <w:r>
              <w:rPr>
                <w:rFonts w:hint="eastAsia" w:ascii="仿宋" w:hAnsi="仿宋" w:eastAsia="仿宋" w:cs="仿宋"/>
                <w:sz w:val="24"/>
              </w:rPr>
              <w:t>1,385,767.93</w:t>
            </w:r>
          </w:p>
        </w:tc>
      </w:tr>
      <w:tr w14:paraId="0675C257">
        <w:tblPrEx>
          <w:tblCellMar>
            <w:top w:w="0" w:type="dxa"/>
            <w:left w:w="108" w:type="dxa"/>
            <w:bottom w:w="0" w:type="dxa"/>
            <w:right w:w="108" w:type="dxa"/>
          </w:tblCellMar>
        </w:tblPrEx>
        <w:trPr>
          <w:trHeight w:val="240" w:hRule="atLeast"/>
        </w:trPr>
        <w:tc>
          <w:tcPr>
            <w:tcW w:w="897" w:type="dxa"/>
            <w:tcBorders>
              <w:top w:val="nil"/>
              <w:left w:val="single" w:color="auto" w:sz="4" w:space="0"/>
              <w:bottom w:val="single" w:color="auto" w:sz="4" w:space="0"/>
              <w:right w:val="single" w:color="auto" w:sz="4" w:space="0"/>
            </w:tcBorders>
            <w:vAlign w:val="center"/>
          </w:tcPr>
          <w:p w14:paraId="367E0959">
            <w:pPr>
              <w:spacing w:line="440" w:lineRule="atLeast"/>
              <w:jc w:val="center"/>
              <w:rPr>
                <w:rFonts w:ascii="仿宋" w:hAnsi="仿宋" w:eastAsia="仿宋" w:cs="仿宋"/>
                <w:b/>
                <w:kern w:val="0"/>
                <w:sz w:val="24"/>
              </w:rPr>
            </w:pPr>
            <w:r>
              <w:rPr>
                <w:rFonts w:hint="eastAsia" w:ascii="仿宋" w:hAnsi="仿宋" w:eastAsia="仿宋" w:cs="仿宋"/>
                <w:b/>
                <w:kern w:val="0"/>
                <w:sz w:val="24"/>
              </w:rPr>
              <w:t>单一类</w:t>
            </w:r>
          </w:p>
        </w:tc>
        <w:tc>
          <w:tcPr>
            <w:tcW w:w="1653" w:type="dxa"/>
            <w:tcBorders>
              <w:top w:val="nil"/>
              <w:left w:val="nil"/>
              <w:bottom w:val="single" w:color="auto" w:sz="4" w:space="0"/>
              <w:right w:val="single" w:color="auto" w:sz="4" w:space="0"/>
            </w:tcBorders>
            <w:vAlign w:val="center"/>
          </w:tcPr>
          <w:p w14:paraId="02F23E01">
            <w:pPr>
              <w:spacing w:line="440" w:lineRule="atLeast"/>
              <w:jc w:val="right"/>
              <w:rPr>
                <w:rFonts w:ascii="仿宋" w:hAnsi="仿宋" w:eastAsia="仿宋" w:cs="仿宋"/>
                <w:sz w:val="24"/>
              </w:rPr>
            </w:pPr>
            <w:r>
              <w:rPr>
                <w:rFonts w:hint="eastAsia" w:ascii="仿宋" w:hAnsi="仿宋" w:eastAsia="仿宋" w:cs="仿宋"/>
                <w:sz w:val="24"/>
              </w:rPr>
              <w:t>15,551,878.34</w:t>
            </w:r>
          </w:p>
        </w:tc>
        <w:tc>
          <w:tcPr>
            <w:tcW w:w="1653" w:type="dxa"/>
            <w:tcBorders>
              <w:top w:val="nil"/>
              <w:left w:val="nil"/>
              <w:bottom w:val="single" w:color="auto" w:sz="4" w:space="0"/>
              <w:right w:val="single" w:color="auto" w:sz="4" w:space="0"/>
            </w:tcBorders>
            <w:vAlign w:val="center"/>
          </w:tcPr>
          <w:p w14:paraId="5D3608A0">
            <w:pPr>
              <w:spacing w:line="440" w:lineRule="atLeast"/>
              <w:jc w:val="right"/>
              <w:rPr>
                <w:rFonts w:ascii="仿宋" w:hAnsi="仿宋" w:eastAsia="仿宋" w:cs="仿宋"/>
                <w:sz w:val="24"/>
              </w:rPr>
            </w:pPr>
            <w:r>
              <w:rPr>
                <w:rFonts w:hint="eastAsia" w:ascii="仿宋" w:hAnsi="仿宋" w:eastAsia="仿宋" w:cs="仿宋"/>
                <w:sz w:val="24"/>
              </w:rPr>
              <w:t>18,890,866.62</w:t>
            </w:r>
          </w:p>
        </w:tc>
        <w:tc>
          <w:tcPr>
            <w:tcW w:w="1653" w:type="dxa"/>
            <w:tcBorders>
              <w:top w:val="nil"/>
              <w:left w:val="nil"/>
              <w:bottom w:val="single" w:color="auto" w:sz="4" w:space="0"/>
              <w:right w:val="single" w:color="auto" w:sz="4" w:space="0"/>
            </w:tcBorders>
            <w:vAlign w:val="center"/>
          </w:tcPr>
          <w:p w14:paraId="072D613C">
            <w:pPr>
              <w:spacing w:line="440" w:lineRule="atLeast"/>
              <w:jc w:val="right"/>
              <w:rPr>
                <w:rFonts w:ascii="仿宋" w:hAnsi="仿宋" w:eastAsia="仿宋" w:cs="仿宋"/>
                <w:sz w:val="24"/>
              </w:rPr>
            </w:pPr>
            <w:r>
              <w:rPr>
                <w:rFonts w:hint="eastAsia" w:ascii="仿宋" w:hAnsi="仿宋" w:eastAsia="仿宋" w:cs="仿宋"/>
                <w:sz w:val="24"/>
              </w:rPr>
              <w:t>21,565,813.33</w:t>
            </w:r>
          </w:p>
        </w:tc>
        <w:tc>
          <w:tcPr>
            <w:tcW w:w="1653" w:type="dxa"/>
            <w:tcBorders>
              <w:top w:val="nil"/>
              <w:left w:val="nil"/>
              <w:bottom w:val="single" w:color="auto" w:sz="4" w:space="0"/>
              <w:right w:val="single" w:color="auto" w:sz="4" w:space="0"/>
            </w:tcBorders>
            <w:vAlign w:val="center"/>
          </w:tcPr>
          <w:p w14:paraId="5CA0D674">
            <w:pPr>
              <w:spacing w:line="440" w:lineRule="atLeast"/>
              <w:jc w:val="right"/>
              <w:rPr>
                <w:rFonts w:ascii="仿宋" w:hAnsi="仿宋" w:eastAsia="仿宋" w:cs="仿宋"/>
                <w:sz w:val="24"/>
              </w:rPr>
            </w:pPr>
            <w:r>
              <w:rPr>
                <w:rFonts w:hint="eastAsia" w:ascii="仿宋" w:hAnsi="仿宋" w:eastAsia="仿宋" w:cs="仿宋"/>
                <w:sz w:val="24"/>
              </w:rPr>
              <w:t>22,421,976.11</w:t>
            </w:r>
          </w:p>
        </w:tc>
        <w:tc>
          <w:tcPr>
            <w:tcW w:w="1653" w:type="dxa"/>
            <w:tcBorders>
              <w:top w:val="nil"/>
              <w:left w:val="nil"/>
              <w:bottom w:val="single" w:color="auto" w:sz="4" w:space="0"/>
              <w:right w:val="single" w:color="auto" w:sz="4" w:space="0"/>
            </w:tcBorders>
            <w:vAlign w:val="center"/>
          </w:tcPr>
          <w:p w14:paraId="209E4E55">
            <w:pPr>
              <w:spacing w:line="440" w:lineRule="atLeast"/>
              <w:jc w:val="right"/>
              <w:rPr>
                <w:rFonts w:ascii="仿宋" w:hAnsi="仿宋" w:eastAsia="仿宋" w:cs="仿宋"/>
                <w:sz w:val="24"/>
              </w:rPr>
            </w:pPr>
            <w:r>
              <w:rPr>
                <w:rFonts w:hint="eastAsia" w:ascii="仿宋" w:hAnsi="仿宋" w:eastAsia="仿宋" w:cs="仿宋"/>
                <w:sz w:val="24"/>
              </w:rPr>
              <w:t>22,865,931.24</w:t>
            </w:r>
          </w:p>
        </w:tc>
      </w:tr>
      <w:tr w14:paraId="31C1C3EF">
        <w:tblPrEx>
          <w:tblCellMar>
            <w:top w:w="0" w:type="dxa"/>
            <w:left w:w="108" w:type="dxa"/>
            <w:bottom w:w="0" w:type="dxa"/>
            <w:right w:w="108" w:type="dxa"/>
          </w:tblCellMar>
        </w:tblPrEx>
        <w:trPr>
          <w:trHeight w:val="240" w:hRule="atLeast"/>
        </w:trPr>
        <w:tc>
          <w:tcPr>
            <w:tcW w:w="897" w:type="dxa"/>
            <w:tcBorders>
              <w:top w:val="nil"/>
              <w:left w:val="single" w:color="auto" w:sz="4" w:space="0"/>
              <w:bottom w:val="single" w:color="auto" w:sz="4" w:space="0"/>
              <w:right w:val="single" w:color="auto" w:sz="4" w:space="0"/>
            </w:tcBorders>
            <w:vAlign w:val="center"/>
          </w:tcPr>
          <w:p w14:paraId="067F9CA1">
            <w:pPr>
              <w:spacing w:line="440" w:lineRule="atLeast"/>
              <w:jc w:val="center"/>
              <w:rPr>
                <w:rFonts w:ascii="仿宋" w:hAnsi="仿宋" w:eastAsia="仿宋" w:cs="仿宋"/>
                <w:b/>
                <w:kern w:val="0"/>
                <w:sz w:val="24"/>
              </w:rPr>
            </w:pPr>
            <w:r>
              <w:rPr>
                <w:rFonts w:hint="eastAsia" w:ascii="仿宋" w:hAnsi="仿宋" w:eastAsia="仿宋" w:cs="仿宋"/>
                <w:b/>
                <w:kern w:val="0"/>
                <w:sz w:val="24"/>
              </w:rPr>
              <w:t>财产类</w:t>
            </w:r>
          </w:p>
        </w:tc>
        <w:tc>
          <w:tcPr>
            <w:tcW w:w="1653" w:type="dxa"/>
            <w:tcBorders>
              <w:top w:val="nil"/>
              <w:left w:val="nil"/>
              <w:bottom w:val="single" w:color="auto" w:sz="4" w:space="0"/>
              <w:right w:val="single" w:color="auto" w:sz="4" w:space="0"/>
            </w:tcBorders>
            <w:vAlign w:val="center"/>
          </w:tcPr>
          <w:p w14:paraId="0A229BD6">
            <w:pPr>
              <w:spacing w:line="440" w:lineRule="atLeast"/>
              <w:jc w:val="right"/>
              <w:rPr>
                <w:rFonts w:ascii="仿宋" w:hAnsi="仿宋" w:eastAsia="仿宋" w:cs="仿宋"/>
                <w:sz w:val="24"/>
              </w:rPr>
            </w:pPr>
            <w:r>
              <w:rPr>
                <w:rFonts w:hint="eastAsia" w:ascii="仿宋" w:hAnsi="仿宋" w:eastAsia="仿宋" w:cs="仿宋"/>
                <w:sz w:val="24"/>
              </w:rPr>
              <w:t>1,235,567.60</w:t>
            </w:r>
          </w:p>
        </w:tc>
        <w:tc>
          <w:tcPr>
            <w:tcW w:w="1653" w:type="dxa"/>
            <w:tcBorders>
              <w:top w:val="nil"/>
              <w:left w:val="nil"/>
              <w:bottom w:val="single" w:color="auto" w:sz="4" w:space="0"/>
              <w:right w:val="single" w:color="auto" w:sz="4" w:space="0"/>
            </w:tcBorders>
            <w:vAlign w:val="center"/>
          </w:tcPr>
          <w:p w14:paraId="595DDEBD">
            <w:pPr>
              <w:spacing w:line="440" w:lineRule="atLeast"/>
              <w:jc w:val="right"/>
              <w:rPr>
                <w:rFonts w:ascii="仿宋" w:hAnsi="仿宋" w:eastAsia="仿宋" w:cs="仿宋"/>
                <w:sz w:val="24"/>
              </w:rPr>
            </w:pPr>
            <w:r>
              <w:rPr>
                <w:rFonts w:hint="eastAsia" w:ascii="仿宋" w:hAnsi="仿宋" w:eastAsia="仿宋" w:cs="仿宋"/>
                <w:sz w:val="24"/>
              </w:rPr>
              <w:t>1,500,843.96</w:t>
            </w:r>
          </w:p>
        </w:tc>
        <w:tc>
          <w:tcPr>
            <w:tcW w:w="1653" w:type="dxa"/>
            <w:tcBorders>
              <w:top w:val="nil"/>
              <w:left w:val="nil"/>
              <w:bottom w:val="single" w:color="auto" w:sz="4" w:space="0"/>
              <w:right w:val="single" w:color="auto" w:sz="4" w:space="0"/>
            </w:tcBorders>
            <w:vAlign w:val="center"/>
          </w:tcPr>
          <w:p w14:paraId="1B704120">
            <w:pPr>
              <w:spacing w:line="440" w:lineRule="atLeast"/>
              <w:jc w:val="right"/>
              <w:rPr>
                <w:rFonts w:ascii="仿宋" w:hAnsi="仿宋" w:eastAsia="仿宋" w:cs="仿宋"/>
                <w:sz w:val="24"/>
              </w:rPr>
            </w:pPr>
            <w:r>
              <w:rPr>
                <w:rFonts w:hint="eastAsia" w:ascii="仿宋" w:hAnsi="仿宋" w:eastAsia="仿宋" w:cs="仿宋"/>
                <w:sz w:val="24"/>
              </w:rPr>
              <w:t>1,713,363.46</w:t>
            </w:r>
          </w:p>
        </w:tc>
        <w:tc>
          <w:tcPr>
            <w:tcW w:w="1653" w:type="dxa"/>
            <w:tcBorders>
              <w:top w:val="nil"/>
              <w:left w:val="nil"/>
              <w:bottom w:val="single" w:color="auto" w:sz="4" w:space="0"/>
              <w:right w:val="single" w:color="auto" w:sz="4" w:space="0"/>
            </w:tcBorders>
            <w:vAlign w:val="center"/>
          </w:tcPr>
          <w:p w14:paraId="6E2E6A18">
            <w:pPr>
              <w:spacing w:line="440" w:lineRule="atLeast"/>
              <w:jc w:val="right"/>
              <w:rPr>
                <w:rFonts w:ascii="仿宋" w:hAnsi="仿宋" w:eastAsia="仿宋" w:cs="仿宋"/>
                <w:sz w:val="24"/>
              </w:rPr>
            </w:pPr>
            <w:r>
              <w:rPr>
                <w:rFonts w:hint="eastAsia" w:ascii="仿宋" w:hAnsi="仿宋" w:eastAsia="仿宋" w:cs="仿宋"/>
                <w:sz w:val="24"/>
              </w:rPr>
              <w:t>1,781,383.99</w:t>
            </w:r>
          </w:p>
        </w:tc>
        <w:tc>
          <w:tcPr>
            <w:tcW w:w="1653" w:type="dxa"/>
            <w:tcBorders>
              <w:top w:val="nil"/>
              <w:left w:val="nil"/>
              <w:bottom w:val="single" w:color="auto" w:sz="4" w:space="0"/>
              <w:right w:val="single" w:color="auto" w:sz="4" w:space="0"/>
            </w:tcBorders>
            <w:vAlign w:val="center"/>
          </w:tcPr>
          <w:p w14:paraId="01A0DD8B">
            <w:pPr>
              <w:spacing w:line="440" w:lineRule="atLeast"/>
              <w:jc w:val="right"/>
              <w:rPr>
                <w:rFonts w:ascii="仿宋" w:hAnsi="仿宋" w:eastAsia="仿宋" w:cs="仿宋"/>
                <w:sz w:val="24"/>
              </w:rPr>
            </w:pPr>
            <w:r>
              <w:rPr>
                <w:rFonts w:hint="eastAsia" w:ascii="仿宋" w:hAnsi="仿宋" w:eastAsia="仿宋" w:cs="仿宋"/>
                <w:sz w:val="24"/>
              </w:rPr>
              <w:t>1,816,655.39</w:t>
            </w:r>
          </w:p>
        </w:tc>
      </w:tr>
      <w:tr w14:paraId="26470F72">
        <w:tblPrEx>
          <w:tblCellMar>
            <w:top w:w="0" w:type="dxa"/>
            <w:left w:w="108" w:type="dxa"/>
            <w:bottom w:w="0" w:type="dxa"/>
            <w:right w:w="108" w:type="dxa"/>
          </w:tblCellMar>
        </w:tblPrEx>
        <w:trPr>
          <w:trHeight w:val="240" w:hRule="atLeast"/>
        </w:trPr>
        <w:tc>
          <w:tcPr>
            <w:tcW w:w="897" w:type="dxa"/>
            <w:tcBorders>
              <w:top w:val="nil"/>
              <w:left w:val="single" w:color="auto" w:sz="4" w:space="0"/>
              <w:bottom w:val="single" w:color="auto" w:sz="4" w:space="0"/>
              <w:right w:val="single" w:color="auto" w:sz="4" w:space="0"/>
            </w:tcBorders>
            <w:vAlign w:val="center"/>
          </w:tcPr>
          <w:p w14:paraId="32D86D53">
            <w:pPr>
              <w:spacing w:line="440" w:lineRule="atLeast"/>
              <w:jc w:val="center"/>
              <w:rPr>
                <w:rFonts w:ascii="仿宋" w:hAnsi="仿宋" w:eastAsia="仿宋" w:cs="仿宋"/>
                <w:b/>
                <w:kern w:val="0"/>
                <w:sz w:val="24"/>
              </w:rPr>
            </w:pPr>
            <w:r>
              <w:rPr>
                <w:rFonts w:hint="eastAsia" w:ascii="仿宋" w:hAnsi="仿宋" w:eastAsia="仿宋" w:cs="仿宋"/>
                <w:b/>
                <w:kern w:val="0"/>
                <w:sz w:val="24"/>
              </w:rPr>
              <w:t>合计</w:t>
            </w:r>
          </w:p>
        </w:tc>
        <w:tc>
          <w:tcPr>
            <w:tcW w:w="1653" w:type="dxa"/>
            <w:tcBorders>
              <w:top w:val="nil"/>
              <w:left w:val="nil"/>
              <w:bottom w:val="single" w:color="auto" w:sz="4" w:space="0"/>
              <w:right w:val="single" w:color="auto" w:sz="4" w:space="0"/>
            </w:tcBorders>
            <w:vAlign w:val="center"/>
          </w:tcPr>
          <w:p w14:paraId="6F0B5020">
            <w:pPr>
              <w:spacing w:line="440" w:lineRule="atLeast"/>
              <w:jc w:val="right"/>
              <w:rPr>
                <w:rFonts w:ascii="仿宋" w:hAnsi="仿宋" w:eastAsia="仿宋" w:cs="仿宋"/>
                <w:sz w:val="24"/>
              </w:rPr>
            </w:pPr>
            <w:r>
              <w:rPr>
                <w:rFonts w:hint="eastAsia" w:ascii="仿宋" w:hAnsi="仿宋" w:eastAsia="仿宋" w:cs="仿宋"/>
                <w:sz w:val="24"/>
              </w:rPr>
              <w:t>17,729,952.69</w:t>
            </w:r>
          </w:p>
        </w:tc>
        <w:tc>
          <w:tcPr>
            <w:tcW w:w="1653" w:type="dxa"/>
            <w:tcBorders>
              <w:top w:val="nil"/>
              <w:left w:val="nil"/>
              <w:bottom w:val="single" w:color="auto" w:sz="4" w:space="0"/>
              <w:right w:val="single" w:color="auto" w:sz="4" w:space="0"/>
            </w:tcBorders>
            <w:vAlign w:val="center"/>
          </w:tcPr>
          <w:p w14:paraId="36E6320F">
            <w:pPr>
              <w:spacing w:line="440" w:lineRule="atLeast"/>
              <w:jc w:val="right"/>
              <w:rPr>
                <w:rFonts w:ascii="仿宋" w:hAnsi="仿宋" w:eastAsia="仿宋" w:cs="仿宋"/>
                <w:sz w:val="24"/>
              </w:rPr>
            </w:pPr>
            <w:r>
              <w:rPr>
                <w:rFonts w:hint="eastAsia" w:ascii="仿宋" w:hAnsi="仿宋" w:eastAsia="仿宋" w:cs="仿宋"/>
                <w:sz w:val="24"/>
              </w:rPr>
              <w:t>21,536,573.53</w:t>
            </w:r>
          </w:p>
        </w:tc>
        <w:tc>
          <w:tcPr>
            <w:tcW w:w="1653" w:type="dxa"/>
            <w:tcBorders>
              <w:top w:val="nil"/>
              <w:left w:val="nil"/>
              <w:bottom w:val="single" w:color="auto" w:sz="4" w:space="0"/>
              <w:right w:val="single" w:color="auto" w:sz="4" w:space="0"/>
            </w:tcBorders>
            <w:vAlign w:val="center"/>
          </w:tcPr>
          <w:p w14:paraId="2F43839A">
            <w:pPr>
              <w:spacing w:line="440" w:lineRule="atLeast"/>
              <w:jc w:val="right"/>
              <w:rPr>
                <w:rFonts w:ascii="仿宋" w:hAnsi="仿宋" w:eastAsia="仿宋" w:cs="仿宋"/>
                <w:sz w:val="24"/>
              </w:rPr>
            </w:pPr>
            <w:r>
              <w:rPr>
                <w:rFonts w:hint="eastAsia" w:ascii="仿宋" w:hAnsi="仿宋" w:eastAsia="仿宋" w:cs="仿宋"/>
                <w:sz w:val="24"/>
              </w:rPr>
              <w:t>24,586,152.33</w:t>
            </w:r>
          </w:p>
        </w:tc>
        <w:tc>
          <w:tcPr>
            <w:tcW w:w="1653" w:type="dxa"/>
            <w:tcBorders>
              <w:top w:val="nil"/>
              <w:left w:val="nil"/>
              <w:bottom w:val="single" w:color="auto" w:sz="4" w:space="0"/>
              <w:right w:val="single" w:color="auto" w:sz="4" w:space="0"/>
            </w:tcBorders>
            <w:vAlign w:val="center"/>
          </w:tcPr>
          <w:p w14:paraId="286C9AAA">
            <w:pPr>
              <w:spacing w:line="440" w:lineRule="atLeast"/>
              <w:jc w:val="right"/>
              <w:rPr>
                <w:rFonts w:ascii="仿宋" w:hAnsi="仿宋" w:eastAsia="仿宋" w:cs="仿宋"/>
                <w:sz w:val="24"/>
              </w:rPr>
            </w:pPr>
            <w:r>
              <w:rPr>
                <w:rFonts w:hint="eastAsia" w:ascii="仿宋" w:hAnsi="仿宋" w:eastAsia="仿宋" w:cs="仿宋"/>
                <w:sz w:val="24"/>
              </w:rPr>
              <w:t>25,562,222.56</w:t>
            </w:r>
          </w:p>
        </w:tc>
        <w:tc>
          <w:tcPr>
            <w:tcW w:w="1653" w:type="dxa"/>
            <w:tcBorders>
              <w:top w:val="nil"/>
              <w:left w:val="nil"/>
              <w:bottom w:val="single" w:color="auto" w:sz="4" w:space="0"/>
              <w:right w:val="single" w:color="auto" w:sz="4" w:space="0"/>
            </w:tcBorders>
            <w:vAlign w:val="center"/>
          </w:tcPr>
          <w:p w14:paraId="09F0098E">
            <w:pPr>
              <w:spacing w:line="440" w:lineRule="atLeast"/>
              <w:jc w:val="right"/>
              <w:rPr>
                <w:rFonts w:ascii="仿宋" w:hAnsi="仿宋" w:eastAsia="仿宋" w:cs="仿宋"/>
                <w:sz w:val="24"/>
              </w:rPr>
            </w:pPr>
            <w:r>
              <w:rPr>
                <w:rFonts w:hint="eastAsia" w:ascii="仿宋" w:hAnsi="仿宋" w:eastAsia="仿宋" w:cs="仿宋"/>
                <w:sz w:val="24"/>
              </w:rPr>
              <w:t>26,068,354.56</w:t>
            </w:r>
          </w:p>
        </w:tc>
      </w:tr>
    </w:tbl>
    <w:p w14:paraId="5FFD0FC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2、信托手续费收入预测</w:t>
      </w:r>
    </w:p>
    <w:p w14:paraId="6C7566D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由xx信托公司评估基准日的财务数据，其单一类、集合类、财产类信托的报酬率分别为1.64%、0.14%、0.31%。假设未来年度各类信托业务报酬率不变，据此预测xx信托未来年度信托手续费及佣金收入数据下表所示。</w:t>
      </w:r>
    </w:p>
    <w:tbl>
      <w:tblPr>
        <w:tblStyle w:val="24"/>
        <w:tblW w:w="9162" w:type="dxa"/>
        <w:jc w:val="right"/>
        <w:tblLayout w:type="fixed"/>
        <w:tblCellMar>
          <w:top w:w="0" w:type="dxa"/>
          <w:left w:w="108" w:type="dxa"/>
          <w:bottom w:w="0" w:type="dxa"/>
          <w:right w:w="108" w:type="dxa"/>
        </w:tblCellMar>
      </w:tblPr>
      <w:tblGrid>
        <w:gridCol w:w="1244"/>
        <w:gridCol w:w="1552"/>
        <w:gridCol w:w="1552"/>
        <w:gridCol w:w="1552"/>
        <w:gridCol w:w="1552"/>
        <w:gridCol w:w="1710"/>
      </w:tblGrid>
      <w:tr w14:paraId="5C5ACC5C">
        <w:trPr>
          <w:trHeight w:val="270" w:hRule="atLeast"/>
          <w:tblHeader/>
          <w:jc w:val="right"/>
        </w:trPr>
        <w:tc>
          <w:tcPr>
            <w:tcW w:w="1244" w:type="dxa"/>
            <w:tcBorders>
              <w:top w:val="single" w:color="auto" w:sz="4" w:space="0"/>
              <w:left w:val="single" w:color="auto" w:sz="4" w:space="0"/>
              <w:bottom w:val="single" w:color="auto" w:sz="4" w:space="0"/>
              <w:right w:val="single" w:color="auto" w:sz="4" w:space="0"/>
            </w:tcBorders>
            <w:vAlign w:val="center"/>
          </w:tcPr>
          <w:p w14:paraId="251DF40F">
            <w:pPr>
              <w:spacing w:line="440" w:lineRule="atLeast"/>
              <w:jc w:val="center"/>
              <w:rPr>
                <w:rFonts w:ascii="仿宋" w:hAnsi="仿宋" w:eastAsia="仿宋" w:cs="仿宋"/>
                <w:b/>
                <w:bCs/>
                <w:kern w:val="0"/>
                <w:sz w:val="24"/>
              </w:rPr>
            </w:pPr>
            <w:r>
              <w:rPr>
                <w:rFonts w:hint="eastAsia" w:ascii="仿宋" w:hAnsi="仿宋" w:eastAsia="仿宋" w:cs="仿宋"/>
                <w:b/>
                <w:bCs/>
                <w:kern w:val="0"/>
                <w:sz w:val="24"/>
              </w:rPr>
              <w:t>年份</w:t>
            </w:r>
          </w:p>
        </w:tc>
        <w:tc>
          <w:tcPr>
            <w:tcW w:w="1552" w:type="dxa"/>
            <w:tcBorders>
              <w:top w:val="single" w:color="auto" w:sz="4" w:space="0"/>
              <w:left w:val="nil"/>
              <w:bottom w:val="single" w:color="auto" w:sz="4" w:space="0"/>
              <w:right w:val="single" w:color="auto" w:sz="4" w:space="0"/>
            </w:tcBorders>
            <w:vAlign w:val="center"/>
          </w:tcPr>
          <w:p w14:paraId="1FF9C26C">
            <w:pPr>
              <w:spacing w:line="440" w:lineRule="atLeast"/>
              <w:jc w:val="center"/>
              <w:rPr>
                <w:rFonts w:ascii="仿宋" w:hAnsi="仿宋" w:eastAsia="仿宋" w:cs="仿宋"/>
                <w:b/>
                <w:bCs/>
                <w:kern w:val="0"/>
                <w:sz w:val="24"/>
              </w:rPr>
            </w:pPr>
            <w:r>
              <w:rPr>
                <w:rFonts w:hint="eastAsia" w:ascii="仿宋" w:hAnsi="仿宋" w:eastAsia="仿宋" w:cs="仿宋"/>
                <w:b/>
                <w:bCs/>
                <w:kern w:val="0"/>
                <w:sz w:val="24"/>
              </w:rPr>
              <w:t>20x4年</w:t>
            </w:r>
          </w:p>
        </w:tc>
        <w:tc>
          <w:tcPr>
            <w:tcW w:w="1552" w:type="dxa"/>
            <w:tcBorders>
              <w:top w:val="single" w:color="auto" w:sz="4" w:space="0"/>
              <w:left w:val="nil"/>
              <w:bottom w:val="single" w:color="auto" w:sz="4" w:space="0"/>
              <w:right w:val="single" w:color="auto" w:sz="4" w:space="0"/>
            </w:tcBorders>
            <w:vAlign w:val="center"/>
          </w:tcPr>
          <w:p w14:paraId="39E10E71">
            <w:pPr>
              <w:spacing w:line="440" w:lineRule="atLeast"/>
              <w:jc w:val="center"/>
              <w:rPr>
                <w:rFonts w:ascii="仿宋" w:hAnsi="仿宋" w:eastAsia="仿宋" w:cs="仿宋"/>
                <w:b/>
                <w:bCs/>
                <w:kern w:val="0"/>
                <w:sz w:val="24"/>
              </w:rPr>
            </w:pPr>
            <w:r>
              <w:rPr>
                <w:rFonts w:hint="eastAsia" w:ascii="仿宋" w:hAnsi="仿宋" w:eastAsia="仿宋" w:cs="仿宋"/>
                <w:b/>
                <w:bCs/>
                <w:kern w:val="0"/>
                <w:sz w:val="24"/>
              </w:rPr>
              <w:t>20x5年</w:t>
            </w:r>
          </w:p>
        </w:tc>
        <w:tc>
          <w:tcPr>
            <w:tcW w:w="1552" w:type="dxa"/>
            <w:tcBorders>
              <w:top w:val="single" w:color="auto" w:sz="4" w:space="0"/>
              <w:left w:val="nil"/>
              <w:bottom w:val="single" w:color="auto" w:sz="4" w:space="0"/>
              <w:right w:val="single" w:color="auto" w:sz="4" w:space="0"/>
            </w:tcBorders>
            <w:vAlign w:val="center"/>
          </w:tcPr>
          <w:p w14:paraId="2361CC0C">
            <w:pPr>
              <w:spacing w:line="440" w:lineRule="atLeast"/>
              <w:jc w:val="center"/>
              <w:rPr>
                <w:rFonts w:ascii="仿宋" w:hAnsi="仿宋" w:eastAsia="仿宋" w:cs="仿宋"/>
                <w:b/>
                <w:bCs/>
                <w:kern w:val="0"/>
                <w:sz w:val="24"/>
              </w:rPr>
            </w:pPr>
            <w:r>
              <w:rPr>
                <w:rFonts w:hint="eastAsia" w:ascii="仿宋" w:hAnsi="仿宋" w:eastAsia="仿宋" w:cs="仿宋"/>
                <w:b/>
                <w:bCs/>
                <w:kern w:val="0"/>
                <w:sz w:val="24"/>
              </w:rPr>
              <w:t>20x6年</w:t>
            </w:r>
          </w:p>
        </w:tc>
        <w:tc>
          <w:tcPr>
            <w:tcW w:w="1552" w:type="dxa"/>
            <w:tcBorders>
              <w:top w:val="single" w:color="auto" w:sz="4" w:space="0"/>
              <w:left w:val="nil"/>
              <w:bottom w:val="single" w:color="auto" w:sz="4" w:space="0"/>
              <w:right w:val="single" w:color="auto" w:sz="4" w:space="0"/>
            </w:tcBorders>
            <w:vAlign w:val="center"/>
          </w:tcPr>
          <w:p w14:paraId="76F65C65">
            <w:pPr>
              <w:spacing w:line="440" w:lineRule="atLeast"/>
              <w:jc w:val="center"/>
              <w:rPr>
                <w:rFonts w:ascii="仿宋" w:hAnsi="仿宋" w:eastAsia="仿宋" w:cs="仿宋"/>
                <w:b/>
                <w:bCs/>
                <w:kern w:val="0"/>
                <w:sz w:val="24"/>
              </w:rPr>
            </w:pPr>
            <w:r>
              <w:rPr>
                <w:rFonts w:hint="eastAsia" w:ascii="仿宋" w:hAnsi="仿宋" w:eastAsia="仿宋" w:cs="仿宋"/>
                <w:b/>
                <w:bCs/>
                <w:kern w:val="0"/>
                <w:sz w:val="24"/>
              </w:rPr>
              <w:t>20x7年</w:t>
            </w:r>
          </w:p>
        </w:tc>
        <w:tc>
          <w:tcPr>
            <w:tcW w:w="1710" w:type="dxa"/>
            <w:tcBorders>
              <w:top w:val="single" w:color="auto" w:sz="4" w:space="0"/>
              <w:left w:val="nil"/>
              <w:bottom w:val="single" w:color="auto" w:sz="4" w:space="0"/>
              <w:right w:val="single" w:color="auto" w:sz="4" w:space="0"/>
            </w:tcBorders>
            <w:vAlign w:val="center"/>
          </w:tcPr>
          <w:p w14:paraId="5E551833">
            <w:pPr>
              <w:spacing w:line="440" w:lineRule="atLeast"/>
              <w:jc w:val="center"/>
              <w:rPr>
                <w:rFonts w:ascii="仿宋" w:hAnsi="仿宋" w:eastAsia="仿宋" w:cs="仿宋"/>
                <w:b/>
                <w:bCs/>
                <w:kern w:val="0"/>
                <w:sz w:val="24"/>
              </w:rPr>
            </w:pPr>
            <w:r>
              <w:rPr>
                <w:rFonts w:hint="eastAsia" w:ascii="仿宋" w:hAnsi="仿宋" w:eastAsia="仿宋" w:cs="仿宋"/>
                <w:b/>
                <w:bCs/>
                <w:kern w:val="0"/>
                <w:sz w:val="24"/>
              </w:rPr>
              <w:t>20x8年</w:t>
            </w:r>
          </w:p>
        </w:tc>
      </w:tr>
      <w:tr w14:paraId="50475920">
        <w:tblPrEx>
          <w:tblCellMar>
            <w:top w:w="0" w:type="dxa"/>
            <w:left w:w="108" w:type="dxa"/>
            <w:bottom w:w="0" w:type="dxa"/>
            <w:right w:w="108" w:type="dxa"/>
          </w:tblCellMar>
        </w:tblPrEx>
        <w:trPr>
          <w:trHeight w:val="270" w:hRule="atLeast"/>
          <w:jc w:val="right"/>
        </w:trPr>
        <w:tc>
          <w:tcPr>
            <w:tcW w:w="1244" w:type="dxa"/>
            <w:tcBorders>
              <w:top w:val="single" w:color="auto" w:sz="4" w:space="0"/>
              <w:left w:val="single" w:color="auto" w:sz="4" w:space="0"/>
              <w:bottom w:val="single" w:color="auto" w:sz="4" w:space="0"/>
              <w:right w:val="single" w:color="auto" w:sz="4" w:space="0"/>
            </w:tcBorders>
            <w:vAlign w:val="center"/>
          </w:tcPr>
          <w:p w14:paraId="4F1876E9">
            <w:pPr>
              <w:spacing w:line="440" w:lineRule="atLeast"/>
              <w:jc w:val="center"/>
              <w:rPr>
                <w:rFonts w:ascii="仿宋" w:hAnsi="仿宋" w:eastAsia="仿宋" w:cs="仿宋"/>
                <w:b/>
                <w:bCs/>
                <w:kern w:val="0"/>
                <w:sz w:val="24"/>
              </w:rPr>
            </w:pPr>
            <w:r>
              <w:rPr>
                <w:rFonts w:hint="eastAsia" w:ascii="仿宋" w:hAnsi="仿宋" w:eastAsia="仿宋" w:cs="仿宋"/>
                <w:b/>
                <w:bCs/>
                <w:kern w:val="0"/>
                <w:sz w:val="24"/>
              </w:rPr>
              <w:t>集合类</w:t>
            </w:r>
          </w:p>
        </w:tc>
        <w:tc>
          <w:tcPr>
            <w:tcW w:w="1552" w:type="dxa"/>
            <w:tcBorders>
              <w:top w:val="single" w:color="auto" w:sz="4" w:space="0"/>
              <w:left w:val="single" w:color="auto" w:sz="4" w:space="0"/>
              <w:bottom w:val="single" w:color="auto" w:sz="4" w:space="0"/>
              <w:right w:val="single" w:color="auto" w:sz="4" w:space="0"/>
            </w:tcBorders>
            <w:vAlign w:val="center"/>
          </w:tcPr>
          <w:p w14:paraId="6CF84A7D">
            <w:pPr>
              <w:spacing w:line="440" w:lineRule="atLeast"/>
              <w:jc w:val="right"/>
              <w:rPr>
                <w:rFonts w:ascii="仿宋" w:hAnsi="仿宋" w:eastAsia="仿宋" w:cs="仿宋"/>
                <w:sz w:val="24"/>
              </w:rPr>
            </w:pPr>
            <w:r>
              <w:rPr>
                <w:rFonts w:hint="eastAsia" w:ascii="仿宋" w:hAnsi="仿宋" w:eastAsia="仿宋" w:cs="仿宋"/>
                <w:sz w:val="24"/>
              </w:rPr>
              <w:t>15,443.92　</w:t>
            </w:r>
          </w:p>
        </w:tc>
        <w:tc>
          <w:tcPr>
            <w:tcW w:w="1552" w:type="dxa"/>
            <w:tcBorders>
              <w:top w:val="single" w:color="auto" w:sz="4" w:space="0"/>
              <w:left w:val="single" w:color="auto" w:sz="4" w:space="0"/>
              <w:bottom w:val="single" w:color="auto" w:sz="4" w:space="0"/>
              <w:right w:val="single" w:color="auto" w:sz="4" w:space="0"/>
            </w:tcBorders>
            <w:vAlign w:val="center"/>
          </w:tcPr>
          <w:p w14:paraId="7E59A1FA">
            <w:pPr>
              <w:spacing w:line="440" w:lineRule="atLeast"/>
              <w:jc w:val="right"/>
              <w:rPr>
                <w:rFonts w:ascii="仿宋" w:hAnsi="仿宋" w:eastAsia="仿宋" w:cs="仿宋"/>
                <w:sz w:val="24"/>
              </w:rPr>
            </w:pPr>
            <w:r>
              <w:rPr>
                <w:rFonts w:hint="eastAsia" w:ascii="仿宋" w:hAnsi="仿宋" w:eastAsia="仿宋" w:cs="仿宋"/>
                <w:sz w:val="24"/>
              </w:rPr>
              <w:t>18,759.72　</w:t>
            </w:r>
          </w:p>
        </w:tc>
        <w:tc>
          <w:tcPr>
            <w:tcW w:w="1552" w:type="dxa"/>
            <w:tcBorders>
              <w:top w:val="single" w:color="auto" w:sz="4" w:space="0"/>
              <w:left w:val="single" w:color="auto" w:sz="4" w:space="0"/>
              <w:bottom w:val="single" w:color="auto" w:sz="4" w:space="0"/>
              <w:right w:val="single" w:color="auto" w:sz="4" w:space="0"/>
            </w:tcBorders>
            <w:vAlign w:val="center"/>
          </w:tcPr>
          <w:p w14:paraId="02ABBEF9">
            <w:pPr>
              <w:spacing w:line="440" w:lineRule="atLeast"/>
              <w:jc w:val="right"/>
              <w:rPr>
                <w:rFonts w:ascii="仿宋" w:hAnsi="仿宋" w:eastAsia="仿宋" w:cs="仿宋"/>
                <w:sz w:val="24"/>
              </w:rPr>
            </w:pPr>
            <w:r>
              <w:rPr>
                <w:rFonts w:hint="eastAsia" w:ascii="仿宋" w:hAnsi="仿宋" w:eastAsia="仿宋" w:cs="仿宋"/>
                <w:sz w:val="24"/>
              </w:rPr>
              <w:t>21,416.10　</w:t>
            </w:r>
          </w:p>
        </w:tc>
        <w:tc>
          <w:tcPr>
            <w:tcW w:w="1552" w:type="dxa"/>
            <w:tcBorders>
              <w:top w:val="single" w:color="auto" w:sz="4" w:space="0"/>
              <w:left w:val="single" w:color="auto" w:sz="4" w:space="0"/>
              <w:bottom w:val="single" w:color="auto" w:sz="4" w:space="0"/>
              <w:right w:val="single" w:color="auto" w:sz="4" w:space="0"/>
            </w:tcBorders>
            <w:vAlign w:val="center"/>
          </w:tcPr>
          <w:p w14:paraId="68058825">
            <w:pPr>
              <w:spacing w:line="440" w:lineRule="atLeast"/>
              <w:jc w:val="right"/>
              <w:rPr>
                <w:rFonts w:ascii="仿宋" w:hAnsi="仿宋" w:eastAsia="仿宋" w:cs="仿宋"/>
                <w:sz w:val="24"/>
              </w:rPr>
            </w:pPr>
            <w:r>
              <w:rPr>
                <w:rFonts w:hint="eastAsia" w:ascii="仿宋" w:hAnsi="仿宋" w:eastAsia="仿宋" w:cs="仿宋"/>
                <w:sz w:val="24"/>
              </w:rPr>
              <w:t>22,266.32　</w:t>
            </w:r>
          </w:p>
        </w:tc>
        <w:tc>
          <w:tcPr>
            <w:tcW w:w="1710" w:type="dxa"/>
            <w:tcBorders>
              <w:top w:val="single" w:color="auto" w:sz="4" w:space="0"/>
              <w:left w:val="single" w:color="auto" w:sz="4" w:space="0"/>
              <w:bottom w:val="single" w:color="auto" w:sz="4" w:space="0"/>
              <w:right w:val="single" w:color="auto" w:sz="4" w:space="0"/>
            </w:tcBorders>
            <w:vAlign w:val="center"/>
          </w:tcPr>
          <w:p w14:paraId="4E51D39C">
            <w:pPr>
              <w:spacing w:line="440" w:lineRule="atLeast"/>
              <w:jc w:val="right"/>
              <w:rPr>
                <w:rFonts w:ascii="仿宋" w:hAnsi="仿宋" w:eastAsia="仿宋" w:cs="仿宋"/>
                <w:sz w:val="24"/>
              </w:rPr>
            </w:pPr>
            <w:r>
              <w:rPr>
                <w:rFonts w:hint="eastAsia" w:ascii="仿宋" w:hAnsi="仿宋" w:eastAsia="仿宋" w:cs="仿宋"/>
                <w:sz w:val="24"/>
              </w:rPr>
              <w:t>22,707.19　</w:t>
            </w:r>
          </w:p>
        </w:tc>
      </w:tr>
      <w:tr w14:paraId="41E342B0">
        <w:tblPrEx>
          <w:tblCellMar>
            <w:top w:w="0" w:type="dxa"/>
            <w:left w:w="108" w:type="dxa"/>
            <w:bottom w:w="0" w:type="dxa"/>
            <w:right w:w="108" w:type="dxa"/>
          </w:tblCellMar>
        </w:tblPrEx>
        <w:trPr>
          <w:trHeight w:val="270" w:hRule="atLeast"/>
          <w:jc w:val="right"/>
        </w:trPr>
        <w:tc>
          <w:tcPr>
            <w:tcW w:w="1244" w:type="dxa"/>
            <w:tcBorders>
              <w:top w:val="single" w:color="auto" w:sz="4" w:space="0"/>
              <w:left w:val="single" w:color="auto" w:sz="4" w:space="0"/>
              <w:bottom w:val="single" w:color="auto" w:sz="4" w:space="0"/>
              <w:right w:val="single" w:color="auto" w:sz="4" w:space="0"/>
            </w:tcBorders>
            <w:vAlign w:val="center"/>
          </w:tcPr>
          <w:p w14:paraId="5EFDBD21">
            <w:pPr>
              <w:spacing w:line="440" w:lineRule="atLeast"/>
              <w:jc w:val="center"/>
              <w:rPr>
                <w:rFonts w:ascii="仿宋" w:hAnsi="仿宋" w:eastAsia="仿宋" w:cs="仿宋"/>
                <w:b/>
                <w:bCs/>
                <w:kern w:val="0"/>
                <w:sz w:val="24"/>
              </w:rPr>
            </w:pPr>
            <w:r>
              <w:rPr>
                <w:rFonts w:hint="eastAsia" w:ascii="仿宋" w:hAnsi="仿宋" w:eastAsia="仿宋" w:cs="仿宋"/>
                <w:b/>
                <w:bCs/>
                <w:kern w:val="0"/>
                <w:sz w:val="24"/>
              </w:rPr>
              <w:t>单一类</w:t>
            </w:r>
          </w:p>
        </w:tc>
        <w:tc>
          <w:tcPr>
            <w:tcW w:w="1552" w:type="dxa"/>
            <w:tcBorders>
              <w:top w:val="single" w:color="auto" w:sz="4" w:space="0"/>
              <w:left w:val="nil"/>
              <w:bottom w:val="single" w:color="auto" w:sz="4" w:space="0"/>
              <w:right w:val="single" w:color="auto" w:sz="4" w:space="0"/>
            </w:tcBorders>
            <w:vAlign w:val="center"/>
          </w:tcPr>
          <w:p w14:paraId="1A4EAF7B">
            <w:pPr>
              <w:spacing w:line="440" w:lineRule="atLeast"/>
              <w:jc w:val="right"/>
              <w:rPr>
                <w:rFonts w:ascii="仿宋" w:hAnsi="仿宋" w:eastAsia="仿宋" w:cs="仿宋"/>
                <w:sz w:val="24"/>
              </w:rPr>
            </w:pPr>
            <w:r>
              <w:rPr>
                <w:rFonts w:hint="eastAsia" w:ascii="仿宋" w:hAnsi="仿宋" w:eastAsia="仿宋" w:cs="仿宋"/>
                <w:sz w:val="24"/>
              </w:rPr>
              <w:t>21,119.45　</w:t>
            </w:r>
          </w:p>
        </w:tc>
        <w:tc>
          <w:tcPr>
            <w:tcW w:w="1552" w:type="dxa"/>
            <w:tcBorders>
              <w:top w:val="single" w:color="auto" w:sz="4" w:space="0"/>
              <w:left w:val="nil"/>
              <w:bottom w:val="single" w:color="auto" w:sz="4" w:space="0"/>
              <w:right w:val="single" w:color="auto" w:sz="4" w:space="0"/>
            </w:tcBorders>
            <w:vAlign w:val="center"/>
          </w:tcPr>
          <w:p w14:paraId="23283910">
            <w:pPr>
              <w:spacing w:line="440" w:lineRule="atLeast"/>
              <w:jc w:val="right"/>
              <w:rPr>
                <w:rFonts w:ascii="仿宋" w:hAnsi="仿宋" w:eastAsia="仿宋" w:cs="仿宋"/>
                <w:sz w:val="24"/>
              </w:rPr>
            </w:pPr>
            <w:r>
              <w:rPr>
                <w:rFonts w:hint="eastAsia" w:ascii="仿宋" w:hAnsi="仿宋" w:eastAsia="仿宋" w:cs="仿宋"/>
                <w:sz w:val="24"/>
              </w:rPr>
              <w:t>25,653.80　</w:t>
            </w:r>
          </w:p>
        </w:tc>
        <w:tc>
          <w:tcPr>
            <w:tcW w:w="1552" w:type="dxa"/>
            <w:tcBorders>
              <w:top w:val="single" w:color="auto" w:sz="4" w:space="0"/>
              <w:left w:val="nil"/>
              <w:bottom w:val="single" w:color="auto" w:sz="4" w:space="0"/>
              <w:right w:val="single" w:color="auto" w:sz="4" w:space="0"/>
            </w:tcBorders>
            <w:vAlign w:val="center"/>
          </w:tcPr>
          <w:p w14:paraId="21971040">
            <w:pPr>
              <w:spacing w:line="440" w:lineRule="atLeast"/>
              <w:jc w:val="right"/>
              <w:rPr>
                <w:rFonts w:ascii="仿宋" w:hAnsi="仿宋" w:eastAsia="仿宋" w:cs="仿宋"/>
                <w:sz w:val="24"/>
              </w:rPr>
            </w:pPr>
            <w:r>
              <w:rPr>
                <w:rFonts w:hint="eastAsia" w:ascii="仿宋" w:hAnsi="仿宋" w:eastAsia="仿宋" w:cs="仿宋"/>
                <w:sz w:val="24"/>
              </w:rPr>
              <w:t>29,286.37　</w:t>
            </w:r>
          </w:p>
        </w:tc>
        <w:tc>
          <w:tcPr>
            <w:tcW w:w="1552" w:type="dxa"/>
            <w:tcBorders>
              <w:top w:val="single" w:color="auto" w:sz="4" w:space="0"/>
              <w:left w:val="nil"/>
              <w:bottom w:val="single" w:color="auto" w:sz="4" w:space="0"/>
              <w:right w:val="single" w:color="auto" w:sz="4" w:space="0"/>
            </w:tcBorders>
            <w:vAlign w:val="center"/>
          </w:tcPr>
          <w:p w14:paraId="265F2619">
            <w:pPr>
              <w:spacing w:line="440" w:lineRule="atLeast"/>
              <w:jc w:val="right"/>
              <w:rPr>
                <w:rFonts w:ascii="仿宋" w:hAnsi="仿宋" w:eastAsia="仿宋" w:cs="仿宋"/>
                <w:sz w:val="24"/>
              </w:rPr>
            </w:pPr>
            <w:r>
              <w:rPr>
                <w:rFonts w:hint="eastAsia" w:ascii="仿宋" w:hAnsi="仿宋" w:eastAsia="仿宋" w:cs="仿宋"/>
                <w:sz w:val="24"/>
              </w:rPr>
              <w:t>30,449.04　</w:t>
            </w:r>
          </w:p>
        </w:tc>
        <w:tc>
          <w:tcPr>
            <w:tcW w:w="1710" w:type="dxa"/>
            <w:tcBorders>
              <w:top w:val="single" w:color="auto" w:sz="4" w:space="0"/>
              <w:left w:val="nil"/>
              <w:bottom w:val="single" w:color="auto" w:sz="4" w:space="0"/>
              <w:right w:val="single" w:color="auto" w:sz="4" w:space="0"/>
            </w:tcBorders>
            <w:vAlign w:val="center"/>
          </w:tcPr>
          <w:p w14:paraId="5B120B9C">
            <w:pPr>
              <w:spacing w:line="440" w:lineRule="atLeast"/>
              <w:jc w:val="right"/>
              <w:rPr>
                <w:rFonts w:ascii="仿宋" w:hAnsi="仿宋" w:eastAsia="仿宋" w:cs="仿宋"/>
                <w:sz w:val="24"/>
              </w:rPr>
            </w:pPr>
            <w:r>
              <w:rPr>
                <w:rFonts w:hint="eastAsia" w:ascii="仿宋" w:hAnsi="仿宋" w:eastAsia="仿宋" w:cs="仿宋"/>
                <w:sz w:val="24"/>
              </w:rPr>
              <w:t>　31,051.93　</w:t>
            </w:r>
          </w:p>
        </w:tc>
      </w:tr>
      <w:tr w14:paraId="244EAAC5">
        <w:tblPrEx>
          <w:tblCellMar>
            <w:top w:w="0" w:type="dxa"/>
            <w:left w:w="108" w:type="dxa"/>
            <w:bottom w:w="0" w:type="dxa"/>
            <w:right w:w="108" w:type="dxa"/>
          </w:tblCellMar>
        </w:tblPrEx>
        <w:trPr>
          <w:trHeight w:val="270" w:hRule="atLeast"/>
          <w:jc w:val="right"/>
        </w:trPr>
        <w:tc>
          <w:tcPr>
            <w:tcW w:w="1244" w:type="dxa"/>
            <w:tcBorders>
              <w:top w:val="nil"/>
              <w:left w:val="single" w:color="auto" w:sz="4" w:space="0"/>
              <w:bottom w:val="single" w:color="auto" w:sz="4" w:space="0"/>
              <w:right w:val="single" w:color="auto" w:sz="4" w:space="0"/>
            </w:tcBorders>
            <w:vAlign w:val="center"/>
          </w:tcPr>
          <w:p w14:paraId="28D00E06">
            <w:pPr>
              <w:spacing w:line="440" w:lineRule="atLeast"/>
              <w:jc w:val="center"/>
              <w:rPr>
                <w:rFonts w:ascii="仿宋" w:hAnsi="仿宋" w:eastAsia="仿宋" w:cs="仿宋"/>
                <w:b/>
                <w:bCs/>
                <w:kern w:val="0"/>
                <w:sz w:val="24"/>
              </w:rPr>
            </w:pPr>
            <w:r>
              <w:rPr>
                <w:rFonts w:hint="eastAsia" w:ascii="仿宋" w:hAnsi="仿宋" w:eastAsia="仿宋" w:cs="仿宋"/>
                <w:b/>
                <w:bCs/>
                <w:kern w:val="0"/>
                <w:sz w:val="24"/>
              </w:rPr>
              <w:t>财产类</w:t>
            </w:r>
          </w:p>
        </w:tc>
        <w:tc>
          <w:tcPr>
            <w:tcW w:w="1552" w:type="dxa"/>
            <w:tcBorders>
              <w:top w:val="nil"/>
              <w:left w:val="nil"/>
              <w:bottom w:val="single" w:color="auto" w:sz="4" w:space="0"/>
              <w:right w:val="single" w:color="auto" w:sz="4" w:space="0"/>
            </w:tcBorders>
            <w:vAlign w:val="center"/>
          </w:tcPr>
          <w:p w14:paraId="2D5EE9EE">
            <w:pPr>
              <w:spacing w:line="440" w:lineRule="atLeast"/>
              <w:jc w:val="right"/>
              <w:rPr>
                <w:rFonts w:ascii="仿宋" w:hAnsi="仿宋" w:eastAsia="仿宋" w:cs="仿宋"/>
                <w:sz w:val="24"/>
              </w:rPr>
            </w:pPr>
            <w:r>
              <w:rPr>
                <w:rFonts w:hint="eastAsia" w:ascii="仿宋" w:hAnsi="仿宋" w:eastAsia="仿宋" w:cs="仿宋"/>
                <w:sz w:val="24"/>
              </w:rPr>
              <w:t>3,851.26　</w:t>
            </w:r>
          </w:p>
        </w:tc>
        <w:tc>
          <w:tcPr>
            <w:tcW w:w="1552" w:type="dxa"/>
            <w:tcBorders>
              <w:top w:val="nil"/>
              <w:left w:val="nil"/>
              <w:bottom w:val="single" w:color="auto" w:sz="4" w:space="0"/>
              <w:right w:val="single" w:color="auto" w:sz="4" w:space="0"/>
            </w:tcBorders>
            <w:vAlign w:val="center"/>
          </w:tcPr>
          <w:p w14:paraId="2E7D03D3">
            <w:pPr>
              <w:spacing w:line="440" w:lineRule="atLeast"/>
              <w:jc w:val="right"/>
              <w:rPr>
                <w:rFonts w:ascii="仿宋" w:hAnsi="仿宋" w:eastAsia="仿宋" w:cs="仿宋"/>
                <w:sz w:val="24"/>
              </w:rPr>
            </w:pPr>
            <w:r>
              <w:rPr>
                <w:rFonts w:hint="eastAsia" w:ascii="仿宋" w:hAnsi="仿宋" w:eastAsia="仿宋" w:cs="仿宋"/>
                <w:sz w:val="24"/>
              </w:rPr>
              <w:t>4,678.13　</w:t>
            </w:r>
          </w:p>
        </w:tc>
        <w:tc>
          <w:tcPr>
            <w:tcW w:w="1552" w:type="dxa"/>
            <w:tcBorders>
              <w:top w:val="nil"/>
              <w:left w:val="nil"/>
              <w:bottom w:val="single" w:color="auto" w:sz="4" w:space="0"/>
              <w:right w:val="single" w:color="auto" w:sz="4" w:space="0"/>
            </w:tcBorders>
            <w:vAlign w:val="center"/>
          </w:tcPr>
          <w:p w14:paraId="00D55EF8">
            <w:pPr>
              <w:spacing w:line="440" w:lineRule="atLeast"/>
              <w:jc w:val="right"/>
              <w:rPr>
                <w:rFonts w:ascii="仿宋" w:hAnsi="仿宋" w:eastAsia="仿宋" w:cs="仿宋"/>
                <w:sz w:val="24"/>
              </w:rPr>
            </w:pPr>
            <w:r>
              <w:rPr>
                <w:rFonts w:hint="eastAsia" w:ascii="仿宋" w:hAnsi="仿宋" w:eastAsia="仿宋" w:cs="仿宋"/>
                <w:sz w:val="24"/>
              </w:rPr>
              <w:t>5,340.55　</w:t>
            </w:r>
          </w:p>
        </w:tc>
        <w:tc>
          <w:tcPr>
            <w:tcW w:w="1552" w:type="dxa"/>
            <w:tcBorders>
              <w:top w:val="nil"/>
              <w:left w:val="nil"/>
              <w:bottom w:val="single" w:color="auto" w:sz="4" w:space="0"/>
              <w:right w:val="single" w:color="auto" w:sz="4" w:space="0"/>
            </w:tcBorders>
            <w:vAlign w:val="center"/>
          </w:tcPr>
          <w:p w14:paraId="59853016">
            <w:pPr>
              <w:spacing w:line="440" w:lineRule="atLeast"/>
              <w:jc w:val="right"/>
              <w:rPr>
                <w:rFonts w:ascii="仿宋" w:hAnsi="仿宋" w:eastAsia="仿宋" w:cs="仿宋"/>
                <w:sz w:val="24"/>
              </w:rPr>
            </w:pPr>
            <w:r>
              <w:rPr>
                <w:rFonts w:hint="eastAsia" w:ascii="仿宋" w:hAnsi="仿宋" w:eastAsia="仿宋" w:cs="仿宋"/>
                <w:sz w:val="24"/>
              </w:rPr>
              <w:t>5,552.57　</w:t>
            </w:r>
          </w:p>
        </w:tc>
        <w:tc>
          <w:tcPr>
            <w:tcW w:w="1710" w:type="dxa"/>
            <w:tcBorders>
              <w:top w:val="nil"/>
              <w:left w:val="nil"/>
              <w:bottom w:val="single" w:color="auto" w:sz="4" w:space="0"/>
              <w:right w:val="single" w:color="auto" w:sz="4" w:space="0"/>
            </w:tcBorders>
            <w:vAlign w:val="center"/>
          </w:tcPr>
          <w:p w14:paraId="4DA02F9F">
            <w:pPr>
              <w:spacing w:line="440" w:lineRule="atLeast"/>
              <w:jc w:val="right"/>
              <w:rPr>
                <w:rFonts w:ascii="仿宋" w:hAnsi="仿宋" w:eastAsia="仿宋" w:cs="仿宋"/>
                <w:sz w:val="24"/>
              </w:rPr>
            </w:pPr>
            <w:r>
              <w:rPr>
                <w:rFonts w:hint="eastAsia" w:ascii="仿宋" w:hAnsi="仿宋" w:eastAsia="仿宋" w:cs="仿宋"/>
                <w:sz w:val="24"/>
              </w:rPr>
              <w:t>5,662.51　</w:t>
            </w:r>
          </w:p>
        </w:tc>
      </w:tr>
      <w:tr w14:paraId="4C312ED5">
        <w:tblPrEx>
          <w:tblCellMar>
            <w:top w:w="0" w:type="dxa"/>
            <w:left w:w="108" w:type="dxa"/>
            <w:bottom w:w="0" w:type="dxa"/>
            <w:right w:w="108" w:type="dxa"/>
          </w:tblCellMar>
        </w:tblPrEx>
        <w:trPr>
          <w:trHeight w:val="270" w:hRule="atLeast"/>
          <w:jc w:val="right"/>
        </w:trPr>
        <w:tc>
          <w:tcPr>
            <w:tcW w:w="1244" w:type="dxa"/>
            <w:tcBorders>
              <w:top w:val="nil"/>
              <w:left w:val="single" w:color="auto" w:sz="4" w:space="0"/>
              <w:bottom w:val="single" w:color="auto" w:sz="4" w:space="0"/>
              <w:right w:val="single" w:color="auto" w:sz="4" w:space="0"/>
            </w:tcBorders>
            <w:vAlign w:val="center"/>
          </w:tcPr>
          <w:p w14:paraId="2B5A697D">
            <w:pPr>
              <w:spacing w:line="440" w:lineRule="atLeast"/>
              <w:jc w:val="center"/>
              <w:rPr>
                <w:rFonts w:ascii="仿宋" w:hAnsi="仿宋" w:eastAsia="仿宋" w:cs="仿宋"/>
                <w:b/>
                <w:bCs/>
                <w:kern w:val="0"/>
                <w:sz w:val="24"/>
              </w:rPr>
            </w:pPr>
            <w:r>
              <w:rPr>
                <w:rFonts w:hint="eastAsia" w:ascii="仿宋" w:hAnsi="仿宋" w:eastAsia="仿宋" w:cs="仿宋"/>
                <w:b/>
                <w:bCs/>
                <w:kern w:val="0"/>
                <w:sz w:val="24"/>
              </w:rPr>
              <w:t>合计</w:t>
            </w:r>
          </w:p>
        </w:tc>
        <w:tc>
          <w:tcPr>
            <w:tcW w:w="1552" w:type="dxa"/>
            <w:tcBorders>
              <w:top w:val="nil"/>
              <w:left w:val="nil"/>
              <w:bottom w:val="single" w:color="auto" w:sz="4" w:space="0"/>
              <w:right w:val="single" w:color="auto" w:sz="4" w:space="0"/>
            </w:tcBorders>
            <w:vAlign w:val="center"/>
          </w:tcPr>
          <w:p w14:paraId="56208E7F">
            <w:pPr>
              <w:spacing w:line="440" w:lineRule="atLeast"/>
              <w:jc w:val="right"/>
              <w:rPr>
                <w:rFonts w:ascii="仿宋" w:hAnsi="仿宋" w:eastAsia="仿宋" w:cs="仿宋"/>
                <w:sz w:val="24"/>
              </w:rPr>
            </w:pPr>
            <w:r>
              <w:rPr>
                <w:rFonts w:hint="eastAsia" w:ascii="仿宋" w:hAnsi="仿宋" w:eastAsia="仿宋" w:cs="仿宋"/>
                <w:sz w:val="24"/>
              </w:rPr>
              <w:t>40,414.63　</w:t>
            </w:r>
          </w:p>
        </w:tc>
        <w:tc>
          <w:tcPr>
            <w:tcW w:w="1552" w:type="dxa"/>
            <w:tcBorders>
              <w:top w:val="nil"/>
              <w:left w:val="nil"/>
              <w:bottom w:val="single" w:color="auto" w:sz="4" w:space="0"/>
              <w:right w:val="single" w:color="auto" w:sz="4" w:space="0"/>
            </w:tcBorders>
            <w:vAlign w:val="center"/>
          </w:tcPr>
          <w:p w14:paraId="4573F92D">
            <w:pPr>
              <w:spacing w:line="440" w:lineRule="atLeast"/>
              <w:jc w:val="right"/>
              <w:rPr>
                <w:rFonts w:ascii="仿宋" w:hAnsi="仿宋" w:eastAsia="仿宋" w:cs="仿宋"/>
                <w:sz w:val="24"/>
              </w:rPr>
            </w:pPr>
            <w:r>
              <w:rPr>
                <w:rFonts w:hint="eastAsia" w:ascii="仿宋" w:hAnsi="仿宋" w:eastAsia="仿宋" w:cs="仿宋"/>
                <w:sz w:val="24"/>
              </w:rPr>
              <w:t>49,091.65　</w:t>
            </w:r>
          </w:p>
        </w:tc>
        <w:tc>
          <w:tcPr>
            <w:tcW w:w="1552" w:type="dxa"/>
            <w:tcBorders>
              <w:top w:val="nil"/>
              <w:left w:val="nil"/>
              <w:bottom w:val="single" w:color="auto" w:sz="4" w:space="0"/>
              <w:right w:val="single" w:color="auto" w:sz="4" w:space="0"/>
            </w:tcBorders>
            <w:vAlign w:val="center"/>
          </w:tcPr>
          <w:p w14:paraId="011DAF14">
            <w:pPr>
              <w:spacing w:line="440" w:lineRule="atLeast"/>
              <w:jc w:val="right"/>
              <w:rPr>
                <w:rFonts w:ascii="仿宋" w:hAnsi="仿宋" w:eastAsia="仿宋" w:cs="仿宋"/>
                <w:sz w:val="24"/>
              </w:rPr>
            </w:pPr>
            <w:r>
              <w:rPr>
                <w:rFonts w:hint="eastAsia" w:ascii="仿宋" w:hAnsi="仿宋" w:eastAsia="仿宋" w:cs="仿宋"/>
                <w:sz w:val="24"/>
              </w:rPr>
              <w:t>56,043.02　</w:t>
            </w:r>
          </w:p>
        </w:tc>
        <w:tc>
          <w:tcPr>
            <w:tcW w:w="1552" w:type="dxa"/>
            <w:tcBorders>
              <w:top w:val="nil"/>
              <w:left w:val="nil"/>
              <w:bottom w:val="single" w:color="auto" w:sz="4" w:space="0"/>
              <w:right w:val="single" w:color="auto" w:sz="4" w:space="0"/>
            </w:tcBorders>
            <w:vAlign w:val="center"/>
          </w:tcPr>
          <w:p w14:paraId="58933BAE">
            <w:pPr>
              <w:spacing w:line="440" w:lineRule="atLeast"/>
              <w:jc w:val="right"/>
              <w:rPr>
                <w:rFonts w:ascii="仿宋" w:hAnsi="仿宋" w:eastAsia="仿宋" w:cs="仿宋"/>
                <w:sz w:val="24"/>
              </w:rPr>
            </w:pPr>
            <w:r>
              <w:rPr>
                <w:rFonts w:hint="eastAsia" w:ascii="仿宋" w:hAnsi="仿宋" w:eastAsia="仿宋" w:cs="仿宋"/>
                <w:sz w:val="24"/>
              </w:rPr>
              <w:t>58,267.93　</w:t>
            </w:r>
          </w:p>
        </w:tc>
        <w:tc>
          <w:tcPr>
            <w:tcW w:w="1710" w:type="dxa"/>
            <w:tcBorders>
              <w:top w:val="nil"/>
              <w:left w:val="nil"/>
              <w:bottom w:val="single" w:color="auto" w:sz="4" w:space="0"/>
              <w:right w:val="single" w:color="auto" w:sz="4" w:space="0"/>
            </w:tcBorders>
            <w:vAlign w:val="center"/>
          </w:tcPr>
          <w:p w14:paraId="47A6234B">
            <w:pPr>
              <w:spacing w:line="440" w:lineRule="atLeast"/>
              <w:jc w:val="right"/>
              <w:rPr>
                <w:rFonts w:ascii="仿宋" w:hAnsi="仿宋" w:eastAsia="仿宋" w:cs="仿宋"/>
                <w:sz w:val="24"/>
              </w:rPr>
            </w:pPr>
            <w:r>
              <w:rPr>
                <w:rFonts w:hint="eastAsia" w:ascii="仿宋" w:hAnsi="仿宋" w:eastAsia="仿宋" w:cs="仿宋"/>
                <w:sz w:val="24"/>
              </w:rPr>
              <w:t>59,421.63　</w:t>
            </w:r>
          </w:p>
        </w:tc>
      </w:tr>
    </w:tbl>
    <w:p w14:paraId="418FE8D7">
      <w:pPr>
        <w:shd w:val="clear" w:color="auto" w:fill="FFFFFF"/>
        <w:spacing w:line="440" w:lineRule="atLeast"/>
        <w:ind w:firstLine="482" w:firstLineChars="200"/>
        <w:rPr>
          <w:rFonts w:ascii="宋体" w:hAnsi="宋体" w:eastAsia="宋体" w:cs="宋体"/>
          <w:b/>
          <w:bCs/>
          <w:color w:val="000000"/>
          <w:kern w:val="0"/>
          <w:sz w:val="24"/>
          <w:shd w:val="clear" w:color="auto" w:fill="FFFFFF"/>
          <w:lang w:val="zh-TW" w:eastAsia="zh-TW"/>
        </w:rPr>
      </w:pPr>
      <w:r>
        <w:rPr>
          <w:rFonts w:hint="eastAsia" w:ascii="宋体" w:hAnsi="宋体" w:eastAsia="宋体" w:cs="宋体"/>
          <w:b/>
          <w:bCs/>
          <w:color w:val="000000"/>
          <w:kern w:val="0"/>
          <w:sz w:val="24"/>
          <w:shd w:val="clear" w:color="auto" w:fill="FFFFFF"/>
          <w:lang w:val="zh-TW" w:eastAsia="zh-TW"/>
        </w:rPr>
        <w:t>案例七：业务及管理费预测的合理性分析</w:t>
      </w:r>
    </w:p>
    <w:p w14:paraId="381E194E">
      <w:pPr>
        <w:shd w:val="clear" w:color="auto" w:fill="FFFFFF"/>
        <w:spacing w:line="440" w:lineRule="atLeast"/>
        <w:ind w:firstLine="480" w:firstLineChars="200"/>
        <w:rPr>
          <w:rFonts w:ascii="宋体" w:hAnsi="宋体" w:eastAsia="宋体" w:cs="宋体"/>
          <w:color w:val="000000"/>
          <w:kern w:val="0"/>
          <w:sz w:val="24"/>
          <w:shd w:val="clear" w:color="auto" w:fill="FFFFFF"/>
          <w:lang w:val="zh-CN"/>
        </w:rPr>
      </w:pPr>
      <w:r>
        <w:rPr>
          <w:rFonts w:hint="eastAsia" w:ascii="宋体" w:hAnsi="宋体" w:eastAsia="宋体" w:cs="宋体"/>
          <w:color w:val="000000"/>
          <w:kern w:val="0"/>
          <w:sz w:val="24"/>
          <w:shd w:val="clear" w:color="auto" w:fill="FFFFFF"/>
          <w:lang w:val="zh-CN"/>
        </w:rPr>
        <w:t>xx证券公司业务及管理费包括人员工资薪金、场地及设备租赁费用、日常运营费用、固定资产折旧费、无形资产摊销、业务费用等。其中，人员工资薪金是可变成本，和绩效挂钩。其他费用支出较为刚性。xx证券设立了资产负债配置决策小组，加强资金平衡分析研究，将成本收入比纳入分支机构和各业务单位绩效考核，提高了投入产出意识，深入组织开展“对标挖潜、增收节支”活动，强力推进营业部“降转退”等措施，全方位控制成本，提高产出。</w:t>
      </w:r>
    </w:p>
    <w:p w14:paraId="2C1ADF3E">
      <w:pPr>
        <w:shd w:val="clear" w:color="auto" w:fill="FFFFFF"/>
        <w:spacing w:line="440" w:lineRule="atLeast"/>
        <w:ind w:firstLine="480" w:firstLineChars="200"/>
        <w:rPr>
          <w:rFonts w:ascii="宋体" w:hAnsi="宋体" w:eastAsia="宋体" w:cs="宋体"/>
          <w:color w:val="000000"/>
          <w:kern w:val="0"/>
          <w:sz w:val="24"/>
          <w:shd w:val="clear" w:color="auto" w:fill="FFFFFF"/>
          <w:lang w:val="zh-CN"/>
        </w:rPr>
      </w:pPr>
      <w:r>
        <w:rPr>
          <w:rFonts w:hint="eastAsia" w:ascii="宋体" w:hAnsi="宋体" w:eastAsia="宋体" w:cs="宋体"/>
          <w:color w:val="000000"/>
          <w:kern w:val="0"/>
          <w:sz w:val="24"/>
          <w:shd w:val="clear" w:color="auto" w:fill="FFFFFF"/>
          <w:lang w:val="zh-CN"/>
        </w:rPr>
        <w:t>参考xx证券公司历史年度管理费率水平，并结合企业控制成本的措施，预测未来年度业务及管理费。其中，员工成本与员工的招聘计划及平均工资相关；租金支出按全国房租增长率的平均水平确定增长率；业务拓展支出与业务扩张和主营收入存在一定程度的正相关，但会出于税收政策及费用节约的需求占营业收入的比重逐年有所下降直至行业平均水平，行政办公支出与人员增速存在一定程度的正相关，其他各项支出基本保持不变。</w:t>
      </w:r>
    </w:p>
    <w:p w14:paraId="5C2B7AFE">
      <w:pPr>
        <w:shd w:val="clear" w:color="auto" w:fill="FFFFFF"/>
        <w:spacing w:line="440" w:lineRule="atLeast"/>
        <w:ind w:firstLine="480" w:firstLineChars="200"/>
        <w:rPr>
          <w:rFonts w:ascii="宋体" w:hAnsi="宋体" w:eastAsia="宋体" w:cs="宋体"/>
          <w:color w:val="000000"/>
          <w:kern w:val="0"/>
          <w:sz w:val="24"/>
          <w:shd w:val="clear" w:color="auto" w:fill="FFFFFF"/>
          <w:lang w:val="zh-CN"/>
        </w:rPr>
      </w:pPr>
      <w:r>
        <w:rPr>
          <w:rFonts w:hint="eastAsia" w:ascii="宋体" w:hAnsi="宋体" w:eastAsia="宋体" w:cs="宋体"/>
          <w:color w:val="000000"/>
          <w:kern w:val="0"/>
          <w:sz w:val="24"/>
          <w:shd w:val="clear" w:color="auto" w:fill="FFFFFF"/>
          <w:lang w:val="zh-CN"/>
        </w:rPr>
        <w:t>预测期业务及管理费占营业收入的比重如下表所示。</w:t>
      </w:r>
    </w:p>
    <w:tbl>
      <w:tblPr>
        <w:tblStyle w:val="2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61"/>
        <w:gridCol w:w="993"/>
        <w:gridCol w:w="992"/>
        <w:gridCol w:w="992"/>
        <w:gridCol w:w="992"/>
        <w:gridCol w:w="992"/>
      </w:tblGrid>
      <w:tr w14:paraId="49FF9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561" w:type="dxa"/>
            <w:vAlign w:val="center"/>
          </w:tcPr>
          <w:p w14:paraId="77E17900">
            <w:pPr>
              <w:spacing w:line="440" w:lineRule="atLeast"/>
              <w:jc w:val="center"/>
              <w:rPr>
                <w:rFonts w:ascii="仿宋" w:hAnsi="仿宋" w:eastAsia="仿宋" w:cs="仿宋"/>
                <w:kern w:val="0"/>
                <w:sz w:val="24"/>
              </w:rPr>
            </w:pPr>
            <w:r>
              <w:rPr>
                <w:rFonts w:hint="eastAsia" w:ascii="仿宋" w:hAnsi="仿宋" w:eastAsia="仿宋" w:cs="仿宋"/>
                <w:kern w:val="0"/>
                <w:sz w:val="24"/>
              </w:rPr>
              <w:t>预测期</w:t>
            </w:r>
          </w:p>
        </w:tc>
        <w:tc>
          <w:tcPr>
            <w:tcW w:w="993" w:type="dxa"/>
            <w:vAlign w:val="center"/>
          </w:tcPr>
          <w:p w14:paraId="1B1ED35F">
            <w:pPr>
              <w:spacing w:line="440" w:lineRule="atLeast"/>
              <w:jc w:val="center"/>
              <w:rPr>
                <w:rFonts w:ascii="仿宋" w:hAnsi="仿宋" w:eastAsia="仿宋" w:cs="仿宋"/>
                <w:kern w:val="0"/>
                <w:sz w:val="24"/>
              </w:rPr>
            </w:pPr>
            <w:r>
              <w:rPr>
                <w:rFonts w:hint="eastAsia" w:ascii="仿宋" w:hAnsi="仿宋" w:eastAsia="仿宋" w:cs="仿宋"/>
                <w:kern w:val="0"/>
                <w:sz w:val="24"/>
              </w:rPr>
              <w:t>20x4</w:t>
            </w:r>
          </w:p>
        </w:tc>
        <w:tc>
          <w:tcPr>
            <w:tcW w:w="992" w:type="dxa"/>
            <w:vAlign w:val="center"/>
          </w:tcPr>
          <w:p w14:paraId="1A368FE9">
            <w:pPr>
              <w:spacing w:line="440" w:lineRule="atLeast"/>
              <w:jc w:val="center"/>
              <w:rPr>
                <w:rFonts w:ascii="仿宋" w:hAnsi="仿宋" w:eastAsia="仿宋" w:cs="仿宋"/>
                <w:kern w:val="0"/>
                <w:sz w:val="24"/>
              </w:rPr>
            </w:pPr>
            <w:r>
              <w:rPr>
                <w:rFonts w:hint="eastAsia" w:ascii="仿宋" w:hAnsi="仿宋" w:eastAsia="仿宋" w:cs="仿宋"/>
                <w:kern w:val="0"/>
                <w:sz w:val="24"/>
              </w:rPr>
              <w:t>20x5</w:t>
            </w:r>
          </w:p>
        </w:tc>
        <w:tc>
          <w:tcPr>
            <w:tcW w:w="992" w:type="dxa"/>
            <w:vAlign w:val="center"/>
          </w:tcPr>
          <w:p w14:paraId="694E1D3F">
            <w:pPr>
              <w:spacing w:line="440" w:lineRule="atLeast"/>
              <w:jc w:val="center"/>
              <w:rPr>
                <w:rFonts w:ascii="仿宋" w:hAnsi="仿宋" w:eastAsia="仿宋" w:cs="仿宋"/>
                <w:kern w:val="0"/>
                <w:sz w:val="24"/>
              </w:rPr>
            </w:pPr>
            <w:r>
              <w:rPr>
                <w:rFonts w:hint="eastAsia" w:ascii="仿宋" w:hAnsi="仿宋" w:eastAsia="仿宋" w:cs="仿宋"/>
                <w:kern w:val="0"/>
                <w:sz w:val="24"/>
              </w:rPr>
              <w:t>20x6</w:t>
            </w:r>
          </w:p>
        </w:tc>
        <w:tc>
          <w:tcPr>
            <w:tcW w:w="992" w:type="dxa"/>
            <w:vAlign w:val="center"/>
          </w:tcPr>
          <w:p w14:paraId="16094BC1">
            <w:pPr>
              <w:spacing w:line="440" w:lineRule="atLeast"/>
              <w:jc w:val="center"/>
              <w:rPr>
                <w:rFonts w:ascii="仿宋" w:hAnsi="仿宋" w:eastAsia="仿宋" w:cs="仿宋"/>
                <w:kern w:val="0"/>
                <w:sz w:val="24"/>
              </w:rPr>
            </w:pPr>
            <w:r>
              <w:rPr>
                <w:rFonts w:hint="eastAsia" w:ascii="仿宋" w:hAnsi="仿宋" w:eastAsia="仿宋" w:cs="仿宋"/>
                <w:kern w:val="0"/>
                <w:sz w:val="24"/>
              </w:rPr>
              <w:t>20x7</w:t>
            </w:r>
          </w:p>
        </w:tc>
        <w:tc>
          <w:tcPr>
            <w:tcW w:w="992" w:type="dxa"/>
            <w:vAlign w:val="center"/>
          </w:tcPr>
          <w:p w14:paraId="78C49E39">
            <w:pPr>
              <w:spacing w:line="440" w:lineRule="atLeast"/>
              <w:jc w:val="center"/>
              <w:rPr>
                <w:rFonts w:ascii="仿宋" w:hAnsi="仿宋" w:eastAsia="仿宋" w:cs="仿宋"/>
                <w:kern w:val="0"/>
                <w:sz w:val="24"/>
              </w:rPr>
            </w:pPr>
            <w:r>
              <w:rPr>
                <w:rFonts w:hint="eastAsia" w:ascii="仿宋" w:hAnsi="仿宋" w:eastAsia="仿宋" w:cs="仿宋"/>
                <w:kern w:val="0"/>
                <w:sz w:val="24"/>
              </w:rPr>
              <w:t>20x8</w:t>
            </w:r>
          </w:p>
        </w:tc>
      </w:tr>
      <w:tr w14:paraId="62118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561" w:type="dxa"/>
            <w:vAlign w:val="center"/>
          </w:tcPr>
          <w:p w14:paraId="4823501A">
            <w:pPr>
              <w:spacing w:line="440" w:lineRule="atLeast"/>
              <w:jc w:val="center"/>
              <w:rPr>
                <w:rFonts w:ascii="仿宋" w:hAnsi="仿宋" w:eastAsia="仿宋" w:cs="仿宋"/>
                <w:kern w:val="0"/>
                <w:sz w:val="24"/>
              </w:rPr>
            </w:pPr>
            <w:r>
              <w:rPr>
                <w:rFonts w:hint="eastAsia" w:ascii="仿宋" w:hAnsi="仿宋" w:eastAsia="仿宋" w:cs="仿宋"/>
                <w:kern w:val="0"/>
                <w:sz w:val="24"/>
              </w:rPr>
              <w:t>业务及管理费/营业收入</w:t>
            </w:r>
          </w:p>
        </w:tc>
        <w:tc>
          <w:tcPr>
            <w:tcW w:w="993" w:type="dxa"/>
            <w:vAlign w:val="center"/>
          </w:tcPr>
          <w:p w14:paraId="70D34416">
            <w:pPr>
              <w:spacing w:line="440" w:lineRule="atLeast"/>
              <w:jc w:val="center"/>
              <w:rPr>
                <w:rFonts w:ascii="仿宋" w:hAnsi="仿宋" w:eastAsia="仿宋" w:cs="仿宋"/>
                <w:sz w:val="24"/>
              </w:rPr>
            </w:pPr>
            <w:r>
              <w:rPr>
                <w:rFonts w:hint="eastAsia" w:ascii="仿宋" w:hAnsi="仿宋" w:eastAsia="仿宋" w:cs="仿宋"/>
                <w:sz w:val="24"/>
              </w:rPr>
              <w:t>61%</w:t>
            </w:r>
          </w:p>
        </w:tc>
        <w:tc>
          <w:tcPr>
            <w:tcW w:w="992" w:type="dxa"/>
            <w:vAlign w:val="center"/>
          </w:tcPr>
          <w:p w14:paraId="10E0350B">
            <w:pPr>
              <w:spacing w:line="440" w:lineRule="atLeast"/>
              <w:jc w:val="center"/>
              <w:rPr>
                <w:rFonts w:ascii="仿宋" w:hAnsi="仿宋" w:eastAsia="仿宋" w:cs="仿宋"/>
                <w:sz w:val="24"/>
              </w:rPr>
            </w:pPr>
            <w:r>
              <w:rPr>
                <w:rFonts w:hint="eastAsia" w:ascii="仿宋" w:hAnsi="仿宋" w:eastAsia="仿宋" w:cs="仿宋"/>
                <w:sz w:val="24"/>
              </w:rPr>
              <w:t>57%</w:t>
            </w:r>
          </w:p>
        </w:tc>
        <w:tc>
          <w:tcPr>
            <w:tcW w:w="992" w:type="dxa"/>
            <w:vAlign w:val="center"/>
          </w:tcPr>
          <w:p w14:paraId="0D3993DD">
            <w:pPr>
              <w:spacing w:line="440" w:lineRule="atLeast"/>
              <w:jc w:val="center"/>
              <w:rPr>
                <w:rFonts w:ascii="仿宋" w:hAnsi="仿宋" w:eastAsia="仿宋" w:cs="仿宋"/>
                <w:sz w:val="24"/>
              </w:rPr>
            </w:pPr>
            <w:r>
              <w:rPr>
                <w:rFonts w:hint="eastAsia" w:ascii="仿宋" w:hAnsi="仿宋" w:eastAsia="仿宋" w:cs="仿宋"/>
                <w:sz w:val="24"/>
              </w:rPr>
              <w:t>54%</w:t>
            </w:r>
          </w:p>
        </w:tc>
        <w:tc>
          <w:tcPr>
            <w:tcW w:w="992" w:type="dxa"/>
            <w:vAlign w:val="center"/>
          </w:tcPr>
          <w:p w14:paraId="7F0A68ED">
            <w:pPr>
              <w:spacing w:line="440" w:lineRule="atLeast"/>
              <w:jc w:val="center"/>
              <w:rPr>
                <w:rFonts w:ascii="仿宋" w:hAnsi="仿宋" w:eastAsia="仿宋" w:cs="仿宋"/>
                <w:sz w:val="24"/>
              </w:rPr>
            </w:pPr>
            <w:r>
              <w:rPr>
                <w:rFonts w:hint="eastAsia" w:ascii="仿宋" w:hAnsi="仿宋" w:eastAsia="仿宋" w:cs="仿宋"/>
                <w:sz w:val="24"/>
              </w:rPr>
              <w:t>51%</w:t>
            </w:r>
          </w:p>
        </w:tc>
        <w:tc>
          <w:tcPr>
            <w:tcW w:w="992" w:type="dxa"/>
            <w:vAlign w:val="center"/>
          </w:tcPr>
          <w:p w14:paraId="243EF301">
            <w:pPr>
              <w:spacing w:line="440" w:lineRule="atLeast"/>
              <w:jc w:val="center"/>
              <w:rPr>
                <w:rFonts w:ascii="仿宋" w:hAnsi="仿宋" w:eastAsia="仿宋" w:cs="仿宋"/>
                <w:sz w:val="24"/>
              </w:rPr>
            </w:pPr>
            <w:r>
              <w:rPr>
                <w:rFonts w:hint="eastAsia" w:ascii="仿宋" w:hAnsi="仿宋" w:eastAsia="仿宋" w:cs="仿宋"/>
                <w:sz w:val="24"/>
              </w:rPr>
              <w:t>49%</w:t>
            </w:r>
          </w:p>
        </w:tc>
      </w:tr>
    </w:tbl>
    <w:p w14:paraId="2612AB03">
      <w:pPr>
        <w:shd w:val="clear" w:color="auto" w:fill="FFFFFF"/>
        <w:spacing w:line="440" w:lineRule="atLeast"/>
        <w:ind w:firstLine="480" w:firstLineChars="200"/>
        <w:rPr>
          <w:rFonts w:ascii="宋体" w:hAnsi="宋体" w:eastAsia="宋体" w:cs="宋体"/>
          <w:color w:val="000000"/>
          <w:kern w:val="0"/>
          <w:sz w:val="24"/>
          <w:shd w:val="clear" w:color="auto" w:fill="FFFFFF"/>
          <w:lang w:val="zh-CN"/>
        </w:rPr>
      </w:pPr>
      <w:r>
        <w:rPr>
          <w:rFonts w:hint="eastAsia" w:ascii="宋体" w:hAnsi="宋体" w:eastAsia="宋体" w:cs="宋体"/>
          <w:color w:val="000000"/>
          <w:kern w:val="0"/>
          <w:sz w:val="24"/>
          <w:shd w:val="clear" w:color="auto" w:fill="FFFFFF"/>
          <w:lang w:val="zh-CN"/>
        </w:rPr>
        <w:t>在预测期内，由于业务规模的扩张，营业收入增长较快，而费用节约效应明显，费用占收入的比重在预测期会平稳下降，在预测期末达到较稳定的水平。</w:t>
      </w:r>
    </w:p>
    <w:p w14:paraId="4196DC06">
      <w:pPr>
        <w:shd w:val="clear" w:color="auto" w:fill="FFFFFF"/>
        <w:spacing w:line="440" w:lineRule="atLeast"/>
        <w:ind w:firstLine="480" w:firstLineChars="200"/>
        <w:rPr>
          <w:rFonts w:ascii="宋体" w:hAnsi="宋体" w:eastAsia="宋体" w:cs="宋体"/>
          <w:color w:val="000000"/>
          <w:kern w:val="0"/>
          <w:sz w:val="24"/>
          <w:shd w:val="clear" w:color="auto" w:fill="FFFFFF"/>
          <w:lang w:val="zh-CN"/>
        </w:rPr>
      </w:pPr>
      <w:r>
        <w:rPr>
          <w:rFonts w:hint="eastAsia" w:ascii="宋体" w:hAnsi="宋体" w:eastAsia="宋体" w:cs="宋体"/>
          <w:color w:val="000000"/>
          <w:kern w:val="0"/>
          <w:sz w:val="24"/>
          <w:shd w:val="clear" w:color="auto" w:fill="FFFFFF"/>
          <w:lang w:val="zh-CN"/>
        </w:rPr>
        <w:t>一般认为，上市公司是同行业内相对处于成熟期的企业，其财务指标一定程度代表行业水平。选取20y8-20x3年证券行业上市公司管理费用/营业收入指标对营业费用预测的合理性进行验证。</w:t>
      </w:r>
    </w:p>
    <w:p w14:paraId="7E51C620">
      <w:pPr>
        <w:spacing w:line="440" w:lineRule="atLeast"/>
        <w:jc w:val="center"/>
        <w:rPr>
          <w:rFonts w:ascii="仿宋" w:hAnsi="仿宋" w:eastAsia="仿宋" w:cs="仿宋"/>
          <w:sz w:val="24"/>
          <w:lang w:val="zh-CN"/>
        </w:rPr>
      </w:pPr>
      <w:r>
        <w:rPr>
          <w:rFonts w:hint="eastAsia" w:ascii="仿宋" w:hAnsi="仿宋" w:eastAsia="仿宋" w:cs="仿宋"/>
          <w:sz w:val="24"/>
          <w:lang w:val="zh-CN"/>
        </w:rPr>
        <w:t>20y8-20x3年证券行业上市公司管理费用占营业收入比重</w:t>
      </w:r>
    </w:p>
    <w:tbl>
      <w:tblPr>
        <w:tblStyle w:val="24"/>
        <w:tblW w:w="8500" w:type="dxa"/>
        <w:tblInd w:w="93" w:type="dxa"/>
        <w:tblLayout w:type="fixed"/>
        <w:tblCellMar>
          <w:top w:w="0" w:type="dxa"/>
          <w:left w:w="108" w:type="dxa"/>
          <w:bottom w:w="0" w:type="dxa"/>
          <w:right w:w="108" w:type="dxa"/>
        </w:tblCellMar>
      </w:tblPr>
      <w:tblGrid>
        <w:gridCol w:w="1060"/>
        <w:gridCol w:w="960"/>
        <w:gridCol w:w="1080"/>
        <w:gridCol w:w="1080"/>
        <w:gridCol w:w="1080"/>
        <w:gridCol w:w="1080"/>
        <w:gridCol w:w="1080"/>
        <w:gridCol w:w="1080"/>
      </w:tblGrid>
      <w:tr w14:paraId="3CE04D01">
        <w:tblPrEx>
          <w:tblCellMar>
            <w:top w:w="0" w:type="dxa"/>
            <w:left w:w="108" w:type="dxa"/>
            <w:bottom w:w="0" w:type="dxa"/>
            <w:right w:w="108" w:type="dxa"/>
          </w:tblCellMar>
        </w:tblPrEx>
        <w:trPr>
          <w:trHeight w:val="416" w:hRule="atLeast"/>
          <w:tblHeader/>
        </w:trPr>
        <w:tc>
          <w:tcPr>
            <w:tcW w:w="1060" w:type="dxa"/>
            <w:tcBorders>
              <w:top w:val="single" w:color="auto" w:sz="4" w:space="0"/>
              <w:left w:val="single" w:color="auto" w:sz="4" w:space="0"/>
              <w:bottom w:val="single" w:color="auto" w:sz="4" w:space="0"/>
              <w:right w:val="single" w:color="auto" w:sz="4" w:space="0"/>
            </w:tcBorders>
            <w:vAlign w:val="center"/>
          </w:tcPr>
          <w:p w14:paraId="394004A0">
            <w:pPr>
              <w:spacing w:line="440" w:lineRule="atLeast"/>
              <w:jc w:val="center"/>
              <w:rPr>
                <w:rFonts w:ascii="仿宋" w:hAnsi="仿宋" w:eastAsia="仿宋" w:cs="仿宋"/>
                <w:kern w:val="0"/>
                <w:sz w:val="24"/>
              </w:rPr>
            </w:pPr>
            <w:r>
              <w:rPr>
                <w:rFonts w:hint="eastAsia" w:ascii="仿宋" w:hAnsi="仿宋" w:eastAsia="仿宋" w:cs="仿宋"/>
                <w:kern w:val="0"/>
                <w:sz w:val="24"/>
              </w:rPr>
              <w:t>证券代码</w:t>
            </w:r>
          </w:p>
        </w:tc>
        <w:tc>
          <w:tcPr>
            <w:tcW w:w="960" w:type="dxa"/>
            <w:tcBorders>
              <w:top w:val="single" w:color="auto" w:sz="4" w:space="0"/>
              <w:left w:val="nil"/>
              <w:bottom w:val="single" w:color="auto" w:sz="4" w:space="0"/>
              <w:right w:val="single" w:color="auto" w:sz="4" w:space="0"/>
            </w:tcBorders>
            <w:vAlign w:val="center"/>
          </w:tcPr>
          <w:p w14:paraId="6D1AC570">
            <w:pPr>
              <w:spacing w:line="440" w:lineRule="atLeast"/>
              <w:jc w:val="center"/>
              <w:rPr>
                <w:rFonts w:ascii="仿宋" w:hAnsi="仿宋" w:eastAsia="仿宋" w:cs="仿宋"/>
                <w:kern w:val="0"/>
                <w:sz w:val="24"/>
              </w:rPr>
            </w:pPr>
            <w:r>
              <w:rPr>
                <w:rFonts w:hint="eastAsia" w:ascii="仿宋" w:hAnsi="仿宋" w:eastAsia="仿宋" w:cs="仿宋"/>
                <w:kern w:val="0"/>
                <w:sz w:val="24"/>
              </w:rPr>
              <w:t>证券简称</w:t>
            </w:r>
          </w:p>
        </w:tc>
        <w:tc>
          <w:tcPr>
            <w:tcW w:w="1080" w:type="dxa"/>
            <w:tcBorders>
              <w:top w:val="single" w:color="auto" w:sz="4" w:space="0"/>
              <w:left w:val="nil"/>
              <w:bottom w:val="single" w:color="auto" w:sz="4" w:space="0"/>
              <w:right w:val="single" w:color="auto" w:sz="4" w:space="0"/>
            </w:tcBorders>
            <w:vAlign w:val="center"/>
          </w:tcPr>
          <w:p w14:paraId="4BD8FB1A">
            <w:pPr>
              <w:spacing w:line="440" w:lineRule="atLeast"/>
              <w:jc w:val="center"/>
              <w:rPr>
                <w:rFonts w:ascii="仿宋" w:hAnsi="仿宋" w:eastAsia="仿宋" w:cs="仿宋"/>
                <w:kern w:val="0"/>
                <w:sz w:val="24"/>
              </w:rPr>
            </w:pPr>
            <w:r>
              <w:rPr>
                <w:rFonts w:hint="eastAsia" w:ascii="仿宋" w:hAnsi="仿宋" w:eastAsia="仿宋" w:cs="仿宋"/>
                <w:kern w:val="0"/>
                <w:sz w:val="24"/>
              </w:rPr>
              <w:t>20y8</w:t>
            </w:r>
          </w:p>
        </w:tc>
        <w:tc>
          <w:tcPr>
            <w:tcW w:w="1080" w:type="dxa"/>
            <w:tcBorders>
              <w:top w:val="single" w:color="auto" w:sz="4" w:space="0"/>
              <w:left w:val="nil"/>
              <w:bottom w:val="single" w:color="auto" w:sz="4" w:space="0"/>
              <w:right w:val="single" w:color="auto" w:sz="4" w:space="0"/>
            </w:tcBorders>
            <w:vAlign w:val="center"/>
          </w:tcPr>
          <w:p w14:paraId="54CA6504">
            <w:pPr>
              <w:spacing w:line="440" w:lineRule="atLeast"/>
              <w:jc w:val="center"/>
              <w:rPr>
                <w:rFonts w:ascii="仿宋" w:hAnsi="仿宋" w:eastAsia="仿宋" w:cs="仿宋"/>
                <w:kern w:val="0"/>
                <w:sz w:val="24"/>
              </w:rPr>
            </w:pPr>
            <w:r>
              <w:rPr>
                <w:rFonts w:hint="eastAsia" w:ascii="仿宋" w:hAnsi="仿宋" w:eastAsia="仿宋" w:cs="仿宋"/>
                <w:kern w:val="0"/>
                <w:sz w:val="24"/>
              </w:rPr>
              <w:t>20y9</w:t>
            </w:r>
          </w:p>
        </w:tc>
        <w:tc>
          <w:tcPr>
            <w:tcW w:w="1080" w:type="dxa"/>
            <w:tcBorders>
              <w:top w:val="single" w:color="auto" w:sz="4" w:space="0"/>
              <w:left w:val="nil"/>
              <w:bottom w:val="single" w:color="auto" w:sz="4" w:space="0"/>
              <w:right w:val="single" w:color="auto" w:sz="4" w:space="0"/>
            </w:tcBorders>
            <w:vAlign w:val="center"/>
          </w:tcPr>
          <w:p w14:paraId="7D99ACFD">
            <w:pPr>
              <w:spacing w:line="440" w:lineRule="atLeast"/>
              <w:jc w:val="center"/>
              <w:rPr>
                <w:rFonts w:ascii="仿宋" w:hAnsi="仿宋" w:eastAsia="仿宋" w:cs="仿宋"/>
                <w:kern w:val="0"/>
                <w:sz w:val="24"/>
              </w:rPr>
            </w:pPr>
            <w:r>
              <w:rPr>
                <w:rFonts w:hint="eastAsia" w:ascii="仿宋" w:hAnsi="仿宋" w:eastAsia="仿宋" w:cs="仿宋"/>
                <w:kern w:val="0"/>
                <w:sz w:val="24"/>
              </w:rPr>
              <w:t>20x0</w:t>
            </w:r>
          </w:p>
        </w:tc>
        <w:tc>
          <w:tcPr>
            <w:tcW w:w="1080" w:type="dxa"/>
            <w:tcBorders>
              <w:top w:val="single" w:color="auto" w:sz="4" w:space="0"/>
              <w:left w:val="nil"/>
              <w:bottom w:val="single" w:color="auto" w:sz="4" w:space="0"/>
              <w:right w:val="single" w:color="auto" w:sz="4" w:space="0"/>
            </w:tcBorders>
            <w:vAlign w:val="center"/>
          </w:tcPr>
          <w:p w14:paraId="3AB6961C">
            <w:pPr>
              <w:spacing w:line="440" w:lineRule="atLeast"/>
              <w:jc w:val="center"/>
              <w:rPr>
                <w:rFonts w:ascii="仿宋" w:hAnsi="仿宋" w:eastAsia="仿宋" w:cs="仿宋"/>
                <w:kern w:val="0"/>
                <w:sz w:val="24"/>
              </w:rPr>
            </w:pPr>
            <w:r>
              <w:rPr>
                <w:rFonts w:hint="eastAsia" w:ascii="仿宋" w:hAnsi="仿宋" w:eastAsia="仿宋" w:cs="仿宋"/>
                <w:kern w:val="0"/>
                <w:sz w:val="24"/>
              </w:rPr>
              <w:t>20x1</w:t>
            </w:r>
          </w:p>
        </w:tc>
        <w:tc>
          <w:tcPr>
            <w:tcW w:w="1080" w:type="dxa"/>
            <w:tcBorders>
              <w:top w:val="single" w:color="auto" w:sz="4" w:space="0"/>
              <w:left w:val="nil"/>
              <w:bottom w:val="single" w:color="auto" w:sz="4" w:space="0"/>
              <w:right w:val="single" w:color="auto" w:sz="4" w:space="0"/>
            </w:tcBorders>
            <w:vAlign w:val="center"/>
          </w:tcPr>
          <w:p w14:paraId="6CAA3A58">
            <w:pPr>
              <w:spacing w:line="440" w:lineRule="atLeast"/>
              <w:jc w:val="center"/>
              <w:rPr>
                <w:rFonts w:ascii="仿宋" w:hAnsi="仿宋" w:eastAsia="仿宋" w:cs="仿宋"/>
                <w:kern w:val="0"/>
                <w:sz w:val="24"/>
              </w:rPr>
            </w:pPr>
            <w:r>
              <w:rPr>
                <w:rFonts w:hint="eastAsia" w:ascii="仿宋" w:hAnsi="仿宋" w:eastAsia="仿宋" w:cs="仿宋"/>
                <w:kern w:val="0"/>
                <w:sz w:val="24"/>
              </w:rPr>
              <w:t>20x2</w:t>
            </w:r>
          </w:p>
        </w:tc>
        <w:tc>
          <w:tcPr>
            <w:tcW w:w="1080" w:type="dxa"/>
            <w:tcBorders>
              <w:top w:val="single" w:color="auto" w:sz="4" w:space="0"/>
              <w:left w:val="nil"/>
              <w:bottom w:val="single" w:color="auto" w:sz="4" w:space="0"/>
              <w:right w:val="single" w:color="auto" w:sz="4" w:space="0"/>
            </w:tcBorders>
            <w:vAlign w:val="center"/>
          </w:tcPr>
          <w:p w14:paraId="198DC369">
            <w:pPr>
              <w:spacing w:line="440" w:lineRule="atLeast"/>
              <w:jc w:val="center"/>
              <w:rPr>
                <w:rFonts w:ascii="仿宋" w:hAnsi="仿宋" w:eastAsia="仿宋" w:cs="仿宋"/>
                <w:kern w:val="0"/>
                <w:sz w:val="24"/>
              </w:rPr>
            </w:pPr>
            <w:r>
              <w:rPr>
                <w:rFonts w:hint="eastAsia" w:ascii="仿宋" w:hAnsi="仿宋" w:eastAsia="仿宋" w:cs="仿宋"/>
                <w:kern w:val="0"/>
                <w:sz w:val="24"/>
              </w:rPr>
              <w:t>20x3</w:t>
            </w:r>
          </w:p>
        </w:tc>
      </w:tr>
      <w:tr w14:paraId="3E6E6938">
        <w:tblPrEx>
          <w:tblCellMar>
            <w:top w:w="0" w:type="dxa"/>
            <w:left w:w="108" w:type="dxa"/>
            <w:bottom w:w="0" w:type="dxa"/>
            <w:right w:w="108" w:type="dxa"/>
          </w:tblCellMar>
        </w:tblPrEx>
        <w:trPr>
          <w:trHeight w:val="255" w:hRule="atLeast"/>
        </w:trPr>
        <w:tc>
          <w:tcPr>
            <w:tcW w:w="1060" w:type="dxa"/>
            <w:tcBorders>
              <w:top w:val="nil"/>
              <w:left w:val="single" w:color="auto" w:sz="4" w:space="0"/>
              <w:bottom w:val="single" w:color="auto" w:sz="4" w:space="0"/>
              <w:right w:val="single" w:color="auto" w:sz="4" w:space="0"/>
            </w:tcBorders>
            <w:vAlign w:val="center"/>
          </w:tcPr>
          <w:p w14:paraId="71935FA0">
            <w:pPr>
              <w:spacing w:line="440" w:lineRule="atLeast"/>
              <w:jc w:val="center"/>
              <w:rPr>
                <w:rFonts w:ascii="仿宋" w:hAnsi="仿宋" w:eastAsia="仿宋" w:cs="仿宋"/>
                <w:kern w:val="0"/>
                <w:sz w:val="24"/>
              </w:rPr>
            </w:pPr>
            <w:r>
              <w:rPr>
                <w:rFonts w:hint="eastAsia" w:ascii="仿宋" w:hAnsi="仿宋" w:eastAsia="仿宋" w:cs="仿宋"/>
                <w:kern w:val="0"/>
                <w:sz w:val="24"/>
              </w:rPr>
              <w:t>000166.SZ</w:t>
            </w:r>
          </w:p>
        </w:tc>
        <w:tc>
          <w:tcPr>
            <w:tcW w:w="960" w:type="dxa"/>
            <w:tcBorders>
              <w:top w:val="nil"/>
              <w:left w:val="nil"/>
              <w:bottom w:val="single" w:color="auto" w:sz="4" w:space="0"/>
              <w:right w:val="single" w:color="auto" w:sz="4" w:space="0"/>
            </w:tcBorders>
            <w:vAlign w:val="center"/>
          </w:tcPr>
          <w:p w14:paraId="4C4B9432">
            <w:pPr>
              <w:spacing w:line="440" w:lineRule="atLeast"/>
              <w:jc w:val="center"/>
              <w:rPr>
                <w:rFonts w:ascii="仿宋" w:hAnsi="仿宋" w:eastAsia="仿宋" w:cs="仿宋"/>
                <w:kern w:val="0"/>
                <w:sz w:val="24"/>
              </w:rPr>
            </w:pPr>
            <w:r>
              <w:rPr>
                <w:rFonts w:hint="eastAsia" w:ascii="仿宋" w:hAnsi="仿宋" w:eastAsia="仿宋" w:cs="仿宋"/>
                <w:kern w:val="0"/>
                <w:sz w:val="24"/>
              </w:rPr>
              <w:t>申万宏源</w:t>
            </w:r>
          </w:p>
        </w:tc>
        <w:tc>
          <w:tcPr>
            <w:tcW w:w="1080" w:type="dxa"/>
            <w:tcBorders>
              <w:top w:val="nil"/>
              <w:left w:val="nil"/>
              <w:bottom w:val="single" w:color="auto" w:sz="4" w:space="0"/>
              <w:right w:val="single" w:color="auto" w:sz="4" w:space="0"/>
            </w:tcBorders>
            <w:vAlign w:val="center"/>
          </w:tcPr>
          <w:p w14:paraId="6A4B8D71">
            <w:pPr>
              <w:spacing w:line="440" w:lineRule="atLeast"/>
              <w:jc w:val="right"/>
              <w:rPr>
                <w:rFonts w:ascii="仿宋" w:hAnsi="仿宋" w:eastAsia="仿宋" w:cs="仿宋"/>
                <w:kern w:val="0"/>
                <w:sz w:val="24"/>
              </w:rPr>
            </w:pPr>
            <w:r>
              <w:rPr>
                <w:rFonts w:hint="eastAsia" w:ascii="仿宋" w:hAnsi="仿宋" w:eastAsia="仿宋" w:cs="仿宋"/>
                <w:kern w:val="0"/>
                <w:sz w:val="24"/>
              </w:rPr>
              <w:t>37.23%</w:t>
            </w:r>
          </w:p>
        </w:tc>
        <w:tc>
          <w:tcPr>
            <w:tcW w:w="1080" w:type="dxa"/>
            <w:tcBorders>
              <w:top w:val="nil"/>
              <w:left w:val="nil"/>
              <w:bottom w:val="single" w:color="auto" w:sz="4" w:space="0"/>
              <w:right w:val="single" w:color="auto" w:sz="4" w:space="0"/>
            </w:tcBorders>
            <w:vAlign w:val="center"/>
          </w:tcPr>
          <w:p w14:paraId="431FC66F">
            <w:pPr>
              <w:spacing w:line="440" w:lineRule="atLeast"/>
              <w:jc w:val="right"/>
              <w:rPr>
                <w:rFonts w:ascii="仿宋" w:hAnsi="仿宋" w:eastAsia="仿宋" w:cs="仿宋"/>
                <w:kern w:val="0"/>
                <w:sz w:val="24"/>
              </w:rPr>
            </w:pPr>
            <w:r>
              <w:rPr>
                <w:rFonts w:hint="eastAsia" w:ascii="仿宋" w:hAnsi="仿宋" w:eastAsia="仿宋" w:cs="仿宋"/>
                <w:kern w:val="0"/>
                <w:sz w:val="24"/>
              </w:rPr>
              <w:t>28.29%</w:t>
            </w:r>
          </w:p>
        </w:tc>
        <w:tc>
          <w:tcPr>
            <w:tcW w:w="1080" w:type="dxa"/>
            <w:tcBorders>
              <w:top w:val="nil"/>
              <w:left w:val="nil"/>
              <w:bottom w:val="single" w:color="auto" w:sz="4" w:space="0"/>
              <w:right w:val="single" w:color="auto" w:sz="4" w:space="0"/>
            </w:tcBorders>
            <w:vAlign w:val="center"/>
          </w:tcPr>
          <w:p w14:paraId="12767C1B">
            <w:pPr>
              <w:spacing w:line="440" w:lineRule="atLeast"/>
              <w:jc w:val="right"/>
              <w:rPr>
                <w:rFonts w:ascii="仿宋" w:hAnsi="仿宋" w:eastAsia="仿宋" w:cs="仿宋"/>
                <w:kern w:val="0"/>
                <w:sz w:val="24"/>
              </w:rPr>
            </w:pPr>
            <w:r>
              <w:rPr>
                <w:rFonts w:hint="eastAsia" w:ascii="仿宋" w:hAnsi="仿宋" w:eastAsia="仿宋" w:cs="仿宋"/>
                <w:kern w:val="0"/>
                <w:sz w:val="24"/>
              </w:rPr>
              <w:t>36.44%</w:t>
            </w:r>
          </w:p>
        </w:tc>
        <w:tc>
          <w:tcPr>
            <w:tcW w:w="1080" w:type="dxa"/>
            <w:tcBorders>
              <w:top w:val="nil"/>
              <w:left w:val="nil"/>
              <w:bottom w:val="single" w:color="auto" w:sz="4" w:space="0"/>
              <w:right w:val="single" w:color="auto" w:sz="4" w:space="0"/>
            </w:tcBorders>
            <w:vAlign w:val="center"/>
          </w:tcPr>
          <w:p w14:paraId="38792267">
            <w:pPr>
              <w:spacing w:line="440" w:lineRule="atLeast"/>
              <w:jc w:val="right"/>
              <w:rPr>
                <w:rFonts w:ascii="仿宋" w:hAnsi="仿宋" w:eastAsia="仿宋" w:cs="仿宋"/>
                <w:kern w:val="0"/>
                <w:sz w:val="24"/>
              </w:rPr>
            </w:pPr>
            <w:r>
              <w:rPr>
                <w:rFonts w:hint="eastAsia" w:ascii="仿宋" w:hAnsi="仿宋" w:eastAsia="仿宋" w:cs="仿宋"/>
                <w:kern w:val="0"/>
                <w:sz w:val="24"/>
              </w:rPr>
              <w:t>44.82%</w:t>
            </w:r>
          </w:p>
        </w:tc>
        <w:tc>
          <w:tcPr>
            <w:tcW w:w="1080" w:type="dxa"/>
            <w:tcBorders>
              <w:top w:val="nil"/>
              <w:left w:val="nil"/>
              <w:bottom w:val="single" w:color="auto" w:sz="4" w:space="0"/>
              <w:right w:val="single" w:color="auto" w:sz="4" w:space="0"/>
            </w:tcBorders>
            <w:vAlign w:val="center"/>
          </w:tcPr>
          <w:p w14:paraId="05D460E0">
            <w:pPr>
              <w:spacing w:line="440" w:lineRule="atLeast"/>
              <w:jc w:val="right"/>
              <w:rPr>
                <w:rFonts w:ascii="仿宋" w:hAnsi="仿宋" w:eastAsia="仿宋" w:cs="仿宋"/>
                <w:kern w:val="0"/>
                <w:sz w:val="24"/>
              </w:rPr>
            </w:pPr>
            <w:r>
              <w:rPr>
                <w:rFonts w:hint="eastAsia" w:ascii="仿宋" w:hAnsi="仿宋" w:eastAsia="仿宋" w:cs="仿宋"/>
                <w:kern w:val="0"/>
                <w:sz w:val="24"/>
              </w:rPr>
              <w:t>50.26%</w:t>
            </w:r>
          </w:p>
        </w:tc>
        <w:tc>
          <w:tcPr>
            <w:tcW w:w="1080" w:type="dxa"/>
            <w:tcBorders>
              <w:top w:val="nil"/>
              <w:left w:val="nil"/>
              <w:bottom w:val="single" w:color="auto" w:sz="4" w:space="0"/>
              <w:right w:val="single" w:color="auto" w:sz="4" w:space="0"/>
            </w:tcBorders>
            <w:vAlign w:val="center"/>
          </w:tcPr>
          <w:p w14:paraId="48CCC143">
            <w:pPr>
              <w:spacing w:line="440" w:lineRule="atLeast"/>
              <w:jc w:val="right"/>
              <w:rPr>
                <w:rFonts w:ascii="仿宋" w:hAnsi="仿宋" w:eastAsia="仿宋" w:cs="仿宋"/>
                <w:kern w:val="0"/>
                <w:sz w:val="24"/>
              </w:rPr>
            </w:pPr>
            <w:r>
              <w:rPr>
                <w:rFonts w:hint="eastAsia" w:ascii="仿宋" w:hAnsi="仿宋" w:eastAsia="仿宋" w:cs="仿宋"/>
                <w:kern w:val="0"/>
                <w:sz w:val="24"/>
              </w:rPr>
              <w:t>49.04%</w:t>
            </w:r>
          </w:p>
        </w:tc>
      </w:tr>
      <w:tr w14:paraId="47F18DE7">
        <w:tblPrEx>
          <w:tblCellMar>
            <w:top w:w="0" w:type="dxa"/>
            <w:left w:w="108" w:type="dxa"/>
            <w:bottom w:w="0" w:type="dxa"/>
            <w:right w:w="108" w:type="dxa"/>
          </w:tblCellMar>
        </w:tblPrEx>
        <w:trPr>
          <w:trHeight w:val="255" w:hRule="atLeast"/>
        </w:trPr>
        <w:tc>
          <w:tcPr>
            <w:tcW w:w="1060" w:type="dxa"/>
            <w:tcBorders>
              <w:top w:val="nil"/>
              <w:left w:val="single" w:color="auto" w:sz="4" w:space="0"/>
              <w:bottom w:val="single" w:color="auto" w:sz="4" w:space="0"/>
              <w:right w:val="single" w:color="auto" w:sz="4" w:space="0"/>
            </w:tcBorders>
            <w:vAlign w:val="center"/>
          </w:tcPr>
          <w:p w14:paraId="202EC581">
            <w:pPr>
              <w:spacing w:line="440" w:lineRule="atLeast"/>
              <w:jc w:val="center"/>
              <w:rPr>
                <w:rFonts w:ascii="仿宋" w:hAnsi="仿宋" w:eastAsia="仿宋" w:cs="仿宋"/>
                <w:kern w:val="0"/>
                <w:sz w:val="24"/>
              </w:rPr>
            </w:pPr>
            <w:r>
              <w:rPr>
                <w:rFonts w:hint="eastAsia" w:ascii="仿宋" w:hAnsi="仿宋" w:eastAsia="仿宋" w:cs="仿宋"/>
                <w:kern w:val="0"/>
                <w:sz w:val="24"/>
              </w:rPr>
              <w:t>000686.SZ</w:t>
            </w:r>
          </w:p>
        </w:tc>
        <w:tc>
          <w:tcPr>
            <w:tcW w:w="960" w:type="dxa"/>
            <w:tcBorders>
              <w:top w:val="nil"/>
              <w:left w:val="nil"/>
              <w:bottom w:val="single" w:color="auto" w:sz="4" w:space="0"/>
              <w:right w:val="single" w:color="auto" w:sz="4" w:space="0"/>
            </w:tcBorders>
            <w:vAlign w:val="center"/>
          </w:tcPr>
          <w:p w14:paraId="4012769A">
            <w:pPr>
              <w:spacing w:line="440" w:lineRule="atLeast"/>
              <w:jc w:val="center"/>
              <w:rPr>
                <w:rFonts w:ascii="仿宋" w:hAnsi="仿宋" w:eastAsia="仿宋" w:cs="仿宋"/>
                <w:kern w:val="0"/>
                <w:sz w:val="24"/>
              </w:rPr>
            </w:pPr>
            <w:r>
              <w:rPr>
                <w:rFonts w:hint="eastAsia" w:ascii="仿宋" w:hAnsi="仿宋" w:eastAsia="仿宋" w:cs="仿宋"/>
                <w:kern w:val="0"/>
                <w:sz w:val="24"/>
              </w:rPr>
              <w:t>东北证券</w:t>
            </w:r>
          </w:p>
        </w:tc>
        <w:tc>
          <w:tcPr>
            <w:tcW w:w="1080" w:type="dxa"/>
            <w:tcBorders>
              <w:top w:val="nil"/>
              <w:left w:val="nil"/>
              <w:bottom w:val="single" w:color="auto" w:sz="4" w:space="0"/>
              <w:right w:val="single" w:color="auto" w:sz="4" w:space="0"/>
            </w:tcBorders>
            <w:vAlign w:val="center"/>
          </w:tcPr>
          <w:p w14:paraId="4E34BD2D">
            <w:pPr>
              <w:spacing w:line="440" w:lineRule="atLeast"/>
              <w:jc w:val="right"/>
              <w:rPr>
                <w:rFonts w:ascii="仿宋" w:hAnsi="仿宋" w:eastAsia="仿宋" w:cs="仿宋"/>
                <w:kern w:val="0"/>
                <w:sz w:val="24"/>
              </w:rPr>
            </w:pPr>
            <w:r>
              <w:rPr>
                <w:rFonts w:hint="eastAsia" w:ascii="仿宋" w:hAnsi="仿宋" w:eastAsia="仿宋" w:cs="仿宋"/>
                <w:kern w:val="0"/>
                <w:sz w:val="24"/>
              </w:rPr>
              <w:t>47.71%</w:t>
            </w:r>
          </w:p>
        </w:tc>
        <w:tc>
          <w:tcPr>
            <w:tcW w:w="1080" w:type="dxa"/>
            <w:tcBorders>
              <w:top w:val="nil"/>
              <w:left w:val="nil"/>
              <w:bottom w:val="single" w:color="auto" w:sz="4" w:space="0"/>
              <w:right w:val="single" w:color="auto" w:sz="4" w:space="0"/>
            </w:tcBorders>
            <w:vAlign w:val="center"/>
          </w:tcPr>
          <w:p w14:paraId="477206C4">
            <w:pPr>
              <w:spacing w:line="440" w:lineRule="atLeast"/>
              <w:jc w:val="right"/>
              <w:rPr>
                <w:rFonts w:ascii="仿宋" w:hAnsi="仿宋" w:eastAsia="仿宋" w:cs="仿宋"/>
                <w:kern w:val="0"/>
                <w:sz w:val="24"/>
              </w:rPr>
            </w:pPr>
            <w:r>
              <w:rPr>
                <w:rFonts w:hint="eastAsia" w:ascii="仿宋" w:hAnsi="仿宋" w:eastAsia="仿宋" w:cs="仿宋"/>
                <w:kern w:val="0"/>
                <w:sz w:val="24"/>
              </w:rPr>
              <w:t>33.80%</w:t>
            </w:r>
          </w:p>
        </w:tc>
        <w:tc>
          <w:tcPr>
            <w:tcW w:w="1080" w:type="dxa"/>
            <w:tcBorders>
              <w:top w:val="nil"/>
              <w:left w:val="nil"/>
              <w:bottom w:val="single" w:color="auto" w:sz="4" w:space="0"/>
              <w:right w:val="single" w:color="auto" w:sz="4" w:space="0"/>
            </w:tcBorders>
            <w:vAlign w:val="center"/>
          </w:tcPr>
          <w:p w14:paraId="6AFC1ABF">
            <w:pPr>
              <w:spacing w:line="440" w:lineRule="atLeast"/>
              <w:jc w:val="right"/>
              <w:rPr>
                <w:rFonts w:ascii="仿宋" w:hAnsi="仿宋" w:eastAsia="仿宋" w:cs="仿宋"/>
                <w:kern w:val="0"/>
                <w:sz w:val="24"/>
              </w:rPr>
            </w:pPr>
            <w:r>
              <w:rPr>
                <w:rFonts w:hint="eastAsia" w:ascii="仿宋" w:hAnsi="仿宋" w:eastAsia="仿宋" w:cs="仿宋"/>
                <w:kern w:val="0"/>
                <w:sz w:val="24"/>
              </w:rPr>
              <w:t>52.58%</w:t>
            </w:r>
          </w:p>
        </w:tc>
        <w:tc>
          <w:tcPr>
            <w:tcW w:w="1080" w:type="dxa"/>
            <w:tcBorders>
              <w:top w:val="nil"/>
              <w:left w:val="nil"/>
              <w:bottom w:val="single" w:color="auto" w:sz="4" w:space="0"/>
              <w:right w:val="single" w:color="auto" w:sz="4" w:space="0"/>
            </w:tcBorders>
            <w:vAlign w:val="center"/>
          </w:tcPr>
          <w:p w14:paraId="737A43B0">
            <w:pPr>
              <w:spacing w:line="440" w:lineRule="atLeast"/>
              <w:jc w:val="right"/>
              <w:rPr>
                <w:rFonts w:ascii="仿宋" w:hAnsi="仿宋" w:eastAsia="仿宋" w:cs="仿宋"/>
                <w:kern w:val="0"/>
                <w:sz w:val="24"/>
              </w:rPr>
            </w:pPr>
            <w:r>
              <w:rPr>
                <w:rFonts w:hint="eastAsia" w:ascii="仿宋" w:hAnsi="仿宋" w:eastAsia="仿宋" w:cs="仿宋"/>
                <w:kern w:val="0"/>
                <w:sz w:val="24"/>
              </w:rPr>
              <w:t>119.37%</w:t>
            </w:r>
          </w:p>
        </w:tc>
        <w:tc>
          <w:tcPr>
            <w:tcW w:w="1080" w:type="dxa"/>
            <w:tcBorders>
              <w:top w:val="nil"/>
              <w:left w:val="nil"/>
              <w:bottom w:val="single" w:color="auto" w:sz="4" w:space="0"/>
              <w:right w:val="single" w:color="auto" w:sz="4" w:space="0"/>
            </w:tcBorders>
            <w:vAlign w:val="center"/>
          </w:tcPr>
          <w:p w14:paraId="75F03297">
            <w:pPr>
              <w:spacing w:line="440" w:lineRule="atLeast"/>
              <w:jc w:val="right"/>
              <w:rPr>
                <w:rFonts w:ascii="仿宋" w:hAnsi="仿宋" w:eastAsia="仿宋" w:cs="仿宋"/>
                <w:kern w:val="0"/>
                <w:sz w:val="24"/>
              </w:rPr>
            </w:pPr>
            <w:r>
              <w:rPr>
                <w:rFonts w:hint="eastAsia" w:ascii="仿宋" w:hAnsi="仿宋" w:eastAsia="仿宋" w:cs="仿宋"/>
                <w:kern w:val="0"/>
                <w:sz w:val="24"/>
              </w:rPr>
              <w:t>83.49%</w:t>
            </w:r>
          </w:p>
        </w:tc>
        <w:tc>
          <w:tcPr>
            <w:tcW w:w="1080" w:type="dxa"/>
            <w:tcBorders>
              <w:top w:val="nil"/>
              <w:left w:val="nil"/>
              <w:bottom w:val="single" w:color="auto" w:sz="4" w:space="0"/>
              <w:right w:val="single" w:color="auto" w:sz="4" w:space="0"/>
            </w:tcBorders>
            <w:vAlign w:val="center"/>
          </w:tcPr>
          <w:p w14:paraId="17CF469E">
            <w:pPr>
              <w:spacing w:line="440" w:lineRule="atLeast"/>
              <w:jc w:val="right"/>
              <w:rPr>
                <w:rFonts w:ascii="仿宋" w:hAnsi="仿宋" w:eastAsia="仿宋" w:cs="仿宋"/>
                <w:kern w:val="0"/>
                <w:sz w:val="24"/>
              </w:rPr>
            </w:pPr>
            <w:r>
              <w:rPr>
                <w:rFonts w:hint="eastAsia" w:ascii="仿宋" w:hAnsi="仿宋" w:eastAsia="仿宋" w:cs="仿宋"/>
                <w:kern w:val="0"/>
                <w:sz w:val="24"/>
              </w:rPr>
              <w:t>57.03%</w:t>
            </w:r>
          </w:p>
        </w:tc>
      </w:tr>
      <w:tr w14:paraId="7822CAF9">
        <w:tblPrEx>
          <w:tblCellMar>
            <w:top w:w="0" w:type="dxa"/>
            <w:left w:w="108" w:type="dxa"/>
            <w:bottom w:w="0" w:type="dxa"/>
            <w:right w:w="108" w:type="dxa"/>
          </w:tblCellMar>
        </w:tblPrEx>
        <w:trPr>
          <w:trHeight w:val="255" w:hRule="atLeast"/>
        </w:trPr>
        <w:tc>
          <w:tcPr>
            <w:tcW w:w="1060" w:type="dxa"/>
            <w:tcBorders>
              <w:top w:val="nil"/>
              <w:left w:val="single" w:color="auto" w:sz="4" w:space="0"/>
              <w:bottom w:val="single" w:color="auto" w:sz="4" w:space="0"/>
              <w:right w:val="single" w:color="auto" w:sz="4" w:space="0"/>
            </w:tcBorders>
            <w:vAlign w:val="center"/>
          </w:tcPr>
          <w:p w14:paraId="53E4FB40">
            <w:pPr>
              <w:spacing w:line="440" w:lineRule="atLeast"/>
              <w:jc w:val="center"/>
              <w:rPr>
                <w:rFonts w:ascii="仿宋" w:hAnsi="仿宋" w:eastAsia="仿宋" w:cs="仿宋"/>
                <w:kern w:val="0"/>
                <w:sz w:val="24"/>
              </w:rPr>
            </w:pPr>
            <w:r>
              <w:rPr>
                <w:rFonts w:hint="eastAsia" w:ascii="仿宋" w:hAnsi="仿宋" w:eastAsia="仿宋" w:cs="仿宋"/>
                <w:kern w:val="0"/>
                <w:sz w:val="24"/>
              </w:rPr>
              <w:t>000728.SZ</w:t>
            </w:r>
          </w:p>
        </w:tc>
        <w:tc>
          <w:tcPr>
            <w:tcW w:w="960" w:type="dxa"/>
            <w:tcBorders>
              <w:top w:val="nil"/>
              <w:left w:val="nil"/>
              <w:bottom w:val="single" w:color="auto" w:sz="4" w:space="0"/>
              <w:right w:val="single" w:color="auto" w:sz="4" w:space="0"/>
            </w:tcBorders>
            <w:vAlign w:val="center"/>
          </w:tcPr>
          <w:p w14:paraId="7A3172E7">
            <w:pPr>
              <w:spacing w:line="440" w:lineRule="atLeast"/>
              <w:jc w:val="center"/>
              <w:rPr>
                <w:rFonts w:ascii="仿宋" w:hAnsi="仿宋" w:eastAsia="仿宋" w:cs="仿宋"/>
                <w:kern w:val="0"/>
                <w:sz w:val="24"/>
              </w:rPr>
            </w:pPr>
            <w:r>
              <w:rPr>
                <w:rFonts w:hint="eastAsia" w:ascii="仿宋" w:hAnsi="仿宋" w:eastAsia="仿宋" w:cs="仿宋"/>
                <w:kern w:val="0"/>
                <w:sz w:val="24"/>
              </w:rPr>
              <w:t>国元证券</w:t>
            </w:r>
          </w:p>
        </w:tc>
        <w:tc>
          <w:tcPr>
            <w:tcW w:w="1080" w:type="dxa"/>
            <w:tcBorders>
              <w:top w:val="nil"/>
              <w:left w:val="nil"/>
              <w:bottom w:val="single" w:color="auto" w:sz="4" w:space="0"/>
              <w:right w:val="single" w:color="auto" w:sz="4" w:space="0"/>
            </w:tcBorders>
            <w:vAlign w:val="center"/>
          </w:tcPr>
          <w:p w14:paraId="71EE0C95">
            <w:pPr>
              <w:spacing w:line="440" w:lineRule="atLeast"/>
              <w:jc w:val="right"/>
              <w:rPr>
                <w:rFonts w:ascii="仿宋" w:hAnsi="仿宋" w:eastAsia="仿宋" w:cs="仿宋"/>
                <w:kern w:val="0"/>
                <w:sz w:val="24"/>
              </w:rPr>
            </w:pPr>
            <w:r>
              <w:rPr>
                <w:rFonts w:hint="eastAsia" w:ascii="仿宋" w:hAnsi="仿宋" w:eastAsia="仿宋" w:cs="仿宋"/>
                <w:kern w:val="0"/>
                <w:sz w:val="24"/>
              </w:rPr>
              <w:t>43.28%</w:t>
            </w:r>
          </w:p>
        </w:tc>
        <w:tc>
          <w:tcPr>
            <w:tcW w:w="1080" w:type="dxa"/>
            <w:tcBorders>
              <w:top w:val="nil"/>
              <w:left w:val="nil"/>
              <w:bottom w:val="single" w:color="auto" w:sz="4" w:space="0"/>
              <w:right w:val="single" w:color="auto" w:sz="4" w:space="0"/>
            </w:tcBorders>
            <w:vAlign w:val="center"/>
          </w:tcPr>
          <w:p w14:paraId="0CD22F7E">
            <w:pPr>
              <w:spacing w:line="440" w:lineRule="atLeast"/>
              <w:jc w:val="right"/>
              <w:rPr>
                <w:rFonts w:ascii="仿宋" w:hAnsi="仿宋" w:eastAsia="仿宋" w:cs="仿宋"/>
                <w:kern w:val="0"/>
                <w:sz w:val="24"/>
              </w:rPr>
            </w:pPr>
            <w:r>
              <w:rPr>
                <w:rFonts w:hint="eastAsia" w:ascii="仿宋" w:hAnsi="仿宋" w:eastAsia="仿宋" w:cs="仿宋"/>
                <w:kern w:val="0"/>
                <w:sz w:val="24"/>
              </w:rPr>
              <w:t>33.71%</w:t>
            </w:r>
          </w:p>
        </w:tc>
        <w:tc>
          <w:tcPr>
            <w:tcW w:w="1080" w:type="dxa"/>
            <w:tcBorders>
              <w:top w:val="nil"/>
              <w:left w:val="nil"/>
              <w:bottom w:val="single" w:color="auto" w:sz="4" w:space="0"/>
              <w:right w:val="single" w:color="auto" w:sz="4" w:space="0"/>
            </w:tcBorders>
            <w:vAlign w:val="center"/>
          </w:tcPr>
          <w:p w14:paraId="34EB1510">
            <w:pPr>
              <w:spacing w:line="440" w:lineRule="atLeast"/>
              <w:jc w:val="right"/>
              <w:rPr>
                <w:rFonts w:ascii="仿宋" w:hAnsi="仿宋" w:eastAsia="仿宋" w:cs="仿宋"/>
                <w:kern w:val="0"/>
                <w:sz w:val="24"/>
              </w:rPr>
            </w:pPr>
            <w:r>
              <w:rPr>
                <w:rFonts w:hint="eastAsia" w:ascii="仿宋" w:hAnsi="仿宋" w:eastAsia="仿宋" w:cs="仿宋"/>
                <w:kern w:val="0"/>
                <w:sz w:val="24"/>
              </w:rPr>
              <w:t>40.25%</w:t>
            </w:r>
          </w:p>
        </w:tc>
        <w:tc>
          <w:tcPr>
            <w:tcW w:w="1080" w:type="dxa"/>
            <w:tcBorders>
              <w:top w:val="nil"/>
              <w:left w:val="nil"/>
              <w:bottom w:val="single" w:color="auto" w:sz="4" w:space="0"/>
              <w:right w:val="single" w:color="auto" w:sz="4" w:space="0"/>
            </w:tcBorders>
            <w:vAlign w:val="center"/>
          </w:tcPr>
          <w:p w14:paraId="78607F93">
            <w:pPr>
              <w:spacing w:line="440" w:lineRule="atLeast"/>
              <w:jc w:val="right"/>
              <w:rPr>
                <w:rFonts w:ascii="仿宋" w:hAnsi="仿宋" w:eastAsia="仿宋" w:cs="仿宋"/>
                <w:kern w:val="0"/>
                <w:sz w:val="24"/>
              </w:rPr>
            </w:pPr>
            <w:r>
              <w:rPr>
                <w:rFonts w:hint="eastAsia" w:ascii="仿宋" w:hAnsi="仿宋" w:eastAsia="仿宋" w:cs="仿宋"/>
                <w:kern w:val="0"/>
                <w:sz w:val="24"/>
              </w:rPr>
              <w:t>51.73%</w:t>
            </w:r>
          </w:p>
        </w:tc>
        <w:tc>
          <w:tcPr>
            <w:tcW w:w="1080" w:type="dxa"/>
            <w:tcBorders>
              <w:top w:val="nil"/>
              <w:left w:val="nil"/>
              <w:bottom w:val="single" w:color="auto" w:sz="4" w:space="0"/>
              <w:right w:val="single" w:color="auto" w:sz="4" w:space="0"/>
            </w:tcBorders>
            <w:vAlign w:val="center"/>
          </w:tcPr>
          <w:p w14:paraId="518E3579">
            <w:pPr>
              <w:spacing w:line="440" w:lineRule="atLeast"/>
              <w:jc w:val="right"/>
              <w:rPr>
                <w:rFonts w:ascii="仿宋" w:hAnsi="仿宋" w:eastAsia="仿宋" w:cs="仿宋"/>
                <w:kern w:val="0"/>
                <w:sz w:val="24"/>
              </w:rPr>
            </w:pPr>
            <w:r>
              <w:rPr>
                <w:rFonts w:hint="eastAsia" w:ascii="仿宋" w:hAnsi="仿宋" w:eastAsia="仿宋" w:cs="仿宋"/>
                <w:kern w:val="0"/>
                <w:sz w:val="24"/>
              </w:rPr>
              <w:t>63.70%</w:t>
            </w:r>
          </w:p>
        </w:tc>
        <w:tc>
          <w:tcPr>
            <w:tcW w:w="1080" w:type="dxa"/>
            <w:tcBorders>
              <w:top w:val="nil"/>
              <w:left w:val="nil"/>
              <w:bottom w:val="single" w:color="auto" w:sz="4" w:space="0"/>
              <w:right w:val="single" w:color="auto" w:sz="4" w:space="0"/>
            </w:tcBorders>
            <w:vAlign w:val="center"/>
          </w:tcPr>
          <w:p w14:paraId="49DBF14F">
            <w:pPr>
              <w:spacing w:line="440" w:lineRule="atLeast"/>
              <w:jc w:val="right"/>
              <w:rPr>
                <w:rFonts w:ascii="仿宋" w:hAnsi="仿宋" w:eastAsia="仿宋" w:cs="仿宋"/>
                <w:kern w:val="0"/>
                <w:sz w:val="24"/>
              </w:rPr>
            </w:pPr>
            <w:r>
              <w:rPr>
                <w:rFonts w:hint="eastAsia" w:ascii="仿宋" w:hAnsi="仿宋" w:eastAsia="仿宋" w:cs="仿宋"/>
                <w:kern w:val="0"/>
                <w:sz w:val="24"/>
              </w:rPr>
              <w:t>57.80%</w:t>
            </w:r>
          </w:p>
        </w:tc>
      </w:tr>
      <w:tr w14:paraId="10FBAF40">
        <w:tblPrEx>
          <w:tblCellMar>
            <w:top w:w="0" w:type="dxa"/>
            <w:left w:w="108" w:type="dxa"/>
            <w:bottom w:w="0" w:type="dxa"/>
            <w:right w:w="108" w:type="dxa"/>
          </w:tblCellMar>
        </w:tblPrEx>
        <w:trPr>
          <w:trHeight w:val="255" w:hRule="atLeast"/>
        </w:trPr>
        <w:tc>
          <w:tcPr>
            <w:tcW w:w="1060" w:type="dxa"/>
            <w:tcBorders>
              <w:top w:val="nil"/>
              <w:left w:val="single" w:color="auto" w:sz="4" w:space="0"/>
              <w:bottom w:val="single" w:color="auto" w:sz="4" w:space="0"/>
              <w:right w:val="single" w:color="auto" w:sz="4" w:space="0"/>
            </w:tcBorders>
            <w:vAlign w:val="center"/>
          </w:tcPr>
          <w:p w14:paraId="3DBF2E86">
            <w:pPr>
              <w:spacing w:line="440" w:lineRule="atLeast"/>
              <w:jc w:val="center"/>
              <w:rPr>
                <w:rFonts w:ascii="仿宋" w:hAnsi="仿宋" w:eastAsia="仿宋" w:cs="仿宋"/>
                <w:kern w:val="0"/>
                <w:sz w:val="24"/>
              </w:rPr>
            </w:pPr>
            <w:r>
              <w:rPr>
                <w:rFonts w:hint="eastAsia" w:ascii="仿宋" w:hAnsi="仿宋" w:eastAsia="仿宋" w:cs="仿宋"/>
                <w:kern w:val="0"/>
                <w:sz w:val="24"/>
              </w:rPr>
              <w:t>000750.SZ</w:t>
            </w:r>
          </w:p>
        </w:tc>
        <w:tc>
          <w:tcPr>
            <w:tcW w:w="960" w:type="dxa"/>
            <w:tcBorders>
              <w:top w:val="nil"/>
              <w:left w:val="nil"/>
              <w:bottom w:val="single" w:color="auto" w:sz="4" w:space="0"/>
              <w:right w:val="single" w:color="auto" w:sz="4" w:space="0"/>
            </w:tcBorders>
            <w:vAlign w:val="center"/>
          </w:tcPr>
          <w:p w14:paraId="645AFC1B">
            <w:pPr>
              <w:spacing w:line="440" w:lineRule="atLeast"/>
              <w:jc w:val="center"/>
              <w:rPr>
                <w:rFonts w:ascii="仿宋" w:hAnsi="仿宋" w:eastAsia="仿宋" w:cs="仿宋"/>
                <w:kern w:val="0"/>
                <w:sz w:val="24"/>
              </w:rPr>
            </w:pPr>
            <w:r>
              <w:rPr>
                <w:rFonts w:hint="eastAsia" w:ascii="仿宋" w:hAnsi="仿宋" w:eastAsia="仿宋" w:cs="仿宋"/>
                <w:kern w:val="0"/>
                <w:sz w:val="24"/>
              </w:rPr>
              <w:t>国海证券</w:t>
            </w:r>
          </w:p>
        </w:tc>
        <w:tc>
          <w:tcPr>
            <w:tcW w:w="1080" w:type="dxa"/>
            <w:tcBorders>
              <w:top w:val="nil"/>
              <w:left w:val="nil"/>
              <w:bottom w:val="single" w:color="auto" w:sz="4" w:space="0"/>
              <w:right w:val="single" w:color="auto" w:sz="4" w:space="0"/>
            </w:tcBorders>
            <w:vAlign w:val="center"/>
          </w:tcPr>
          <w:p w14:paraId="0AE3434A">
            <w:pPr>
              <w:spacing w:line="440" w:lineRule="atLeast"/>
              <w:jc w:val="right"/>
              <w:rPr>
                <w:rFonts w:ascii="仿宋" w:hAnsi="仿宋" w:eastAsia="仿宋" w:cs="仿宋"/>
                <w:kern w:val="0"/>
                <w:sz w:val="24"/>
              </w:rPr>
            </w:pPr>
            <w:r>
              <w:rPr>
                <w:rFonts w:hint="eastAsia" w:ascii="仿宋" w:hAnsi="仿宋" w:eastAsia="仿宋" w:cs="仿宋"/>
                <w:kern w:val="0"/>
                <w:sz w:val="24"/>
              </w:rPr>
              <w:t>120.65%</w:t>
            </w:r>
          </w:p>
        </w:tc>
        <w:tc>
          <w:tcPr>
            <w:tcW w:w="1080" w:type="dxa"/>
            <w:tcBorders>
              <w:top w:val="nil"/>
              <w:left w:val="nil"/>
              <w:bottom w:val="single" w:color="auto" w:sz="4" w:space="0"/>
              <w:right w:val="single" w:color="auto" w:sz="4" w:space="0"/>
            </w:tcBorders>
            <w:vAlign w:val="center"/>
          </w:tcPr>
          <w:p w14:paraId="36F80224">
            <w:pPr>
              <w:spacing w:line="440" w:lineRule="atLeast"/>
              <w:jc w:val="right"/>
              <w:rPr>
                <w:rFonts w:ascii="仿宋" w:hAnsi="仿宋" w:eastAsia="仿宋" w:cs="仿宋"/>
                <w:kern w:val="0"/>
                <w:sz w:val="24"/>
              </w:rPr>
            </w:pPr>
            <w:r>
              <w:rPr>
                <w:rFonts w:hint="eastAsia" w:ascii="仿宋" w:hAnsi="仿宋" w:eastAsia="仿宋" w:cs="仿宋"/>
                <w:kern w:val="0"/>
                <w:sz w:val="24"/>
              </w:rPr>
              <w:t>41.07%</w:t>
            </w:r>
          </w:p>
        </w:tc>
        <w:tc>
          <w:tcPr>
            <w:tcW w:w="1080" w:type="dxa"/>
            <w:tcBorders>
              <w:top w:val="nil"/>
              <w:left w:val="nil"/>
              <w:bottom w:val="single" w:color="auto" w:sz="4" w:space="0"/>
              <w:right w:val="single" w:color="auto" w:sz="4" w:space="0"/>
            </w:tcBorders>
            <w:vAlign w:val="center"/>
          </w:tcPr>
          <w:p w14:paraId="2A113CDD">
            <w:pPr>
              <w:spacing w:line="440" w:lineRule="atLeast"/>
              <w:jc w:val="right"/>
              <w:rPr>
                <w:rFonts w:ascii="仿宋" w:hAnsi="仿宋" w:eastAsia="仿宋" w:cs="仿宋"/>
                <w:kern w:val="0"/>
                <w:sz w:val="24"/>
              </w:rPr>
            </w:pPr>
            <w:r>
              <w:rPr>
                <w:rFonts w:hint="eastAsia" w:ascii="仿宋" w:hAnsi="仿宋" w:eastAsia="仿宋" w:cs="仿宋"/>
                <w:kern w:val="0"/>
                <w:sz w:val="24"/>
              </w:rPr>
              <w:t>64.76%</w:t>
            </w:r>
          </w:p>
        </w:tc>
        <w:tc>
          <w:tcPr>
            <w:tcW w:w="1080" w:type="dxa"/>
            <w:tcBorders>
              <w:top w:val="nil"/>
              <w:left w:val="nil"/>
              <w:bottom w:val="single" w:color="auto" w:sz="4" w:space="0"/>
              <w:right w:val="single" w:color="auto" w:sz="4" w:space="0"/>
            </w:tcBorders>
            <w:vAlign w:val="center"/>
          </w:tcPr>
          <w:p w14:paraId="2A58B994">
            <w:pPr>
              <w:spacing w:line="440" w:lineRule="atLeast"/>
              <w:jc w:val="right"/>
              <w:rPr>
                <w:rFonts w:ascii="仿宋" w:hAnsi="仿宋" w:eastAsia="仿宋" w:cs="仿宋"/>
                <w:kern w:val="0"/>
                <w:sz w:val="24"/>
              </w:rPr>
            </w:pPr>
            <w:r>
              <w:rPr>
                <w:rFonts w:hint="eastAsia" w:ascii="仿宋" w:hAnsi="仿宋" w:eastAsia="仿宋" w:cs="仿宋"/>
                <w:kern w:val="0"/>
                <w:sz w:val="24"/>
              </w:rPr>
              <w:t>83.91%</w:t>
            </w:r>
          </w:p>
        </w:tc>
        <w:tc>
          <w:tcPr>
            <w:tcW w:w="1080" w:type="dxa"/>
            <w:tcBorders>
              <w:top w:val="nil"/>
              <w:left w:val="nil"/>
              <w:bottom w:val="single" w:color="auto" w:sz="4" w:space="0"/>
              <w:right w:val="single" w:color="auto" w:sz="4" w:space="0"/>
            </w:tcBorders>
            <w:vAlign w:val="center"/>
          </w:tcPr>
          <w:p w14:paraId="4E1E5325">
            <w:pPr>
              <w:spacing w:line="440" w:lineRule="atLeast"/>
              <w:jc w:val="right"/>
              <w:rPr>
                <w:rFonts w:ascii="仿宋" w:hAnsi="仿宋" w:eastAsia="仿宋" w:cs="仿宋"/>
                <w:kern w:val="0"/>
                <w:sz w:val="24"/>
              </w:rPr>
            </w:pPr>
            <w:r>
              <w:rPr>
                <w:rFonts w:hint="eastAsia" w:ascii="仿宋" w:hAnsi="仿宋" w:eastAsia="仿宋" w:cs="仿宋"/>
                <w:kern w:val="0"/>
                <w:sz w:val="24"/>
              </w:rPr>
              <w:t>81.32%</w:t>
            </w:r>
          </w:p>
        </w:tc>
        <w:tc>
          <w:tcPr>
            <w:tcW w:w="1080" w:type="dxa"/>
            <w:tcBorders>
              <w:top w:val="nil"/>
              <w:left w:val="nil"/>
              <w:bottom w:val="single" w:color="auto" w:sz="4" w:space="0"/>
              <w:right w:val="single" w:color="auto" w:sz="4" w:space="0"/>
            </w:tcBorders>
            <w:vAlign w:val="center"/>
          </w:tcPr>
          <w:p w14:paraId="7C7D1BA2">
            <w:pPr>
              <w:spacing w:line="440" w:lineRule="atLeast"/>
              <w:jc w:val="right"/>
              <w:rPr>
                <w:rFonts w:ascii="仿宋" w:hAnsi="仿宋" w:eastAsia="仿宋" w:cs="仿宋"/>
                <w:kern w:val="0"/>
                <w:sz w:val="24"/>
              </w:rPr>
            </w:pPr>
            <w:r>
              <w:rPr>
                <w:rFonts w:hint="eastAsia" w:ascii="仿宋" w:hAnsi="仿宋" w:eastAsia="仿宋" w:cs="仿宋"/>
                <w:kern w:val="0"/>
                <w:sz w:val="24"/>
              </w:rPr>
              <w:t>65.65%</w:t>
            </w:r>
          </w:p>
        </w:tc>
      </w:tr>
      <w:tr w14:paraId="1142D9A9">
        <w:tblPrEx>
          <w:tblCellMar>
            <w:top w:w="0" w:type="dxa"/>
            <w:left w:w="108" w:type="dxa"/>
            <w:bottom w:w="0" w:type="dxa"/>
            <w:right w:w="108" w:type="dxa"/>
          </w:tblCellMar>
        </w:tblPrEx>
        <w:trPr>
          <w:trHeight w:val="255" w:hRule="atLeast"/>
        </w:trPr>
        <w:tc>
          <w:tcPr>
            <w:tcW w:w="1060" w:type="dxa"/>
            <w:tcBorders>
              <w:top w:val="nil"/>
              <w:left w:val="single" w:color="auto" w:sz="4" w:space="0"/>
              <w:bottom w:val="single" w:color="auto" w:sz="4" w:space="0"/>
              <w:right w:val="single" w:color="auto" w:sz="4" w:space="0"/>
            </w:tcBorders>
            <w:vAlign w:val="center"/>
          </w:tcPr>
          <w:p w14:paraId="3635E714">
            <w:pPr>
              <w:spacing w:line="440" w:lineRule="atLeast"/>
              <w:jc w:val="center"/>
              <w:rPr>
                <w:rFonts w:ascii="仿宋" w:hAnsi="仿宋" w:eastAsia="仿宋" w:cs="仿宋"/>
                <w:kern w:val="0"/>
                <w:sz w:val="24"/>
              </w:rPr>
            </w:pPr>
            <w:r>
              <w:rPr>
                <w:rFonts w:hint="eastAsia" w:ascii="仿宋" w:hAnsi="仿宋" w:eastAsia="仿宋" w:cs="仿宋"/>
                <w:kern w:val="0"/>
                <w:sz w:val="24"/>
              </w:rPr>
              <w:t>000776.SZ</w:t>
            </w:r>
          </w:p>
        </w:tc>
        <w:tc>
          <w:tcPr>
            <w:tcW w:w="960" w:type="dxa"/>
            <w:tcBorders>
              <w:top w:val="nil"/>
              <w:left w:val="nil"/>
              <w:bottom w:val="single" w:color="auto" w:sz="4" w:space="0"/>
              <w:right w:val="single" w:color="auto" w:sz="4" w:space="0"/>
            </w:tcBorders>
            <w:vAlign w:val="center"/>
          </w:tcPr>
          <w:p w14:paraId="3B0CFA35">
            <w:pPr>
              <w:spacing w:line="440" w:lineRule="atLeast"/>
              <w:jc w:val="center"/>
              <w:rPr>
                <w:rFonts w:ascii="仿宋" w:hAnsi="仿宋" w:eastAsia="仿宋" w:cs="仿宋"/>
                <w:kern w:val="0"/>
                <w:sz w:val="24"/>
              </w:rPr>
            </w:pPr>
            <w:r>
              <w:rPr>
                <w:rFonts w:hint="eastAsia" w:ascii="仿宋" w:hAnsi="仿宋" w:eastAsia="仿宋" w:cs="仿宋"/>
                <w:kern w:val="0"/>
                <w:sz w:val="24"/>
              </w:rPr>
              <w:t>广发证券</w:t>
            </w:r>
          </w:p>
        </w:tc>
        <w:tc>
          <w:tcPr>
            <w:tcW w:w="1080" w:type="dxa"/>
            <w:tcBorders>
              <w:top w:val="nil"/>
              <w:left w:val="nil"/>
              <w:bottom w:val="single" w:color="auto" w:sz="4" w:space="0"/>
              <w:right w:val="single" w:color="auto" w:sz="4" w:space="0"/>
            </w:tcBorders>
            <w:vAlign w:val="center"/>
          </w:tcPr>
          <w:p w14:paraId="2F467B72">
            <w:pPr>
              <w:spacing w:line="440" w:lineRule="atLeast"/>
              <w:jc w:val="right"/>
              <w:rPr>
                <w:rFonts w:ascii="仿宋" w:hAnsi="仿宋" w:eastAsia="仿宋" w:cs="仿宋"/>
                <w:kern w:val="0"/>
                <w:sz w:val="24"/>
              </w:rPr>
            </w:pPr>
            <w:r>
              <w:rPr>
                <w:rFonts w:hint="eastAsia" w:ascii="仿宋" w:hAnsi="仿宋" w:eastAsia="仿宋" w:cs="仿宋"/>
                <w:kern w:val="0"/>
                <w:sz w:val="24"/>
              </w:rPr>
              <w:t>13.90%</w:t>
            </w:r>
          </w:p>
        </w:tc>
        <w:tc>
          <w:tcPr>
            <w:tcW w:w="1080" w:type="dxa"/>
            <w:tcBorders>
              <w:top w:val="nil"/>
              <w:left w:val="nil"/>
              <w:bottom w:val="single" w:color="auto" w:sz="4" w:space="0"/>
              <w:right w:val="single" w:color="auto" w:sz="4" w:space="0"/>
            </w:tcBorders>
            <w:vAlign w:val="center"/>
          </w:tcPr>
          <w:p w14:paraId="29AD50FD">
            <w:pPr>
              <w:spacing w:line="440" w:lineRule="atLeast"/>
              <w:jc w:val="right"/>
              <w:rPr>
                <w:rFonts w:ascii="仿宋" w:hAnsi="仿宋" w:eastAsia="仿宋" w:cs="仿宋"/>
                <w:kern w:val="0"/>
                <w:sz w:val="24"/>
              </w:rPr>
            </w:pPr>
            <w:r>
              <w:rPr>
                <w:rFonts w:hint="eastAsia" w:ascii="仿宋" w:hAnsi="仿宋" w:eastAsia="仿宋" w:cs="仿宋"/>
                <w:kern w:val="0"/>
                <w:sz w:val="24"/>
              </w:rPr>
              <w:t>29.32%</w:t>
            </w:r>
          </w:p>
        </w:tc>
        <w:tc>
          <w:tcPr>
            <w:tcW w:w="1080" w:type="dxa"/>
            <w:tcBorders>
              <w:top w:val="nil"/>
              <w:left w:val="nil"/>
              <w:bottom w:val="single" w:color="auto" w:sz="4" w:space="0"/>
              <w:right w:val="single" w:color="auto" w:sz="4" w:space="0"/>
            </w:tcBorders>
            <w:vAlign w:val="center"/>
          </w:tcPr>
          <w:p w14:paraId="6CE9290A">
            <w:pPr>
              <w:spacing w:line="440" w:lineRule="atLeast"/>
              <w:jc w:val="right"/>
              <w:rPr>
                <w:rFonts w:ascii="仿宋" w:hAnsi="仿宋" w:eastAsia="仿宋" w:cs="仿宋"/>
                <w:kern w:val="0"/>
                <w:sz w:val="24"/>
              </w:rPr>
            </w:pPr>
            <w:r>
              <w:rPr>
                <w:rFonts w:hint="eastAsia" w:ascii="仿宋" w:hAnsi="仿宋" w:eastAsia="仿宋" w:cs="仿宋"/>
                <w:kern w:val="0"/>
                <w:sz w:val="24"/>
              </w:rPr>
              <w:t>35.72%</w:t>
            </w:r>
          </w:p>
        </w:tc>
        <w:tc>
          <w:tcPr>
            <w:tcW w:w="1080" w:type="dxa"/>
            <w:tcBorders>
              <w:top w:val="nil"/>
              <w:left w:val="nil"/>
              <w:bottom w:val="single" w:color="auto" w:sz="4" w:space="0"/>
              <w:right w:val="single" w:color="auto" w:sz="4" w:space="0"/>
            </w:tcBorders>
            <w:vAlign w:val="center"/>
          </w:tcPr>
          <w:p w14:paraId="6F905D9E">
            <w:pPr>
              <w:spacing w:line="440" w:lineRule="atLeast"/>
              <w:jc w:val="right"/>
              <w:rPr>
                <w:rFonts w:ascii="仿宋" w:hAnsi="仿宋" w:eastAsia="仿宋" w:cs="仿宋"/>
                <w:kern w:val="0"/>
                <w:sz w:val="24"/>
              </w:rPr>
            </w:pPr>
            <w:r>
              <w:rPr>
                <w:rFonts w:hint="eastAsia" w:ascii="仿宋" w:hAnsi="仿宋" w:eastAsia="仿宋" w:cs="仿宋"/>
                <w:kern w:val="0"/>
                <w:sz w:val="24"/>
              </w:rPr>
              <w:t>52.00%</w:t>
            </w:r>
          </w:p>
        </w:tc>
        <w:tc>
          <w:tcPr>
            <w:tcW w:w="1080" w:type="dxa"/>
            <w:tcBorders>
              <w:top w:val="nil"/>
              <w:left w:val="nil"/>
              <w:bottom w:val="single" w:color="auto" w:sz="4" w:space="0"/>
              <w:right w:val="single" w:color="auto" w:sz="4" w:space="0"/>
            </w:tcBorders>
            <w:vAlign w:val="center"/>
          </w:tcPr>
          <w:p w14:paraId="3EAF0746">
            <w:pPr>
              <w:spacing w:line="440" w:lineRule="atLeast"/>
              <w:jc w:val="right"/>
              <w:rPr>
                <w:rFonts w:ascii="仿宋" w:hAnsi="仿宋" w:eastAsia="仿宋" w:cs="仿宋"/>
                <w:kern w:val="0"/>
                <w:sz w:val="24"/>
              </w:rPr>
            </w:pPr>
            <w:r>
              <w:rPr>
                <w:rFonts w:hint="eastAsia" w:ascii="仿宋" w:hAnsi="仿宋" w:eastAsia="仿宋" w:cs="仿宋"/>
                <w:kern w:val="0"/>
                <w:sz w:val="24"/>
              </w:rPr>
              <w:t>52.32%</w:t>
            </w:r>
          </w:p>
        </w:tc>
        <w:tc>
          <w:tcPr>
            <w:tcW w:w="1080" w:type="dxa"/>
            <w:tcBorders>
              <w:top w:val="nil"/>
              <w:left w:val="nil"/>
              <w:bottom w:val="single" w:color="auto" w:sz="4" w:space="0"/>
              <w:right w:val="single" w:color="auto" w:sz="4" w:space="0"/>
            </w:tcBorders>
            <w:vAlign w:val="center"/>
          </w:tcPr>
          <w:p w14:paraId="2BC8D72D">
            <w:pPr>
              <w:spacing w:line="440" w:lineRule="atLeast"/>
              <w:jc w:val="right"/>
              <w:rPr>
                <w:rFonts w:ascii="仿宋" w:hAnsi="仿宋" w:eastAsia="仿宋" w:cs="仿宋"/>
                <w:kern w:val="0"/>
                <w:sz w:val="24"/>
              </w:rPr>
            </w:pPr>
            <w:r>
              <w:rPr>
                <w:rFonts w:hint="eastAsia" w:ascii="仿宋" w:hAnsi="仿宋" w:eastAsia="仿宋" w:cs="仿宋"/>
                <w:kern w:val="0"/>
                <w:sz w:val="24"/>
              </w:rPr>
              <w:t>52.39%</w:t>
            </w:r>
          </w:p>
        </w:tc>
      </w:tr>
      <w:tr w14:paraId="363FD34F">
        <w:tblPrEx>
          <w:tblCellMar>
            <w:top w:w="0" w:type="dxa"/>
            <w:left w:w="108" w:type="dxa"/>
            <w:bottom w:w="0" w:type="dxa"/>
            <w:right w:w="108" w:type="dxa"/>
          </w:tblCellMar>
        </w:tblPrEx>
        <w:trPr>
          <w:trHeight w:val="255" w:hRule="atLeast"/>
        </w:trPr>
        <w:tc>
          <w:tcPr>
            <w:tcW w:w="1060" w:type="dxa"/>
            <w:tcBorders>
              <w:top w:val="nil"/>
              <w:left w:val="single" w:color="auto" w:sz="4" w:space="0"/>
              <w:bottom w:val="single" w:color="auto" w:sz="4" w:space="0"/>
              <w:right w:val="single" w:color="auto" w:sz="4" w:space="0"/>
            </w:tcBorders>
            <w:vAlign w:val="center"/>
          </w:tcPr>
          <w:p w14:paraId="1B06A613">
            <w:pPr>
              <w:spacing w:line="440" w:lineRule="atLeast"/>
              <w:jc w:val="center"/>
              <w:rPr>
                <w:rFonts w:ascii="仿宋" w:hAnsi="仿宋" w:eastAsia="仿宋" w:cs="仿宋"/>
                <w:kern w:val="0"/>
                <w:sz w:val="24"/>
              </w:rPr>
            </w:pPr>
            <w:r>
              <w:rPr>
                <w:rFonts w:hint="eastAsia" w:ascii="仿宋" w:hAnsi="仿宋" w:eastAsia="仿宋" w:cs="仿宋"/>
                <w:kern w:val="0"/>
                <w:sz w:val="24"/>
              </w:rPr>
              <w:t>000783.SZ</w:t>
            </w:r>
          </w:p>
        </w:tc>
        <w:tc>
          <w:tcPr>
            <w:tcW w:w="960" w:type="dxa"/>
            <w:tcBorders>
              <w:top w:val="nil"/>
              <w:left w:val="nil"/>
              <w:bottom w:val="single" w:color="auto" w:sz="4" w:space="0"/>
              <w:right w:val="single" w:color="auto" w:sz="4" w:space="0"/>
            </w:tcBorders>
            <w:vAlign w:val="center"/>
          </w:tcPr>
          <w:p w14:paraId="500D49D8">
            <w:pPr>
              <w:spacing w:line="440" w:lineRule="atLeast"/>
              <w:jc w:val="center"/>
              <w:rPr>
                <w:rFonts w:ascii="仿宋" w:hAnsi="仿宋" w:eastAsia="仿宋" w:cs="仿宋"/>
                <w:kern w:val="0"/>
                <w:sz w:val="24"/>
              </w:rPr>
            </w:pPr>
            <w:r>
              <w:rPr>
                <w:rFonts w:hint="eastAsia" w:ascii="仿宋" w:hAnsi="仿宋" w:eastAsia="仿宋" w:cs="仿宋"/>
                <w:kern w:val="0"/>
                <w:sz w:val="24"/>
              </w:rPr>
              <w:t>长江证券</w:t>
            </w:r>
          </w:p>
        </w:tc>
        <w:tc>
          <w:tcPr>
            <w:tcW w:w="1080" w:type="dxa"/>
            <w:tcBorders>
              <w:top w:val="nil"/>
              <w:left w:val="nil"/>
              <w:bottom w:val="single" w:color="auto" w:sz="4" w:space="0"/>
              <w:right w:val="single" w:color="auto" w:sz="4" w:space="0"/>
            </w:tcBorders>
            <w:vAlign w:val="center"/>
          </w:tcPr>
          <w:p w14:paraId="11A2C3C0">
            <w:pPr>
              <w:spacing w:line="440" w:lineRule="atLeast"/>
              <w:jc w:val="right"/>
              <w:rPr>
                <w:rFonts w:ascii="仿宋" w:hAnsi="仿宋" w:eastAsia="仿宋" w:cs="仿宋"/>
                <w:kern w:val="0"/>
                <w:sz w:val="24"/>
              </w:rPr>
            </w:pPr>
            <w:r>
              <w:rPr>
                <w:rFonts w:hint="eastAsia" w:ascii="仿宋" w:hAnsi="仿宋" w:eastAsia="仿宋" w:cs="仿宋"/>
                <w:kern w:val="0"/>
                <w:sz w:val="24"/>
              </w:rPr>
              <w:t>39.65%</w:t>
            </w:r>
          </w:p>
        </w:tc>
        <w:tc>
          <w:tcPr>
            <w:tcW w:w="1080" w:type="dxa"/>
            <w:tcBorders>
              <w:top w:val="nil"/>
              <w:left w:val="nil"/>
              <w:bottom w:val="single" w:color="auto" w:sz="4" w:space="0"/>
              <w:right w:val="single" w:color="auto" w:sz="4" w:space="0"/>
            </w:tcBorders>
            <w:vAlign w:val="center"/>
          </w:tcPr>
          <w:p w14:paraId="0D4E6E61">
            <w:pPr>
              <w:spacing w:line="440" w:lineRule="atLeast"/>
              <w:jc w:val="right"/>
              <w:rPr>
                <w:rFonts w:ascii="仿宋" w:hAnsi="仿宋" w:eastAsia="仿宋" w:cs="仿宋"/>
                <w:kern w:val="0"/>
                <w:sz w:val="24"/>
              </w:rPr>
            </w:pPr>
            <w:r>
              <w:rPr>
                <w:rFonts w:hint="eastAsia" w:ascii="仿宋" w:hAnsi="仿宋" w:eastAsia="仿宋" w:cs="仿宋"/>
                <w:kern w:val="0"/>
                <w:sz w:val="24"/>
              </w:rPr>
              <w:t>38.79%</w:t>
            </w:r>
          </w:p>
        </w:tc>
        <w:tc>
          <w:tcPr>
            <w:tcW w:w="1080" w:type="dxa"/>
            <w:tcBorders>
              <w:top w:val="nil"/>
              <w:left w:val="nil"/>
              <w:bottom w:val="single" w:color="auto" w:sz="4" w:space="0"/>
              <w:right w:val="single" w:color="auto" w:sz="4" w:space="0"/>
            </w:tcBorders>
            <w:vAlign w:val="center"/>
          </w:tcPr>
          <w:p w14:paraId="7E87A17E">
            <w:pPr>
              <w:spacing w:line="440" w:lineRule="atLeast"/>
              <w:jc w:val="right"/>
              <w:rPr>
                <w:rFonts w:ascii="仿宋" w:hAnsi="仿宋" w:eastAsia="仿宋" w:cs="仿宋"/>
                <w:kern w:val="0"/>
                <w:sz w:val="24"/>
              </w:rPr>
            </w:pPr>
            <w:r>
              <w:rPr>
                <w:rFonts w:hint="eastAsia" w:ascii="仿宋" w:hAnsi="仿宋" w:eastAsia="仿宋" w:cs="仿宋"/>
                <w:kern w:val="0"/>
                <w:sz w:val="24"/>
              </w:rPr>
              <w:t>41.43%</w:t>
            </w:r>
          </w:p>
        </w:tc>
        <w:tc>
          <w:tcPr>
            <w:tcW w:w="1080" w:type="dxa"/>
            <w:tcBorders>
              <w:top w:val="nil"/>
              <w:left w:val="nil"/>
              <w:bottom w:val="single" w:color="auto" w:sz="4" w:space="0"/>
              <w:right w:val="single" w:color="auto" w:sz="4" w:space="0"/>
            </w:tcBorders>
            <w:vAlign w:val="center"/>
          </w:tcPr>
          <w:p w14:paraId="610E70AC">
            <w:pPr>
              <w:spacing w:line="440" w:lineRule="atLeast"/>
              <w:jc w:val="right"/>
              <w:rPr>
                <w:rFonts w:ascii="仿宋" w:hAnsi="仿宋" w:eastAsia="仿宋" w:cs="仿宋"/>
                <w:kern w:val="0"/>
                <w:sz w:val="24"/>
              </w:rPr>
            </w:pPr>
            <w:r>
              <w:rPr>
                <w:rFonts w:hint="eastAsia" w:ascii="仿宋" w:hAnsi="仿宋" w:eastAsia="仿宋" w:cs="仿宋"/>
                <w:kern w:val="0"/>
                <w:sz w:val="24"/>
              </w:rPr>
              <w:t>67.22%</w:t>
            </w:r>
          </w:p>
        </w:tc>
        <w:tc>
          <w:tcPr>
            <w:tcW w:w="1080" w:type="dxa"/>
            <w:tcBorders>
              <w:top w:val="nil"/>
              <w:left w:val="nil"/>
              <w:bottom w:val="single" w:color="auto" w:sz="4" w:space="0"/>
              <w:right w:val="single" w:color="auto" w:sz="4" w:space="0"/>
            </w:tcBorders>
            <w:vAlign w:val="center"/>
          </w:tcPr>
          <w:p w14:paraId="4E8C537F">
            <w:pPr>
              <w:spacing w:line="440" w:lineRule="atLeast"/>
              <w:jc w:val="right"/>
              <w:rPr>
                <w:rFonts w:ascii="仿宋" w:hAnsi="仿宋" w:eastAsia="仿宋" w:cs="仿宋"/>
                <w:kern w:val="0"/>
                <w:sz w:val="24"/>
              </w:rPr>
            </w:pPr>
            <w:r>
              <w:rPr>
                <w:rFonts w:hint="eastAsia" w:ascii="仿宋" w:hAnsi="仿宋" w:eastAsia="仿宋" w:cs="仿宋"/>
                <w:kern w:val="0"/>
                <w:sz w:val="24"/>
              </w:rPr>
              <w:t>56.42%</w:t>
            </w:r>
          </w:p>
        </w:tc>
        <w:tc>
          <w:tcPr>
            <w:tcW w:w="1080" w:type="dxa"/>
            <w:tcBorders>
              <w:top w:val="nil"/>
              <w:left w:val="nil"/>
              <w:bottom w:val="single" w:color="auto" w:sz="4" w:space="0"/>
              <w:right w:val="single" w:color="auto" w:sz="4" w:space="0"/>
            </w:tcBorders>
            <w:vAlign w:val="center"/>
          </w:tcPr>
          <w:p w14:paraId="67A4A14C">
            <w:pPr>
              <w:spacing w:line="440" w:lineRule="atLeast"/>
              <w:jc w:val="right"/>
              <w:rPr>
                <w:rFonts w:ascii="仿宋" w:hAnsi="仿宋" w:eastAsia="仿宋" w:cs="仿宋"/>
                <w:kern w:val="0"/>
                <w:sz w:val="24"/>
              </w:rPr>
            </w:pPr>
            <w:r>
              <w:rPr>
                <w:rFonts w:hint="eastAsia" w:ascii="仿宋" w:hAnsi="仿宋" w:eastAsia="仿宋" w:cs="仿宋"/>
                <w:kern w:val="0"/>
                <w:sz w:val="24"/>
              </w:rPr>
              <w:t>47.17%</w:t>
            </w:r>
          </w:p>
        </w:tc>
      </w:tr>
      <w:tr w14:paraId="5C76D7CC">
        <w:tblPrEx>
          <w:tblCellMar>
            <w:top w:w="0" w:type="dxa"/>
            <w:left w:w="108" w:type="dxa"/>
            <w:bottom w:w="0" w:type="dxa"/>
            <w:right w:w="108" w:type="dxa"/>
          </w:tblCellMar>
        </w:tblPrEx>
        <w:trPr>
          <w:trHeight w:val="255" w:hRule="atLeast"/>
        </w:trPr>
        <w:tc>
          <w:tcPr>
            <w:tcW w:w="1060" w:type="dxa"/>
            <w:tcBorders>
              <w:top w:val="nil"/>
              <w:left w:val="single" w:color="auto" w:sz="4" w:space="0"/>
              <w:bottom w:val="single" w:color="auto" w:sz="4" w:space="0"/>
              <w:right w:val="single" w:color="auto" w:sz="4" w:space="0"/>
            </w:tcBorders>
            <w:vAlign w:val="center"/>
          </w:tcPr>
          <w:p w14:paraId="5A12492D">
            <w:pPr>
              <w:spacing w:line="440" w:lineRule="atLeast"/>
              <w:jc w:val="center"/>
              <w:rPr>
                <w:rFonts w:ascii="仿宋" w:hAnsi="仿宋" w:eastAsia="仿宋" w:cs="仿宋"/>
                <w:kern w:val="0"/>
                <w:sz w:val="24"/>
              </w:rPr>
            </w:pPr>
            <w:r>
              <w:rPr>
                <w:rFonts w:hint="eastAsia" w:ascii="仿宋" w:hAnsi="仿宋" w:eastAsia="仿宋" w:cs="仿宋"/>
                <w:kern w:val="0"/>
                <w:sz w:val="24"/>
              </w:rPr>
              <w:t>002500.SZ</w:t>
            </w:r>
          </w:p>
        </w:tc>
        <w:tc>
          <w:tcPr>
            <w:tcW w:w="960" w:type="dxa"/>
            <w:tcBorders>
              <w:top w:val="nil"/>
              <w:left w:val="nil"/>
              <w:bottom w:val="single" w:color="auto" w:sz="4" w:space="0"/>
              <w:right w:val="single" w:color="auto" w:sz="4" w:space="0"/>
            </w:tcBorders>
            <w:vAlign w:val="center"/>
          </w:tcPr>
          <w:p w14:paraId="7C963503">
            <w:pPr>
              <w:spacing w:line="440" w:lineRule="atLeast"/>
              <w:jc w:val="center"/>
              <w:rPr>
                <w:rFonts w:ascii="仿宋" w:hAnsi="仿宋" w:eastAsia="仿宋" w:cs="仿宋"/>
                <w:kern w:val="0"/>
                <w:sz w:val="24"/>
              </w:rPr>
            </w:pPr>
            <w:r>
              <w:rPr>
                <w:rFonts w:hint="eastAsia" w:ascii="仿宋" w:hAnsi="仿宋" w:eastAsia="仿宋" w:cs="仿宋"/>
                <w:kern w:val="0"/>
                <w:sz w:val="24"/>
              </w:rPr>
              <w:t>山西证券</w:t>
            </w:r>
          </w:p>
        </w:tc>
        <w:tc>
          <w:tcPr>
            <w:tcW w:w="1080" w:type="dxa"/>
            <w:tcBorders>
              <w:top w:val="nil"/>
              <w:left w:val="nil"/>
              <w:bottom w:val="single" w:color="auto" w:sz="4" w:space="0"/>
              <w:right w:val="single" w:color="auto" w:sz="4" w:space="0"/>
            </w:tcBorders>
            <w:vAlign w:val="center"/>
          </w:tcPr>
          <w:p w14:paraId="52D92834">
            <w:pPr>
              <w:spacing w:line="440" w:lineRule="atLeast"/>
              <w:jc w:val="right"/>
              <w:rPr>
                <w:rFonts w:ascii="仿宋" w:hAnsi="仿宋" w:eastAsia="仿宋" w:cs="仿宋"/>
                <w:kern w:val="0"/>
                <w:sz w:val="24"/>
              </w:rPr>
            </w:pPr>
            <w:r>
              <w:rPr>
                <w:rFonts w:hint="eastAsia" w:ascii="仿宋" w:hAnsi="仿宋" w:eastAsia="仿宋" w:cs="仿宋"/>
                <w:kern w:val="0"/>
                <w:sz w:val="24"/>
              </w:rPr>
              <w:t>44.57%</w:t>
            </w:r>
          </w:p>
        </w:tc>
        <w:tc>
          <w:tcPr>
            <w:tcW w:w="1080" w:type="dxa"/>
            <w:tcBorders>
              <w:top w:val="nil"/>
              <w:left w:val="nil"/>
              <w:bottom w:val="single" w:color="auto" w:sz="4" w:space="0"/>
              <w:right w:val="single" w:color="auto" w:sz="4" w:space="0"/>
            </w:tcBorders>
            <w:vAlign w:val="center"/>
          </w:tcPr>
          <w:p w14:paraId="6223C2C1">
            <w:pPr>
              <w:spacing w:line="440" w:lineRule="atLeast"/>
              <w:jc w:val="right"/>
              <w:rPr>
                <w:rFonts w:ascii="仿宋" w:hAnsi="仿宋" w:eastAsia="仿宋" w:cs="仿宋"/>
                <w:kern w:val="0"/>
                <w:sz w:val="24"/>
              </w:rPr>
            </w:pPr>
            <w:r>
              <w:rPr>
                <w:rFonts w:hint="eastAsia" w:ascii="仿宋" w:hAnsi="仿宋" w:eastAsia="仿宋" w:cs="仿宋"/>
                <w:kern w:val="0"/>
                <w:sz w:val="24"/>
              </w:rPr>
              <w:t>36.44%</w:t>
            </w:r>
          </w:p>
        </w:tc>
        <w:tc>
          <w:tcPr>
            <w:tcW w:w="1080" w:type="dxa"/>
            <w:tcBorders>
              <w:top w:val="nil"/>
              <w:left w:val="nil"/>
              <w:bottom w:val="single" w:color="auto" w:sz="4" w:space="0"/>
              <w:right w:val="single" w:color="auto" w:sz="4" w:space="0"/>
            </w:tcBorders>
            <w:vAlign w:val="center"/>
          </w:tcPr>
          <w:p w14:paraId="1DE4E2B7">
            <w:pPr>
              <w:spacing w:line="440" w:lineRule="atLeast"/>
              <w:jc w:val="right"/>
              <w:rPr>
                <w:rFonts w:ascii="仿宋" w:hAnsi="仿宋" w:eastAsia="仿宋" w:cs="仿宋"/>
                <w:kern w:val="0"/>
                <w:sz w:val="24"/>
              </w:rPr>
            </w:pPr>
            <w:r>
              <w:rPr>
                <w:rFonts w:hint="eastAsia" w:ascii="仿宋" w:hAnsi="仿宋" w:eastAsia="仿宋" w:cs="仿宋"/>
                <w:kern w:val="0"/>
                <w:sz w:val="24"/>
              </w:rPr>
              <w:t>45.55%</w:t>
            </w:r>
          </w:p>
        </w:tc>
        <w:tc>
          <w:tcPr>
            <w:tcW w:w="1080" w:type="dxa"/>
            <w:tcBorders>
              <w:top w:val="nil"/>
              <w:left w:val="nil"/>
              <w:bottom w:val="single" w:color="auto" w:sz="4" w:space="0"/>
              <w:right w:val="single" w:color="auto" w:sz="4" w:space="0"/>
            </w:tcBorders>
            <w:vAlign w:val="center"/>
          </w:tcPr>
          <w:p w14:paraId="714B4B43">
            <w:pPr>
              <w:spacing w:line="440" w:lineRule="atLeast"/>
              <w:jc w:val="right"/>
              <w:rPr>
                <w:rFonts w:ascii="仿宋" w:hAnsi="仿宋" w:eastAsia="仿宋" w:cs="仿宋"/>
                <w:kern w:val="0"/>
                <w:sz w:val="24"/>
              </w:rPr>
            </w:pPr>
            <w:r>
              <w:rPr>
                <w:rFonts w:hint="eastAsia" w:ascii="仿宋" w:hAnsi="仿宋" w:eastAsia="仿宋" w:cs="仿宋"/>
                <w:kern w:val="0"/>
                <w:sz w:val="24"/>
              </w:rPr>
              <w:t>63.07%</w:t>
            </w:r>
          </w:p>
        </w:tc>
        <w:tc>
          <w:tcPr>
            <w:tcW w:w="1080" w:type="dxa"/>
            <w:tcBorders>
              <w:top w:val="nil"/>
              <w:left w:val="nil"/>
              <w:bottom w:val="single" w:color="auto" w:sz="4" w:space="0"/>
              <w:right w:val="single" w:color="auto" w:sz="4" w:space="0"/>
            </w:tcBorders>
            <w:vAlign w:val="center"/>
          </w:tcPr>
          <w:p w14:paraId="75221FD1">
            <w:pPr>
              <w:spacing w:line="440" w:lineRule="atLeast"/>
              <w:jc w:val="right"/>
              <w:rPr>
                <w:rFonts w:ascii="仿宋" w:hAnsi="仿宋" w:eastAsia="仿宋" w:cs="仿宋"/>
                <w:kern w:val="0"/>
                <w:sz w:val="24"/>
              </w:rPr>
            </w:pPr>
            <w:r>
              <w:rPr>
                <w:rFonts w:hint="eastAsia" w:ascii="仿宋" w:hAnsi="仿宋" w:eastAsia="仿宋" w:cs="仿宋"/>
                <w:kern w:val="0"/>
                <w:sz w:val="24"/>
              </w:rPr>
              <w:t>69.17%</w:t>
            </w:r>
          </w:p>
        </w:tc>
        <w:tc>
          <w:tcPr>
            <w:tcW w:w="1080" w:type="dxa"/>
            <w:tcBorders>
              <w:top w:val="nil"/>
              <w:left w:val="nil"/>
              <w:bottom w:val="single" w:color="auto" w:sz="4" w:space="0"/>
              <w:right w:val="single" w:color="auto" w:sz="4" w:space="0"/>
            </w:tcBorders>
            <w:vAlign w:val="center"/>
          </w:tcPr>
          <w:p w14:paraId="0BB6ABF9">
            <w:pPr>
              <w:spacing w:line="440" w:lineRule="atLeast"/>
              <w:jc w:val="right"/>
              <w:rPr>
                <w:rFonts w:ascii="仿宋" w:hAnsi="仿宋" w:eastAsia="仿宋" w:cs="仿宋"/>
                <w:kern w:val="0"/>
                <w:sz w:val="24"/>
              </w:rPr>
            </w:pPr>
            <w:r>
              <w:rPr>
                <w:rFonts w:hint="eastAsia" w:ascii="仿宋" w:hAnsi="仿宋" w:eastAsia="仿宋" w:cs="仿宋"/>
                <w:kern w:val="0"/>
                <w:sz w:val="24"/>
              </w:rPr>
              <w:t>52.80%</w:t>
            </w:r>
          </w:p>
        </w:tc>
      </w:tr>
      <w:tr w14:paraId="570A8366">
        <w:tblPrEx>
          <w:tblCellMar>
            <w:top w:w="0" w:type="dxa"/>
            <w:left w:w="108" w:type="dxa"/>
            <w:bottom w:w="0" w:type="dxa"/>
            <w:right w:w="108" w:type="dxa"/>
          </w:tblCellMar>
        </w:tblPrEx>
        <w:trPr>
          <w:trHeight w:val="255" w:hRule="atLeast"/>
        </w:trPr>
        <w:tc>
          <w:tcPr>
            <w:tcW w:w="1060" w:type="dxa"/>
            <w:tcBorders>
              <w:top w:val="nil"/>
              <w:left w:val="single" w:color="auto" w:sz="4" w:space="0"/>
              <w:bottom w:val="single" w:color="auto" w:sz="4" w:space="0"/>
              <w:right w:val="single" w:color="auto" w:sz="4" w:space="0"/>
            </w:tcBorders>
            <w:vAlign w:val="center"/>
          </w:tcPr>
          <w:p w14:paraId="270E8F13">
            <w:pPr>
              <w:spacing w:line="440" w:lineRule="atLeast"/>
              <w:jc w:val="center"/>
              <w:rPr>
                <w:rFonts w:ascii="仿宋" w:hAnsi="仿宋" w:eastAsia="仿宋" w:cs="仿宋"/>
                <w:kern w:val="0"/>
                <w:sz w:val="24"/>
              </w:rPr>
            </w:pPr>
            <w:r>
              <w:rPr>
                <w:rFonts w:hint="eastAsia" w:ascii="仿宋" w:hAnsi="仿宋" w:eastAsia="仿宋" w:cs="仿宋"/>
                <w:kern w:val="0"/>
                <w:sz w:val="24"/>
              </w:rPr>
              <w:t>002673.SZ</w:t>
            </w:r>
          </w:p>
        </w:tc>
        <w:tc>
          <w:tcPr>
            <w:tcW w:w="960" w:type="dxa"/>
            <w:tcBorders>
              <w:top w:val="nil"/>
              <w:left w:val="nil"/>
              <w:bottom w:val="single" w:color="auto" w:sz="4" w:space="0"/>
              <w:right w:val="single" w:color="auto" w:sz="4" w:space="0"/>
            </w:tcBorders>
            <w:vAlign w:val="center"/>
          </w:tcPr>
          <w:p w14:paraId="1E0A1722">
            <w:pPr>
              <w:spacing w:line="440" w:lineRule="atLeast"/>
              <w:jc w:val="center"/>
              <w:rPr>
                <w:rFonts w:ascii="仿宋" w:hAnsi="仿宋" w:eastAsia="仿宋" w:cs="仿宋"/>
                <w:kern w:val="0"/>
                <w:sz w:val="24"/>
              </w:rPr>
            </w:pPr>
            <w:r>
              <w:rPr>
                <w:rFonts w:hint="eastAsia" w:ascii="仿宋" w:hAnsi="仿宋" w:eastAsia="仿宋" w:cs="仿宋"/>
                <w:kern w:val="0"/>
                <w:sz w:val="24"/>
              </w:rPr>
              <w:t>西部证券</w:t>
            </w:r>
          </w:p>
        </w:tc>
        <w:tc>
          <w:tcPr>
            <w:tcW w:w="1080" w:type="dxa"/>
            <w:tcBorders>
              <w:top w:val="nil"/>
              <w:left w:val="nil"/>
              <w:bottom w:val="single" w:color="auto" w:sz="4" w:space="0"/>
              <w:right w:val="single" w:color="auto" w:sz="4" w:space="0"/>
            </w:tcBorders>
            <w:vAlign w:val="center"/>
          </w:tcPr>
          <w:p w14:paraId="726661B7">
            <w:pPr>
              <w:spacing w:line="440" w:lineRule="atLeast"/>
              <w:jc w:val="right"/>
              <w:rPr>
                <w:rFonts w:ascii="仿宋" w:hAnsi="仿宋" w:eastAsia="仿宋" w:cs="仿宋"/>
                <w:kern w:val="0"/>
                <w:sz w:val="24"/>
              </w:rPr>
            </w:pPr>
            <w:r>
              <w:rPr>
                <w:rFonts w:hint="eastAsia" w:ascii="仿宋" w:hAnsi="仿宋" w:eastAsia="仿宋" w:cs="仿宋"/>
                <w:kern w:val="0"/>
                <w:sz w:val="24"/>
              </w:rPr>
              <w:t>40.86%</w:t>
            </w:r>
          </w:p>
        </w:tc>
        <w:tc>
          <w:tcPr>
            <w:tcW w:w="1080" w:type="dxa"/>
            <w:tcBorders>
              <w:top w:val="nil"/>
              <w:left w:val="nil"/>
              <w:bottom w:val="single" w:color="auto" w:sz="4" w:space="0"/>
              <w:right w:val="single" w:color="auto" w:sz="4" w:space="0"/>
            </w:tcBorders>
            <w:vAlign w:val="center"/>
          </w:tcPr>
          <w:p w14:paraId="4BCD7B41">
            <w:pPr>
              <w:spacing w:line="440" w:lineRule="atLeast"/>
              <w:jc w:val="right"/>
              <w:rPr>
                <w:rFonts w:ascii="仿宋" w:hAnsi="仿宋" w:eastAsia="仿宋" w:cs="仿宋"/>
                <w:kern w:val="0"/>
                <w:sz w:val="24"/>
              </w:rPr>
            </w:pPr>
            <w:r>
              <w:rPr>
                <w:rFonts w:hint="eastAsia" w:ascii="仿宋" w:hAnsi="仿宋" w:eastAsia="仿宋" w:cs="仿宋"/>
                <w:kern w:val="0"/>
                <w:sz w:val="24"/>
              </w:rPr>
              <w:t>34.14%</w:t>
            </w:r>
          </w:p>
        </w:tc>
        <w:tc>
          <w:tcPr>
            <w:tcW w:w="1080" w:type="dxa"/>
            <w:tcBorders>
              <w:top w:val="nil"/>
              <w:left w:val="nil"/>
              <w:bottom w:val="single" w:color="auto" w:sz="4" w:space="0"/>
              <w:right w:val="single" w:color="auto" w:sz="4" w:space="0"/>
            </w:tcBorders>
            <w:vAlign w:val="center"/>
          </w:tcPr>
          <w:p w14:paraId="3783B043">
            <w:pPr>
              <w:spacing w:line="440" w:lineRule="atLeast"/>
              <w:jc w:val="right"/>
              <w:rPr>
                <w:rFonts w:ascii="仿宋" w:hAnsi="仿宋" w:eastAsia="仿宋" w:cs="仿宋"/>
                <w:kern w:val="0"/>
                <w:sz w:val="24"/>
              </w:rPr>
            </w:pPr>
            <w:r>
              <w:rPr>
                <w:rFonts w:hint="eastAsia" w:ascii="仿宋" w:hAnsi="仿宋" w:eastAsia="仿宋" w:cs="仿宋"/>
                <w:kern w:val="0"/>
                <w:sz w:val="24"/>
              </w:rPr>
              <w:t>48.21%</w:t>
            </w:r>
          </w:p>
        </w:tc>
        <w:tc>
          <w:tcPr>
            <w:tcW w:w="1080" w:type="dxa"/>
            <w:tcBorders>
              <w:top w:val="nil"/>
              <w:left w:val="nil"/>
              <w:bottom w:val="single" w:color="auto" w:sz="4" w:space="0"/>
              <w:right w:val="single" w:color="auto" w:sz="4" w:space="0"/>
            </w:tcBorders>
            <w:vAlign w:val="center"/>
          </w:tcPr>
          <w:p w14:paraId="36F1F8EB">
            <w:pPr>
              <w:spacing w:line="440" w:lineRule="atLeast"/>
              <w:jc w:val="right"/>
              <w:rPr>
                <w:rFonts w:ascii="仿宋" w:hAnsi="仿宋" w:eastAsia="仿宋" w:cs="仿宋"/>
                <w:kern w:val="0"/>
                <w:sz w:val="24"/>
              </w:rPr>
            </w:pPr>
            <w:r>
              <w:rPr>
                <w:rFonts w:hint="eastAsia" w:ascii="仿宋" w:hAnsi="仿宋" w:eastAsia="仿宋" w:cs="仿宋"/>
                <w:kern w:val="0"/>
                <w:sz w:val="24"/>
              </w:rPr>
              <w:t>63.85%</w:t>
            </w:r>
          </w:p>
        </w:tc>
        <w:tc>
          <w:tcPr>
            <w:tcW w:w="1080" w:type="dxa"/>
            <w:tcBorders>
              <w:top w:val="nil"/>
              <w:left w:val="nil"/>
              <w:bottom w:val="single" w:color="auto" w:sz="4" w:space="0"/>
              <w:right w:val="single" w:color="auto" w:sz="4" w:space="0"/>
            </w:tcBorders>
            <w:vAlign w:val="center"/>
          </w:tcPr>
          <w:p w14:paraId="51A34958">
            <w:pPr>
              <w:spacing w:line="440" w:lineRule="atLeast"/>
              <w:jc w:val="right"/>
              <w:rPr>
                <w:rFonts w:ascii="仿宋" w:hAnsi="仿宋" w:eastAsia="仿宋" w:cs="仿宋"/>
                <w:kern w:val="0"/>
                <w:sz w:val="24"/>
              </w:rPr>
            </w:pPr>
            <w:r>
              <w:rPr>
                <w:rFonts w:hint="eastAsia" w:ascii="仿宋" w:hAnsi="仿宋" w:eastAsia="仿宋" w:cs="仿宋"/>
                <w:kern w:val="0"/>
                <w:sz w:val="24"/>
              </w:rPr>
              <w:t>70.65%</w:t>
            </w:r>
          </w:p>
        </w:tc>
        <w:tc>
          <w:tcPr>
            <w:tcW w:w="1080" w:type="dxa"/>
            <w:tcBorders>
              <w:top w:val="nil"/>
              <w:left w:val="nil"/>
              <w:bottom w:val="single" w:color="auto" w:sz="4" w:space="0"/>
              <w:right w:val="single" w:color="auto" w:sz="4" w:space="0"/>
            </w:tcBorders>
            <w:vAlign w:val="center"/>
          </w:tcPr>
          <w:p w14:paraId="1E5EDFF8">
            <w:pPr>
              <w:spacing w:line="440" w:lineRule="atLeast"/>
              <w:jc w:val="right"/>
              <w:rPr>
                <w:rFonts w:ascii="仿宋" w:hAnsi="仿宋" w:eastAsia="仿宋" w:cs="仿宋"/>
                <w:kern w:val="0"/>
                <w:sz w:val="24"/>
              </w:rPr>
            </w:pPr>
            <w:r>
              <w:rPr>
                <w:rFonts w:hint="eastAsia" w:ascii="仿宋" w:hAnsi="仿宋" w:eastAsia="仿宋" w:cs="仿宋"/>
                <w:kern w:val="0"/>
                <w:sz w:val="24"/>
              </w:rPr>
              <w:t>60.42%</w:t>
            </w:r>
          </w:p>
        </w:tc>
      </w:tr>
      <w:tr w14:paraId="7DB58FC5">
        <w:tblPrEx>
          <w:tblCellMar>
            <w:top w:w="0" w:type="dxa"/>
            <w:left w:w="108" w:type="dxa"/>
            <w:bottom w:w="0" w:type="dxa"/>
            <w:right w:w="108" w:type="dxa"/>
          </w:tblCellMar>
        </w:tblPrEx>
        <w:trPr>
          <w:trHeight w:val="255" w:hRule="atLeast"/>
        </w:trPr>
        <w:tc>
          <w:tcPr>
            <w:tcW w:w="1060" w:type="dxa"/>
            <w:tcBorders>
              <w:top w:val="nil"/>
              <w:left w:val="single" w:color="auto" w:sz="4" w:space="0"/>
              <w:bottom w:val="single" w:color="auto" w:sz="4" w:space="0"/>
              <w:right w:val="single" w:color="auto" w:sz="4" w:space="0"/>
            </w:tcBorders>
            <w:vAlign w:val="center"/>
          </w:tcPr>
          <w:p w14:paraId="02BC02E9">
            <w:pPr>
              <w:spacing w:line="440" w:lineRule="atLeast"/>
              <w:jc w:val="center"/>
              <w:rPr>
                <w:rFonts w:ascii="仿宋" w:hAnsi="仿宋" w:eastAsia="仿宋" w:cs="仿宋"/>
                <w:kern w:val="0"/>
                <w:sz w:val="24"/>
              </w:rPr>
            </w:pPr>
            <w:r>
              <w:rPr>
                <w:rFonts w:hint="eastAsia" w:ascii="仿宋" w:hAnsi="仿宋" w:eastAsia="仿宋" w:cs="仿宋"/>
                <w:kern w:val="0"/>
                <w:sz w:val="24"/>
              </w:rPr>
              <w:t>002736.SZ</w:t>
            </w:r>
          </w:p>
        </w:tc>
        <w:tc>
          <w:tcPr>
            <w:tcW w:w="960" w:type="dxa"/>
            <w:tcBorders>
              <w:top w:val="nil"/>
              <w:left w:val="nil"/>
              <w:bottom w:val="single" w:color="auto" w:sz="4" w:space="0"/>
              <w:right w:val="single" w:color="auto" w:sz="4" w:space="0"/>
            </w:tcBorders>
            <w:vAlign w:val="center"/>
          </w:tcPr>
          <w:p w14:paraId="369802E5">
            <w:pPr>
              <w:spacing w:line="440" w:lineRule="atLeast"/>
              <w:jc w:val="center"/>
              <w:rPr>
                <w:rFonts w:ascii="仿宋" w:hAnsi="仿宋" w:eastAsia="仿宋" w:cs="仿宋"/>
                <w:kern w:val="0"/>
                <w:sz w:val="24"/>
              </w:rPr>
            </w:pPr>
            <w:r>
              <w:rPr>
                <w:rFonts w:hint="eastAsia" w:ascii="仿宋" w:hAnsi="仿宋" w:eastAsia="仿宋" w:cs="仿宋"/>
                <w:kern w:val="0"/>
                <w:sz w:val="24"/>
              </w:rPr>
              <w:t>国信证券</w:t>
            </w:r>
          </w:p>
        </w:tc>
        <w:tc>
          <w:tcPr>
            <w:tcW w:w="1080" w:type="dxa"/>
            <w:tcBorders>
              <w:top w:val="nil"/>
              <w:left w:val="nil"/>
              <w:bottom w:val="single" w:color="auto" w:sz="4" w:space="0"/>
              <w:right w:val="single" w:color="auto" w:sz="4" w:space="0"/>
            </w:tcBorders>
            <w:vAlign w:val="center"/>
          </w:tcPr>
          <w:p w14:paraId="441D2DFC">
            <w:pPr>
              <w:spacing w:line="440" w:lineRule="atLeast"/>
              <w:jc w:val="right"/>
              <w:rPr>
                <w:rFonts w:ascii="仿宋" w:hAnsi="仿宋" w:eastAsia="仿宋" w:cs="仿宋"/>
                <w:kern w:val="0"/>
                <w:sz w:val="24"/>
              </w:rPr>
            </w:pPr>
            <w:r>
              <w:rPr>
                <w:rFonts w:hint="eastAsia" w:ascii="仿宋" w:hAnsi="仿宋" w:eastAsia="仿宋" w:cs="仿宋"/>
                <w:kern w:val="0"/>
                <w:sz w:val="24"/>
              </w:rPr>
              <w:t>42.47%</w:t>
            </w:r>
          </w:p>
        </w:tc>
        <w:tc>
          <w:tcPr>
            <w:tcW w:w="1080" w:type="dxa"/>
            <w:tcBorders>
              <w:top w:val="nil"/>
              <w:left w:val="nil"/>
              <w:bottom w:val="single" w:color="auto" w:sz="4" w:space="0"/>
              <w:right w:val="single" w:color="auto" w:sz="4" w:space="0"/>
            </w:tcBorders>
            <w:vAlign w:val="center"/>
          </w:tcPr>
          <w:p w14:paraId="471B016B">
            <w:pPr>
              <w:spacing w:line="440" w:lineRule="atLeast"/>
              <w:jc w:val="right"/>
              <w:rPr>
                <w:rFonts w:ascii="仿宋" w:hAnsi="仿宋" w:eastAsia="仿宋" w:cs="仿宋"/>
                <w:kern w:val="0"/>
                <w:sz w:val="24"/>
              </w:rPr>
            </w:pPr>
            <w:r>
              <w:rPr>
                <w:rFonts w:hint="eastAsia" w:ascii="仿宋" w:hAnsi="仿宋" w:eastAsia="仿宋" w:cs="仿宋"/>
                <w:kern w:val="0"/>
                <w:sz w:val="24"/>
              </w:rPr>
              <w:t>32.14%</w:t>
            </w:r>
          </w:p>
        </w:tc>
        <w:tc>
          <w:tcPr>
            <w:tcW w:w="1080" w:type="dxa"/>
            <w:tcBorders>
              <w:top w:val="nil"/>
              <w:left w:val="nil"/>
              <w:bottom w:val="single" w:color="auto" w:sz="4" w:space="0"/>
              <w:right w:val="single" w:color="auto" w:sz="4" w:space="0"/>
            </w:tcBorders>
            <w:vAlign w:val="center"/>
          </w:tcPr>
          <w:p w14:paraId="6C3D761F">
            <w:pPr>
              <w:spacing w:line="440" w:lineRule="atLeast"/>
              <w:jc w:val="right"/>
              <w:rPr>
                <w:rFonts w:ascii="仿宋" w:hAnsi="仿宋" w:eastAsia="仿宋" w:cs="仿宋"/>
                <w:kern w:val="0"/>
                <w:sz w:val="24"/>
              </w:rPr>
            </w:pPr>
            <w:r>
              <w:rPr>
                <w:rFonts w:hint="eastAsia" w:ascii="仿宋" w:hAnsi="仿宋" w:eastAsia="仿宋" w:cs="仿宋"/>
                <w:kern w:val="0"/>
                <w:sz w:val="24"/>
              </w:rPr>
              <w:t>42.35%</w:t>
            </w:r>
          </w:p>
        </w:tc>
        <w:tc>
          <w:tcPr>
            <w:tcW w:w="1080" w:type="dxa"/>
            <w:tcBorders>
              <w:top w:val="nil"/>
              <w:left w:val="nil"/>
              <w:bottom w:val="single" w:color="auto" w:sz="4" w:space="0"/>
              <w:right w:val="single" w:color="auto" w:sz="4" w:space="0"/>
            </w:tcBorders>
            <w:vAlign w:val="center"/>
          </w:tcPr>
          <w:p w14:paraId="6B92C799">
            <w:pPr>
              <w:spacing w:line="440" w:lineRule="atLeast"/>
              <w:jc w:val="right"/>
              <w:rPr>
                <w:rFonts w:ascii="仿宋" w:hAnsi="仿宋" w:eastAsia="仿宋" w:cs="仿宋"/>
                <w:kern w:val="0"/>
                <w:sz w:val="24"/>
              </w:rPr>
            </w:pPr>
            <w:r>
              <w:rPr>
                <w:rFonts w:hint="eastAsia" w:ascii="仿宋" w:hAnsi="仿宋" w:eastAsia="仿宋" w:cs="仿宋"/>
                <w:kern w:val="0"/>
                <w:sz w:val="24"/>
              </w:rPr>
              <w:t>54.46%</w:t>
            </w:r>
          </w:p>
        </w:tc>
        <w:tc>
          <w:tcPr>
            <w:tcW w:w="1080" w:type="dxa"/>
            <w:tcBorders>
              <w:top w:val="nil"/>
              <w:left w:val="nil"/>
              <w:bottom w:val="single" w:color="auto" w:sz="4" w:space="0"/>
              <w:right w:val="single" w:color="auto" w:sz="4" w:space="0"/>
            </w:tcBorders>
            <w:vAlign w:val="center"/>
          </w:tcPr>
          <w:p w14:paraId="41AC476C">
            <w:pPr>
              <w:spacing w:line="440" w:lineRule="atLeast"/>
              <w:jc w:val="right"/>
              <w:rPr>
                <w:rFonts w:ascii="仿宋" w:hAnsi="仿宋" w:eastAsia="仿宋" w:cs="仿宋"/>
                <w:kern w:val="0"/>
                <w:sz w:val="24"/>
              </w:rPr>
            </w:pPr>
            <w:r>
              <w:rPr>
                <w:rFonts w:hint="eastAsia" w:ascii="仿宋" w:hAnsi="仿宋" w:eastAsia="仿宋" w:cs="仿宋"/>
                <w:kern w:val="0"/>
                <w:sz w:val="24"/>
              </w:rPr>
              <w:t>57.16%</w:t>
            </w:r>
          </w:p>
        </w:tc>
        <w:tc>
          <w:tcPr>
            <w:tcW w:w="1080" w:type="dxa"/>
            <w:tcBorders>
              <w:top w:val="nil"/>
              <w:left w:val="nil"/>
              <w:bottom w:val="single" w:color="auto" w:sz="4" w:space="0"/>
              <w:right w:val="single" w:color="auto" w:sz="4" w:space="0"/>
            </w:tcBorders>
            <w:vAlign w:val="center"/>
          </w:tcPr>
          <w:p w14:paraId="01C5F763">
            <w:pPr>
              <w:spacing w:line="440" w:lineRule="atLeast"/>
              <w:jc w:val="right"/>
              <w:rPr>
                <w:rFonts w:ascii="仿宋" w:hAnsi="仿宋" w:eastAsia="仿宋" w:cs="仿宋"/>
                <w:kern w:val="0"/>
                <w:sz w:val="24"/>
              </w:rPr>
            </w:pPr>
            <w:r>
              <w:rPr>
                <w:rFonts w:hint="eastAsia" w:ascii="仿宋" w:hAnsi="仿宋" w:eastAsia="仿宋" w:cs="仿宋"/>
                <w:kern w:val="0"/>
                <w:sz w:val="24"/>
              </w:rPr>
              <w:t>48.49%</w:t>
            </w:r>
          </w:p>
        </w:tc>
      </w:tr>
      <w:tr w14:paraId="432A73EF">
        <w:tblPrEx>
          <w:tblCellMar>
            <w:top w:w="0" w:type="dxa"/>
            <w:left w:w="108" w:type="dxa"/>
            <w:bottom w:w="0" w:type="dxa"/>
            <w:right w:w="108" w:type="dxa"/>
          </w:tblCellMar>
        </w:tblPrEx>
        <w:trPr>
          <w:trHeight w:val="255" w:hRule="atLeast"/>
        </w:trPr>
        <w:tc>
          <w:tcPr>
            <w:tcW w:w="1060" w:type="dxa"/>
            <w:tcBorders>
              <w:top w:val="nil"/>
              <w:left w:val="single" w:color="auto" w:sz="4" w:space="0"/>
              <w:bottom w:val="single" w:color="auto" w:sz="4" w:space="0"/>
              <w:right w:val="single" w:color="auto" w:sz="4" w:space="0"/>
            </w:tcBorders>
            <w:vAlign w:val="center"/>
          </w:tcPr>
          <w:p w14:paraId="3DD641C4">
            <w:pPr>
              <w:spacing w:line="440" w:lineRule="atLeast"/>
              <w:jc w:val="center"/>
              <w:rPr>
                <w:rFonts w:ascii="仿宋" w:hAnsi="仿宋" w:eastAsia="仿宋" w:cs="仿宋"/>
                <w:kern w:val="0"/>
                <w:sz w:val="24"/>
              </w:rPr>
            </w:pPr>
            <w:r>
              <w:rPr>
                <w:rFonts w:hint="eastAsia" w:ascii="仿宋" w:hAnsi="仿宋" w:eastAsia="仿宋" w:cs="仿宋"/>
                <w:kern w:val="0"/>
                <w:sz w:val="24"/>
              </w:rPr>
              <w:t>600030.SH</w:t>
            </w:r>
          </w:p>
        </w:tc>
        <w:tc>
          <w:tcPr>
            <w:tcW w:w="960" w:type="dxa"/>
            <w:tcBorders>
              <w:top w:val="nil"/>
              <w:left w:val="nil"/>
              <w:bottom w:val="single" w:color="auto" w:sz="4" w:space="0"/>
              <w:right w:val="single" w:color="auto" w:sz="4" w:space="0"/>
            </w:tcBorders>
            <w:vAlign w:val="center"/>
          </w:tcPr>
          <w:p w14:paraId="5D80AECE">
            <w:pPr>
              <w:spacing w:line="440" w:lineRule="atLeast"/>
              <w:jc w:val="center"/>
              <w:rPr>
                <w:rFonts w:ascii="仿宋" w:hAnsi="仿宋" w:eastAsia="仿宋" w:cs="仿宋"/>
                <w:kern w:val="0"/>
                <w:sz w:val="24"/>
              </w:rPr>
            </w:pPr>
            <w:r>
              <w:rPr>
                <w:rFonts w:hint="eastAsia" w:ascii="仿宋" w:hAnsi="仿宋" w:eastAsia="仿宋" w:cs="仿宋"/>
                <w:kern w:val="0"/>
                <w:sz w:val="24"/>
              </w:rPr>
              <w:t>中信证券</w:t>
            </w:r>
          </w:p>
        </w:tc>
        <w:tc>
          <w:tcPr>
            <w:tcW w:w="1080" w:type="dxa"/>
            <w:tcBorders>
              <w:top w:val="nil"/>
              <w:left w:val="nil"/>
              <w:bottom w:val="single" w:color="auto" w:sz="4" w:space="0"/>
              <w:right w:val="single" w:color="auto" w:sz="4" w:space="0"/>
            </w:tcBorders>
            <w:vAlign w:val="center"/>
          </w:tcPr>
          <w:p w14:paraId="4A57FD3C">
            <w:pPr>
              <w:spacing w:line="440" w:lineRule="atLeast"/>
              <w:jc w:val="right"/>
              <w:rPr>
                <w:rFonts w:ascii="仿宋" w:hAnsi="仿宋" w:eastAsia="仿宋" w:cs="仿宋"/>
                <w:kern w:val="0"/>
                <w:sz w:val="24"/>
              </w:rPr>
            </w:pPr>
            <w:r>
              <w:rPr>
                <w:rFonts w:hint="eastAsia" w:ascii="仿宋" w:hAnsi="仿宋" w:eastAsia="仿宋" w:cs="仿宋"/>
                <w:kern w:val="0"/>
                <w:sz w:val="24"/>
              </w:rPr>
              <w:t>23.25%</w:t>
            </w:r>
          </w:p>
        </w:tc>
        <w:tc>
          <w:tcPr>
            <w:tcW w:w="1080" w:type="dxa"/>
            <w:tcBorders>
              <w:top w:val="nil"/>
              <w:left w:val="nil"/>
              <w:bottom w:val="single" w:color="auto" w:sz="4" w:space="0"/>
              <w:right w:val="single" w:color="auto" w:sz="4" w:space="0"/>
            </w:tcBorders>
            <w:vAlign w:val="center"/>
          </w:tcPr>
          <w:p w14:paraId="522470E9">
            <w:pPr>
              <w:spacing w:line="440" w:lineRule="atLeast"/>
              <w:jc w:val="right"/>
              <w:rPr>
                <w:rFonts w:ascii="仿宋" w:hAnsi="仿宋" w:eastAsia="仿宋" w:cs="仿宋"/>
                <w:kern w:val="0"/>
                <w:sz w:val="24"/>
              </w:rPr>
            </w:pPr>
            <w:r>
              <w:rPr>
                <w:rFonts w:hint="eastAsia" w:ascii="仿宋" w:hAnsi="仿宋" w:eastAsia="仿宋" w:cs="仿宋"/>
                <w:kern w:val="0"/>
                <w:sz w:val="24"/>
              </w:rPr>
              <w:t>24.73%</w:t>
            </w:r>
          </w:p>
        </w:tc>
        <w:tc>
          <w:tcPr>
            <w:tcW w:w="1080" w:type="dxa"/>
            <w:tcBorders>
              <w:top w:val="nil"/>
              <w:left w:val="nil"/>
              <w:bottom w:val="single" w:color="auto" w:sz="4" w:space="0"/>
              <w:right w:val="single" w:color="auto" w:sz="4" w:space="0"/>
            </w:tcBorders>
            <w:vAlign w:val="center"/>
          </w:tcPr>
          <w:p w14:paraId="5CF036D7">
            <w:pPr>
              <w:spacing w:line="440" w:lineRule="atLeast"/>
              <w:jc w:val="right"/>
              <w:rPr>
                <w:rFonts w:ascii="仿宋" w:hAnsi="仿宋" w:eastAsia="仿宋" w:cs="仿宋"/>
                <w:kern w:val="0"/>
                <w:sz w:val="24"/>
              </w:rPr>
            </w:pPr>
            <w:r>
              <w:rPr>
                <w:rFonts w:hint="eastAsia" w:ascii="仿宋" w:hAnsi="仿宋" w:eastAsia="仿宋" w:cs="仿宋"/>
                <w:kern w:val="0"/>
                <w:sz w:val="24"/>
              </w:rPr>
              <w:t>22.92%</w:t>
            </w:r>
          </w:p>
        </w:tc>
        <w:tc>
          <w:tcPr>
            <w:tcW w:w="1080" w:type="dxa"/>
            <w:tcBorders>
              <w:top w:val="nil"/>
              <w:left w:val="nil"/>
              <w:bottom w:val="single" w:color="auto" w:sz="4" w:space="0"/>
              <w:right w:val="single" w:color="auto" w:sz="4" w:space="0"/>
            </w:tcBorders>
            <w:vAlign w:val="center"/>
          </w:tcPr>
          <w:p w14:paraId="4AB2480F">
            <w:pPr>
              <w:spacing w:line="440" w:lineRule="atLeast"/>
              <w:jc w:val="right"/>
              <w:rPr>
                <w:rFonts w:ascii="仿宋" w:hAnsi="仿宋" w:eastAsia="仿宋" w:cs="仿宋"/>
                <w:kern w:val="0"/>
                <w:sz w:val="24"/>
              </w:rPr>
            </w:pPr>
            <w:r>
              <w:rPr>
                <w:rFonts w:hint="eastAsia" w:ascii="仿宋" w:hAnsi="仿宋" w:eastAsia="仿宋" w:cs="仿宋"/>
                <w:kern w:val="0"/>
                <w:sz w:val="24"/>
              </w:rPr>
              <w:t>27.46%</w:t>
            </w:r>
          </w:p>
        </w:tc>
        <w:tc>
          <w:tcPr>
            <w:tcW w:w="1080" w:type="dxa"/>
            <w:tcBorders>
              <w:top w:val="nil"/>
              <w:left w:val="nil"/>
              <w:bottom w:val="single" w:color="auto" w:sz="4" w:space="0"/>
              <w:right w:val="single" w:color="auto" w:sz="4" w:space="0"/>
            </w:tcBorders>
            <w:vAlign w:val="center"/>
          </w:tcPr>
          <w:p w14:paraId="63E9F91F">
            <w:pPr>
              <w:spacing w:line="440" w:lineRule="atLeast"/>
              <w:jc w:val="right"/>
              <w:rPr>
                <w:rFonts w:ascii="仿宋" w:hAnsi="仿宋" w:eastAsia="仿宋" w:cs="仿宋"/>
                <w:kern w:val="0"/>
                <w:sz w:val="24"/>
              </w:rPr>
            </w:pPr>
            <w:r>
              <w:rPr>
                <w:rFonts w:hint="eastAsia" w:ascii="仿宋" w:hAnsi="仿宋" w:eastAsia="仿宋" w:cs="仿宋"/>
                <w:kern w:val="0"/>
                <w:sz w:val="24"/>
              </w:rPr>
              <w:t>45.37%</w:t>
            </w:r>
          </w:p>
        </w:tc>
        <w:tc>
          <w:tcPr>
            <w:tcW w:w="1080" w:type="dxa"/>
            <w:tcBorders>
              <w:top w:val="nil"/>
              <w:left w:val="nil"/>
              <w:bottom w:val="single" w:color="auto" w:sz="4" w:space="0"/>
              <w:right w:val="single" w:color="auto" w:sz="4" w:space="0"/>
            </w:tcBorders>
            <w:vAlign w:val="center"/>
          </w:tcPr>
          <w:p w14:paraId="6075681B">
            <w:pPr>
              <w:spacing w:line="440" w:lineRule="atLeast"/>
              <w:jc w:val="right"/>
              <w:rPr>
                <w:rFonts w:ascii="仿宋" w:hAnsi="仿宋" w:eastAsia="仿宋" w:cs="仿宋"/>
                <w:kern w:val="0"/>
                <w:sz w:val="24"/>
              </w:rPr>
            </w:pPr>
            <w:r>
              <w:rPr>
                <w:rFonts w:hint="eastAsia" w:ascii="仿宋" w:hAnsi="仿宋" w:eastAsia="仿宋" w:cs="仿宋"/>
                <w:kern w:val="0"/>
                <w:sz w:val="24"/>
              </w:rPr>
              <w:t>44.78%</w:t>
            </w:r>
          </w:p>
        </w:tc>
      </w:tr>
      <w:tr w14:paraId="19700AD2">
        <w:tblPrEx>
          <w:tblCellMar>
            <w:top w:w="0" w:type="dxa"/>
            <w:left w:w="108" w:type="dxa"/>
            <w:bottom w:w="0" w:type="dxa"/>
            <w:right w:w="108" w:type="dxa"/>
          </w:tblCellMar>
        </w:tblPrEx>
        <w:trPr>
          <w:trHeight w:val="255" w:hRule="atLeast"/>
        </w:trPr>
        <w:tc>
          <w:tcPr>
            <w:tcW w:w="1060" w:type="dxa"/>
            <w:tcBorders>
              <w:top w:val="nil"/>
              <w:left w:val="single" w:color="auto" w:sz="4" w:space="0"/>
              <w:bottom w:val="single" w:color="auto" w:sz="4" w:space="0"/>
              <w:right w:val="single" w:color="auto" w:sz="4" w:space="0"/>
            </w:tcBorders>
            <w:vAlign w:val="center"/>
          </w:tcPr>
          <w:p w14:paraId="3D8F10FE">
            <w:pPr>
              <w:spacing w:line="440" w:lineRule="atLeast"/>
              <w:jc w:val="center"/>
              <w:rPr>
                <w:rFonts w:ascii="仿宋" w:hAnsi="仿宋" w:eastAsia="仿宋" w:cs="仿宋"/>
                <w:kern w:val="0"/>
                <w:sz w:val="24"/>
              </w:rPr>
            </w:pPr>
            <w:r>
              <w:rPr>
                <w:rFonts w:hint="eastAsia" w:ascii="仿宋" w:hAnsi="仿宋" w:eastAsia="仿宋" w:cs="仿宋"/>
                <w:kern w:val="0"/>
                <w:sz w:val="24"/>
              </w:rPr>
              <w:t>600109.SH</w:t>
            </w:r>
          </w:p>
        </w:tc>
        <w:tc>
          <w:tcPr>
            <w:tcW w:w="960" w:type="dxa"/>
            <w:tcBorders>
              <w:top w:val="nil"/>
              <w:left w:val="nil"/>
              <w:bottom w:val="single" w:color="auto" w:sz="4" w:space="0"/>
              <w:right w:val="single" w:color="auto" w:sz="4" w:space="0"/>
            </w:tcBorders>
            <w:vAlign w:val="center"/>
          </w:tcPr>
          <w:p w14:paraId="32463F67">
            <w:pPr>
              <w:spacing w:line="440" w:lineRule="atLeast"/>
              <w:jc w:val="center"/>
              <w:rPr>
                <w:rFonts w:ascii="仿宋" w:hAnsi="仿宋" w:eastAsia="仿宋" w:cs="仿宋"/>
                <w:kern w:val="0"/>
                <w:sz w:val="24"/>
              </w:rPr>
            </w:pPr>
            <w:r>
              <w:rPr>
                <w:rFonts w:hint="eastAsia" w:ascii="仿宋" w:hAnsi="仿宋" w:eastAsia="仿宋" w:cs="仿宋"/>
                <w:kern w:val="0"/>
                <w:sz w:val="24"/>
              </w:rPr>
              <w:t>国金证券</w:t>
            </w:r>
          </w:p>
        </w:tc>
        <w:tc>
          <w:tcPr>
            <w:tcW w:w="1080" w:type="dxa"/>
            <w:tcBorders>
              <w:top w:val="nil"/>
              <w:left w:val="nil"/>
              <w:bottom w:val="single" w:color="auto" w:sz="4" w:space="0"/>
              <w:right w:val="single" w:color="auto" w:sz="4" w:space="0"/>
            </w:tcBorders>
            <w:vAlign w:val="center"/>
          </w:tcPr>
          <w:p w14:paraId="44E421E5">
            <w:pPr>
              <w:spacing w:line="440" w:lineRule="atLeast"/>
              <w:jc w:val="right"/>
              <w:rPr>
                <w:rFonts w:ascii="仿宋" w:hAnsi="仿宋" w:eastAsia="仿宋" w:cs="仿宋"/>
                <w:kern w:val="0"/>
                <w:sz w:val="24"/>
              </w:rPr>
            </w:pPr>
            <w:r>
              <w:rPr>
                <w:rFonts w:hint="eastAsia" w:ascii="仿宋" w:hAnsi="仿宋" w:eastAsia="仿宋" w:cs="仿宋"/>
                <w:kern w:val="0"/>
                <w:sz w:val="24"/>
              </w:rPr>
              <w:t>30.20%</w:t>
            </w:r>
          </w:p>
        </w:tc>
        <w:tc>
          <w:tcPr>
            <w:tcW w:w="1080" w:type="dxa"/>
            <w:tcBorders>
              <w:top w:val="nil"/>
              <w:left w:val="nil"/>
              <w:bottom w:val="single" w:color="auto" w:sz="4" w:space="0"/>
              <w:right w:val="single" w:color="auto" w:sz="4" w:space="0"/>
            </w:tcBorders>
            <w:vAlign w:val="center"/>
          </w:tcPr>
          <w:p w14:paraId="44ABE438">
            <w:pPr>
              <w:spacing w:line="440" w:lineRule="atLeast"/>
              <w:jc w:val="right"/>
              <w:rPr>
                <w:rFonts w:ascii="仿宋" w:hAnsi="仿宋" w:eastAsia="仿宋" w:cs="仿宋"/>
                <w:kern w:val="0"/>
                <w:sz w:val="24"/>
              </w:rPr>
            </w:pPr>
            <w:r>
              <w:rPr>
                <w:rFonts w:hint="eastAsia" w:ascii="仿宋" w:hAnsi="仿宋" w:eastAsia="仿宋" w:cs="仿宋"/>
                <w:kern w:val="0"/>
                <w:sz w:val="24"/>
              </w:rPr>
              <w:t>46.50%</w:t>
            </w:r>
          </w:p>
        </w:tc>
        <w:tc>
          <w:tcPr>
            <w:tcW w:w="1080" w:type="dxa"/>
            <w:tcBorders>
              <w:top w:val="nil"/>
              <w:left w:val="nil"/>
              <w:bottom w:val="single" w:color="auto" w:sz="4" w:space="0"/>
              <w:right w:val="single" w:color="auto" w:sz="4" w:space="0"/>
            </w:tcBorders>
            <w:vAlign w:val="center"/>
          </w:tcPr>
          <w:p w14:paraId="73CBC0A7">
            <w:pPr>
              <w:spacing w:line="440" w:lineRule="atLeast"/>
              <w:jc w:val="right"/>
              <w:rPr>
                <w:rFonts w:ascii="仿宋" w:hAnsi="仿宋" w:eastAsia="仿宋" w:cs="仿宋"/>
                <w:kern w:val="0"/>
                <w:sz w:val="24"/>
              </w:rPr>
            </w:pPr>
            <w:r>
              <w:rPr>
                <w:rFonts w:hint="eastAsia" w:ascii="仿宋" w:hAnsi="仿宋" w:eastAsia="仿宋" w:cs="仿宋"/>
                <w:kern w:val="0"/>
                <w:sz w:val="24"/>
              </w:rPr>
              <w:t>56.68%</w:t>
            </w:r>
          </w:p>
        </w:tc>
        <w:tc>
          <w:tcPr>
            <w:tcW w:w="1080" w:type="dxa"/>
            <w:tcBorders>
              <w:top w:val="nil"/>
              <w:left w:val="nil"/>
              <w:bottom w:val="single" w:color="auto" w:sz="4" w:space="0"/>
              <w:right w:val="single" w:color="auto" w:sz="4" w:space="0"/>
            </w:tcBorders>
            <w:vAlign w:val="center"/>
          </w:tcPr>
          <w:p w14:paraId="38F5B9FE">
            <w:pPr>
              <w:spacing w:line="440" w:lineRule="atLeast"/>
              <w:jc w:val="right"/>
              <w:rPr>
                <w:rFonts w:ascii="仿宋" w:hAnsi="仿宋" w:eastAsia="仿宋" w:cs="仿宋"/>
                <w:kern w:val="0"/>
                <w:sz w:val="24"/>
              </w:rPr>
            </w:pPr>
            <w:r>
              <w:rPr>
                <w:rFonts w:hint="eastAsia" w:ascii="仿宋" w:hAnsi="仿宋" w:eastAsia="仿宋" w:cs="仿宋"/>
                <w:kern w:val="0"/>
                <w:sz w:val="24"/>
              </w:rPr>
              <w:t>68.15%</w:t>
            </w:r>
          </w:p>
        </w:tc>
        <w:tc>
          <w:tcPr>
            <w:tcW w:w="1080" w:type="dxa"/>
            <w:tcBorders>
              <w:top w:val="nil"/>
              <w:left w:val="nil"/>
              <w:bottom w:val="single" w:color="auto" w:sz="4" w:space="0"/>
              <w:right w:val="single" w:color="auto" w:sz="4" w:space="0"/>
            </w:tcBorders>
            <w:vAlign w:val="center"/>
          </w:tcPr>
          <w:p w14:paraId="59BF7101">
            <w:pPr>
              <w:spacing w:line="440" w:lineRule="atLeast"/>
              <w:jc w:val="right"/>
              <w:rPr>
                <w:rFonts w:ascii="仿宋" w:hAnsi="仿宋" w:eastAsia="仿宋" w:cs="仿宋"/>
                <w:kern w:val="0"/>
                <w:sz w:val="24"/>
              </w:rPr>
            </w:pPr>
            <w:r>
              <w:rPr>
                <w:rFonts w:hint="eastAsia" w:ascii="仿宋" w:hAnsi="仿宋" w:eastAsia="仿宋" w:cs="仿宋"/>
                <w:kern w:val="0"/>
                <w:sz w:val="24"/>
              </w:rPr>
              <w:t>70.54%</w:t>
            </w:r>
          </w:p>
        </w:tc>
        <w:tc>
          <w:tcPr>
            <w:tcW w:w="1080" w:type="dxa"/>
            <w:tcBorders>
              <w:top w:val="nil"/>
              <w:left w:val="nil"/>
              <w:bottom w:val="single" w:color="auto" w:sz="4" w:space="0"/>
              <w:right w:val="single" w:color="auto" w:sz="4" w:space="0"/>
            </w:tcBorders>
            <w:vAlign w:val="center"/>
          </w:tcPr>
          <w:p w14:paraId="7DEDFFD9">
            <w:pPr>
              <w:spacing w:line="440" w:lineRule="atLeast"/>
              <w:jc w:val="right"/>
              <w:rPr>
                <w:rFonts w:ascii="仿宋" w:hAnsi="仿宋" w:eastAsia="仿宋" w:cs="仿宋"/>
                <w:kern w:val="0"/>
                <w:sz w:val="24"/>
              </w:rPr>
            </w:pPr>
            <w:r>
              <w:rPr>
                <w:rFonts w:hint="eastAsia" w:ascii="仿宋" w:hAnsi="仿宋" w:eastAsia="仿宋" w:cs="仿宋"/>
                <w:kern w:val="0"/>
                <w:sz w:val="24"/>
              </w:rPr>
              <w:t>67.27%</w:t>
            </w:r>
          </w:p>
        </w:tc>
      </w:tr>
      <w:tr w14:paraId="60AF871D">
        <w:tblPrEx>
          <w:tblCellMar>
            <w:top w:w="0" w:type="dxa"/>
            <w:left w:w="108" w:type="dxa"/>
            <w:bottom w:w="0" w:type="dxa"/>
            <w:right w:w="108" w:type="dxa"/>
          </w:tblCellMar>
        </w:tblPrEx>
        <w:trPr>
          <w:trHeight w:val="255" w:hRule="atLeast"/>
        </w:trPr>
        <w:tc>
          <w:tcPr>
            <w:tcW w:w="1060" w:type="dxa"/>
            <w:tcBorders>
              <w:top w:val="nil"/>
              <w:left w:val="single" w:color="auto" w:sz="4" w:space="0"/>
              <w:bottom w:val="single" w:color="auto" w:sz="4" w:space="0"/>
              <w:right w:val="single" w:color="auto" w:sz="4" w:space="0"/>
            </w:tcBorders>
            <w:vAlign w:val="center"/>
          </w:tcPr>
          <w:p w14:paraId="1FEA7BF5">
            <w:pPr>
              <w:spacing w:line="440" w:lineRule="atLeast"/>
              <w:jc w:val="center"/>
              <w:rPr>
                <w:rFonts w:ascii="仿宋" w:hAnsi="仿宋" w:eastAsia="仿宋" w:cs="仿宋"/>
                <w:kern w:val="0"/>
                <w:sz w:val="24"/>
              </w:rPr>
            </w:pPr>
            <w:r>
              <w:rPr>
                <w:rFonts w:hint="eastAsia" w:ascii="仿宋" w:hAnsi="仿宋" w:eastAsia="仿宋" w:cs="仿宋"/>
                <w:kern w:val="0"/>
                <w:sz w:val="24"/>
              </w:rPr>
              <w:t>600369.SH</w:t>
            </w:r>
          </w:p>
        </w:tc>
        <w:tc>
          <w:tcPr>
            <w:tcW w:w="960" w:type="dxa"/>
            <w:tcBorders>
              <w:top w:val="nil"/>
              <w:left w:val="nil"/>
              <w:bottom w:val="single" w:color="auto" w:sz="4" w:space="0"/>
              <w:right w:val="single" w:color="auto" w:sz="4" w:space="0"/>
            </w:tcBorders>
            <w:vAlign w:val="center"/>
          </w:tcPr>
          <w:p w14:paraId="6C8D9CF3">
            <w:pPr>
              <w:spacing w:line="440" w:lineRule="atLeast"/>
              <w:jc w:val="center"/>
              <w:rPr>
                <w:rFonts w:ascii="仿宋" w:hAnsi="仿宋" w:eastAsia="仿宋" w:cs="仿宋"/>
                <w:kern w:val="0"/>
                <w:sz w:val="24"/>
              </w:rPr>
            </w:pPr>
            <w:r>
              <w:rPr>
                <w:rFonts w:hint="eastAsia" w:ascii="仿宋" w:hAnsi="仿宋" w:eastAsia="仿宋" w:cs="仿宋"/>
                <w:kern w:val="0"/>
                <w:sz w:val="24"/>
              </w:rPr>
              <w:t>西南证券</w:t>
            </w:r>
          </w:p>
        </w:tc>
        <w:tc>
          <w:tcPr>
            <w:tcW w:w="1080" w:type="dxa"/>
            <w:tcBorders>
              <w:top w:val="nil"/>
              <w:left w:val="nil"/>
              <w:bottom w:val="single" w:color="auto" w:sz="4" w:space="0"/>
              <w:right w:val="single" w:color="auto" w:sz="4" w:space="0"/>
            </w:tcBorders>
            <w:vAlign w:val="center"/>
          </w:tcPr>
          <w:p w14:paraId="72882F6E">
            <w:pPr>
              <w:spacing w:line="440" w:lineRule="atLeast"/>
              <w:jc w:val="right"/>
              <w:rPr>
                <w:rFonts w:ascii="仿宋" w:hAnsi="仿宋" w:eastAsia="仿宋" w:cs="仿宋"/>
                <w:kern w:val="0"/>
                <w:sz w:val="24"/>
              </w:rPr>
            </w:pPr>
            <w:r>
              <w:rPr>
                <w:rFonts w:hint="eastAsia" w:ascii="仿宋" w:hAnsi="仿宋" w:eastAsia="仿宋" w:cs="仿宋"/>
                <w:kern w:val="0"/>
                <w:sz w:val="24"/>
              </w:rPr>
              <w:t>76.92%</w:t>
            </w:r>
          </w:p>
        </w:tc>
        <w:tc>
          <w:tcPr>
            <w:tcW w:w="1080" w:type="dxa"/>
            <w:tcBorders>
              <w:top w:val="nil"/>
              <w:left w:val="nil"/>
              <w:bottom w:val="single" w:color="auto" w:sz="4" w:space="0"/>
              <w:right w:val="single" w:color="auto" w:sz="4" w:space="0"/>
            </w:tcBorders>
            <w:vAlign w:val="center"/>
          </w:tcPr>
          <w:p w14:paraId="0513E012">
            <w:pPr>
              <w:spacing w:line="440" w:lineRule="atLeast"/>
              <w:jc w:val="right"/>
              <w:rPr>
                <w:rFonts w:ascii="仿宋" w:hAnsi="仿宋" w:eastAsia="仿宋" w:cs="仿宋"/>
                <w:kern w:val="0"/>
                <w:sz w:val="24"/>
              </w:rPr>
            </w:pPr>
            <w:r>
              <w:rPr>
                <w:rFonts w:hint="eastAsia" w:ascii="仿宋" w:hAnsi="仿宋" w:eastAsia="仿宋" w:cs="仿宋"/>
                <w:kern w:val="0"/>
                <w:sz w:val="24"/>
              </w:rPr>
              <w:t>33.95%</w:t>
            </w:r>
          </w:p>
        </w:tc>
        <w:tc>
          <w:tcPr>
            <w:tcW w:w="1080" w:type="dxa"/>
            <w:tcBorders>
              <w:top w:val="nil"/>
              <w:left w:val="nil"/>
              <w:bottom w:val="single" w:color="auto" w:sz="4" w:space="0"/>
              <w:right w:val="single" w:color="auto" w:sz="4" w:space="0"/>
            </w:tcBorders>
            <w:vAlign w:val="center"/>
          </w:tcPr>
          <w:p w14:paraId="29FF3265">
            <w:pPr>
              <w:spacing w:line="440" w:lineRule="atLeast"/>
              <w:jc w:val="right"/>
              <w:rPr>
                <w:rFonts w:ascii="仿宋" w:hAnsi="仿宋" w:eastAsia="仿宋" w:cs="仿宋"/>
                <w:kern w:val="0"/>
                <w:sz w:val="24"/>
              </w:rPr>
            </w:pPr>
            <w:r>
              <w:rPr>
                <w:rFonts w:hint="eastAsia" w:ascii="仿宋" w:hAnsi="仿宋" w:eastAsia="仿宋" w:cs="仿宋"/>
                <w:kern w:val="0"/>
                <w:sz w:val="24"/>
              </w:rPr>
              <w:t>40.31%</w:t>
            </w:r>
          </w:p>
        </w:tc>
        <w:tc>
          <w:tcPr>
            <w:tcW w:w="1080" w:type="dxa"/>
            <w:tcBorders>
              <w:top w:val="nil"/>
              <w:left w:val="nil"/>
              <w:bottom w:val="single" w:color="auto" w:sz="4" w:space="0"/>
              <w:right w:val="single" w:color="auto" w:sz="4" w:space="0"/>
            </w:tcBorders>
            <w:vAlign w:val="center"/>
          </w:tcPr>
          <w:p w14:paraId="4A29FECE">
            <w:pPr>
              <w:spacing w:line="440" w:lineRule="atLeast"/>
              <w:jc w:val="right"/>
              <w:rPr>
                <w:rFonts w:ascii="仿宋" w:hAnsi="仿宋" w:eastAsia="仿宋" w:cs="仿宋"/>
                <w:kern w:val="0"/>
                <w:sz w:val="24"/>
              </w:rPr>
            </w:pPr>
            <w:r>
              <w:rPr>
                <w:rFonts w:hint="eastAsia" w:ascii="仿宋" w:hAnsi="仿宋" w:eastAsia="仿宋" w:cs="仿宋"/>
                <w:kern w:val="0"/>
                <w:sz w:val="24"/>
              </w:rPr>
              <w:t>81.50%</w:t>
            </w:r>
          </w:p>
        </w:tc>
        <w:tc>
          <w:tcPr>
            <w:tcW w:w="1080" w:type="dxa"/>
            <w:tcBorders>
              <w:top w:val="nil"/>
              <w:left w:val="nil"/>
              <w:bottom w:val="single" w:color="auto" w:sz="4" w:space="0"/>
              <w:right w:val="single" w:color="auto" w:sz="4" w:space="0"/>
            </w:tcBorders>
            <w:vAlign w:val="center"/>
          </w:tcPr>
          <w:p w14:paraId="49E6B692">
            <w:pPr>
              <w:spacing w:line="440" w:lineRule="atLeast"/>
              <w:jc w:val="right"/>
              <w:rPr>
                <w:rFonts w:ascii="仿宋" w:hAnsi="仿宋" w:eastAsia="仿宋" w:cs="仿宋"/>
                <w:kern w:val="0"/>
                <w:sz w:val="24"/>
              </w:rPr>
            </w:pPr>
            <w:r>
              <w:rPr>
                <w:rFonts w:hint="eastAsia" w:ascii="仿宋" w:hAnsi="仿宋" w:eastAsia="仿宋" w:cs="仿宋"/>
                <w:kern w:val="0"/>
                <w:sz w:val="24"/>
              </w:rPr>
              <w:t>61.81%</w:t>
            </w:r>
          </w:p>
        </w:tc>
        <w:tc>
          <w:tcPr>
            <w:tcW w:w="1080" w:type="dxa"/>
            <w:tcBorders>
              <w:top w:val="nil"/>
              <w:left w:val="nil"/>
              <w:bottom w:val="single" w:color="auto" w:sz="4" w:space="0"/>
              <w:right w:val="single" w:color="auto" w:sz="4" w:space="0"/>
            </w:tcBorders>
            <w:vAlign w:val="center"/>
          </w:tcPr>
          <w:p w14:paraId="1E8DD71C">
            <w:pPr>
              <w:spacing w:line="440" w:lineRule="atLeast"/>
              <w:jc w:val="right"/>
              <w:rPr>
                <w:rFonts w:ascii="仿宋" w:hAnsi="仿宋" w:eastAsia="仿宋" w:cs="仿宋"/>
                <w:kern w:val="0"/>
                <w:sz w:val="24"/>
              </w:rPr>
            </w:pPr>
            <w:r>
              <w:rPr>
                <w:rFonts w:hint="eastAsia" w:ascii="仿宋" w:hAnsi="仿宋" w:eastAsia="仿宋" w:cs="仿宋"/>
                <w:kern w:val="0"/>
                <w:sz w:val="24"/>
              </w:rPr>
              <w:t>57.79%</w:t>
            </w:r>
          </w:p>
        </w:tc>
      </w:tr>
      <w:tr w14:paraId="6E64F9CB">
        <w:tblPrEx>
          <w:tblCellMar>
            <w:top w:w="0" w:type="dxa"/>
            <w:left w:w="108" w:type="dxa"/>
            <w:bottom w:w="0" w:type="dxa"/>
            <w:right w:w="108" w:type="dxa"/>
          </w:tblCellMar>
        </w:tblPrEx>
        <w:trPr>
          <w:trHeight w:val="255" w:hRule="atLeast"/>
        </w:trPr>
        <w:tc>
          <w:tcPr>
            <w:tcW w:w="1060" w:type="dxa"/>
            <w:tcBorders>
              <w:top w:val="nil"/>
              <w:left w:val="single" w:color="auto" w:sz="4" w:space="0"/>
              <w:bottom w:val="single" w:color="auto" w:sz="4" w:space="0"/>
              <w:right w:val="single" w:color="auto" w:sz="4" w:space="0"/>
            </w:tcBorders>
            <w:vAlign w:val="center"/>
          </w:tcPr>
          <w:p w14:paraId="1D14789F">
            <w:pPr>
              <w:spacing w:line="440" w:lineRule="atLeast"/>
              <w:jc w:val="center"/>
              <w:rPr>
                <w:rFonts w:ascii="仿宋" w:hAnsi="仿宋" w:eastAsia="仿宋" w:cs="仿宋"/>
                <w:kern w:val="0"/>
                <w:sz w:val="24"/>
              </w:rPr>
            </w:pPr>
            <w:r>
              <w:rPr>
                <w:rFonts w:hint="eastAsia" w:ascii="仿宋" w:hAnsi="仿宋" w:eastAsia="仿宋" w:cs="仿宋"/>
                <w:kern w:val="0"/>
                <w:sz w:val="24"/>
              </w:rPr>
              <w:t>600837.SH</w:t>
            </w:r>
          </w:p>
        </w:tc>
        <w:tc>
          <w:tcPr>
            <w:tcW w:w="960" w:type="dxa"/>
            <w:tcBorders>
              <w:top w:val="nil"/>
              <w:left w:val="nil"/>
              <w:bottom w:val="single" w:color="auto" w:sz="4" w:space="0"/>
              <w:right w:val="single" w:color="auto" w:sz="4" w:space="0"/>
            </w:tcBorders>
            <w:vAlign w:val="center"/>
          </w:tcPr>
          <w:p w14:paraId="7211BF74">
            <w:pPr>
              <w:spacing w:line="440" w:lineRule="atLeast"/>
              <w:jc w:val="center"/>
              <w:rPr>
                <w:rFonts w:ascii="仿宋" w:hAnsi="仿宋" w:eastAsia="仿宋" w:cs="仿宋"/>
                <w:kern w:val="0"/>
                <w:sz w:val="24"/>
              </w:rPr>
            </w:pPr>
            <w:r>
              <w:rPr>
                <w:rFonts w:hint="eastAsia" w:ascii="仿宋" w:hAnsi="仿宋" w:eastAsia="仿宋" w:cs="仿宋"/>
                <w:kern w:val="0"/>
                <w:sz w:val="24"/>
              </w:rPr>
              <w:t>海通证券</w:t>
            </w:r>
          </w:p>
        </w:tc>
        <w:tc>
          <w:tcPr>
            <w:tcW w:w="1080" w:type="dxa"/>
            <w:tcBorders>
              <w:top w:val="nil"/>
              <w:left w:val="nil"/>
              <w:bottom w:val="single" w:color="auto" w:sz="4" w:space="0"/>
              <w:right w:val="single" w:color="auto" w:sz="4" w:space="0"/>
            </w:tcBorders>
            <w:vAlign w:val="center"/>
          </w:tcPr>
          <w:p w14:paraId="089DF5F0">
            <w:pPr>
              <w:spacing w:line="440" w:lineRule="atLeast"/>
              <w:jc w:val="right"/>
              <w:rPr>
                <w:rFonts w:ascii="仿宋" w:hAnsi="仿宋" w:eastAsia="仿宋" w:cs="仿宋"/>
                <w:kern w:val="0"/>
                <w:sz w:val="24"/>
              </w:rPr>
            </w:pPr>
            <w:r>
              <w:rPr>
                <w:rFonts w:hint="eastAsia" w:ascii="仿宋" w:hAnsi="仿宋" w:eastAsia="仿宋" w:cs="仿宋"/>
                <w:kern w:val="0"/>
                <w:sz w:val="24"/>
              </w:rPr>
              <w:t>39.58%</w:t>
            </w:r>
          </w:p>
        </w:tc>
        <w:tc>
          <w:tcPr>
            <w:tcW w:w="1080" w:type="dxa"/>
            <w:tcBorders>
              <w:top w:val="nil"/>
              <w:left w:val="nil"/>
              <w:bottom w:val="single" w:color="auto" w:sz="4" w:space="0"/>
              <w:right w:val="single" w:color="auto" w:sz="4" w:space="0"/>
            </w:tcBorders>
            <w:vAlign w:val="center"/>
          </w:tcPr>
          <w:p w14:paraId="34BF2055">
            <w:pPr>
              <w:spacing w:line="440" w:lineRule="atLeast"/>
              <w:jc w:val="right"/>
              <w:rPr>
                <w:rFonts w:ascii="仿宋" w:hAnsi="仿宋" w:eastAsia="仿宋" w:cs="仿宋"/>
                <w:kern w:val="0"/>
                <w:sz w:val="24"/>
              </w:rPr>
            </w:pPr>
            <w:r>
              <w:rPr>
                <w:rFonts w:hint="eastAsia" w:ascii="仿宋" w:hAnsi="仿宋" w:eastAsia="仿宋" w:cs="仿宋"/>
                <w:kern w:val="0"/>
                <w:sz w:val="24"/>
              </w:rPr>
              <w:t>35.12%</w:t>
            </w:r>
          </w:p>
        </w:tc>
        <w:tc>
          <w:tcPr>
            <w:tcW w:w="1080" w:type="dxa"/>
            <w:tcBorders>
              <w:top w:val="nil"/>
              <w:left w:val="nil"/>
              <w:bottom w:val="single" w:color="auto" w:sz="4" w:space="0"/>
              <w:right w:val="single" w:color="auto" w:sz="4" w:space="0"/>
            </w:tcBorders>
            <w:vAlign w:val="center"/>
          </w:tcPr>
          <w:p w14:paraId="3B37CE1A">
            <w:pPr>
              <w:spacing w:line="440" w:lineRule="atLeast"/>
              <w:jc w:val="right"/>
              <w:rPr>
                <w:rFonts w:ascii="仿宋" w:hAnsi="仿宋" w:eastAsia="仿宋" w:cs="仿宋"/>
                <w:kern w:val="0"/>
                <w:sz w:val="24"/>
              </w:rPr>
            </w:pPr>
            <w:r>
              <w:rPr>
                <w:rFonts w:hint="eastAsia" w:ascii="仿宋" w:hAnsi="仿宋" w:eastAsia="仿宋" w:cs="仿宋"/>
                <w:kern w:val="0"/>
                <w:sz w:val="24"/>
              </w:rPr>
              <w:t>41.66%</w:t>
            </w:r>
          </w:p>
        </w:tc>
        <w:tc>
          <w:tcPr>
            <w:tcW w:w="1080" w:type="dxa"/>
            <w:tcBorders>
              <w:top w:val="nil"/>
              <w:left w:val="nil"/>
              <w:bottom w:val="single" w:color="auto" w:sz="4" w:space="0"/>
              <w:right w:val="single" w:color="auto" w:sz="4" w:space="0"/>
            </w:tcBorders>
            <w:vAlign w:val="center"/>
          </w:tcPr>
          <w:p w14:paraId="59AAC1D1">
            <w:pPr>
              <w:spacing w:line="440" w:lineRule="atLeast"/>
              <w:jc w:val="right"/>
              <w:rPr>
                <w:rFonts w:ascii="仿宋" w:hAnsi="仿宋" w:eastAsia="仿宋" w:cs="仿宋"/>
                <w:kern w:val="0"/>
                <w:sz w:val="24"/>
              </w:rPr>
            </w:pPr>
            <w:r>
              <w:rPr>
                <w:rFonts w:hint="eastAsia" w:ascii="仿宋" w:hAnsi="仿宋" w:eastAsia="仿宋" w:cs="仿宋"/>
                <w:kern w:val="0"/>
                <w:sz w:val="24"/>
              </w:rPr>
              <w:t>39.08%</w:t>
            </w:r>
          </w:p>
        </w:tc>
        <w:tc>
          <w:tcPr>
            <w:tcW w:w="1080" w:type="dxa"/>
            <w:tcBorders>
              <w:top w:val="nil"/>
              <w:left w:val="nil"/>
              <w:bottom w:val="single" w:color="auto" w:sz="4" w:space="0"/>
              <w:right w:val="single" w:color="auto" w:sz="4" w:space="0"/>
            </w:tcBorders>
            <w:vAlign w:val="center"/>
          </w:tcPr>
          <w:p w14:paraId="0404B739">
            <w:pPr>
              <w:spacing w:line="440" w:lineRule="atLeast"/>
              <w:jc w:val="right"/>
              <w:rPr>
                <w:rFonts w:ascii="仿宋" w:hAnsi="仿宋" w:eastAsia="仿宋" w:cs="仿宋"/>
                <w:kern w:val="0"/>
                <w:sz w:val="24"/>
              </w:rPr>
            </w:pPr>
            <w:r>
              <w:rPr>
                <w:rFonts w:hint="eastAsia" w:ascii="仿宋" w:hAnsi="仿宋" w:eastAsia="仿宋" w:cs="仿宋"/>
                <w:kern w:val="0"/>
                <w:sz w:val="24"/>
              </w:rPr>
              <w:t>37.47%</w:t>
            </w:r>
          </w:p>
        </w:tc>
        <w:tc>
          <w:tcPr>
            <w:tcW w:w="1080" w:type="dxa"/>
            <w:tcBorders>
              <w:top w:val="nil"/>
              <w:left w:val="nil"/>
              <w:bottom w:val="single" w:color="auto" w:sz="4" w:space="0"/>
              <w:right w:val="single" w:color="auto" w:sz="4" w:space="0"/>
            </w:tcBorders>
            <w:vAlign w:val="center"/>
          </w:tcPr>
          <w:p w14:paraId="67C9268C">
            <w:pPr>
              <w:spacing w:line="440" w:lineRule="atLeast"/>
              <w:jc w:val="right"/>
              <w:rPr>
                <w:rFonts w:ascii="仿宋" w:hAnsi="仿宋" w:eastAsia="仿宋" w:cs="仿宋"/>
                <w:kern w:val="0"/>
                <w:sz w:val="24"/>
              </w:rPr>
            </w:pPr>
            <w:r>
              <w:rPr>
                <w:rFonts w:hint="eastAsia" w:ascii="仿宋" w:hAnsi="仿宋" w:eastAsia="仿宋" w:cs="仿宋"/>
                <w:kern w:val="0"/>
                <w:sz w:val="24"/>
              </w:rPr>
              <w:t>39.50%</w:t>
            </w:r>
          </w:p>
        </w:tc>
      </w:tr>
      <w:tr w14:paraId="704E0576">
        <w:tblPrEx>
          <w:tblCellMar>
            <w:top w:w="0" w:type="dxa"/>
            <w:left w:w="108" w:type="dxa"/>
            <w:bottom w:w="0" w:type="dxa"/>
            <w:right w:w="108" w:type="dxa"/>
          </w:tblCellMar>
        </w:tblPrEx>
        <w:trPr>
          <w:trHeight w:val="255" w:hRule="atLeast"/>
        </w:trPr>
        <w:tc>
          <w:tcPr>
            <w:tcW w:w="1060" w:type="dxa"/>
            <w:tcBorders>
              <w:top w:val="nil"/>
              <w:left w:val="single" w:color="auto" w:sz="4" w:space="0"/>
              <w:bottom w:val="single" w:color="auto" w:sz="4" w:space="0"/>
              <w:right w:val="single" w:color="auto" w:sz="4" w:space="0"/>
            </w:tcBorders>
            <w:vAlign w:val="center"/>
          </w:tcPr>
          <w:p w14:paraId="41E2E235">
            <w:pPr>
              <w:spacing w:line="440" w:lineRule="atLeast"/>
              <w:jc w:val="center"/>
              <w:rPr>
                <w:rFonts w:ascii="仿宋" w:hAnsi="仿宋" w:eastAsia="仿宋" w:cs="仿宋"/>
                <w:kern w:val="0"/>
                <w:sz w:val="24"/>
              </w:rPr>
            </w:pPr>
            <w:r>
              <w:rPr>
                <w:rFonts w:hint="eastAsia" w:ascii="仿宋" w:hAnsi="仿宋" w:eastAsia="仿宋" w:cs="仿宋"/>
                <w:kern w:val="0"/>
                <w:sz w:val="24"/>
              </w:rPr>
              <w:t>600999.SH</w:t>
            </w:r>
          </w:p>
        </w:tc>
        <w:tc>
          <w:tcPr>
            <w:tcW w:w="960" w:type="dxa"/>
            <w:tcBorders>
              <w:top w:val="nil"/>
              <w:left w:val="nil"/>
              <w:bottom w:val="single" w:color="auto" w:sz="4" w:space="0"/>
              <w:right w:val="single" w:color="auto" w:sz="4" w:space="0"/>
            </w:tcBorders>
            <w:vAlign w:val="center"/>
          </w:tcPr>
          <w:p w14:paraId="439D7B5C">
            <w:pPr>
              <w:spacing w:line="440" w:lineRule="atLeast"/>
              <w:jc w:val="center"/>
              <w:rPr>
                <w:rFonts w:ascii="仿宋" w:hAnsi="仿宋" w:eastAsia="仿宋" w:cs="仿宋"/>
                <w:kern w:val="0"/>
                <w:sz w:val="24"/>
              </w:rPr>
            </w:pPr>
            <w:r>
              <w:rPr>
                <w:rFonts w:hint="eastAsia" w:ascii="仿宋" w:hAnsi="仿宋" w:eastAsia="仿宋" w:cs="仿宋"/>
                <w:kern w:val="0"/>
                <w:sz w:val="24"/>
              </w:rPr>
              <w:t>招商证券</w:t>
            </w:r>
          </w:p>
        </w:tc>
        <w:tc>
          <w:tcPr>
            <w:tcW w:w="1080" w:type="dxa"/>
            <w:tcBorders>
              <w:top w:val="nil"/>
              <w:left w:val="nil"/>
              <w:bottom w:val="single" w:color="auto" w:sz="4" w:space="0"/>
              <w:right w:val="single" w:color="auto" w:sz="4" w:space="0"/>
            </w:tcBorders>
            <w:vAlign w:val="center"/>
          </w:tcPr>
          <w:p w14:paraId="4C8631F9">
            <w:pPr>
              <w:spacing w:line="440" w:lineRule="atLeast"/>
              <w:jc w:val="right"/>
              <w:rPr>
                <w:rFonts w:ascii="仿宋" w:hAnsi="仿宋" w:eastAsia="仿宋" w:cs="仿宋"/>
                <w:kern w:val="0"/>
                <w:sz w:val="24"/>
              </w:rPr>
            </w:pPr>
            <w:r>
              <w:rPr>
                <w:rFonts w:hint="eastAsia" w:ascii="仿宋" w:hAnsi="仿宋" w:eastAsia="仿宋" w:cs="仿宋"/>
                <w:kern w:val="0"/>
                <w:sz w:val="24"/>
              </w:rPr>
              <w:t>41.26%</w:t>
            </w:r>
          </w:p>
        </w:tc>
        <w:tc>
          <w:tcPr>
            <w:tcW w:w="1080" w:type="dxa"/>
            <w:tcBorders>
              <w:top w:val="nil"/>
              <w:left w:val="nil"/>
              <w:bottom w:val="single" w:color="auto" w:sz="4" w:space="0"/>
              <w:right w:val="single" w:color="auto" w:sz="4" w:space="0"/>
            </w:tcBorders>
            <w:vAlign w:val="center"/>
          </w:tcPr>
          <w:p w14:paraId="61E71C67">
            <w:pPr>
              <w:spacing w:line="440" w:lineRule="atLeast"/>
              <w:jc w:val="right"/>
              <w:rPr>
                <w:rFonts w:ascii="仿宋" w:hAnsi="仿宋" w:eastAsia="仿宋" w:cs="仿宋"/>
                <w:kern w:val="0"/>
                <w:sz w:val="24"/>
              </w:rPr>
            </w:pPr>
            <w:r>
              <w:rPr>
                <w:rFonts w:hint="eastAsia" w:ascii="仿宋" w:hAnsi="仿宋" w:eastAsia="仿宋" w:cs="仿宋"/>
                <w:kern w:val="0"/>
                <w:sz w:val="24"/>
              </w:rPr>
              <w:t>34.30%</w:t>
            </w:r>
          </w:p>
        </w:tc>
        <w:tc>
          <w:tcPr>
            <w:tcW w:w="1080" w:type="dxa"/>
            <w:tcBorders>
              <w:top w:val="nil"/>
              <w:left w:val="nil"/>
              <w:bottom w:val="single" w:color="auto" w:sz="4" w:space="0"/>
              <w:right w:val="single" w:color="auto" w:sz="4" w:space="0"/>
            </w:tcBorders>
            <w:vAlign w:val="center"/>
          </w:tcPr>
          <w:p w14:paraId="5173A08B">
            <w:pPr>
              <w:spacing w:line="440" w:lineRule="atLeast"/>
              <w:jc w:val="right"/>
              <w:rPr>
                <w:rFonts w:ascii="仿宋" w:hAnsi="仿宋" w:eastAsia="仿宋" w:cs="仿宋"/>
                <w:kern w:val="0"/>
                <w:sz w:val="24"/>
              </w:rPr>
            </w:pPr>
            <w:r>
              <w:rPr>
                <w:rFonts w:hint="eastAsia" w:ascii="仿宋" w:hAnsi="仿宋" w:eastAsia="仿宋" w:cs="仿宋"/>
                <w:kern w:val="0"/>
                <w:sz w:val="24"/>
              </w:rPr>
              <w:t>34.08%</w:t>
            </w:r>
          </w:p>
        </w:tc>
        <w:tc>
          <w:tcPr>
            <w:tcW w:w="1080" w:type="dxa"/>
            <w:tcBorders>
              <w:top w:val="nil"/>
              <w:left w:val="nil"/>
              <w:bottom w:val="single" w:color="auto" w:sz="4" w:space="0"/>
              <w:right w:val="single" w:color="auto" w:sz="4" w:space="0"/>
            </w:tcBorders>
            <w:vAlign w:val="center"/>
          </w:tcPr>
          <w:p w14:paraId="20B43494">
            <w:pPr>
              <w:spacing w:line="440" w:lineRule="atLeast"/>
              <w:jc w:val="right"/>
              <w:rPr>
                <w:rFonts w:ascii="仿宋" w:hAnsi="仿宋" w:eastAsia="仿宋" w:cs="仿宋"/>
                <w:kern w:val="0"/>
                <w:sz w:val="24"/>
              </w:rPr>
            </w:pPr>
            <w:r>
              <w:rPr>
                <w:rFonts w:hint="eastAsia" w:ascii="仿宋" w:hAnsi="仿宋" w:eastAsia="仿宋" w:cs="仿宋"/>
                <w:kern w:val="0"/>
                <w:sz w:val="24"/>
              </w:rPr>
              <w:t>44.62%</w:t>
            </w:r>
          </w:p>
        </w:tc>
        <w:tc>
          <w:tcPr>
            <w:tcW w:w="1080" w:type="dxa"/>
            <w:tcBorders>
              <w:top w:val="nil"/>
              <w:left w:val="nil"/>
              <w:bottom w:val="single" w:color="auto" w:sz="4" w:space="0"/>
              <w:right w:val="single" w:color="auto" w:sz="4" w:space="0"/>
            </w:tcBorders>
            <w:vAlign w:val="center"/>
          </w:tcPr>
          <w:p w14:paraId="24BAD2E9">
            <w:pPr>
              <w:spacing w:line="440" w:lineRule="atLeast"/>
              <w:jc w:val="right"/>
              <w:rPr>
                <w:rFonts w:ascii="仿宋" w:hAnsi="仿宋" w:eastAsia="仿宋" w:cs="仿宋"/>
                <w:kern w:val="0"/>
                <w:sz w:val="24"/>
              </w:rPr>
            </w:pPr>
            <w:r>
              <w:rPr>
                <w:rFonts w:hint="eastAsia" w:ascii="仿宋" w:hAnsi="仿宋" w:eastAsia="仿宋" w:cs="仿宋"/>
                <w:kern w:val="0"/>
                <w:sz w:val="24"/>
              </w:rPr>
              <w:t>51.23%</w:t>
            </w:r>
          </w:p>
        </w:tc>
        <w:tc>
          <w:tcPr>
            <w:tcW w:w="1080" w:type="dxa"/>
            <w:tcBorders>
              <w:top w:val="nil"/>
              <w:left w:val="nil"/>
              <w:bottom w:val="single" w:color="auto" w:sz="4" w:space="0"/>
              <w:right w:val="single" w:color="auto" w:sz="4" w:space="0"/>
            </w:tcBorders>
            <w:vAlign w:val="center"/>
          </w:tcPr>
          <w:p w14:paraId="7C231D74">
            <w:pPr>
              <w:spacing w:line="440" w:lineRule="atLeast"/>
              <w:jc w:val="right"/>
              <w:rPr>
                <w:rFonts w:ascii="仿宋" w:hAnsi="仿宋" w:eastAsia="仿宋" w:cs="仿宋"/>
                <w:kern w:val="0"/>
                <w:sz w:val="24"/>
              </w:rPr>
            </w:pPr>
            <w:r>
              <w:rPr>
                <w:rFonts w:hint="eastAsia" w:ascii="仿宋" w:hAnsi="仿宋" w:eastAsia="仿宋" w:cs="仿宋"/>
                <w:kern w:val="0"/>
                <w:sz w:val="24"/>
              </w:rPr>
              <w:t>48.41%</w:t>
            </w:r>
          </w:p>
        </w:tc>
      </w:tr>
      <w:tr w14:paraId="380FADDA">
        <w:tblPrEx>
          <w:tblCellMar>
            <w:top w:w="0" w:type="dxa"/>
            <w:left w:w="108" w:type="dxa"/>
            <w:bottom w:w="0" w:type="dxa"/>
            <w:right w:w="108" w:type="dxa"/>
          </w:tblCellMar>
        </w:tblPrEx>
        <w:trPr>
          <w:trHeight w:val="255" w:hRule="atLeast"/>
        </w:trPr>
        <w:tc>
          <w:tcPr>
            <w:tcW w:w="1060" w:type="dxa"/>
            <w:tcBorders>
              <w:top w:val="nil"/>
              <w:left w:val="single" w:color="auto" w:sz="4" w:space="0"/>
              <w:bottom w:val="single" w:color="auto" w:sz="4" w:space="0"/>
              <w:right w:val="single" w:color="auto" w:sz="4" w:space="0"/>
            </w:tcBorders>
            <w:vAlign w:val="center"/>
          </w:tcPr>
          <w:p w14:paraId="09AC6A52">
            <w:pPr>
              <w:spacing w:line="440" w:lineRule="atLeast"/>
              <w:jc w:val="center"/>
              <w:rPr>
                <w:rFonts w:ascii="仿宋" w:hAnsi="仿宋" w:eastAsia="仿宋" w:cs="仿宋"/>
                <w:kern w:val="0"/>
                <w:sz w:val="24"/>
              </w:rPr>
            </w:pPr>
            <w:r>
              <w:rPr>
                <w:rFonts w:hint="eastAsia" w:ascii="仿宋" w:hAnsi="仿宋" w:eastAsia="仿宋" w:cs="仿宋"/>
                <w:kern w:val="0"/>
                <w:sz w:val="24"/>
              </w:rPr>
              <w:t>601099.SH</w:t>
            </w:r>
          </w:p>
        </w:tc>
        <w:tc>
          <w:tcPr>
            <w:tcW w:w="960" w:type="dxa"/>
            <w:tcBorders>
              <w:top w:val="nil"/>
              <w:left w:val="nil"/>
              <w:bottom w:val="single" w:color="auto" w:sz="4" w:space="0"/>
              <w:right w:val="single" w:color="auto" w:sz="4" w:space="0"/>
            </w:tcBorders>
            <w:vAlign w:val="center"/>
          </w:tcPr>
          <w:p w14:paraId="6D0696A3">
            <w:pPr>
              <w:spacing w:line="440" w:lineRule="atLeast"/>
              <w:jc w:val="center"/>
              <w:rPr>
                <w:rFonts w:ascii="仿宋" w:hAnsi="仿宋" w:eastAsia="仿宋" w:cs="仿宋"/>
                <w:kern w:val="0"/>
                <w:sz w:val="24"/>
              </w:rPr>
            </w:pPr>
            <w:r>
              <w:rPr>
                <w:rFonts w:hint="eastAsia" w:ascii="仿宋" w:hAnsi="仿宋" w:eastAsia="仿宋" w:cs="仿宋"/>
                <w:kern w:val="0"/>
                <w:sz w:val="24"/>
              </w:rPr>
              <w:t>太平洋</w:t>
            </w:r>
          </w:p>
        </w:tc>
        <w:tc>
          <w:tcPr>
            <w:tcW w:w="1080" w:type="dxa"/>
            <w:tcBorders>
              <w:top w:val="nil"/>
              <w:left w:val="nil"/>
              <w:bottom w:val="single" w:color="auto" w:sz="4" w:space="0"/>
              <w:right w:val="single" w:color="auto" w:sz="4" w:space="0"/>
            </w:tcBorders>
            <w:vAlign w:val="center"/>
          </w:tcPr>
          <w:p w14:paraId="3736F520">
            <w:pPr>
              <w:spacing w:line="440" w:lineRule="atLeast"/>
              <w:jc w:val="right"/>
              <w:rPr>
                <w:rFonts w:ascii="仿宋" w:hAnsi="仿宋" w:eastAsia="仿宋" w:cs="仿宋"/>
                <w:kern w:val="0"/>
                <w:sz w:val="24"/>
              </w:rPr>
            </w:pPr>
          </w:p>
        </w:tc>
        <w:tc>
          <w:tcPr>
            <w:tcW w:w="1080" w:type="dxa"/>
            <w:tcBorders>
              <w:top w:val="nil"/>
              <w:left w:val="nil"/>
              <w:bottom w:val="single" w:color="auto" w:sz="4" w:space="0"/>
              <w:right w:val="single" w:color="auto" w:sz="4" w:space="0"/>
            </w:tcBorders>
            <w:vAlign w:val="center"/>
          </w:tcPr>
          <w:p w14:paraId="175FCD71">
            <w:pPr>
              <w:spacing w:line="440" w:lineRule="atLeast"/>
              <w:jc w:val="right"/>
              <w:rPr>
                <w:rFonts w:ascii="仿宋" w:hAnsi="仿宋" w:eastAsia="仿宋" w:cs="仿宋"/>
                <w:kern w:val="0"/>
                <w:sz w:val="24"/>
              </w:rPr>
            </w:pPr>
          </w:p>
        </w:tc>
        <w:tc>
          <w:tcPr>
            <w:tcW w:w="1080" w:type="dxa"/>
            <w:tcBorders>
              <w:top w:val="nil"/>
              <w:left w:val="nil"/>
              <w:bottom w:val="single" w:color="auto" w:sz="4" w:space="0"/>
              <w:right w:val="single" w:color="auto" w:sz="4" w:space="0"/>
            </w:tcBorders>
            <w:vAlign w:val="center"/>
          </w:tcPr>
          <w:p w14:paraId="7816A38F">
            <w:pPr>
              <w:spacing w:line="440" w:lineRule="atLeast"/>
              <w:jc w:val="right"/>
              <w:rPr>
                <w:rFonts w:ascii="仿宋" w:hAnsi="仿宋" w:eastAsia="仿宋" w:cs="仿宋"/>
                <w:kern w:val="0"/>
                <w:sz w:val="24"/>
              </w:rPr>
            </w:pPr>
          </w:p>
        </w:tc>
        <w:tc>
          <w:tcPr>
            <w:tcW w:w="1080" w:type="dxa"/>
            <w:tcBorders>
              <w:top w:val="nil"/>
              <w:left w:val="nil"/>
              <w:bottom w:val="single" w:color="auto" w:sz="4" w:space="0"/>
              <w:right w:val="single" w:color="auto" w:sz="4" w:space="0"/>
            </w:tcBorders>
            <w:vAlign w:val="center"/>
          </w:tcPr>
          <w:p w14:paraId="5E980056">
            <w:pPr>
              <w:spacing w:line="440" w:lineRule="atLeast"/>
              <w:jc w:val="right"/>
              <w:rPr>
                <w:rFonts w:ascii="仿宋" w:hAnsi="仿宋" w:eastAsia="仿宋" w:cs="仿宋"/>
                <w:kern w:val="0"/>
                <w:sz w:val="24"/>
              </w:rPr>
            </w:pPr>
            <w:r>
              <w:rPr>
                <w:rFonts w:hint="eastAsia" w:ascii="仿宋" w:hAnsi="仿宋" w:eastAsia="仿宋" w:cs="仿宋"/>
                <w:kern w:val="0"/>
                <w:sz w:val="24"/>
              </w:rPr>
              <w:t>63.73%</w:t>
            </w:r>
          </w:p>
        </w:tc>
        <w:tc>
          <w:tcPr>
            <w:tcW w:w="1080" w:type="dxa"/>
            <w:tcBorders>
              <w:top w:val="nil"/>
              <w:left w:val="nil"/>
              <w:bottom w:val="single" w:color="auto" w:sz="4" w:space="0"/>
              <w:right w:val="single" w:color="auto" w:sz="4" w:space="0"/>
            </w:tcBorders>
            <w:vAlign w:val="center"/>
          </w:tcPr>
          <w:p w14:paraId="195A0151">
            <w:pPr>
              <w:spacing w:line="440" w:lineRule="atLeast"/>
              <w:jc w:val="right"/>
              <w:rPr>
                <w:rFonts w:ascii="仿宋" w:hAnsi="仿宋" w:eastAsia="仿宋" w:cs="仿宋"/>
                <w:kern w:val="0"/>
                <w:sz w:val="24"/>
              </w:rPr>
            </w:pPr>
            <w:r>
              <w:rPr>
                <w:rFonts w:hint="eastAsia" w:ascii="仿宋" w:hAnsi="仿宋" w:eastAsia="仿宋" w:cs="仿宋"/>
                <w:kern w:val="0"/>
                <w:sz w:val="24"/>
              </w:rPr>
              <w:t>75.38%</w:t>
            </w:r>
          </w:p>
        </w:tc>
        <w:tc>
          <w:tcPr>
            <w:tcW w:w="1080" w:type="dxa"/>
            <w:tcBorders>
              <w:top w:val="nil"/>
              <w:left w:val="nil"/>
              <w:bottom w:val="single" w:color="auto" w:sz="4" w:space="0"/>
              <w:right w:val="single" w:color="auto" w:sz="4" w:space="0"/>
            </w:tcBorders>
            <w:vAlign w:val="center"/>
          </w:tcPr>
          <w:p w14:paraId="32F0ABDD">
            <w:pPr>
              <w:spacing w:line="440" w:lineRule="atLeast"/>
              <w:jc w:val="right"/>
              <w:rPr>
                <w:rFonts w:ascii="仿宋" w:hAnsi="仿宋" w:eastAsia="仿宋" w:cs="仿宋"/>
                <w:kern w:val="0"/>
                <w:sz w:val="24"/>
              </w:rPr>
            </w:pPr>
            <w:r>
              <w:rPr>
                <w:rFonts w:hint="eastAsia" w:ascii="仿宋" w:hAnsi="仿宋" w:eastAsia="仿宋" w:cs="仿宋"/>
                <w:kern w:val="0"/>
                <w:sz w:val="24"/>
              </w:rPr>
              <w:t>72.64%</w:t>
            </w:r>
          </w:p>
        </w:tc>
      </w:tr>
      <w:tr w14:paraId="4FF97313">
        <w:tblPrEx>
          <w:tblCellMar>
            <w:top w:w="0" w:type="dxa"/>
            <w:left w:w="108" w:type="dxa"/>
            <w:bottom w:w="0" w:type="dxa"/>
            <w:right w:w="108" w:type="dxa"/>
          </w:tblCellMar>
        </w:tblPrEx>
        <w:trPr>
          <w:trHeight w:val="255" w:hRule="atLeast"/>
        </w:trPr>
        <w:tc>
          <w:tcPr>
            <w:tcW w:w="1060" w:type="dxa"/>
            <w:tcBorders>
              <w:top w:val="nil"/>
              <w:left w:val="single" w:color="auto" w:sz="4" w:space="0"/>
              <w:bottom w:val="single" w:color="auto" w:sz="4" w:space="0"/>
              <w:right w:val="single" w:color="auto" w:sz="4" w:space="0"/>
            </w:tcBorders>
            <w:vAlign w:val="center"/>
          </w:tcPr>
          <w:p w14:paraId="71E4BF98">
            <w:pPr>
              <w:spacing w:line="440" w:lineRule="atLeast"/>
              <w:jc w:val="center"/>
              <w:rPr>
                <w:rFonts w:ascii="仿宋" w:hAnsi="仿宋" w:eastAsia="仿宋" w:cs="仿宋"/>
                <w:kern w:val="0"/>
                <w:sz w:val="24"/>
              </w:rPr>
            </w:pPr>
            <w:r>
              <w:rPr>
                <w:rFonts w:hint="eastAsia" w:ascii="仿宋" w:hAnsi="仿宋" w:eastAsia="仿宋" w:cs="仿宋"/>
                <w:kern w:val="0"/>
                <w:sz w:val="24"/>
              </w:rPr>
              <w:t>601198.SH</w:t>
            </w:r>
          </w:p>
        </w:tc>
        <w:tc>
          <w:tcPr>
            <w:tcW w:w="960" w:type="dxa"/>
            <w:tcBorders>
              <w:top w:val="nil"/>
              <w:left w:val="nil"/>
              <w:bottom w:val="single" w:color="auto" w:sz="4" w:space="0"/>
              <w:right w:val="single" w:color="auto" w:sz="4" w:space="0"/>
            </w:tcBorders>
            <w:vAlign w:val="center"/>
          </w:tcPr>
          <w:p w14:paraId="5B0EE4BC">
            <w:pPr>
              <w:spacing w:line="440" w:lineRule="atLeast"/>
              <w:jc w:val="center"/>
              <w:rPr>
                <w:rFonts w:ascii="仿宋" w:hAnsi="仿宋" w:eastAsia="仿宋" w:cs="仿宋"/>
                <w:kern w:val="0"/>
                <w:sz w:val="24"/>
              </w:rPr>
            </w:pPr>
            <w:r>
              <w:rPr>
                <w:rFonts w:hint="eastAsia" w:ascii="仿宋" w:hAnsi="仿宋" w:eastAsia="仿宋" w:cs="仿宋"/>
                <w:kern w:val="0"/>
                <w:sz w:val="24"/>
              </w:rPr>
              <w:t>东兴证券</w:t>
            </w:r>
          </w:p>
        </w:tc>
        <w:tc>
          <w:tcPr>
            <w:tcW w:w="1080" w:type="dxa"/>
            <w:tcBorders>
              <w:top w:val="nil"/>
              <w:left w:val="nil"/>
              <w:bottom w:val="single" w:color="auto" w:sz="4" w:space="0"/>
              <w:right w:val="single" w:color="auto" w:sz="4" w:space="0"/>
            </w:tcBorders>
            <w:vAlign w:val="center"/>
          </w:tcPr>
          <w:p w14:paraId="02C0F7AE">
            <w:pPr>
              <w:spacing w:line="440" w:lineRule="atLeast"/>
              <w:jc w:val="right"/>
              <w:rPr>
                <w:rFonts w:ascii="仿宋" w:hAnsi="仿宋" w:eastAsia="仿宋" w:cs="仿宋"/>
                <w:kern w:val="0"/>
                <w:sz w:val="24"/>
              </w:rPr>
            </w:pPr>
            <w:r>
              <w:rPr>
                <w:rFonts w:hint="eastAsia" w:ascii="仿宋" w:hAnsi="仿宋" w:eastAsia="仿宋" w:cs="仿宋"/>
                <w:kern w:val="0"/>
                <w:sz w:val="24"/>
              </w:rPr>
              <w:t>53.36%</w:t>
            </w:r>
          </w:p>
        </w:tc>
        <w:tc>
          <w:tcPr>
            <w:tcW w:w="1080" w:type="dxa"/>
            <w:tcBorders>
              <w:top w:val="nil"/>
              <w:left w:val="nil"/>
              <w:bottom w:val="single" w:color="auto" w:sz="4" w:space="0"/>
              <w:right w:val="single" w:color="auto" w:sz="4" w:space="0"/>
            </w:tcBorders>
            <w:vAlign w:val="center"/>
          </w:tcPr>
          <w:p w14:paraId="2779D49B">
            <w:pPr>
              <w:spacing w:line="440" w:lineRule="atLeast"/>
              <w:jc w:val="right"/>
              <w:rPr>
                <w:rFonts w:ascii="仿宋" w:hAnsi="仿宋" w:eastAsia="仿宋" w:cs="仿宋"/>
                <w:kern w:val="0"/>
                <w:sz w:val="24"/>
              </w:rPr>
            </w:pPr>
            <w:r>
              <w:rPr>
                <w:rFonts w:hint="eastAsia" w:ascii="仿宋" w:hAnsi="仿宋" w:eastAsia="仿宋" w:cs="仿宋"/>
                <w:kern w:val="0"/>
                <w:sz w:val="24"/>
              </w:rPr>
              <w:t>44.79%</w:t>
            </w:r>
          </w:p>
        </w:tc>
        <w:tc>
          <w:tcPr>
            <w:tcW w:w="1080" w:type="dxa"/>
            <w:tcBorders>
              <w:top w:val="nil"/>
              <w:left w:val="nil"/>
              <w:bottom w:val="single" w:color="auto" w:sz="4" w:space="0"/>
              <w:right w:val="single" w:color="auto" w:sz="4" w:space="0"/>
            </w:tcBorders>
            <w:vAlign w:val="center"/>
          </w:tcPr>
          <w:p w14:paraId="7695A491">
            <w:pPr>
              <w:spacing w:line="440" w:lineRule="atLeast"/>
              <w:jc w:val="right"/>
              <w:rPr>
                <w:rFonts w:ascii="仿宋" w:hAnsi="仿宋" w:eastAsia="仿宋" w:cs="仿宋"/>
                <w:kern w:val="0"/>
                <w:sz w:val="24"/>
              </w:rPr>
            </w:pPr>
            <w:r>
              <w:rPr>
                <w:rFonts w:hint="eastAsia" w:ascii="仿宋" w:hAnsi="仿宋" w:eastAsia="仿宋" w:cs="仿宋"/>
                <w:kern w:val="0"/>
                <w:sz w:val="24"/>
              </w:rPr>
              <w:t>50.05%</w:t>
            </w:r>
          </w:p>
        </w:tc>
        <w:tc>
          <w:tcPr>
            <w:tcW w:w="1080" w:type="dxa"/>
            <w:tcBorders>
              <w:top w:val="nil"/>
              <w:left w:val="nil"/>
              <w:bottom w:val="single" w:color="auto" w:sz="4" w:space="0"/>
              <w:right w:val="single" w:color="auto" w:sz="4" w:space="0"/>
            </w:tcBorders>
            <w:vAlign w:val="center"/>
          </w:tcPr>
          <w:p w14:paraId="2B64CADA">
            <w:pPr>
              <w:spacing w:line="440" w:lineRule="atLeast"/>
              <w:jc w:val="right"/>
              <w:rPr>
                <w:rFonts w:ascii="仿宋" w:hAnsi="仿宋" w:eastAsia="仿宋" w:cs="仿宋"/>
                <w:kern w:val="0"/>
                <w:sz w:val="24"/>
              </w:rPr>
            </w:pPr>
            <w:r>
              <w:rPr>
                <w:rFonts w:hint="eastAsia" w:ascii="仿宋" w:hAnsi="仿宋" w:eastAsia="仿宋" w:cs="仿宋"/>
                <w:kern w:val="0"/>
                <w:sz w:val="24"/>
              </w:rPr>
              <w:t>49.43%</w:t>
            </w:r>
          </w:p>
        </w:tc>
        <w:tc>
          <w:tcPr>
            <w:tcW w:w="1080" w:type="dxa"/>
            <w:tcBorders>
              <w:top w:val="nil"/>
              <w:left w:val="nil"/>
              <w:bottom w:val="single" w:color="auto" w:sz="4" w:space="0"/>
              <w:right w:val="single" w:color="auto" w:sz="4" w:space="0"/>
            </w:tcBorders>
            <w:vAlign w:val="center"/>
          </w:tcPr>
          <w:p w14:paraId="26674F3A">
            <w:pPr>
              <w:spacing w:line="440" w:lineRule="atLeast"/>
              <w:jc w:val="right"/>
              <w:rPr>
                <w:rFonts w:ascii="仿宋" w:hAnsi="仿宋" w:eastAsia="仿宋" w:cs="仿宋"/>
                <w:kern w:val="0"/>
                <w:sz w:val="24"/>
              </w:rPr>
            </w:pPr>
            <w:r>
              <w:rPr>
                <w:rFonts w:hint="eastAsia" w:ascii="仿宋" w:hAnsi="仿宋" w:eastAsia="仿宋" w:cs="仿宋"/>
                <w:kern w:val="0"/>
                <w:sz w:val="24"/>
              </w:rPr>
              <w:t>58.10%</w:t>
            </w:r>
          </w:p>
        </w:tc>
        <w:tc>
          <w:tcPr>
            <w:tcW w:w="1080" w:type="dxa"/>
            <w:tcBorders>
              <w:top w:val="nil"/>
              <w:left w:val="nil"/>
              <w:bottom w:val="single" w:color="auto" w:sz="4" w:space="0"/>
              <w:right w:val="single" w:color="auto" w:sz="4" w:space="0"/>
            </w:tcBorders>
            <w:vAlign w:val="center"/>
          </w:tcPr>
          <w:p w14:paraId="6D205E07">
            <w:pPr>
              <w:spacing w:line="440" w:lineRule="atLeast"/>
              <w:jc w:val="right"/>
              <w:rPr>
                <w:rFonts w:ascii="仿宋" w:hAnsi="仿宋" w:eastAsia="仿宋" w:cs="仿宋"/>
                <w:kern w:val="0"/>
                <w:sz w:val="24"/>
              </w:rPr>
            </w:pPr>
            <w:r>
              <w:rPr>
                <w:rFonts w:hint="eastAsia" w:ascii="仿宋" w:hAnsi="仿宋" w:eastAsia="仿宋" w:cs="仿宋"/>
                <w:kern w:val="0"/>
                <w:sz w:val="24"/>
              </w:rPr>
              <w:t>54.42%</w:t>
            </w:r>
          </w:p>
        </w:tc>
      </w:tr>
      <w:tr w14:paraId="0636B47B">
        <w:tblPrEx>
          <w:tblCellMar>
            <w:top w:w="0" w:type="dxa"/>
            <w:left w:w="108" w:type="dxa"/>
            <w:bottom w:w="0" w:type="dxa"/>
            <w:right w:w="108" w:type="dxa"/>
          </w:tblCellMar>
        </w:tblPrEx>
        <w:trPr>
          <w:trHeight w:val="255" w:hRule="atLeast"/>
        </w:trPr>
        <w:tc>
          <w:tcPr>
            <w:tcW w:w="1060" w:type="dxa"/>
            <w:tcBorders>
              <w:top w:val="nil"/>
              <w:left w:val="single" w:color="auto" w:sz="4" w:space="0"/>
              <w:bottom w:val="single" w:color="auto" w:sz="4" w:space="0"/>
              <w:right w:val="single" w:color="auto" w:sz="4" w:space="0"/>
            </w:tcBorders>
            <w:vAlign w:val="center"/>
          </w:tcPr>
          <w:p w14:paraId="54367468">
            <w:pPr>
              <w:spacing w:line="440" w:lineRule="atLeast"/>
              <w:jc w:val="center"/>
              <w:rPr>
                <w:rFonts w:ascii="仿宋" w:hAnsi="仿宋" w:eastAsia="仿宋" w:cs="仿宋"/>
                <w:kern w:val="0"/>
                <w:sz w:val="24"/>
              </w:rPr>
            </w:pPr>
            <w:r>
              <w:rPr>
                <w:rFonts w:hint="eastAsia" w:ascii="仿宋" w:hAnsi="仿宋" w:eastAsia="仿宋" w:cs="仿宋"/>
                <w:kern w:val="0"/>
                <w:sz w:val="24"/>
              </w:rPr>
              <w:t>601377.SH</w:t>
            </w:r>
          </w:p>
        </w:tc>
        <w:tc>
          <w:tcPr>
            <w:tcW w:w="960" w:type="dxa"/>
            <w:tcBorders>
              <w:top w:val="nil"/>
              <w:left w:val="nil"/>
              <w:bottom w:val="single" w:color="auto" w:sz="4" w:space="0"/>
              <w:right w:val="single" w:color="auto" w:sz="4" w:space="0"/>
            </w:tcBorders>
            <w:vAlign w:val="center"/>
          </w:tcPr>
          <w:p w14:paraId="67B9509C">
            <w:pPr>
              <w:spacing w:line="440" w:lineRule="atLeast"/>
              <w:jc w:val="center"/>
              <w:rPr>
                <w:rFonts w:ascii="仿宋" w:hAnsi="仿宋" w:eastAsia="仿宋" w:cs="仿宋"/>
                <w:kern w:val="0"/>
                <w:sz w:val="24"/>
              </w:rPr>
            </w:pPr>
            <w:r>
              <w:rPr>
                <w:rFonts w:hint="eastAsia" w:ascii="仿宋" w:hAnsi="仿宋" w:eastAsia="仿宋" w:cs="仿宋"/>
                <w:kern w:val="0"/>
                <w:sz w:val="24"/>
              </w:rPr>
              <w:t>兴业证券</w:t>
            </w:r>
          </w:p>
        </w:tc>
        <w:tc>
          <w:tcPr>
            <w:tcW w:w="1080" w:type="dxa"/>
            <w:tcBorders>
              <w:top w:val="nil"/>
              <w:left w:val="nil"/>
              <w:bottom w:val="single" w:color="auto" w:sz="4" w:space="0"/>
              <w:right w:val="single" w:color="auto" w:sz="4" w:space="0"/>
            </w:tcBorders>
            <w:vAlign w:val="center"/>
          </w:tcPr>
          <w:p w14:paraId="4FA039EE">
            <w:pPr>
              <w:spacing w:line="440" w:lineRule="atLeast"/>
              <w:jc w:val="right"/>
              <w:rPr>
                <w:rFonts w:ascii="仿宋" w:hAnsi="仿宋" w:eastAsia="仿宋" w:cs="仿宋"/>
                <w:kern w:val="0"/>
                <w:sz w:val="24"/>
              </w:rPr>
            </w:pPr>
            <w:r>
              <w:rPr>
                <w:rFonts w:hint="eastAsia" w:ascii="仿宋" w:hAnsi="仿宋" w:eastAsia="仿宋" w:cs="仿宋"/>
                <w:kern w:val="0"/>
                <w:sz w:val="24"/>
              </w:rPr>
              <w:t>60.76%</w:t>
            </w:r>
          </w:p>
        </w:tc>
        <w:tc>
          <w:tcPr>
            <w:tcW w:w="1080" w:type="dxa"/>
            <w:tcBorders>
              <w:top w:val="nil"/>
              <w:left w:val="nil"/>
              <w:bottom w:val="single" w:color="auto" w:sz="4" w:space="0"/>
              <w:right w:val="single" w:color="auto" w:sz="4" w:space="0"/>
            </w:tcBorders>
            <w:vAlign w:val="center"/>
          </w:tcPr>
          <w:p w14:paraId="28FB23C5">
            <w:pPr>
              <w:spacing w:line="440" w:lineRule="atLeast"/>
              <w:jc w:val="right"/>
              <w:rPr>
                <w:rFonts w:ascii="仿宋" w:hAnsi="仿宋" w:eastAsia="仿宋" w:cs="仿宋"/>
                <w:kern w:val="0"/>
                <w:sz w:val="24"/>
              </w:rPr>
            </w:pPr>
            <w:r>
              <w:rPr>
                <w:rFonts w:hint="eastAsia" w:ascii="仿宋" w:hAnsi="仿宋" w:eastAsia="仿宋" w:cs="仿宋"/>
                <w:kern w:val="0"/>
                <w:sz w:val="24"/>
              </w:rPr>
              <w:t>41.61%</w:t>
            </w:r>
          </w:p>
        </w:tc>
        <w:tc>
          <w:tcPr>
            <w:tcW w:w="1080" w:type="dxa"/>
            <w:tcBorders>
              <w:top w:val="nil"/>
              <w:left w:val="nil"/>
              <w:bottom w:val="single" w:color="auto" w:sz="4" w:space="0"/>
              <w:right w:val="single" w:color="auto" w:sz="4" w:space="0"/>
            </w:tcBorders>
            <w:vAlign w:val="center"/>
          </w:tcPr>
          <w:p w14:paraId="2DCA313E">
            <w:pPr>
              <w:spacing w:line="440" w:lineRule="atLeast"/>
              <w:jc w:val="right"/>
              <w:rPr>
                <w:rFonts w:ascii="仿宋" w:hAnsi="仿宋" w:eastAsia="仿宋" w:cs="仿宋"/>
                <w:kern w:val="0"/>
                <w:sz w:val="24"/>
              </w:rPr>
            </w:pPr>
            <w:r>
              <w:rPr>
                <w:rFonts w:hint="eastAsia" w:ascii="仿宋" w:hAnsi="仿宋" w:eastAsia="仿宋" w:cs="仿宋"/>
                <w:kern w:val="0"/>
                <w:sz w:val="24"/>
              </w:rPr>
              <w:t>52.45%</w:t>
            </w:r>
          </w:p>
        </w:tc>
        <w:tc>
          <w:tcPr>
            <w:tcW w:w="1080" w:type="dxa"/>
            <w:tcBorders>
              <w:top w:val="nil"/>
              <w:left w:val="nil"/>
              <w:bottom w:val="single" w:color="auto" w:sz="4" w:space="0"/>
              <w:right w:val="single" w:color="auto" w:sz="4" w:space="0"/>
            </w:tcBorders>
            <w:vAlign w:val="center"/>
          </w:tcPr>
          <w:p w14:paraId="7D0145E9">
            <w:pPr>
              <w:spacing w:line="440" w:lineRule="atLeast"/>
              <w:jc w:val="right"/>
              <w:rPr>
                <w:rFonts w:ascii="仿宋" w:hAnsi="仿宋" w:eastAsia="仿宋" w:cs="仿宋"/>
                <w:kern w:val="0"/>
                <w:sz w:val="24"/>
              </w:rPr>
            </w:pPr>
            <w:r>
              <w:rPr>
                <w:rFonts w:hint="eastAsia" w:ascii="仿宋" w:hAnsi="仿宋" w:eastAsia="仿宋" w:cs="仿宋"/>
                <w:kern w:val="0"/>
                <w:sz w:val="24"/>
              </w:rPr>
              <w:t>65.86%</w:t>
            </w:r>
          </w:p>
        </w:tc>
        <w:tc>
          <w:tcPr>
            <w:tcW w:w="1080" w:type="dxa"/>
            <w:tcBorders>
              <w:top w:val="nil"/>
              <w:left w:val="nil"/>
              <w:bottom w:val="single" w:color="auto" w:sz="4" w:space="0"/>
              <w:right w:val="single" w:color="auto" w:sz="4" w:space="0"/>
            </w:tcBorders>
            <w:vAlign w:val="center"/>
          </w:tcPr>
          <w:p w14:paraId="5EAA9BEA">
            <w:pPr>
              <w:spacing w:line="440" w:lineRule="atLeast"/>
              <w:jc w:val="right"/>
              <w:rPr>
                <w:rFonts w:ascii="仿宋" w:hAnsi="仿宋" w:eastAsia="仿宋" w:cs="仿宋"/>
                <w:kern w:val="0"/>
                <w:sz w:val="24"/>
              </w:rPr>
            </w:pPr>
            <w:r>
              <w:rPr>
                <w:rFonts w:hint="eastAsia" w:ascii="仿宋" w:hAnsi="仿宋" w:eastAsia="仿宋" w:cs="仿宋"/>
                <w:kern w:val="0"/>
                <w:sz w:val="24"/>
              </w:rPr>
              <w:t>66.80%</w:t>
            </w:r>
          </w:p>
        </w:tc>
        <w:tc>
          <w:tcPr>
            <w:tcW w:w="1080" w:type="dxa"/>
            <w:tcBorders>
              <w:top w:val="nil"/>
              <w:left w:val="nil"/>
              <w:bottom w:val="single" w:color="auto" w:sz="4" w:space="0"/>
              <w:right w:val="single" w:color="auto" w:sz="4" w:space="0"/>
            </w:tcBorders>
            <w:vAlign w:val="center"/>
          </w:tcPr>
          <w:p w14:paraId="76D353FF">
            <w:pPr>
              <w:spacing w:line="440" w:lineRule="atLeast"/>
              <w:jc w:val="right"/>
              <w:rPr>
                <w:rFonts w:ascii="仿宋" w:hAnsi="仿宋" w:eastAsia="仿宋" w:cs="仿宋"/>
                <w:kern w:val="0"/>
                <w:sz w:val="24"/>
              </w:rPr>
            </w:pPr>
            <w:r>
              <w:rPr>
                <w:rFonts w:hint="eastAsia" w:ascii="仿宋" w:hAnsi="仿宋" w:eastAsia="仿宋" w:cs="仿宋"/>
                <w:kern w:val="0"/>
                <w:sz w:val="24"/>
              </w:rPr>
              <w:t>62.21%</w:t>
            </w:r>
          </w:p>
        </w:tc>
      </w:tr>
      <w:tr w14:paraId="62234240">
        <w:tblPrEx>
          <w:tblCellMar>
            <w:top w:w="0" w:type="dxa"/>
            <w:left w:w="108" w:type="dxa"/>
            <w:bottom w:w="0" w:type="dxa"/>
            <w:right w:w="108" w:type="dxa"/>
          </w:tblCellMar>
        </w:tblPrEx>
        <w:trPr>
          <w:trHeight w:val="255" w:hRule="atLeast"/>
        </w:trPr>
        <w:tc>
          <w:tcPr>
            <w:tcW w:w="1060" w:type="dxa"/>
            <w:tcBorders>
              <w:top w:val="nil"/>
              <w:left w:val="single" w:color="auto" w:sz="4" w:space="0"/>
              <w:bottom w:val="single" w:color="auto" w:sz="4" w:space="0"/>
              <w:right w:val="single" w:color="auto" w:sz="4" w:space="0"/>
            </w:tcBorders>
            <w:vAlign w:val="center"/>
          </w:tcPr>
          <w:p w14:paraId="568E643E">
            <w:pPr>
              <w:spacing w:line="440" w:lineRule="atLeast"/>
              <w:jc w:val="center"/>
              <w:rPr>
                <w:rFonts w:ascii="仿宋" w:hAnsi="仿宋" w:eastAsia="仿宋" w:cs="仿宋"/>
                <w:kern w:val="0"/>
                <w:sz w:val="24"/>
              </w:rPr>
            </w:pPr>
            <w:r>
              <w:rPr>
                <w:rFonts w:hint="eastAsia" w:ascii="仿宋" w:hAnsi="仿宋" w:eastAsia="仿宋" w:cs="仿宋"/>
                <w:kern w:val="0"/>
                <w:sz w:val="24"/>
              </w:rPr>
              <w:t>601555.SH</w:t>
            </w:r>
          </w:p>
        </w:tc>
        <w:tc>
          <w:tcPr>
            <w:tcW w:w="960" w:type="dxa"/>
            <w:tcBorders>
              <w:top w:val="nil"/>
              <w:left w:val="nil"/>
              <w:bottom w:val="single" w:color="auto" w:sz="4" w:space="0"/>
              <w:right w:val="single" w:color="auto" w:sz="4" w:space="0"/>
            </w:tcBorders>
            <w:vAlign w:val="center"/>
          </w:tcPr>
          <w:p w14:paraId="7C8DD05E">
            <w:pPr>
              <w:spacing w:line="440" w:lineRule="atLeast"/>
              <w:jc w:val="center"/>
              <w:rPr>
                <w:rFonts w:ascii="仿宋" w:hAnsi="仿宋" w:eastAsia="仿宋" w:cs="仿宋"/>
                <w:kern w:val="0"/>
                <w:sz w:val="24"/>
              </w:rPr>
            </w:pPr>
            <w:r>
              <w:rPr>
                <w:rFonts w:hint="eastAsia" w:ascii="仿宋" w:hAnsi="仿宋" w:eastAsia="仿宋" w:cs="仿宋"/>
                <w:kern w:val="0"/>
                <w:sz w:val="24"/>
              </w:rPr>
              <w:t>东吴证券</w:t>
            </w:r>
          </w:p>
        </w:tc>
        <w:tc>
          <w:tcPr>
            <w:tcW w:w="1080" w:type="dxa"/>
            <w:tcBorders>
              <w:top w:val="nil"/>
              <w:left w:val="nil"/>
              <w:bottom w:val="single" w:color="auto" w:sz="4" w:space="0"/>
              <w:right w:val="single" w:color="auto" w:sz="4" w:space="0"/>
            </w:tcBorders>
            <w:vAlign w:val="center"/>
          </w:tcPr>
          <w:p w14:paraId="7EC122D0">
            <w:pPr>
              <w:spacing w:line="440" w:lineRule="atLeast"/>
              <w:jc w:val="right"/>
              <w:rPr>
                <w:rFonts w:ascii="仿宋" w:hAnsi="仿宋" w:eastAsia="仿宋" w:cs="仿宋"/>
                <w:kern w:val="0"/>
                <w:sz w:val="24"/>
              </w:rPr>
            </w:pPr>
            <w:r>
              <w:rPr>
                <w:rFonts w:hint="eastAsia" w:ascii="仿宋" w:hAnsi="仿宋" w:eastAsia="仿宋" w:cs="仿宋"/>
                <w:kern w:val="0"/>
                <w:sz w:val="24"/>
              </w:rPr>
              <w:t>54.67%</w:t>
            </w:r>
          </w:p>
        </w:tc>
        <w:tc>
          <w:tcPr>
            <w:tcW w:w="1080" w:type="dxa"/>
            <w:tcBorders>
              <w:top w:val="nil"/>
              <w:left w:val="nil"/>
              <w:bottom w:val="single" w:color="auto" w:sz="4" w:space="0"/>
              <w:right w:val="single" w:color="auto" w:sz="4" w:space="0"/>
            </w:tcBorders>
            <w:vAlign w:val="center"/>
          </w:tcPr>
          <w:p w14:paraId="679F9CCB">
            <w:pPr>
              <w:spacing w:line="440" w:lineRule="atLeast"/>
              <w:jc w:val="right"/>
              <w:rPr>
                <w:rFonts w:ascii="仿宋" w:hAnsi="仿宋" w:eastAsia="仿宋" w:cs="仿宋"/>
                <w:kern w:val="0"/>
                <w:sz w:val="24"/>
              </w:rPr>
            </w:pPr>
            <w:r>
              <w:rPr>
                <w:rFonts w:hint="eastAsia" w:ascii="仿宋" w:hAnsi="仿宋" w:eastAsia="仿宋" w:cs="仿宋"/>
                <w:kern w:val="0"/>
                <w:sz w:val="24"/>
              </w:rPr>
              <w:t>43.50%</w:t>
            </w:r>
          </w:p>
        </w:tc>
        <w:tc>
          <w:tcPr>
            <w:tcW w:w="1080" w:type="dxa"/>
            <w:tcBorders>
              <w:top w:val="nil"/>
              <w:left w:val="nil"/>
              <w:bottom w:val="single" w:color="auto" w:sz="4" w:space="0"/>
              <w:right w:val="single" w:color="auto" w:sz="4" w:space="0"/>
            </w:tcBorders>
            <w:vAlign w:val="center"/>
          </w:tcPr>
          <w:p w14:paraId="75B9381A">
            <w:pPr>
              <w:spacing w:line="440" w:lineRule="atLeast"/>
              <w:jc w:val="right"/>
              <w:rPr>
                <w:rFonts w:ascii="仿宋" w:hAnsi="仿宋" w:eastAsia="仿宋" w:cs="仿宋"/>
                <w:kern w:val="0"/>
                <w:sz w:val="24"/>
              </w:rPr>
            </w:pPr>
            <w:r>
              <w:rPr>
                <w:rFonts w:hint="eastAsia" w:ascii="仿宋" w:hAnsi="仿宋" w:eastAsia="仿宋" w:cs="仿宋"/>
                <w:kern w:val="0"/>
                <w:sz w:val="24"/>
              </w:rPr>
              <w:t>51.08%</w:t>
            </w:r>
          </w:p>
        </w:tc>
        <w:tc>
          <w:tcPr>
            <w:tcW w:w="1080" w:type="dxa"/>
            <w:tcBorders>
              <w:top w:val="nil"/>
              <w:left w:val="nil"/>
              <w:bottom w:val="single" w:color="auto" w:sz="4" w:space="0"/>
              <w:right w:val="single" w:color="auto" w:sz="4" w:space="0"/>
            </w:tcBorders>
            <w:vAlign w:val="center"/>
          </w:tcPr>
          <w:p w14:paraId="05051DE1">
            <w:pPr>
              <w:spacing w:line="440" w:lineRule="atLeast"/>
              <w:jc w:val="right"/>
              <w:rPr>
                <w:rFonts w:ascii="仿宋" w:hAnsi="仿宋" w:eastAsia="仿宋" w:cs="仿宋"/>
                <w:kern w:val="0"/>
                <w:sz w:val="24"/>
              </w:rPr>
            </w:pPr>
            <w:r>
              <w:rPr>
                <w:rFonts w:hint="eastAsia" w:ascii="仿宋" w:hAnsi="仿宋" w:eastAsia="仿宋" w:cs="仿宋"/>
                <w:kern w:val="0"/>
                <w:sz w:val="24"/>
              </w:rPr>
              <w:t>68.53%</w:t>
            </w:r>
          </w:p>
        </w:tc>
        <w:tc>
          <w:tcPr>
            <w:tcW w:w="1080" w:type="dxa"/>
            <w:tcBorders>
              <w:top w:val="nil"/>
              <w:left w:val="nil"/>
              <w:bottom w:val="single" w:color="auto" w:sz="4" w:space="0"/>
              <w:right w:val="single" w:color="auto" w:sz="4" w:space="0"/>
            </w:tcBorders>
            <w:vAlign w:val="center"/>
          </w:tcPr>
          <w:p w14:paraId="0CFE0F80">
            <w:pPr>
              <w:spacing w:line="440" w:lineRule="atLeast"/>
              <w:jc w:val="right"/>
              <w:rPr>
                <w:rFonts w:ascii="仿宋" w:hAnsi="仿宋" w:eastAsia="仿宋" w:cs="仿宋"/>
                <w:kern w:val="0"/>
                <w:sz w:val="24"/>
              </w:rPr>
            </w:pPr>
            <w:r>
              <w:rPr>
                <w:rFonts w:hint="eastAsia" w:ascii="仿宋" w:hAnsi="仿宋" w:eastAsia="仿宋" w:cs="仿宋"/>
                <w:kern w:val="0"/>
                <w:sz w:val="24"/>
              </w:rPr>
              <w:t>69.90%</w:t>
            </w:r>
          </w:p>
        </w:tc>
        <w:tc>
          <w:tcPr>
            <w:tcW w:w="1080" w:type="dxa"/>
            <w:tcBorders>
              <w:top w:val="nil"/>
              <w:left w:val="nil"/>
              <w:bottom w:val="single" w:color="auto" w:sz="4" w:space="0"/>
              <w:right w:val="single" w:color="auto" w:sz="4" w:space="0"/>
            </w:tcBorders>
            <w:vAlign w:val="center"/>
          </w:tcPr>
          <w:p w14:paraId="17299519">
            <w:pPr>
              <w:spacing w:line="440" w:lineRule="atLeast"/>
              <w:jc w:val="right"/>
              <w:rPr>
                <w:rFonts w:ascii="仿宋" w:hAnsi="仿宋" w:eastAsia="仿宋" w:cs="仿宋"/>
                <w:kern w:val="0"/>
                <w:sz w:val="24"/>
              </w:rPr>
            </w:pPr>
            <w:r>
              <w:rPr>
                <w:rFonts w:hint="eastAsia" w:ascii="仿宋" w:hAnsi="仿宋" w:eastAsia="仿宋" w:cs="仿宋"/>
                <w:kern w:val="0"/>
                <w:sz w:val="24"/>
              </w:rPr>
              <w:t>62.30%</w:t>
            </w:r>
          </w:p>
        </w:tc>
      </w:tr>
      <w:tr w14:paraId="68308750">
        <w:tblPrEx>
          <w:tblCellMar>
            <w:top w:w="0" w:type="dxa"/>
            <w:left w:w="108" w:type="dxa"/>
            <w:bottom w:w="0" w:type="dxa"/>
            <w:right w:w="108" w:type="dxa"/>
          </w:tblCellMar>
        </w:tblPrEx>
        <w:trPr>
          <w:trHeight w:val="255" w:hRule="atLeast"/>
        </w:trPr>
        <w:tc>
          <w:tcPr>
            <w:tcW w:w="1060" w:type="dxa"/>
            <w:tcBorders>
              <w:top w:val="nil"/>
              <w:left w:val="single" w:color="auto" w:sz="4" w:space="0"/>
              <w:bottom w:val="single" w:color="auto" w:sz="4" w:space="0"/>
              <w:right w:val="single" w:color="auto" w:sz="4" w:space="0"/>
            </w:tcBorders>
            <w:vAlign w:val="center"/>
          </w:tcPr>
          <w:p w14:paraId="25FE0E3D">
            <w:pPr>
              <w:spacing w:line="440" w:lineRule="atLeast"/>
              <w:jc w:val="center"/>
              <w:rPr>
                <w:rFonts w:ascii="仿宋" w:hAnsi="仿宋" w:eastAsia="仿宋" w:cs="仿宋"/>
                <w:kern w:val="0"/>
                <w:sz w:val="24"/>
              </w:rPr>
            </w:pPr>
            <w:r>
              <w:rPr>
                <w:rFonts w:hint="eastAsia" w:ascii="仿宋" w:hAnsi="仿宋" w:eastAsia="仿宋" w:cs="仿宋"/>
                <w:kern w:val="0"/>
                <w:sz w:val="24"/>
              </w:rPr>
              <w:t>601688.SH</w:t>
            </w:r>
          </w:p>
        </w:tc>
        <w:tc>
          <w:tcPr>
            <w:tcW w:w="960" w:type="dxa"/>
            <w:tcBorders>
              <w:top w:val="nil"/>
              <w:left w:val="nil"/>
              <w:bottom w:val="single" w:color="auto" w:sz="4" w:space="0"/>
              <w:right w:val="single" w:color="auto" w:sz="4" w:space="0"/>
            </w:tcBorders>
            <w:vAlign w:val="center"/>
          </w:tcPr>
          <w:p w14:paraId="300D8247">
            <w:pPr>
              <w:spacing w:line="440" w:lineRule="atLeast"/>
              <w:jc w:val="center"/>
              <w:rPr>
                <w:rFonts w:ascii="仿宋" w:hAnsi="仿宋" w:eastAsia="仿宋" w:cs="仿宋"/>
                <w:kern w:val="0"/>
                <w:sz w:val="24"/>
              </w:rPr>
            </w:pPr>
            <w:r>
              <w:rPr>
                <w:rFonts w:hint="eastAsia" w:ascii="仿宋" w:hAnsi="仿宋" w:eastAsia="仿宋" w:cs="仿宋"/>
                <w:kern w:val="0"/>
                <w:sz w:val="24"/>
              </w:rPr>
              <w:t>华泰证券</w:t>
            </w:r>
          </w:p>
        </w:tc>
        <w:tc>
          <w:tcPr>
            <w:tcW w:w="1080" w:type="dxa"/>
            <w:tcBorders>
              <w:top w:val="nil"/>
              <w:left w:val="nil"/>
              <w:bottom w:val="single" w:color="auto" w:sz="4" w:space="0"/>
              <w:right w:val="single" w:color="auto" w:sz="4" w:space="0"/>
            </w:tcBorders>
            <w:vAlign w:val="center"/>
          </w:tcPr>
          <w:p w14:paraId="7992C943">
            <w:pPr>
              <w:spacing w:line="440" w:lineRule="atLeast"/>
              <w:jc w:val="right"/>
              <w:rPr>
                <w:rFonts w:ascii="仿宋" w:hAnsi="仿宋" w:eastAsia="仿宋" w:cs="仿宋"/>
                <w:kern w:val="0"/>
                <w:sz w:val="24"/>
              </w:rPr>
            </w:pPr>
            <w:r>
              <w:rPr>
                <w:rFonts w:hint="eastAsia" w:ascii="仿宋" w:hAnsi="仿宋" w:eastAsia="仿宋" w:cs="仿宋"/>
                <w:kern w:val="0"/>
                <w:sz w:val="24"/>
              </w:rPr>
              <w:t>38.94%</w:t>
            </w:r>
          </w:p>
        </w:tc>
        <w:tc>
          <w:tcPr>
            <w:tcW w:w="1080" w:type="dxa"/>
            <w:tcBorders>
              <w:top w:val="nil"/>
              <w:left w:val="nil"/>
              <w:bottom w:val="single" w:color="auto" w:sz="4" w:space="0"/>
              <w:right w:val="single" w:color="auto" w:sz="4" w:space="0"/>
            </w:tcBorders>
            <w:vAlign w:val="center"/>
          </w:tcPr>
          <w:p w14:paraId="2D370ED4">
            <w:pPr>
              <w:spacing w:line="440" w:lineRule="atLeast"/>
              <w:jc w:val="right"/>
              <w:rPr>
                <w:rFonts w:ascii="仿宋" w:hAnsi="仿宋" w:eastAsia="仿宋" w:cs="仿宋"/>
                <w:kern w:val="0"/>
                <w:sz w:val="24"/>
              </w:rPr>
            </w:pPr>
            <w:r>
              <w:rPr>
                <w:rFonts w:hint="eastAsia" w:ascii="仿宋" w:hAnsi="仿宋" w:eastAsia="仿宋" w:cs="仿宋"/>
                <w:kern w:val="0"/>
                <w:sz w:val="24"/>
              </w:rPr>
              <w:t>34.94%</w:t>
            </w:r>
          </w:p>
        </w:tc>
        <w:tc>
          <w:tcPr>
            <w:tcW w:w="1080" w:type="dxa"/>
            <w:tcBorders>
              <w:top w:val="nil"/>
              <w:left w:val="nil"/>
              <w:bottom w:val="single" w:color="auto" w:sz="4" w:space="0"/>
              <w:right w:val="single" w:color="auto" w:sz="4" w:space="0"/>
            </w:tcBorders>
            <w:vAlign w:val="center"/>
          </w:tcPr>
          <w:p w14:paraId="5DCCC564">
            <w:pPr>
              <w:spacing w:line="440" w:lineRule="atLeast"/>
              <w:jc w:val="right"/>
              <w:rPr>
                <w:rFonts w:ascii="仿宋" w:hAnsi="仿宋" w:eastAsia="仿宋" w:cs="仿宋"/>
                <w:kern w:val="0"/>
                <w:sz w:val="24"/>
              </w:rPr>
            </w:pPr>
            <w:r>
              <w:rPr>
                <w:rFonts w:hint="eastAsia" w:ascii="仿宋" w:hAnsi="仿宋" w:eastAsia="仿宋" w:cs="仿宋"/>
                <w:kern w:val="0"/>
                <w:sz w:val="24"/>
              </w:rPr>
              <w:t>38.63%</w:t>
            </w:r>
          </w:p>
        </w:tc>
        <w:tc>
          <w:tcPr>
            <w:tcW w:w="1080" w:type="dxa"/>
            <w:tcBorders>
              <w:top w:val="nil"/>
              <w:left w:val="nil"/>
              <w:bottom w:val="single" w:color="auto" w:sz="4" w:space="0"/>
              <w:right w:val="single" w:color="auto" w:sz="4" w:space="0"/>
            </w:tcBorders>
            <w:vAlign w:val="center"/>
          </w:tcPr>
          <w:p w14:paraId="2682EBCC">
            <w:pPr>
              <w:spacing w:line="440" w:lineRule="atLeast"/>
              <w:jc w:val="right"/>
              <w:rPr>
                <w:rFonts w:ascii="仿宋" w:hAnsi="仿宋" w:eastAsia="仿宋" w:cs="仿宋"/>
                <w:kern w:val="0"/>
                <w:sz w:val="24"/>
              </w:rPr>
            </w:pPr>
            <w:r>
              <w:rPr>
                <w:rFonts w:hint="eastAsia" w:ascii="仿宋" w:hAnsi="仿宋" w:eastAsia="仿宋" w:cs="仿宋"/>
                <w:kern w:val="0"/>
                <w:sz w:val="24"/>
              </w:rPr>
              <w:t>47.35%</w:t>
            </w:r>
          </w:p>
        </w:tc>
        <w:tc>
          <w:tcPr>
            <w:tcW w:w="1080" w:type="dxa"/>
            <w:tcBorders>
              <w:top w:val="nil"/>
              <w:left w:val="nil"/>
              <w:bottom w:val="single" w:color="auto" w:sz="4" w:space="0"/>
              <w:right w:val="single" w:color="auto" w:sz="4" w:space="0"/>
            </w:tcBorders>
            <w:vAlign w:val="center"/>
          </w:tcPr>
          <w:p w14:paraId="7C3EB05F">
            <w:pPr>
              <w:spacing w:line="440" w:lineRule="atLeast"/>
              <w:jc w:val="right"/>
              <w:rPr>
                <w:rFonts w:ascii="仿宋" w:hAnsi="仿宋" w:eastAsia="仿宋" w:cs="仿宋"/>
                <w:kern w:val="0"/>
                <w:sz w:val="24"/>
              </w:rPr>
            </w:pPr>
            <w:r>
              <w:rPr>
                <w:rFonts w:hint="eastAsia" w:ascii="仿宋" w:hAnsi="仿宋" w:eastAsia="仿宋" w:cs="仿宋"/>
                <w:kern w:val="0"/>
                <w:sz w:val="24"/>
              </w:rPr>
              <w:t>56.41%</w:t>
            </w:r>
          </w:p>
        </w:tc>
        <w:tc>
          <w:tcPr>
            <w:tcW w:w="1080" w:type="dxa"/>
            <w:tcBorders>
              <w:top w:val="nil"/>
              <w:left w:val="nil"/>
              <w:bottom w:val="single" w:color="auto" w:sz="4" w:space="0"/>
              <w:right w:val="single" w:color="auto" w:sz="4" w:space="0"/>
            </w:tcBorders>
            <w:vAlign w:val="center"/>
          </w:tcPr>
          <w:p w14:paraId="00DCDB9D">
            <w:pPr>
              <w:spacing w:line="440" w:lineRule="atLeast"/>
              <w:jc w:val="right"/>
              <w:rPr>
                <w:rFonts w:ascii="仿宋" w:hAnsi="仿宋" w:eastAsia="仿宋" w:cs="仿宋"/>
                <w:kern w:val="0"/>
                <w:sz w:val="24"/>
              </w:rPr>
            </w:pPr>
            <w:r>
              <w:rPr>
                <w:rFonts w:hint="eastAsia" w:ascii="仿宋" w:hAnsi="仿宋" w:eastAsia="仿宋" w:cs="仿宋"/>
                <w:kern w:val="0"/>
                <w:sz w:val="24"/>
              </w:rPr>
              <w:t>49.55%</w:t>
            </w:r>
          </w:p>
        </w:tc>
      </w:tr>
      <w:tr w14:paraId="1590EB1F">
        <w:tblPrEx>
          <w:tblCellMar>
            <w:top w:w="0" w:type="dxa"/>
            <w:left w:w="108" w:type="dxa"/>
            <w:bottom w:w="0" w:type="dxa"/>
            <w:right w:w="108" w:type="dxa"/>
          </w:tblCellMar>
        </w:tblPrEx>
        <w:trPr>
          <w:trHeight w:val="255" w:hRule="atLeast"/>
        </w:trPr>
        <w:tc>
          <w:tcPr>
            <w:tcW w:w="1060" w:type="dxa"/>
            <w:tcBorders>
              <w:top w:val="nil"/>
              <w:left w:val="single" w:color="auto" w:sz="4" w:space="0"/>
              <w:bottom w:val="single" w:color="auto" w:sz="4" w:space="0"/>
              <w:right w:val="single" w:color="auto" w:sz="4" w:space="0"/>
            </w:tcBorders>
            <w:vAlign w:val="center"/>
          </w:tcPr>
          <w:p w14:paraId="237570DF">
            <w:pPr>
              <w:spacing w:line="440" w:lineRule="atLeast"/>
              <w:jc w:val="center"/>
              <w:rPr>
                <w:rFonts w:ascii="仿宋" w:hAnsi="仿宋" w:eastAsia="仿宋" w:cs="仿宋"/>
                <w:kern w:val="0"/>
                <w:sz w:val="24"/>
              </w:rPr>
            </w:pPr>
            <w:r>
              <w:rPr>
                <w:rFonts w:hint="eastAsia" w:ascii="仿宋" w:hAnsi="仿宋" w:eastAsia="仿宋" w:cs="仿宋"/>
                <w:kern w:val="0"/>
                <w:sz w:val="24"/>
              </w:rPr>
              <w:t>601788.SH</w:t>
            </w:r>
          </w:p>
        </w:tc>
        <w:tc>
          <w:tcPr>
            <w:tcW w:w="960" w:type="dxa"/>
            <w:tcBorders>
              <w:top w:val="nil"/>
              <w:left w:val="nil"/>
              <w:bottom w:val="single" w:color="auto" w:sz="4" w:space="0"/>
              <w:right w:val="single" w:color="auto" w:sz="4" w:space="0"/>
            </w:tcBorders>
            <w:vAlign w:val="center"/>
          </w:tcPr>
          <w:p w14:paraId="106BE6DC">
            <w:pPr>
              <w:spacing w:line="440" w:lineRule="atLeast"/>
              <w:jc w:val="center"/>
              <w:rPr>
                <w:rFonts w:ascii="仿宋" w:hAnsi="仿宋" w:eastAsia="仿宋" w:cs="仿宋"/>
                <w:kern w:val="0"/>
                <w:sz w:val="24"/>
              </w:rPr>
            </w:pPr>
            <w:r>
              <w:rPr>
                <w:rFonts w:hint="eastAsia" w:ascii="仿宋" w:hAnsi="仿宋" w:eastAsia="仿宋" w:cs="仿宋"/>
                <w:kern w:val="0"/>
                <w:sz w:val="24"/>
              </w:rPr>
              <w:t>光大证券</w:t>
            </w:r>
          </w:p>
        </w:tc>
        <w:tc>
          <w:tcPr>
            <w:tcW w:w="1080" w:type="dxa"/>
            <w:tcBorders>
              <w:top w:val="nil"/>
              <w:left w:val="nil"/>
              <w:bottom w:val="single" w:color="auto" w:sz="4" w:space="0"/>
              <w:right w:val="single" w:color="auto" w:sz="4" w:space="0"/>
            </w:tcBorders>
            <w:vAlign w:val="center"/>
          </w:tcPr>
          <w:p w14:paraId="69A61ADC">
            <w:pPr>
              <w:spacing w:line="440" w:lineRule="atLeast"/>
              <w:jc w:val="right"/>
              <w:rPr>
                <w:rFonts w:ascii="仿宋" w:hAnsi="仿宋" w:eastAsia="仿宋" w:cs="仿宋"/>
                <w:kern w:val="0"/>
                <w:sz w:val="24"/>
              </w:rPr>
            </w:pPr>
            <w:r>
              <w:rPr>
                <w:rFonts w:hint="eastAsia" w:ascii="仿宋" w:hAnsi="仿宋" w:eastAsia="仿宋" w:cs="仿宋"/>
                <w:kern w:val="0"/>
                <w:sz w:val="24"/>
              </w:rPr>
              <w:t>39.14%</w:t>
            </w:r>
          </w:p>
        </w:tc>
        <w:tc>
          <w:tcPr>
            <w:tcW w:w="1080" w:type="dxa"/>
            <w:tcBorders>
              <w:top w:val="nil"/>
              <w:left w:val="nil"/>
              <w:bottom w:val="single" w:color="auto" w:sz="4" w:space="0"/>
              <w:right w:val="single" w:color="auto" w:sz="4" w:space="0"/>
            </w:tcBorders>
            <w:vAlign w:val="center"/>
          </w:tcPr>
          <w:p w14:paraId="59B25737">
            <w:pPr>
              <w:spacing w:line="440" w:lineRule="atLeast"/>
              <w:jc w:val="right"/>
              <w:rPr>
                <w:rFonts w:ascii="仿宋" w:hAnsi="仿宋" w:eastAsia="仿宋" w:cs="仿宋"/>
                <w:kern w:val="0"/>
                <w:sz w:val="24"/>
              </w:rPr>
            </w:pPr>
            <w:r>
              <w:rPr>
                <w:rFonts w:hint="eastAsia" w:ascii="仿宋" w:hAnsi="仿宋" w:eastAsia="仿宋" w:cs="仿宋"/>
                <w:kern w:val="0"/>
                <w:sz w:val="24"/>
              </w:rPr>
              <w:t>28.62%</w:t>
            </w:r>
          </w:p>
        </w:tc>
        <w:tc>
          <w:tcPr>
            <w:tcW w:w="1080" w:type="dxa"/>
            <w:tcBorders>
              <w:top w:val="nil"/>
              <w:left w:val="nil"/>
              <w:bottom w:val="single" w:color="auto" w:sz="4" w:space="0"/>
              <w:right w:val="single" w:color="auto" w:sz="4" w:space="0"/>
            </w:tcBorders>
            <w:vAlign w:val="center"/>
          </w:tcPr>
          <w:p w14:paraId="445EFD3B">
            <w:pPr>
              <w:spacing w:line="440" w:lineRule="atLeast"/>
              <w:jc w:val="right"/>
              <w:rPr>
                <w:rFonts w:ascii="仿宋" w:hAnsi="仿宋" w:eastAsia="仿宋" w:cs="仿宋"/>
                <w:kern w:val="0"/>
                <w:sz w:val="24"/>
              </w:rPr>
            </w:pPr>
            <w:r>
              <w:rPr>
                <w:rFonts w:hint="eastAsia" w:ascii="仿宋" w:hAnsi="仿宋" w:eastAsia="仿宋" w:cs="仿宋"/>
                <w:kern w:val="0"/>
                <w:sz w:val="24"/>
              </w:rPr>
              <w:t>36.28%</w:t>
            </w:r>
          </w:p>
        </w:tc>
        <w:tc>
          <w:tcPr>
            <w:tcW w:w="1080" w:type="dxa"/>
            <w:tcBorders>
              <w:top w:val="nil"/>
              <w:left w:val="nil"/>
              <w:bottom w:val="single" w:color="auto" w:sz="4" w:space="0"/>
              <w:right w:val="single" w:color="auto" w:sz="4" w:space="0"/>
            </w:tcBorders>
            <w:vAlign w:val="center"/>
          </w:tcPr>
          <w:p w14:paraId="09D9B561">
            <w:pPr>
              <w:spacing w:line="440" w:lineRule="atLeast"/>
              <w:jc w:val="right"/>
              <w:rPr>
                <w:rFonts w:ascii="仿宋" w:hAnsi="仿宋" w:eastAsia="仿宋" w:cs="仿宋"/>
                <w:kern w:val="0"/>
                <w:sz w:val="24"/>
              </w:rPr>
            </w:pPr>
            <w:r>
              <w:rPr>
                <w:rFonts w:hint="eastAsia" w:ascii="仿宋" w:hAnsi="仿宋" w:eastAsia="仿宋" w:cs="仿宋"/>
                <w:kern w:val="0"/>
                <w:sz w:val="24"/>
              </w:rPr>
              <w:t>40.75%</w:t>
            </w:r>
          </w:p>
        </w:tc>
        <w:tc>
          <w:tcPr>
            <w:tcW w:w="1080" w:type="dxa"/>
            <w:tcBorders>
              <w:top w:val="nil"/>
              <w:left w:val="nil"/>
              <w:bottom w:val="single" w:color="auto" w:sz="4" w:space="0"/>
              <w:right w:val="single" w:color="auto" w:sz="4" w:space="0"/>
            </w:tcBorders>
            <w:vAlign w:val="center"/>
          </w:tcPr>
          <w:p w14:paraId="3C677C23">
            <w:pPr>
              <w:spacing w:line="440" w:lineRule="atLeast"/>
              <w:jc w:val="right"/>
              <w:rPr>
                <w:rFonts w:ascii="仿宋" w:hAnsi="仿宋" w:eastAsia="仿宋" w:cs="仿宋"/>
                <w:kern w:val="0"/>
                <w:sz w:val="24"/>
              </w:rPr>
            </w:pPr>
            <w:r>
              <w:rPr>
                <w:rFonts w:hint="eastAsia" w:ascii="仿宋" w:hAnsi="仿宋" w:eastAsia="仿宋" w:cs="仿宋"/>
                <w:kern w:val="0"/>
                <w:sz w:val="24"/>
              </w:rPr>
              <w:t>56.60%</w:t>
            </w:r>
          </w:p>
        </w:tc>
        <w:tc>
          <w:tcPr>
            <w:tcW w:w="1080" w:type="dxa"/>
            <w:tcBorders>
              <w:top w:val="nil"/>
              <w:left w:val="nil"/>
              <w:bottom w:val="single" w:color="auto" w:sz="4" w:space="0"/>
              <w:right w:val="single" w:color="auto" w:sz="4" w:space="0"/>
            </w:tcBorders>
            <w:vAlign w:val="center"/>
          </w:tcPr>
          <w:p w14:paraId="788EC3EA">
            <w:pPr>
              <w:spacing w:line="440" w:lineRule="atLeast"/>
              <w:jc w:val="right"/>
              <w:rPr>
                <w:rFonts w:ascii="仿宋" w:hAnsi="仿宋" w:eastAsia="仿宋" w:cs="仿宋"/>
                <w:kern w:val="0"/>
                <w:sz w:val="24"/>
              </w:rPr>
            </w:pPr>
            <w:r>
              <w:rPr>
                <w:rFonts w:hint="eastAsia" w:ascii="仿宋" w:hAnsi="仿宋" w:eastAsia="仿宋" w:cs="仿宋"/>
                <w:kern w:val="0"/>
                <w:sz w:val="24"/>
              </w:rPr>
              <w:t>63.42%</w:t>
            </w:r>
          </w:p>
        </w:tc>
      </w:tr>
      <w:tr w14:paraId="348AD587">
        <w:tblPrEx>
          <w:tblCellMar>
            <w:top w:w="0" w:type="dxa"/>
            <w:left w:w="108" w:type="dxa"/>
            <w:bottom w:w="0" w:type="dxa"/>
            <w:right w:w="108" w:type="dxa"/>
          </w:tblCellMar>
        </w:tblPrEx>
        <w:trPr>
          <w:trHeight w:val="255" w:hRule="atLeast"/>
        </w:trPr>
        <w:tc>
          <w:tcPr>
            <w:tcW w:w="1060" w:type="dxa"/>
            <w:tcBorders>
              <w:top w:val="nil"/>
              <w:left w:val="single" w:color="auto" w:sz="4" w:space="0"/>
              <w:bottom w:val="single" w:color="auto" w:sz="4" w:space="0"/>
              <w:right w:val="single" w:color="auto" w:sz="4" w:space="0"/>
            </w:tcBorders>
            <w:vAlign w:val="center"/>
          </w:tcPr>
          <w:p w14:paraId="41E86863">
            <w:pPr>
              <w:spacing w:line="440" w:lineRule="atLeast"/>
              <w:jc w:val="center"/>
              <w:rPr>
                <w:rFonts w:ascii="仿宋" w:hAnsi="仿宋" w:eastAsia="仿宋" w:cs="仿宋"/>
                <w:kern w:val="0"/>
                <w:sz w:val="24"/>
              </w:rPr>
            </w:pPr>
            <w:r>
              <w:rPr>
                <w:rFonts w:hint="eastAsia" w:ascii="仿宋" w:hAnsi="仿宋" w:eastAsia="仿宋" w:cs="仿宋"/>
                <w:kern w:val="0"/>
                <w:sz w:val="24"/>
              </w:rPr>
              <w:t>601901.SH</w:t>
            </w:r>
          </w:p>
        </w:tc>
        <w:tc>
          <w:tcPr>
            <w:tcW w:w="960" w:type="dxa"/>
            <w:tcBorders>
              <w:top w:val="nil"/>
              <w:left w:val="nil"/>
              <w:bottom w:val="single" w:color="auto" w:sz="4" w:space="0"/>
              <w:right w:val="single" w:color="auto" w:sz="4" w:space="0"/>
            </w:tcBorders>
            <w:vAlign w:val="center"/>
          </w:tcPr>
          <w:p w14:paraId="1B95C3A1">
            <w:pPr>
              <w:spacing w:line="440" w:lineRule="atLeast"/>
              <w:jc w:val="center"/>
              <w:rPr>
                <w:rFonts w:ascii="仿宋" w:hAnsi="仿宋" w:eastAsia="仿宋" w:cs="仿宋"/>
                <w:kern w:val="0"/>
                <w:sz w:val="24"/>
              </w:rPr>
            </w:pPr>
            <w:r>
              <w:rPr>
                <w:rFonts w:hint="eastAsia" w:ascii="仿宋" w:hAnsi="仿宋" w:eastAsia="仿宋" w:cs="仿宋"/>
                <w:kern w:val="0"/>
                <w:sz w:val="24"/>
              </w:rPr>
              <w:t>方正证券</w:t>
            </w:r>
          </w:p>
        </w:tc>
        <w:tc>
          <w:tcPr>
            <w:tcW w:w="1080" w:type="dxa"/>
            <w:tcBorders>
              <w:top w:val="nil"/>
              <w:left w:val="nil"/>
              <w:bottom w:val="single" w:color="auto" w:sz="4" w:space="0"/>
              <w:right w:val="single" w:color="auto" w:sz="4" w:space="0"/>
            </w:tcBorders>
            <w:vAlign w:val="center"/>
          </w:tcPr>
          <w:p w14:paraId="0653A333">
            <w:pPr>
              <w:spacing w:line="440" w:lineRule="atLeast"/>
              <w:jc w:val="right"/>
              <w:rPr>
                <w:rFonts w:ascii="仿宋" w:hAnsi="仿宋" w:eastAsia="仿宋" w:cs="仿宋"/>
                <w:kern w:val="0"/>
                <w:sz w:val="24"/>
              </w:rPr>
            </w:pPr>
            <w:r>
              <w:rPr>
                <w:rFonts w:hint="eastAsia" w:ascii="仿宋" w:hAnsi="仿宋" w:eastAsia="仿宋" w:cs="仿宋"/>
                <w:kern w:val="0"/>
                <w:sz w:val="24"/>
              </w:rPr>
              <w:t>48.82%</w:t>
            </w:r>
          </w:p>
        </w:tc>
        <w:tc>
          <w:tcPr>
            <w:tcW w:w="1080" w:type="dxa"/>
            <w:tcBorders>
              <w:top w:val="nil"/>
              <w:left w:val="nil"/>
              <w:bottom w:val="single" w:color="auto" w:sz="4" w:space="0"/>
              <w:right w:val="single" w:color="auto" w:sz="4" w:space="0"/>
            </w:tcBorders>
            <w:vAlign w:val="center"/>
          </w:tcPr>
          <w:p w14:paraId="65FF09CE">
            <w:pPr>
              <w:spacing w:line="440" w:lineRule="atLeast"/>
              <w:jc w:val="right"/>
              <w:rPr>
                <w:rFonts w:ascii="仿宋" w:hAnsi="仿宋" w:eastAsia="仿宋" w:cs="仿宋"/>
                <w:kern w:val="0"/>
                <w:sz w:val="24"/>
              </w:rPr>
            </w:pPr>
            <w:r>
              <w:rPr>
                <w:rFonts w:hint="eastAsia" w:ascii="仿宋" w:hAnsi="仿宋" w:eastAsia="仿宋" w:cs="仿宋"/>
                <w:kern w:val="0"/>
                <w:sz w:val="24"/>
              </w:rPr>
              <w:t>36.04%</w:t>
            </w:r>
          </w:p>
        </w:tc>
        <w:tc>
          <w:tcPr>
            <w:tcW w:w="1080" w:type="dxa"/>
            <w:tcBorders>
              <w:top w:val="nil"/>
              <w:left w:val="nil"/>
              <w:bottom w:val="single" w:color="auto" w:sz="4" w:space="0"/>
              <w:right w:val="single" w:color="auto" w:sz="4" w:space="0"/>
            </w:tcBorders>
            <w:vAlign w:val="center"/>
          </w:tcPr>
          <w:p w14:paraId="7EB608E1">
            <w:pPr>
              <w:spacing w:line="440" w:lineRule="atLeast"/>
              <w:jc w:val="right"/>
              <w:rPr>
                <w:rFonts w:ascii="仿宋" w:hAnsi="仿宋" w:eastAsia="仿宋" w:cs="仿宋"/>
                <w:kern w:val="0"/>
                <w:sz w:val="24"/>
              </w:rPr>
            </w:pPr>
            <w:r>
              <w:rPr>
                <w:rFonts w:hint="eastAsia" w:ascii="仿宋" w:hAnsi="仿宋" w:eastAsia="仿宋" w:cs="仿宋"/>
                <w:kern w:val="0"/>
                <w:sz w:val="24"/>
              </w:rPr>
              <w:t>35.85%</w:t>
            </w:r>
          </w:p>
        </w:tc>
        <w:tc>
          <w:tcPr>
            <w:tcW w:w="1080" w:type="dxa"/>
            <w:tcBorders>
              <w:top w:val="nil"/>
              <w:left w:val="nil"/>
              <w:bottom w:val="single" w:color="auto" w:sz="4" w:space="0"/>
              <w:right w:val="single" w:color="auto" w:sz="4" w:space="0"/>
            </w:tcBorders>
            <w:vAlign w:val="center"/>
          </w:tcPr>
          <w:p w14:paraId="50175FCB">
            <w:pPr>
              <w:spacing w:line="440" w:lineRule="atLeast"/>
              <w:jc w:val="right"/>
              <w:rPr>
                <w:rFonts w:ascii="仿宋" w:hAnsi="仿宋" w:eastAsia="仿宋" w:cs="仿宋"/>
                <w:kern w:val="0"/>
                <w:sz w:val="24"/>
              </w:rPr>
            </w:pPr>
            <w:r>
              <w:rPr>
                <w:rFonts w:hint="eastAsia" w:ascii="仿宋" w:hAnsi="仿宋" w:eastAsia="仿宋" w:cs="仿宋"/>
                <w:kern w:val="0"/>
                <w:sz w:val="24"/>
              </w:rPr>
              <w:t>79.47%</w:t>
            </w:r>
          </w:p>
        </w:tc>
        <w:tc>
          <w:tcPr>
            <w:tcW w:w="1080" w:type="dxa"/>
            <w:tcBorders>
              <w:top w:val="nil"/>
              <w:left w:val="nil"/>
              <w:bottom w:val="single" w:color="auto" w:sz="4" w:space="0"/>
              <w:right w:val="single" w:color="auto" w:sz="4" w:space="0"/>
            </w:tcBorders>
            <w:vAlign w:val="center"/>
          </w:tcPr>
          <w:p w14:paraId="58123C54">
            <w:pPr>
              <w:spacing w:line="440" w:lineRule="atLeast"/>
              <w:jc w:val="right"/>
              <w:rPr>
                <w:rFonts w:ascii="仿宋" w:hAnsi="仿宋" w:eastAsia="仿宋" w:cs="仿宋"/>
                <w:kern w:val="0"/>
                <w:sz w:val="24"/>
              </w:rPr>
            </w:pPr>
            <w:r>
              <w:rPr>
                <w:rFonts w:hint="eastAsia" w:ascii="仿宋" w:hAnsi="仿宋" w:eastAsia="仿宋" w:cs="仿宋"/>
                <w:kern w:val="0"/>
                <w:sz w:val="24"/>
              </w:rPr>
              <w:t>59.52%</w:t>
            </w:r>
          </w:p>
        </w:tc>
        <w:tc>
          <w:tcPr>
            <w:tcW w:w="1080" w:type="dxa"/>
            <w:tcBorders>
              <w:top w:val="nil"/>
              <w:left w:val="nil"/>
              <w:bottom w:val="single" w:color="auto" w:sz="4" w:space="0"/>
              <w:right w:val="single" w:color="auto" w:sz="4" w:space="0"/>
            </w:tcBorders>
            <w:vAlign w:val="center"/>
          </w:tcPr>
          <w:p w14:paraId="60DCCB46">
            <w:pPr>
              <w:spacing w:line="440" w:lineRule="atLeast"/>
              <w:jc w:val="right"/>
              <w:rPr>
                <w:rFonts w:ascii="仿宋" w:hAnsi="仿宋" w:eastAsia="仿宋" w:cs="仿宋"/>
                <w:kern w:val="0"/>
                <w:sz w:val="24"/>
              </w:rPr>
            </w:pPr>
            <w:r>
              <w:rPr>
                <w:rFonts w:hint="eastAsia" w:ascii="仿宋" w:hAnsi="仿宋" w:eastAsia="仿宋" w:cs="仿宋"/>
                <w:kern w:val="0"/>
                <w:sz w:val="24"/>
              </w:rPr>
              <w:t>41.30%</w:t>
            </w:r>
          </w:p>
        </w:tc>
      </w:tr>
    </w:tbl>
    <w:p w14:paraId="0E86806F">
      <w:pPr>
        <w:shd w:val="clear" w:color="auto" w:fill="FFFFFF"/>
        <w:spacing w:line="440" w:lineRule="atLeast"/>
        <w:ind w:firstLine="480" w:firstLineChars="200"/>
        <w:rPr>
          <w:rFonts w:ascii="宋体" w:hAnsi="宋体" w:eastAsia="宋体" w:cs="宋体"/>
          <w:color w:val="000000"/>
          <w:kern w:val="0"/>
          <w:sz w:val="24"/>
          <w:shd w:val="clear" w:color="auto" w:fill="FFFFFF"/>
          <w:lang w:val="zh-CN"/>
        </w:rPr>
      </w:pPr>
      <w:r>
        <w:rPr>
          <w:rFonts w:hint="eastAsia" w:ascii="宋体" w:hAnsi="宋体" w:eastAsia="宋体" w:cs="宋体"/>
          <w:color w:val="000000"/>
          <w:kern w:val="0"/>
          <w:sz w:val="24"/>
          <w:shd w:val="clear" w:color="auto" w:fill="FFFFFF"/>
          <w:lang w:val="zh-CN"/>
        </w:rPr>
        <w:t>将各年度各上市公司管理费用/营业收入比值绘制成散点图，可见这一比重大部分落在40%-60%区间内，平均值在50%左右。可以认定业务及管理费预测较为合理。</w:t>
      </w:r>
    </w:p>
    <w:p w14:paraId="0FA40A83">
      <w:pPr>
        <w:spacing w:line="440" w:lineRule="atLeast"/>
        <w:ind w:firstLine="480" w:firstLineChars="200"/>
        <w:rPr>
          <w:rFonts w:ascii="仿宋" w:hAnsi="仿宋" w:eastAsia="仿宋" w:cs="仿宋"/>
          <w:sz w:val="24"/>
          <w:lang w:val="zh-CN"/>
        </w:rPr>
      </w:pPr>
      <w:r>
        <w:rPr>
          <w:rFonts w:hint="eastAsia" w:ascii="仿宋" w:hAnsi="仿宋" w:eastAsia="仿宋" w:cs="仿宋"/>
          <w:sz w:val="24"/>
        </w:rPr>
        <w:drawing>
          <wp:inline distT="0" distB="0" distL="114300" distR="114300">
            <wp:extent cx="4572000" cy="2743200"/>
            <wp:effectExtent l="0" t="0" r="0" b="0"/>
            <wp:docPr id="23" name="图表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表 1"/>
                    <pic:cNvPicPr>
                      <a:picLocks noChangeAspect="1"/>
                    </pic:cNvPicPr>
                  </pic:nvPicPr>
                  <pic:blipFill>
                    <a:blip r:embed="rId58">
                      <a:lum/>
                    </a:blip>
                    <a:stretch>
                      <a:fillRect/>
                    </a:stretch>
                  </pic:blipFill>
                  <pic:spPr>
                    <a:xfrm>
                      <a:off x="0" y="0"/>
                      <a:ext cx="4572000" cy="2743200"/>
                    </a:xfrm>
                    <a:prstGeom prst="rect">
                      <a:avLst/>
                    </a:prstGeom>
                    <a:noFill/>
                    <a:ln w="9525">
                      <a:noFill/>
                    </a:ln>
                  </pic:spPr>
                </pic:pic>
              </a:graphicData>
            </a:graphic>
          </wp:inline>
        </w:drawing>
      </w:r>
    </w:p>
    <w:p w14:paraId="29E280EB">
      <w:pPr>
        <w:shd w:val="clear" w:color="auto" w:fill="FFFFFF"/>
        <w:spacing w:line="440" w:lineRule="atLeast"/>
        <w:ind w:firstLine="480" w:firstLineChars="200"/>
        <w:rPr>
          <w:rFonts w:ascii="宋体" w:hAnsi="宋体" w:eastAsia="宋体" w:cs="宋体"/>
          <w:color w:val="000000"/>
          <w:kern w:val="0"/>
          <w:sz w:val="24"/>
          <w:shd w:val="clear" w:color="auto" w:fill="FFFFFF"/>
          <w:lang w:val="zh-CN"/>
        </w:rPr>
      </w:pPr>
      <w:r>
        <w:rPr>
          <w:rFonts w:hint="eastAsia" w:ascii="宋体" w:hAnsi="宋体" w:eastAsia="宋体" w:cs="宋体"/>
          <w:color w:val="000000"/>
          <w:kern w:val="0"/>
          <w:sz w:val="24"/>
          <w:shd w:val="clear" w:color="auto" w:fill="FFFFFF"/>
          <w:lang w:val="zh-CN"/>
        </w:rPr>
        <w:t>更进一步，将20y8-20x3年证券行业上市公司业务及管理费和营业收入进行线性回归分析，得到如下线性方程：</w:t>
      </w:r>
    </w:p>
    <w:p w14:paraId="67CAA28D">
      <w:pPr>
        <w:shd w:val="clear" w:color="auto" w:fill="FFFFFF"/>
        <w:spacing w:line="440" w:lineRule="atLeast"/>
        <w:ind w:firstLine="480" w:firstLineChars="200"/>
        <w:rPr>
          <w:rFonts w:ascii="宋体" w:hAnsi="宋体" w:eastAsia="宋体" w:cs="宋体"/>
          <w:color w:val="000000"/>
          <w:kern w:val="0"/>
          <w:sz w:val="24"/>
          <w:shd w:val="clear" w:color="auto" w:fill="FFFFFF"/>
          <w:lang w:val="zh-CN"/>
        </w:rPr>
      </w:pPr>
      <w:r>
        <w:rPr>
          <w:rFonts w:hint="eastAsia" w:ascii="宋体" w:hAnsi="宋体" w:eastAsia="宋体" w:cs="宋体"/>
          <w:color w:val="000000"/>
          <w:kern w:val="0"/>
          <w:sz w:val="24"/>
          <w:shd w:val="clear" w:color="auto" w:fill="FFFFFF"/>
          <w:lang w:val="zh-CN"/>
        </w:rPr>
        <w:t>y=0.3017x+400000000</w:t>
      </w:r>
    </w:p>
    <w:p w14:paraId="05AD0534">
      <w:pPr>
        <w:shd w:val="clear" w:color="auto" w:fill="FFFFFF"/>
        <w:spacing w:line="440" w:lineRule="atLeast"/>
        <w:ind w:firstLine="480" w:firstLineChars="200"/>
        <w:rPr>
          <w:rFonts w:ascii="宋体" w:hAnsi="宋体" w:eastAsia="宋体" w:cs="宋体"/>
          <w:color w:val="000000"/>
          <w:kern w:val="0"/>
          <w:sz w:val="24"/>
          <w:shd w:val="clear" w:color="auto" w:fill="FFFFFF"/>
          <w:lang w:val="zh-CN"/>
        </w:rPr>
      </w:pPr>
      <w:r>
        <w:rPr>
          <w:rFonts w:hint="eastAsia" w:ascii="宋体" w:hAnsi="宋体" w:eastAsia="宋体" w:cs="宋体"/>
          <w:color w:val="000000"/>
          <w:kern w:val="0"/>
          <w:sz w:val="24"/>
          <w:shd w:val="clear" w:color="auto" w:fill="FFFFFF"/>
          <w:lang w:val="zh-CN"/>
        </w:rPr>
        <w:t>R²=0.8378</w:t>
      </w:r>
    </w:p>
    <w:p w14:paraId="0A13899F">
      <w:pPr>
        <w:shd w:val="clear" w:color="auto" w:fill="FFFFFF"/>
        <w:spacing w:line="440" w:lineRule="atLeast"/>
        <w:ind w:firstLine="480" w:firstLineChars="200"/>
        <w:rPr>
          <w:rFonts w:ascii="宋体" w:hAnsi="宋体" w:eastAsia="宋体" w:cs="宋体"/>
          <w:color w:val="000000"/>
          <w:kern w:val="0"/>
          <w:sz w:val="24"/>
          <w:shd w:val="clear" w:color="auto" w:fill="FFFFFF"/>
          <w:lang w:val="zh-CN"/>
        </w:rPr>
      </w:pPr>
      <w:r>
        <w:rPr>
          <w:rFonts w:hint="eastAsia" w:ascii="宋体" w:hAnsi="宋体" w:eastAsia="宋体" w:cs="宋体"/>
          <w:color w:val="000000"/>
          <w:kern w:val="0"/>
          <w:sz w:val="24"/>
          <w:shd w:val="clear" w:color="auto" w:fill="FFFFFF"/>
          <w:lang w:val="zh-CN"/>
        </w:rPr>
        <w:t>其中：y=管理费用</w:t>
      </w:r>
    </w:p>
    <w:p w14:paraId="306EFF95">
      <w:pPr>
        <w:shd w:val="clear" w:color="auto" w:fill="FFFFFF"/>
        <w:spacing w:line="440" w:lineRule="atLeast"/>
        <w:ind w:firstLine="480" w:firstLineChars="200"/>
        <w:rPr>
          <w:rFonts w:ascii="宋体" w:hAnsi="宋体" w:eastAsia="宋体" w:cs="宋体"/>
          <w:color w:val="000000"/>
          <w:kern w:val="0"/>
          <w:sz w:val="24"/>
          <w:shd w:val="clear" w:color="auto" w:fill="FFFFFF"/>
          <w:lang w:val="zh-CN"/>
        </w:rPr>
      </w:pPr>
      <w:r>
        <w:rPr>
          <w:rFonts w:hint="eastAsia" w:ascii="宋体" w:hAnsi="宋体" w:eastAsia="宋体" w:cs="宋体"/>
          <w:color w:val="000000"/>
          <w:kern w:val="0"/>
          <w:sz w:val="24"/>
          <w:shd w:val="clear" w:color="auto" w:fill="FFFFFF"/>
          <w:lang w:val="zh-CN"/>
        </w:rPr>
        <w:t>　　　x=营业收入</w:t>
      </w:r>
    </w:p>
    <w:p w14:paraId="0641A1A7">
      <w:pPr>
        <w:shd w:val="clear" w:color="auto" w:fill="FFFFFF"/>
        <w:spacing w:line="440" w:lineRule="atLeast"/>
        <w:ind w:firstLine="480" w:firstLineChars="200"/>
        <w:rPr>
          <w:rFonts w:ascii="宋体" w:hAnsi="宋体" w:eastAsia="宋体" w:cs="宋体"/>
          <w:color w:val="000000"/>
          <w:kern w:val="0"/>
          <w:sz w:val="24"/>
          <w:shd w:val="clear" w:color="auto" w:fill="FFFFFF"/>
          <w:lang w:val="zh-CN"/>
        </w:rPr>
      </w:pPr>
      <w:r>
        <w:rPr>
          <w:rFonts w:hint="eastAsia" w:ascii="宋体" w:hAnsi="宋体" w:eastAsia="宋体" w:cs="宋体"/>
          <w:color w:val="000000"/>
          <w:kern w:val="0"/>
          <w:sz w:val="24"/>
          <w:shd w:val="clear" w:color="auto" w:fill="FFFFFF"/>
          <w:lang w:val="zh-CN"/>
        </w:rPr>
        <w:t>可见管理费用和营业收入间存在良好的线性关系。</w:t>
      </w:r>
    </w:p>
    <w:p w14:paraId="7C110FD9">
      <w:pPr>
        <w:spacing w:line="440" w:lineRule="atLeast"/>
        <w:jc w:val="center"/>
        <w:rPr>
          <w:rFonts w:ascii="Times New Roman" w:hAnsi="Times New Roman"/>
          <w:sz w:val="24"/>
          <w:lang w:val="zh-CN"/>
        </w:rPr>
      </w:pPr>
      <w:r>
        <w:rPr>
          <w:rFonts w:ascii="Times New Roman" w:hAnsi="Times New Roman"/>
          <w:sz w:val="24"/>
        </w:rPr>
        <w:drawing>
          <wp:inline distT="0" distB="0" distL="114300" distR="114300">
            <wp:extent cx="4276725" cy="2524125"/>
            <wp:effectExtent l="0" t="0" r="15875" b="15875"/>
            <wp:docPr id="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
                    <pic:cNvPicPr>
                      <a:picLocks noChangeAspect="1"/>
                    </pic:cNvPicPr>
                  </pic:nvPicPr>
                  <pic:blipFill>
                    <a:blip r:embed="rId59">
                      <a:lum/>
                    </a:blip>
                    <a:stretch>
                      <a:fillRect/>
                    </a:stretch>
                  </pic:blipFill>
                  <pic:spPr>
                    <a:xfrm>
                      <a:off x="0" y="0"/>
                      <a:ext cx="4276725" cy="2524125"/>
                    </a:xfrm>
                    <a:prstGeom prst="rect">
                      <a:avLst/>
                    </a:prstGeom>
                    <a:noFill/>
                    <a:ln w="9525">
                      <a:noFill/>
                    </a:ln>
                  </pic:spPr>
                </pic:pic>
              </a:graphicData>
            </a:graphic>
          </wp:inline>
        </w:drawing>
      </w:r>
    </w:p>
    <w:p w14:paraId="5B327E56">
      <w:pPr>
        <w:spacing w:line="440" w:lineRule="atLeast"/>
      </w:pPr>
      <w:r>
        <w:br w:type="page"/>
      </w:r>
    </w:p>
    <w:p w14:paraId="2C38A803">
      <w:pPr>
        <w:pStyle w:val="5"/>
        <w:spacing w:line="440" w:lineRule="atLeast"/>
        <w:jc w:val="center"/>
        <w:rPr>
          <w:rFonts w:ascii="宋体" w:hAnsi="宋体" w:eastAsia="宋体" w:cs="宋体"/>
        </w:rPr>
      </w:pPr>
      <w:bookmarkStart w:id="222" w:name="_Toc9065"/>
      <w:r>
        <w:rPr>
          <w:rFonts w:hint="eastAsia" w:ascii="宋体" w:hAnsi="宋体" w:eastAsia="宋体" w:cs="宋体"/>
        </w:rPr>
        <w:t>资产评估专家指引第4号——金融企业市场法评估模型与参数确定</w:t>
      </w:r>
      <w:bookmarkEnd w:id="222"/>
    </w:p>
    <w:p w14:paraId="54833437">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本专家指引是一种专家建议。评估机构执行资产评估业务，可以参照本专家指引，也可以根据具体情况采用其他适当的做法。中国资产评估协会将根据业务发展，对本专家指引进行更新。</w:t>
      </w:r>
    </w:p>
    <w:p w14:paraId="17488E33">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第一条</w:t>
      </w:r>
      <w:r>
        <w:rPr>
          <w:rFonts w:hint="eastAsia" w:ascii="宋体" w:hAnsi="宋体" w:eastAsia="宋体" w:cs="宋体"/>
          <w:color w:val="000000"/>
          <w:kern w:val="0"/>
          <w:sz w:val="24"/>
          <w:shd w:val="clear" w:color="auto" w:fill="FFFFFF"/>
        </w:rPr>
        <w:t>　为了指导市场法评估金融企业的执业行为，合理选择市场法的评估模型、确定评估参数，提高执业质量，依据资产评估相关准则，中国资产评估协会组织制定了本专家指引。</w:t>
      </w:r>
    </w:p>
    <w:p w14:paraId="69ACB12F">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第二条</w:t>
      </w:r>
      <w:r>
        <w:rPr>
          <w:rFonts w:hint="eastAsia" w:ascii="宋体" w:hAnsi="宋体" w:eastAsia="宋体" w:cs="宋体"/>
          <w:color w:val="000000"/>
          <w:kern w:val="0"/>
          <w:sz w:val="24"/>
          <w:shd w:val="clear" w:color="auto" w:fill="FFFFFF"/>
        </w:rPr>
        <w:t>　在使用市场法评估金融企业时，常用的两种具体方法是上市公司比较法和交易案例比较法。　</w:t>
      </w:r>
    </w:p>
    <w:p w14:paraId="5BE58376">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第三条</w:t>
      </w:r>
      <w:r>
        <w:rPr>
          <w:rFonts w:hint="eastAsia" w:ascii="宋体" w:hAnsi="宋体" w:eastAsia="宋体" w:cs="宋体"/>
          <w:color w:val="000000"/>
          <w:kern w:val="0"/>
          <w:sz w:val="24"/>
          <w:shd w:val="clear" w:color="auto" w:fill="FFFFFF"/>
        </w:rPr>
        <w:t>　在使用市场法评估金融企业时，应关注宏观系统性经济因素，如：广义货币（M2）、市场利率、汇率等对金融企业市场交易价格的影响。</w:t>
      </w:r>
    </w:p>
    <w:p w14:paraId="05CEF8D4">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第四条</w:t>
      </w:r>
      <w:r>
        <w:rPr>
          <w:rFonts w:hint="eastAsia" w:ascii="宋体" w:hAnsi="宋体" w:eastAsia="宋体" w:cs="宋体"/>
          <w:color w:val="000000"/>
          <w:kern w:val="0"/>
          <w:sz w:val="24"/>
          <w:shd w:val="clear" w:color="auto" w:fill="FFFFFF"/>
        </w:rPr>
        <w:t>　运用市场法评估金融企业，涉及对资本市场的选择时，应首选与评估对象注册地处于相同国家、地区的市场，如确需选择不同国家、地区的资本市场，应考虑对其差异进行修正。</w:t>
      </w:r>
    </w:p>
    <w:p w14:paraId="052D2526">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第五条</w:t>
      </w:r>
      <w:r>
        <w:rPr>
          <w:rFonts w:hint="eastAsia" w:ascii="宋体" w:hAnsi="宋体" w:eastAsia="宋体" w:cs="宋体"/>
          <w:color w:val="000000"/>
          <w:kern w:val="0"/>
          <w:sz w:val="24"/>
          <w:shd w:val="clear" w:color="auto" w:fill="FFFFFF"/>
        </w:rPr>
        <w:t>　采用上市公司比较法选择可比上市公司时，应慎选如下上市公司：</w:t>
      </w:r>
    </w:p>
    <w:p w14:paraId="5CB31803">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1.近期发生有重大并购重组行为，导致公司股权结构、业务结构、未来盈利状况、行业类别等发生重大改变的公司；</w:t>
      </w:r>
    </w:p>
    <w:p w14:paraId="0B532C20">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2.新上市公司；</w:t>
      </w:r>
    </w:p>
    <w:p w14:paraId="77EA3C39">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3.近期股价异常波动的公司；</w:t>
      </w:r>
    </w:p>
    <w:p w14:paraId="68494A30">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4.近期发生严重亏损的公司；</w:t>
      </w:r>
    </w:p>
    <w:p w14:paraId="2FF6D617">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5.近期出现有暂停交易，或因累计涨、跌幅限制而导致临时盘中终止交易的公司。</w:t>
      </w:r>
    </w:p>
    <w:p w14:paraId="70E7C327">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运用交易案例比较法时，交易案例的交易行为应为公开市场上的正常交易。</w:t>
      </w:r>
    </w:p>
    <w:p w14:paraId="32441270">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第六条</w:t>
      </w:r>
      <w:r>
        <w:rPr>
          <w:rFonts w:hint="eastAsia" w:ascii="宋体" w:hAnsi="宋体" w:eastAsia="宋体" w:cs="宋体"/>
          <w:color w:val="000000"/>
          <w:kern w:val="0"/>
          <w:sz w:val="24"/>
          <w:shd w:val="clear" w:color="auto" w:fill="FFFFFF"/>
        </w:rPr>
        <w:t>　选取可比公司时，应关注可比公司与评估对象的可比性。这种可比性通常体现在行业、企业规模、业务结构、经营及盈利模式、盈利状况、资产配置和使用情况、企业所处经营阶段、经营风险、财务风险等方面。</w:t>
      </w:r>
    </w:p>
    <w:p w14:paraId="4E6BAD71">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第七条</w:t>
      </w:r>
      <w:r>
        <w:rPr>
          <w:rFonts w:hint="eastAsia" w:ascii="宋体" w:hAnsi="宋体" w:eastAsia="宋体" w:cs="宋体"/>
          <w:color w:val="000000"/>
          <w:kern w:val="0"/>
          <w:sz w:val="24"/>
          <w:shd w:val="clear" w:color="auto" w:fill="FFFFFF"/>
        </w:rPr>
        <w:t>　金融企业市场法评估参数的选取应突出行业及评估对象的特点，从盈利、资产、收入、风险、行业监管等角度，选择有利于合理确定评估对象价值的因素。可比公司与评估对象的数据口径及计算方法、交易方式、交易条件、交易时间等交易因素应一致，存在差异的应进行相应的调整。</w:t>
      </w:r>
    </w:p>
    <w:p w14:paraId="5ECDFB2D">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第八条</w:t>
      </w:r>
      <w:r>
        <w:rPr>
          <w:rFonts w:hint="eastAsia" w:ascii="宋体" w:hAnsi="宋体" w:eastAsia="宋体" w:cs="宋体"/>
          <w:color w:val="000000"/>
          <w:kern w:val="0"/>
          <w:sz w:val="24"/>
          <w:shd w:val="clear" w:color="auto" w:fill="FFFFFF"/>
        </w:rPr>
        <w:t>　采用市场法评估金融企业时，在样本数量充足且满足统计分析要求的前提下，可以使用统计分析方法，以减少主观因素对价值比率乘数选取及其对评估结论的影响，提高评估结论的客观性。</w:t>
      </w:r>
    </w:p>
    <w:p w14:paraId="2D7B2613">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第九条</w:t>
      </w:r>
      <w:r>
        <w:rPr>
          <w:rFonts w:hint="eastAsia" w:ascii="宋体" w:hAnsi="宋体" w:eastAsia="宋体" w:cs="宋体"/>
          <w:color w:val="000000"/>
          <w:kern w:val="0"/>
          <w:sz w:val="24"/>
          <w:shd w:val="clear" w:color="auto" w:fill="FFFFFF"/>
        </w:rPr>
        <w:t>　运用统计分析方法评估金融企业价值时，通常包括单因素模型和多因素模型。单因素模型是指运用与企业价值高度相关或者显著相关的某个单一参数，通过计算市场参照物的市场价值与该参数的比例关系，得到某个价值比率乘数，将评估对象的相关参数与该价值比率乘数相乘得到评估对象价值的评估模型。多因素模型是指在金融企业存在多个价值影响因素的情况下，所构建的反映金融企业价值与多个影响因素之间关系的回归模型。</w:t>
      </w:r>
    </w:p>
    <w:p w14:paraId="30326AAD">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第十条</w:t>
      </w:r>
      <w:r>
        <w:rPr>
          <w:rFonts w:hint="eastAsia" w:ascii="宋体" w:hAnsi="宋体" w:eastAsia="宋体" w:cs="宋体"/>
          <w:color w:val="000000"/>
          <w:kern w:val="0"/>
          <w:sz w:val="24"/>
          <w:shd w:val="clear" w:color="auto" w:fill="FFFFFF"/>
        </w:rPr>
        <w:t>　因金融企业收入构成与其他企业不同，市销率较少被使用，目前单因素模型评估金融企业价值多采用市盈率、市净率指标。也可根据评估对象特点选取适用于金融企业的其他特殊价值比率乘数。</w:t>
      </w:r>
    </w:p>
    <w:p w14:paraId="277EB4EB">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如果难以直观判断影响企业价值的主要因素，可以借助统计分析方法，分析企业价值与影响企业价值的潜在因素之间是否存在相关关系。</w:t>
      </w:r>
    </w:p>
    <w:p w14:paraId="58AA6ABF">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第十一条</w:t>
      </w:r>
      <w:r>
        <w:rPr>
          <w:rFonts w:hint="eastAsia" w:ascii="宋体" w:hAnsi="宋体" w:eastAsia="宋体" w:cs="宋体"/>
          <w:color w:val="000000"/>
          <w:kern w:val="0"/>
          <w:sz w:val="24"/>
          <w:shd w:val="clear" w:color="auto" w:fill="FFFFFF"/>
        </w:rPr>
        <w:t>　某些类型金融企业的价值可能不仅与利润、净资产相关，还同时存在影响企业价值的其他参数。如果影响企业价值的重要相关因素并不唯一，建议采用多因素模型。</w:t>
      </w:r>
    </w:p>
    <w:p w14:paraId="17E280E0">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第十二条</w:t>
      </w:r>
      <w:r>
        <w:rPr>
          <w:rFonts w:hint="eastAsia" w:ascii="宋体" w:hAnsi="宋体" w:eastAsia="宋体" w:cs="宋体"/>
          <w:color w:val="000000"/>
          <w:kern w:val="0"/>
          <w:sz w:val="24"/>
          <w:shd w:val="clear" w:color="auto" w:fill="FFFFFF"/>
        </w:rPr>
        <w:t>　运用统计分析方法进行相关性分析的步骤通常是：</w:t>
      </w:r>
    </w:p>
    <w:p w14:paraId="31809955">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1.选择并确定样本公司；</w:t>
      </w:r>
    </w:p>
    <w:p w14:paraId="27DD2742">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2.初步确定可能会影响企业价值的参数；</w:t>
      </w:r>
    </w:p>
    <w:p w14:paraId="3FDA080C">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3.运用统计分析手段量化企业价值与所选参数之间的相关程度；</w:t>
      </w:r>
    </w:p>
    <w:p w14:paraId="12D105CD">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4.根据相关性分析结果确定评估所采用的具体参数。</w:t>
      </w:r>
    </w:p>
    <w:p w14:paraId="1D59DC62">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第十三条</w:t>
      </w:r>
      <w:r>
        <w:rPr>
          <w:rFonts w:hint="eastAsia" w:ascii="宋体" w:hAnsi="宋体" w:eastAsia="宋体" w:cs="宋体"/>
          <w:color w:val="000000"/>
          <w:kern w:val="0"/>
          <w:sz w:val="24"/>
          <w:shd w:val="clear" w:color="auto" w:fill="FFFFFF"/>
        </w:rPr>
        <w:t>　影响不同类型金融企业价值的参数不尽相同。本专家指引建议，对不同类型金融企业所应关注的价值影响参数包括但不限于：</w:t>
      </w:r>
    </w:p>
    <w:p w14:paraId="7454A99B">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1.商业银行</w:t>
      </w:r>
    </w:p>
    <w:p w14:paraId="726E3927">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净资产、利润、拨备覆盖率、利润增长率、净资产平均增长率、净利润平均增长率、资本保值增值率、净息差、净利差、资本利润率、加权平均净资产收益率、单一最大客户贷款比例、最大十家客户贷款比例、成本收入比、存贷款比例、资本充足率、核心资本充足率、资产利润率、资产流动性比例、总资产、不良贷款率、核心资本、营业网点数量、排名等。</w:t>
      </w:r>
    </w:p>
    <w:p w14:paraId="55C0A040">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2.保险公司</w:t>
      </w:r>
    </w:p>
    <w:p w14:paraId="4FBEB755">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净资产、利润、收入利润率、支出利润率、总资产、净资产收益率、利润增长率、实际资本、综合成本率（产险业务）、综合赔付率（产险业务）、资本保值增值率、净利润平均增长率、净资产平均增长率、净投资收益率、总资产报酬率、总投资收益率、应收账款比率、退保率（寿险业务）、偿付能力充足率、保险渠道销售代理网点数量等。</w:t>
      </w:r>
    </w:p>
    <w:p w14:paraId="2258458C">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3.证券公司</w:t>
      </w:r>
    </w:p>
    <w:p w14:paraId="56901AD5">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净资产、利润、利润增长率、资本保值增值率、净资本与净资产比率、资产利润率、加权平均净资产收益率、总资产、净资本、支出利润率、净资本与风险准备比率、收入利润率、净资产平均增长率、净资本负债率、净资产负债率、资产负债率、净利润平均增长率、营业部家数、证监会评级等。</w:t>
      </w:r>
    </w:p>
    <w:p w14:paraId="63CF03E0">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4.其他金融企业</w:t>
      </w:r>
    </w:p>
    <w:p w14:paraId="0A767D3F">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其他金融企业包括信托、期货、基金、担保、金融租赁公司等。建议关注相关企业的规模、盈利能力、经营增长状况、资产质量状况、偿付能力、风险控制能力、经营管理能力等因素，以及其他常用行业价值比率指标，如</w:t>
      </w:r>
      <w:r>
        <w:rPr>
          <w:rFonts w:hint="eastAsia" w:ascii="宋体" w:hAnsi="宋体" w:eastAsia="宋体" w:cs="宋体"/>
          <w:color w:val="000000"/>
          <w:kern w:val="0"/>
          <w:sz w:val="24"/>
          <w:shd w:val="clear" w:color="auto" w:fill="FFFFFF"/>
          <w:lang w:val="zh-TW" w:eastAsia="zh-TW"/>
        </w:rPr>
        <w:t>P/AUM</w:t>
      </w:r>
      <w:r>
        <w:rPr>
          <w:rFonts w:hint="eastAsia" w:ascii="宋体" w:hAnsi="宋体" w:eastAsia="宋体" w:cs="宋体"/>
          <w:color w:val="000000"/>
          <w:kern w:val="0"/>
          <w:sz w:val="24"/>
          <w:shd w:val="clear" w:color="auto" w:fill="FFFFFF"/>
          <w:lang w:val="zh-TW"/>
        </w:rPr>
        <w:t>等</w:t>
      </w:r>
      <w:r>
        <w:rPr>
          <w:rFonts w:hint="eastAsia" w:ascii="宋体" w:hAnsi="宋体" w:eastAsia="宋体" w:cs="宋体"/>
          <w:color w:val="000000"/>
          <w:kern w:val="0"/>
          <w:sz w:val="24"/>
          <w:shd w:val="clear" w:color="auto" w:fill="FFFFFF"/>
        </w:rPr>
        <w:t>。</w:t>
      </w:r>
    </w:p>
    <w:p w14:paraId="7C502762">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第十四条</w:t>
      </w:r>
      <w:r>
        <w:rPr>
          <w:rFonts w:hint="eastAsia" w:ascii="宋体" w:hAnsi="宋体" w:eastAsia="宋体" w:cs="宋体"/>
          <w:color w:val="000000"/>
          <w:kern w:val="0"/>
          <w:sz w:val="24"/>
          <w:shd w:val="clear" w:color="auto" w:fill="FFFFFF"/>
        </w:rPr>
        <w:t>　运用统计分析方法评估金融企业价值，需在分析参数相关性的基础上，利用回归方法量化相关参数与评估对象价值之间的关系，并对由此构建的回归模型进行必要的精度检验。</w:t>
      </w:r>
    </w:p>
    <w:p w14:paraId="3BFD5A1D">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第十五条</w:t>
      </w:r>
      <w:r>
        <w:rPr>
          <w:rFonts w:hint="eastAsia" w:ascii="宋体" w:hAnsi="宋体" w:eastAsia="宋体" w:cs="宋体"/>
          <w:color w:val="000000"/>
          <w:kern w:val="0"/>
          <w:sz w:val="24"/>
          <w:shd w:val="clear" w:color="auto" w:fill="FFFFFF"/>
        </w:rPr>
        <w:t>　运用上市公司比较法评估金融企业价值时，还应关注可比公司与评估对象间流动性的差异，考虑缺少流动性折扣，并在适当及切实可行的情况下考虑由于具有控制权或者缺乏控制权可能产生的溢价或者折价。</w:t>
      </w:r>
    </w:p>
    <w:p w14:paraId="71EA30E2">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运用交易案例比较法评估金融企业价值时，应尽量选取与评估对象的控股权状态相同或相近的交易案例。</w:t>
      </w:r>
    </w:p>
    <w:p w14:paraId="64DEB254">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第十六条</w:t>
      </w:r>
      <w:r>
        <w:rPr>
          <w:rFonts w:hint="eastAsia" w:ascii="宋体" w:hAnsi="宋体" w:eastAsia="宋体" w:cs="宋体"/>
          <w:color w:val="000000"/>
          <w:kern w:val="0"/>
          <w:sz w:val="24"/>
          <w:shd w:val="clear" w:color="auto" w:fill="FFFFFF"/>
        </w:rPr>
        <w:t>　资产评估师应当知晓，本专家指引所介绍的只是诸多评估方法的一种，意在为资产评估师解决价值比率乘数与评估结论的相关性及模型量化的客观性提供一种技术解决思路。对于样本数量不足或其他不适用于统计分析方法的情形，资产评估师应采用其他适用的方法。</w:t>
      </w:r>
    </w:p>
    <w:p w14:paraId="2F5A9B68">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本专家指引及所附案例的分析、回归模型仅是诸多统计分析方法中可供选择的具体应用形式。资产评估师也可根据评估对象特点及统计方法的适用条件，选择其他方法。</w:t>
      </w:r>
    </w:p>
    <w:p w14:paraId="5C1CDB13">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附：金融企业市场法评估统计分析方法模型构建示例（略）</w:t>
      </w:r>
    </w:p>
    <w:p w14:paraId="1DC8ED55">
      <w:pPr>
        <w:spacing w:line="440" w:lineRule="atLeast"/>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br w:type="page"/>
      </w:r>
    </w:p>
    <w:p w14:paraId="076D8AE9">
      <w:pPr>
        <w:pStyle w:val="5"/>
        <w:spacing w:line="440" w:lineRule="atLeast"/>
        <w:jc w:val="center"/>
        <w:rPr>
          <w:rFonts w:ascii="宋体" w:hAnsi="宋体" w:eastAsia="宋体" w:cs="宋体"/>
        </w:rPr>
      </w:pPr>
      <w:bookmarkStart w:id="223" w:name="_Toc17966"/>
      <w:r>
        <w:rPr>
          <w:rFonts w:hint="eastAsia" w:ascii="宋体" w:hAnsi="宋体" w:eastAsia="宋体" w:cs="宋体"/>
        </w:rPr>
        <w:t>资产评估专家指引第5号——寿险公司内部精算报告及价值评估中的利用</w:t>
      </w:r>
      <w:bookmarkEnd w:id="223"/>
    </w:p>
    <w:p w14:paraId="16637D55">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本专家指引是一种专家建议。评估机构执行资产评估业务，可以参照本专家指引，也可以根据具体情况采用其他适当的做法。中国资产评估协会将根据业务发展，对本专家指引进行更新。</w:t>
      </w:r>
    </w:p>
    <w:p w14:paraId="0EC3FE02">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第一章　引言</w:t>
      </w:r>
    </w:p>
    <w:p w14:paraId="75011DE0">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为规范寿险公司价值评估业务，针对寿险公司特点，结合目前实际操作中的部分难点及要点，中国资产评估协会组织制定了本专家指引。</w:t>
      </w:r>
    </w:p>
    <w:p w14:paraId="5A60C989">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本专家指引所指寿险公司是指在中国境内经中国保险监督管理委员会（以下简称“中国保监会”）批准设立，并依法登记注册的人身保险公司。</w:t>
      </w:r>
    </w:p>
    <w:p w14:paraId="025C752C">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本专家指引所指寿险公司内部精算报告是指寿险公司根据《中华人民共和国保险法》（以下简称“保险法”）和中国保监会相关要求，编报的年度精算报告。</w:t>
      </w:r>
    </w:p>
    <w:p w14:paraId="26A0D9D5">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第二章　关注寿险公司特点</w:t>
      </w:r>
    </w:p>
    <w:p w14:paraId="427DBE84">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进行寿险公司价值评估需要充分了解其业务特点。寿险公司作为经营风险的企业，其经营流程与一般企业存在差异。即其收入在先，成本在后。公司根据保险事故发生的频率、损失金额、公司费用和利润要求确定保险费率，出售保单，向投保人收取保费，保险事故发生时支付保险金。如果是寿险公司的年金产品，则在约定的年金领取日支付年金，直至被保险人身故或保险期满。</w:t>
      </w:r>
    </w:p>
    <w:p w14:paraId="668FDBD7">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寿险合同责任准备金是指寿险公司售出的保单中约定的保险责任，在向受益人支付赔偿或给付以前公司提取的偿付准备，它是在任何时候为保证保险给付所需要准备的金额，是对保险单所有人的负债，也是寿险原保险合同的一项主要负债。</w:t>
      </w:r>
    </w:p>
    <w:p w14:paraId="4D5CAC23">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会计利润的金额大小与责任准备金水平有关，责任准备金提取额高，则当年利润少；责任准备金提取额低，当年利润多。</w:t>
      </w:r>
    </w:p>
    <w:p w14:paraId="343E0425">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基于寿险公司经营特点，处于不同发展阶段的寿险公司资产构成比例、利润、现金流等都存在较大差异。需要特别关注相关法律规范对寿险公司的约束，包括经营资格、产品及销售渠道、销售人员资格、风险监管、投资渠道、偿付能力、财务和会计核算等方面。</w:t>
      </w:r>
    </w:p>
    <w:p w14:paraId="41B8CCAF">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寿险公司最重要的负债为责任准备金。责任准备金的确定，需要精算人员根据对未来保险风险用统计方法和精算技术来估计，估计的结果是否准确依赖于风险的稳定性、数据的充足性和精算人员个人的经验。保险公司的利润由责任准备金的评估金额确定，而责任准备金又是基于各种假设估计得来，因此，保险公司的利润具有很强的预计性。</w:t>
      </w:r>
    </w:p>
    <w:p w14:paraId="161E2F56">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法定责任准备金是根据保监会相关规定计算的最低金额，寿险公司责任准备金不能低于此金额。寿险公司会计报表中的责任准备金不同于法定责任准备金，两者的假设前提和计算基础（如毛保费或纯保费、死亡率、利息率、费用率）、用途、目标、披露要求、计量方法、计量单元等都存在差异，在寿险公司价值评估中需要了解这些差异，并能够在评估时进行合理区分和正确使用。</w:t>
      </w:r>
    </w:p>
    <w:p w14:paraId="41789E15">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法定责任准备金是保监会精算报告要求中规定的计算方法，基础为纯保费，其金额高，更谨慎。会计报表中的保险合同准备金，是按照相关规定所要求方法计算，是合理估计负债、风险边际和剩余边际之和。寿险公司价值评估时，需要考虑企业会计准则（以下简称“会计准则”）和监管准则的要求。在以会计报表为基础进行寿险公司价值评估时，需要考虑会计准则相关要求。</w:t>
      </w:r>
    </w:p>
    <w:p w14:paraId="2D0E7F3F">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第三章　理解内部精算报告</w:t>
      </w:r>
    </w:p>
    <w:p w14:paraId="79E2B426">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开展寿险公司价值评估，应充分了解寿险行业相关法律法规及相关产业政策，理解保监会对内部精算报告的要求，并有能力理解内部精算报告的相关概念的内涵。</w:t>
      </w:r>
    </w:p>
    <w:p w14:paraId="1D7AFEE0">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内部精算报告一般由八部分组成：责任准备金及保单相关负债和受托资产及投资管理资产报告、业务统计报告、分红保险业务报告、万能保险/投资连结保险/企业年金业务报告、偿付能力报告、总精算师备忘录及准备金充足性分析报告、内含价值报告和利源分析报告。其中责任准备金、偿付能力、内含价值等报告是在寿险公司价值评估中可能会利用的主要内容。</w:t>
      </w:r>
    </w:p>
    <w:p w14:paraId="1907EA11">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由于会计准则规定和监管要求目标不同，按照保监会要求编报的内部精算报告，与会计准则要求之间存在口径方面的差异。在利用内部精算报告时，需要关注差异，并提请寿险公司对财务报告与内部精算报告对应项目如责任准备金等的差异进行说明。</w:t>
      </w:r>
    </w:p>
    <w:p w14:paraId="7BC16113">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内部精算报告中的内含价值，是指在充分考虑总体风险的情况下，适用业务对应的资产未来产生的收益中可以分配给股东的利益的现值。内含价值由以下三部分组成：</w:t>
      </w:r>
    </w:p>
    <w:p w14:paraId="394DEFF4">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（一）分配给适用业务的自由盈余；</w:t>
      </w:r>
    </w:p>
    <w:p w14:paraId="37980D3B">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（二）要求资本，扣除持有要求资本的成本；</w:t>
      </w:r>
    </w:p>
    <w:p w14:paraId="0E5A7DF3">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（三）有效业务现值。</w:t>
      </w:r>
    </w:p>
    <w:p w14:paraId="6677B89A">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自由盈余，是指适用业务对应的资产的市场价值扣除相应负债，超过该适用业务要求资本的金额。不分配于适用业务的自由盈余不应包含在内含价值中。</w:t>
      </w:r>
    </w:p>
    <w:p w14:paraId="48F9074C">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要求资本，是指适用业务对应的所有资产的市场价值扣除相应负债后，在评估日受到限制，不能分配给股东的金额。要求资本不能低于法定最低偿付能力额度。保险公司可以使用比法定要求更严格的要求资本。</w:t>
      </w:r>
    </w:p>
    <w:p w14:paraId="5C9715A6">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有效业务现值，是指有效业务对应的资产所产生的未来股东现金流的现值。</w:t>
      </w:r>
    </w:p>
    <w:p w14:paraId="0678C509">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内含价值是没有考虑公司未来新业务销售能力的情况下现有公司的价值。可以把内含价值看作是寿险公司进行清算转让时的价值，也可以看作寿险公司最小经济价值。内含价值直接反映了寿险公司当前的经营成果，构成寿险公司的核心价值。</w:t>
      </w:r>
    </w:p>
    <w:p w14:paraId="30E2E376">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内部精算报告中的新业务价值，是指在报告期间销售的新保单在签单时的价值。计算新业务价值时，应当考虑持有要求资本的成本。新业务价值应包括新业务预期续保和预期合同变动的价值。一般而言，新业务具有以下特征：</w:t>
      </w:r>
    </w:p>
    <w:p w14:paraId="5C5470AC">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（一）签发新保单；</w:t>
      </w:r>
    </w:p>
    <w:p w14:paraId="0FCA46FB">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（二）实行核保；</w:t>
      </w:r>
    </w:p>
    <w:p w14:paraId="23A7F1A8">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（三）将新保单或新保险客户的详细资料录入管理系统；</w:t>
      </w:r>
    </w:p>
    <w:p w14:paraId="4246F50C">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（四）向营销人员支付较高的佣金；</w:t>
      </w:r>
    </w:p>
    <w:p w14:paraId="5F24507C">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（五）产品定价基础考虑了市场和销售的全部成本。</w:t>
      </w:r>
    </w:p>
    <w:p w14:paraId="5576BD22">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寿险公司价值评估中，如利用到未来新业务价值，需要结合上述新业务特征和被评估企业财务核算资料，对被评估企业提供的最近一年新业务价值进行核实，以核实后一年新业务价值作为新业务价值计算基础。</w:t>
      </w:r>
    </w:p>
    <w:p w14:paraId="5E1E341E">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寿险公司内含价值与寿险公司股东全部权益价值具有不同的内涵。寿险公司股东全部权益价值，依赖于过去投资所形成的销售网络、客户群体、保险合同、公司品牌、技术及管理团队及资金、固定资产等各类无形、有形资产，体现为未来利润的持续实现和增长。在假设前提完全一致的情况下，寿险公司股东全部权益价值相当于调整后内含价值加上调整后未来新业务价值。</w:t>
      </w:r>
    </w:p>
    <w:p w14:paraId="087020B3">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第四章　价值评估中对内部精算报告的利用</w:t>
      </w:r>
    </w:p>
    <w:p w14:paraId="5C8FFD9E">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评估寿险公司价值应当结合宏观经济发展，寿险行业发展情况，寿险公司成立及业务开展时间，企业资产情况，企业经营和财务情况，销售网络，客户群体，已签保单数量等，充分分析收益法、市场法和资产基础法在寿险公司的适用性。</w:t>
      </w:r>
    </w:p>
    <w:p w14:paraId="38A4F6B7">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采用收益法对寿险公司价值进行评估，一般采用股权现金流模型。股权现金流以寿险公司会计净利润为基础，并考虑预测期间的权益资本变动。资本变动需要符合法定资本、偿付能力监管要求的最低资本。</w:t>
      </w:r>
    </w:p>
    <w:p w14:paraId="3D9CD560">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采用的预测表一般包括利润表、资产负债表及股权现金流计算表，并且需要保持各表之间的平衡关系及一致性。</w:t>
      </w:r>
    </w:p>
    <w:p w14:paraId="6B75E6B5">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在对寿险公司提供的收益预测进行分析、判断和调整时，需要考虑《资产评估准则-企业价值》的相关要求，并特别关注：</w:t>
      </w:r>
    </w:p>
    <w:p w14:paraId="2691F09A">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（一）寿险公司产品类型，关注寿险公司收入构成内容及比例，寿险公司保险合同收入的核算方法，成本计量模式等，以及这些项目在预测时具体过程。</w:t>
      </w:r>
    </w:p>
    <w:p w14:paraId="4D903A4A">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（二）预测的费用支出、责任准备金提取要基于会计准则要求，假设前提与评估假设保持一致。如果存在差异，需要进行相应调整。</w:t>
      </w:r>
    </w:p>
    <w:p w14:paraId="2D9C526D">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寿险公司业务收入一般包括保费收入、管理费收入和投资收益。不同公司各业务收入所占比例不同。营业支出一般包括责任准备金和营业费用（税金、管理费、销售费、退保及赔付支出等），一般收益预测时，可以按照收入一定比率确定营业费用支出。</w:t>
      </w:r>
    </w:p>
    <w:p w14:paraId="6A712DB7">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寿险公司收益法，也可以采用以内部精算报告中内含价值为基础的方法。采用此方法，需要对内含价值、一年新业务价值计算时的相关假设与资产评估不一致的项目进行调整，确定调整后内含价值和调整后一年新业务价值。</w:t>
      </w:r>
    </w:p>
    <w:p w14:paraId="0ACF4761">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有效业务价值计算中的费用假设，需要按照持续经营前提和评估方的未来业务规划进行确定。</w:t>
      </w:r>
    </w:p>
    <w:p w14:paraId="0CD30ECB">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采用“一年新业务价值×新业务乘数”方法确定未来新业务价值的，需要考虑一年新业务测算假设与评估假设的一致性，并对新业务乘数的确定过程、依据进行明确说明。</w:t>
      </w:r>
    </w:p>
    <w:p w14:paraId="03BDD3F4">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内含价值测算采用的折现率与新业务价值测算采用的折现率存在差异。计算现有保单未来的法定利润，类似于保险公司的应收账款，主要存在：退保风险、死亡风险和投资收益风险等。新业务价值折现率由于包含未来保单签订的不确定风险，因此类似与金融企业风险，会高于内含价值计算的折现率。</w:t>
      </w:r>
    </w:p>
    <w:p w14:paraId="653A7BBA">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寿险公司主要风险包括流动性风险、信用风险、市场风险、战略风险、保险风险、声誉风险、操作风险等内容，具体可参考保监会关于寿险公司全面风险管理的相关规定。在确定寿险公司折现率时，需要考虑上述风险因素。</w:t>
      </w:r>
    </w:p>
    <w:p w14:paraId="6A9641C9">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收益预测期限可以为有限期，也可以是永续经营。有限年期一般考虑到现有有效保单结束期限，该期限对于寿险公司一般时间较长。永续经营情况下，预测期需要到公司稳定经营期限。寿险公司稳定经营期限可以考虑各年度权益报酬率、公司经营费率达到稳定为标志。</w:t>
      </w:r>
    </w:p>
    <w:p w14:paraId="37474B69">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内含价值折现率口径与股权现金流折现率口径存在差异。内含价值折现率中的风险仅考虑了退保风险、死亡风险和投资收益风险等。股权现金流折现率还需要考虑未来预测新增保单收入实现的不确定性风险等因素。因此股权现金流模型中，折现率不宜直接采用内含价值报告的折现率。一般情况下，对同一个公司、在同一基准日，股权现金流折现率会高于内含价值折现率。寿险公司价值评估时，需要对评估所采用折现率的确定过程进行详细分析，并说明折现率与现金流口径的一致性。</w:t>
      </w:r>
    </w:p>
    <w:p w14:paraId="1B34D374">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采用市场法评估寿险公司价值时，应充分分析所选择交易案例或上市公司与被评估企业的可比性，包括公司成立时间、市场范围、客户质量与数量、营业网点、销售人员数量、产品类别等方面。</w:t>
      </w:r>
    </w:p>
    <w:p w14:paraId="45792CF1">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由于当期保费收入与同期手续费、佣金支出之间不完全配比，新成立公司与经营期限较长的寿险公司之间可比性较差。采用市场法评估寿险公司价值时，应重点以寿险企业所持有的有效保单和能够带来新签保单的营销网络和企业品牌为分析基础，确定可比案例与被评估企业在收入规模、产品品种、市场范围、公司成立时间、销售网点及销售人员数量、内含价值、一年新业务价值、偿付能力分类等等方面的可比性，并同时关注交易方式、交易时间、企业性质、经营方式等方面的可比性。</w:t>
      </w:r>
    </w:p>
    <w:p w14:paraId="46442EFD">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价值比率采用要与寿险公司业务特点一致，通常可采用“股票价格/公司内含价值”“股票价格/内含价值利润”等资产、盈利类价值比率。</w:t>
      </w:r>
    </w:p>
    <w:p w14:paraId="11171B81">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采用资产基础法评估寿险公司价值，需要关注表外资产，采用合理的方法对表外资产进行识别、清查和评估。寿险公司表外资产一般包括销售网络，建立和维持的具有寿险销售资格的人员队伍，获取的寿险相关业务资格，研发投入和相关技术，知识产权等无形资产。已签有效保单（保险合同）存续期比较长，是寿险公司未来利润主要来源，按照会计准则要求，企业会计报表核算的是有效保单已实现利润，该部分有效保单未来价值未被计量在评估基准日会计报表中，因此寿险公司基准日有效保单未来价值形成的资产也是需要关注的一类表外资产。</w:t>
      </w:r>
    </w:p>
    <w:p w14:paraId="636FCC81">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在评估上述可能存在的表外资产价值时，应当注意避免各资产、负债之间价值的重复或遗漏。</w:t>
      </w:r>
    </w:p>
    <w:p w14:paraId="1574B66A">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采用资产基础法评估单项资产或负债，涉及利用内部精算报告的，需要考虑评估假设与精算假设之间的一致性。存在不一致的，需要对精算假设进行相应调整，并利用调整后的结果。主要的调整可能涉及经济发展水平、费用率、折现率等方面。</w:t>
      </w:r>
    </w:p>
    <w:p w14:paraId="6E9AAEB2">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采用资产基础法评估寿险公司价值，需要关注寿险责任准备金科目，并采用合适的方法评估。应当知晓，寿险责任准备金是通过精算方法确定的，需要了解会计报告与内部精算报告中寿险责任准备金计算口径的差异，明确主要参数设定的各种假设及假设之间的一致性。需要在报告中对清查核实及评估测算工作内容及过程进行说明，一般应包括寿险责任准备金计算的方法（未来法还是过去法），准备金计算采用的死亡率、利率和费用率，准备金计算基础是纯保费还是毛保费，准备金计量单元是单项保险合同还是具有同质保险风险的保险合同组合等。具体可参考《财政部关于印发&lt;保险合同相关会计处理规定&gt;的通知》（财会〔2009〕15号）中对保险合同准备金披露的相关要求。</w:t>
      </w:r>
    </w:p>
    <w:p w14:paraId="754B4BDF">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如果存在对评估对象价值有重大影响且难以识别的表外资产和负债，应当考虑资产基础法的适用性。</w:t>
      </w:r>
    </w:p>
    <w:p w14:paraId="6E739602">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在采用多种评估方法时，考虑各种评估方法的基本思路、各种评估方法所对应评估结论的假设前提、各种评估方法所对应的评估参数选取情况、主要资产在各种评估方法的价值体现方式、可能影响评估结论的事项在各种评估方法中的处理方式等因素后，确定评估结果。</w:t>
      </w:r>
    </w:p>
    <w:p w14:paraId="78FAF978">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利用内部精算报告，除按照《资产评估准则——利用专家工作》要求进行披露外，还需要明确披露所利用专业报告涉及的具体资产、负债或权益价值，明确是否直接采用相关专业报告结论作为评估结论；涉及对相关专业报告结论进行调整的，需要明确主要的调整事项，披露评估假设、精算假设和会计假设之间的差异，说明主要的调整过程。</w:t>
      </w:r>
    </w:p>
    <w:p w14:paraId="7BC75516">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附：寿险公司股权价值评估中利用内含价值调整的案例（略）</w:t>
      </w:r>
    </w:p>
    <w:p w14:paraId="65920F70">
      <w:pPr>
        <w:spacing w:line="440" w:lineRule="atLeast"/>
        <w:ind w:firstLine="482" w:firstLineChars="200"/>
        <w:rPr>
          <w:rFonts w:ascii="宋体" w:hAnsi="宋体" w:eastAsia="宋体" w:cs="宋体"/>
          <w:b/>
          <w:color w:val="000000"/>
          <w:kern w:val="0"/>
          <w:sz w:val="24"/>
          <w:shd w:val="clear" w:color="auto" w:fill="FFFFFF"/>
        </w:rPr>
      </w:pPr>
      <w:r>
        <w:rPr>
          <w:rFonts w:hint="eastAsia" w:ascii="宋体" w:hAnsi="宋体" w:eastAsia="宋体" w:cs="宋体"/>
          <w:b/>
          <w:color w:val="000000"/>
          <w:kern w:val="0"/>
          <w:sz w:val="24"/>
          <w:shd w:val="clear" w:color="auto" w:fill="FFFFFF"/>
        </w:rPr>
        <w:br w:type="page"/>
      </w:r>
    </w:p>
    <w:p w14:paraId="622753FB">
      <w:pPr>
        <w:pStyle w:val="5"/>
        <w:spacing w:line="440" w:lineRule="atLeast"/>
        <w:jc w:val="center"/>
        <w:rPr>
          <w:rFonts w:ascii="宋体" w:hAnsi="宋体" w:eastAsia="宋体" w:cs="宋体"/>
        </w:rPr>
      </w:pPr>
      <w:bookmarkStart w:id="224" w:name="_Toc27957"/>
      <w:r>
        <w:rPr>
          <w:rFonts w:hint="eastAsia" w:ascii="宋体" w:hAnsi="宋体" w:eastAsia="宋体" w:cs="宋体"/>
        </w:rPr>
        <w:t>资产评估专家指引第6号——上市公司重大资产重组评估报告披露</w:t>
      </w:r>
      <w:bookmarkEnd w:id="224"/>
    </w:p>
    <w:p w14:paraId="00CD1CF4">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本专家指引是一种专家建议。评估机构执行资产评估业务，可以参照本专家指引，也可以根据具体情况采用其他适当的做法。中国资产评估协会将根据业务发展，对本专家指引进行更新。</w:t>
      </w:r>
    </w:p>
    <w:p w14:paraId="118738B7">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第一条　</w:t>
      </w:r>
      <w:r>
        <w:rPr>
          <w:rFonts w:hint="eastAsia" w:ascii="宋体" w:hAnsi="宋体" w:eastAsia="宋体" w:cs="宋体"/>
          <w:color w:val="000000"/>
          <w:kern w:val="0"/>
          <w:sz w:val="24"/>
          <w:shd w:val="clear" w:color="auto" w:fill="FFFFFF"/>
        </w:rPr>
        <w:t>为进一步提高上市公司重大资产重组评估报告信息披露质量，使监管部门和评估报告使用者能够充分理解评估结论，中国资产评估协会组织制定了本专家指引。</w:t>
      </w:r>
    </w:p>
    <w:p w14:paraId="38E81ACA">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第二条</w:t>
      </w:r>
      <w:r>
        <w:rPr>
          <w:rFonts w:hint="eastAsia" w:ascii="宋体" w:hAnsi="宋体" w:eastAsia="宋体" w:cs="宋体"/>
          <w:color w:val="000000"/>
          <w:kern w:val="0"/>
          <w:sz w:val="24"/>
          <w:shd w:val="clear" w:color="auto" w:fill="FFFFFF"/>
        </w:rPr>
        <w:t>　上市公司重大资产重组评估报告，是指中国证监会上市公司重大资产重组相关规定涉及的评估报告。</w:t>
      </w:r>
    </w:p>
    <w:p w14:paraId="2C5636E3">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第三条</w:t>
      </w:r>
      <w:r>
        <w:rPr>
          <w:rFonts w:hint="eastAsia" w:ascii="宋体" w:hAnsi="宋体" w:eastAsia="宋体" w:cs="宋体"/>
          <w:color w:val="000000"/>
          <w:kern w:val="0"/>
          <w:sz w:val="24"/>
          <w:shd w:val="clear" w:color="auto" w:fill="FFFFFF"/>
        </w:rPr>
        <w:t>　上市公司重大资产重组评估业务可能涉及多种资产类型和多重监管，资产评估师编写上市公司重大资产重组评估报告时，应当遵守相关监管规定和评估准则对于信息披露的格式和内容的要求。</w:t>
      </w:r>
    </w:p>
    <w:p w14:paraId="5888A90C">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第四条</w:t>
      </w:r>
      <w:r>
        <w:rPr>
          <w:rFonts w:hint="eastAsia" w:ascii="宋体" w:hAnsi="宋体" w:eastAsia="宋体" w:cs="宋体"/>
          <w:color w:val="000000"/>
          <w:kern w:val="0"/>
          <w:sz w:val="24"/>
          <w:shd w:val="clear" w:color="auto" w:fill="FFFFFF"/>
        </w:rPr>
        <w:t>　上市公司重大资产重组评估报告，应当关注相关审计报告的审计目标、审计范围及审计意见。</w:t>
      </w:r>
    </w:p>
    <w:p w14:paraId="2C0DC695">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审计意见为带强调事项段的无保留意见或者保留意见时，资产评估师应当关注并恰当考虑强调事项或者保留事项对评估结论的影响，并在评估报告中进行披露。</w:t>
      </w:r>
    </w:p>
    <w:p w14:paraId="209B24FA">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审计意见为否定意见或无法表示意见时，资产评估师应当在评估报告中对相关事项及评估处理方式进行披露。</w:t>
      </w:r>
    </w:p>
    <w:p w14:paraId="6C5E3E75">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上市公司重大资产重组评估报告中，评估对象是完整经营性实体的，应当披露评估对象涉及的资产、负债与已经审计财务报表之间的对应关系；评估对象不是完整经营性实体的，应当披露委托评估范围和被审计单位财务报表的关系。</w:t>
      </w:r>
    </w:p>
    <w:p w14:paraId="3E92D5FB">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第五条</w:t>
      </w:r>
      <w:r>
        <w:rPr>
          <w:rFonts w:hint="eastAsia" w:ascii="宋体" w:hAnsi="宋体" w:eastAsia="宋体" w:cs="宋体"/>
          <w:color w:val="000000"/>
          <w:kern w:val="0"/>
          <w:sz w:val="24"/>
          <w:shd w:val="clear" w:color="auto" w:fill="FFFFFF"/>
        </w:rPr>
        <w:t>　资产评估中涉及土地使用权评估，评估报告通常披露如下内容：</w:t>
      </w:r>
    </w:p>
    <w:p w14:paraId="28BC33C7">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（一）土地使用权评估基准日现状状态与评估设定状态，包括宗数、面积、用途、剩余年限、取得方式、取得成本、相关费用缴纳等；相关费用的承担方式以及对评估值的影响；</w:t>
      </w:r>
    </w:p>
    <w:p w14:paraId="5BADC1B5">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（二）土地使用权权属资料，包括土地证、出让协议、使用协议等；土地使用状态，法规或政策限制交易、抵押等权利限制或者诉讼等权利争议事项；</w:t>
      </w:r>
    </w:p>
    <w:p w14:paraId="3F086D48">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存在抵押、担保等权利限制情形的，评估报告应当披露处理方式。</w:t>
      </w:r>
    </w:p>
    <w:p w14:paraId="4463A91A">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第六条</w:t>
      </w:r>
      <w:r>
        <w:rPr>
          <w:rFonts w:hint="eastAsia" w:ascii="宋体" w:hAnsi="宋体" w:eastAsia="宋体" w:cs="宋体"/>
          <w:color w:val="000000"/>
          <w:kern w:val="0"/>
          <w:sz w:val="24"/>
          <w:shd w:val="clear" w:color="auto" w:fill="FFFFFF"/>
        </w:rPr>
        <w:t>　资产评估中涉及矿业权评估，评估报告通常披露如下内容：</w:t>
      </w:r>
    </w:p>
    <w:p w14:paraId="7C6763FA">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矿业权评估范围，包括矿产资源勘查许可证或采矿许可证取得时间、有效期、勘查或开采矿种、开采方式、矿区面积、开采深度、生产规模等；取得方式；取得成本；有偿处置情况及相关税费，包括矿产资源补偿费、资源税、探矿权使用费、采矿权使用费等的缴纳情况；</w:t>
      </w:r>
    </w:p>
    <w:p w14:paraId="3E39406B">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对于无偿取得的矿业权，披露矿业权价款对资产评估结论的影响；</w:t>
      </w:r>
    </w:p>
    <w:p w14:paraId="7ED8BEA6">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对于以出让方式取得的矿业权，披露矿业权出让的合同、批准文件，矿业权价款缴纳情况；</w:t>
      </w:r>
    </w:p>
    <w:p w14:paraId="3E1FCBDD">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对于以转让方式取得的矿业权，披露矿业权交易价格及依据；</w:t>
      </w:r>
    </w:p>
    <w:p w14:paraId="15F3E7FC">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矿业权人出资勘查形成的矿产地，披露目前勘查及其投入情况；</w:t>
      </w:r>
    </w:p>
    <w:p w14:paraId="3C5F9C63">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上市公司购买拥有矿业权公司的股权，如果矿业权处置价款已确定，披露是否存在未付的款项并已足额记为负债；如果矿业权应当处置而未处置并且涉及价款的，披露未来支付的相关协议或者意向以及支付方式，及其对评估结论的影响。</w:t>
      </w:r>
    </w:p>
    <w:p w14:paraId="048AF317">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矿业权权属文件，包括《矿产资源勘查许可证》、《采矿许可证》、“矿区范围划定批复文件”、与矿业权管理部门签署的“探矿权采矿权出让合同”等，矿业权权属是否存在抵押等权利限制或者诉讼等权属争议；</w:t>
      </w:r>
    </w:p>
    <w:p w14:paraId="2AD3C949">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已经付清相关费用或不属于国家出资勘查探明矿产、但尚未取得《矿产资源勘查许可证》或《采矿许可证》的，披露对应的矿种、面积、评估价值、相应权证办理进展情况、相关费用承担方式，以及对评估结论的影响；</w:t>
      </w:r>
    </w:p>
    <w:p w14:paraId="0754ED0B">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《矿产资源勘查许可证》或《采矿许可证》存在抵押等权利限制等情形的，披露对评估结论的影响。</w:t>
      </w:r>
    </w:p>
    <w:p w14:paraId="3F02D677">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（三）矿产资源储量评审备案情况，评审意见书及备案证明的时间和文号等；最近三年内最后一次储量核实与本次储量评审的差异情况。</w:t>
      </w:r>
    </w:p>
    <w:p w14:paraId="5B356475">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确定的收益期长于《采矿许可证》有效期，或处于申办《采矿许可证》而《矿产资源勘查许可证》到期的“探转采”矿产的，披露到期续展情况或“探转采”是否涉及矿业权价款及相关费用的缴纳，及其对评估结论的影响。</w:t>
      </w:r>
    </w:p>
    <w:p w14:paraId="77C7421D">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第七条</w:t>
      </w:r>
      <w:r>
        <w:rPr>
          <w:rFonts w:hint="eastAsia" w:ascii="宋体" w:hAnsi="宋体" w:eastAsia="宋体" w:cs="宋体"/>
          <w:color w:val="000000"/>
          <w:kern w:val="0"/>
          <w:sz w:val="24"/>
          <w:shd w:val="clear" w:color="auto" w:fill="FFFFFF"/>
        </w:rPr>
        <w:t>　上市公司重大资产重组评估报告中，评估对象是完整经营性实体的，应当根据《资产评估准则——企业价值》的要求恰当选择评估方法，并结合评估方法的适用性，披露评估方法选择的理由。</w:t>
      </w:r>
    </w:p>
    <w:p w14:paraId="74919CCD">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评估对象不是完整经营性实体的，披露主要资产的评估方法及选择理由。</w:t>
      </w:r>
    </w:p>
    <w:p w14:paraId="4588F165">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第八条</w:t>
      </w:r>
      <w:r>
        <w:rPr>
          <w:rFonts w:hint="eastAsia" w:ascii="宋体" w:hAnsi="宋体" w:eastAsia="宋体" w:cs="宋体"/>
          <w:color w:val="000000"/>
          <w:kern w:val="0"/>
          <w:sz w:val="24"/>
          <w:shd w:val="clear" w:color="auto" w:fill="FFFFFF"/>
        </w:rPr>
        <w:t>　采用收益法进行企业价值评估，评估报告应当披露：</w:t>
      </w:r>
    </w:p>
    <w:p w14:paraId="7E5F0511">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结合所选择的具体方法，披露评估结论测算时涉及的相关表格。当采用现金流量折现法时，通常包括资产调整表、负债调整表、折现现金流量测算表、营业收入预测表、营业成本预测表、营业税金及附加预测表、销售费用预测表、管理费用预测表、财务费用预测表、营运资金预测表、折旧摊销预测表、资本性支出预测表、负债预测表等；</w:t>
      </w:r>
    </w:p>
    <w:p w14:paraId="33F09B2C">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折现现金流测算表中，建议将历史数据与预测数据按可比口径列示在同一张表格中，并列示营业收入增长率，营业成本、销售费用、管理费用等占销售收入比例；</w:t>
      </w:r>
    </w:p>
    <w:p w14:paraId="71EF9DF1">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（二）资产、负债调整表中溢余资产、非经营性资产、负债以及付息负债的情况；</w:t>
      </w:r>
    </w:p>
    <w:p w14:paraId="12D2D384">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（三）业绩承诺期前后预测趋势存在重大差异的原因及其合理性；</w:t>
      </w:r>
    </w:p>
    <w:p w14:paraId="1D82D5C9">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（四）折现率模型或估算方法，以及无风险利率、风险溢价、个别风险或行业收益率、附加风险的估算过程及结果；引用数据的出处，可比公司的选择标准和选择结果。</w:t>
      </w:r>
    </w:p>
    <w:p w14:paraId="23F6F60C">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第九条</w:t>
      </w:r>
      <w:r>
        <w:rPr>
          <w:rFonts w:hint="eastAsia" w:ascii="宋体" w:hAnsi="宋体" w:eastAsia="宋体" w:cs="宋体"/>
          <w:color w:val="000000"/>
          <w:kern w:val="0"/>
          <w:sz w:val="24"/>
          <w:shd w:val="clear" w:color="auto" w:fill="FFFFFF"/>
        </w:rPr>
        <w:t>　采用市场法评估企业价值，评估报告应当披露：</w:t>
      </w:r>
    </w:p>
    <w:p w14:paraId="1CFB1AF4">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（一）可比上市公司的选择标准、股票简称及代码；</w:t>
      </w:r>
    </w:p>
    <w:p w14:paraId="24D1F76E">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（二）交易案例选择标准、案例来源及相关信息，案例相关信息通常包括交易目的、交易时间、交易股权比例等；</w:t>
      </w:r>
    </w:p>
    <w:p w14:paraId="32750351">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（三）价值比率选择过程、调整过程及结果。</w:t>
      </w:r>
    </w:p>
    <w:p w14:paraId="5EECE510">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第十条</w:t>
      </w:r>
      <w:r>
        <w:rPr>
          <w:rFonts w:hint="eastAsia" w:ascii="宋体" w:hAnsi="宋体" w:eastAsia="宋体" w:cs="宋体"/>
          <w:color w:val="000000"/>
          <w:kern w:val="0"/>
          <w:sz w:val="24"/>
          <w:shd w:val="clear" w:color="auto" w:fill="FFFFFF"/>
        </w:rPr>
        <w:t>　采用资产基础法评估企业价值，评估报告应当披露对评估对象价值有重大影响的表外资产、负债的识别过程和结论；主要单项资产的评估方法及选择理由。</w:t>
      </w:r>
    </w:p>
    <w:p w14:paraId="3CE378F1">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第十一条</w:t>
      </w:r>
      <w:r>
        <w:rPr>
          <w:rFonts w:hint="eastAsia" w:ascii="宋体" w:hAnsi="宋体" w:eastAsia="宋体" w:cs="宋体"/>
          <w:color w:val="000000"/>
          <w:kern w:val="0"/>
          <w:sz w:val="24"/>
          <w:shd w:val="clear" w:color="auto" w:fill="FFFFFF"/>
        </w:rPr>
        <w:t>　上市公司重大资产重组评估报告中，引用土地、矿业权等单项资产评估报告作为资产评估结论的组成部分，评估报告应当披露：</w:t>
      </w:r>
    </w:p>
    <w:p w14:paraId="6492CFD5">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（一）引用评估报告的评估机构名称、资质、报告编号、出具日期、备案情况；</w:t>
      </w:r>
    </w:p>
    <w:p w14:paraId="5C11693E">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（二）引用评估报告的资产类型、数量、产权权属、取得成本、会计核算、相关负债以及账面价值；</w:t>
      </w:r>
    </w:p>
    <w:p w14:paraId="4719A8BF">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（三）引用评估报告采用的评估方法、披露的假设前提、使用限制及相关事项；</w:t>
      </w:r>
    </w:p>
    <w:p w14:paraId="7630812E">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（四）引用评估报告披露的评估结论数据，以及对于可能存在相关负债的处理情况；</w:t>
      </w:r>
    </w:p>
    <w:p w14:paraId="280ED02F">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（五）其他需要披露的重要事项。</w:t>
      </w:r>
    </w:p>
    <w:p w14:paraId="64624F9E">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第十二条</w:t>
      </w:r>
      <w:r>
        <w:rPr>
          <w:rFonts w:hint="eastAsia" w:ascii="宋体" w:hAnsi="宋体" w:eastAsia="宋体" w:cs="宋体"/>
          <w:color w:val="000000"/>
          <w:kern w:val="0"/>
          <w:sz w:val="24"/>
          <w:shd w:val="clear" w:color="auto" w:fill="FFFFFF"/>
        </w:rPr>
        <w:t>　评估结论形成过程应当披露：</w:t>
      </w:r>
    </w:p>
    <w:p w14:paraId="6F0AFA73">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（一）不同评估方法的结果差异及原因分析；</w:t>
      </w:r>
    </w:p>
    <w:p w14:paraId="0E4529F3">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（二）形成评估结论的过程和理由；</w:t>
      </w:r>
    </w:p>
    <w:p w14:paraId="095BF531">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（三）评估结果考虑了具有控制权溢价或者缺乏控制权折价，或流动性对评估对象价值影响的，应当披露溢价或折价数值的测算过程及确定依据，并对相关差异进行分析说明；</w:t>
      </w:r>
    </w:p>
    <w:p w14:paraId="6CBEDA2D">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（四）评估对象涉及境外资产的，应当披露评估假设、重要参数的选取是否考虑了资产所在地的市场环境、人员、技术、法律、税收等方面的因素；</w:t>
      </w:r>
    </w:p>
    <w:p w14:paraId="73BE0B7D">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（五）可以结合对应的重组方式分析评估结论合理性。</w:t>
      </w:r>
    </w:p>
    <w:p w14:paraId="202D96F9">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第十三条</w:t>
      </w:r>
      <w:r>
        <w:rPr>
          <w:rFonts w:hint="eastAsia" w:ascii="宋体" w:hAnsi="宋体" w:eastAsia="宋体" w:cs="宋体"/>
          <w:color w:val="000000"/>
          <w:kern w:val="0"/>
          <w:sz w:val="24"/>
          <w:shd w:val="clear" w:color="auto" w:fill="FFFFFF"/>
        </w:rPr>
        <w:t>　应当披露主要资产的瑕疵事项。当瑕疵事项对评估结论可能存在重大影响时，还应当披露是否考虑瑕疵事项对评估结论的影响，存在瑕疵事项的资产评估值占总资产评估值以及评估结论的比例，相关方对瑕疵事项的承诺。</w:t>
      </w:r>
    </w:p>
    <w:p w14:paraId="127C0303">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第十四条</w:t>
      </w:r>
      <w:r>
        <w:rPr>
          <w:rFonts w:hint="eastAsia" w:ascii="宋体" w:hAnsi="宋体" w:eastAsia="宋体" w:cs="宋体"/>
          <w:color w:val="000000"/>
          <w:kern w:val="0"/>
          <w:sz w:val="24"/>
          <w:shd w:val="clear" w:color="auto" w:fill="FFFFFF"/>
        </w:rPr>
        <w:t>　应当披露影响评估对象价值的重大不确定性事项，以及对该事项的处理方式。</w:t>
      </w:r>
    </w:p>
    <w:p w14:paraId="0E488884">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第十五条</w:t>
      </w:r>
      <w:r>
        <w:rPr>
          <w:rFonts w:hint="eastAsia" w:ascii="宋体" w:hAnsi="宋体" w:eastAsia="宋体" w:cs="宋体"/>
          <w:color w:val="000000"/>
          <w:kern w:val="0"/>
          <w:sz w:val="24"/>
          <w:shd w:val="clear" w:color="auto" w:fill="FFFFFF"/>
        </w:rPr>
        <w:t>　应当披露评估基准日至评估报告日期间发生的影响评估结论的重大事项，以及对该事项的处理方式。</w:t>
      </w:r>
    </w:p>
    <w:p w14:paraId="2A50EFC9">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第十六条</w:t>
      </w:r>
      <w:r>
        <w:rPr>
          <w:rFonts w:hint="eastAsia" w:ascii="宋体" w:hAnsi="宋体" w:eastAsia="宋体" w:cs="宋体"/>
          <w:color w:val="000000"/>
          <w:kern w:val="0"/>
          <w:sz w:val="24"/>
          <w:shd w:val="clear" w:color="auto" w:fill="FFFFFF"/>
        </w:rPr>
        <w:t>　本专家指引是以上市公司重大资产重组业务中的评估实践为基础，针对此类评估业务评估报告披露的重点、难点提出的建议。本专家指引不涉及评估报告格式及评估报告基本内容的建议，未包括此类业务评估报告应该披露的全部内容。本专家指引不是对相关资产评估准则和上市公司信息披露有关规定的修正，也不是一项新的评估报告准则。</w:t>
      </w:r>
    </w:p>
    <w:p w14:paraId="7C6DE19B">
      <w:pPr>
        <w:spacing w:line="440" w:lineRule="atLeast"/>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br w:type="page"/>
      </w:r>
    </w:p>
    <w:p w14:paraId="31B8BC07">
      <w:pPr>
        <w:pStyle w:val="5"/>
        <w:spacing w:line="440" w:lineRule="atLeast"/>
        <w:jc w:val="center"/>
        <w:rPr>
          <w:rFonts w:ascii="宋体" w:hAnsi="宋体" w:eastAsia="宋体" w:cs="宋体"/>
        </w:rPr>
      </w:pPr>
      <w:bookmarkStart w:id="225" w:name="_Toc11405"/>
      <w:r>
        <w:rPr>
          <w:rFonts w:hint="eastAsia" w:ascii="宋体" w:hAnsi="宋体" w:eastAsia="宋体" w:cs="宋体"/>
        </w:rPr>
        <w:t>资产评估专家指引第7号——中小评估机构业务质量控制</w:t>
      </w:r>
      <w:bookmarkEnd w:id="225"/>
    </w:p>
    <w:p w14:paraId="731191CA">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本专家指引是一种专家建议。评估机构执行资产评估业务，可以参照本专家指引，也可以根据具体情况采用其他适当的做法。中国资产评估协会将根据业务发展，对本专家指引进行更新。</w:t>
      </w:r>
    </w:p>
    <w:p w14:paraId="01467327">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第一章　引言</w:t>
      </w:r>
    </w:p>
    <w:p w14:paraId="771933F2">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第一条</w:t>
      </w:r>
      <w:r>
        <w:rPr>
          <w:rFonts w:hint="eastAsia" w:ascii="宋体" w:hAnsi="宋体" w:eastAsia="宋体" w:cs="宋体"/>
          <w:color w:val="000000"/>
          <w:kern w:val="0"/>
          <w:sz w:val="24"/>
          <w:shd w:val="clear" w:color="auto" w:fill="FFFFFF"/>
        </w:rPr>
        <w:t>　为指导中小评估机构建立健全业务质量控制制度和程序，促进中小评估机构实现业务质量控制目标，中国资产评估协会组织制定了本专家指引。</w:t>
      </w:r>
    </w:p>
    <w:p w14:paraId="5D0750D9">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第二条</w:t>
      </w:r>
      <w:r>
        <w:rPr>
          <w:rFonts w:hint="eastAsia" w:ascii="宋体" w:hAnsi="宋体" w:eastAsia="宋体" w:cs="宋体"/>
          <w:color w:val="000000"/>
          <w:kern w:val="0"/>
          <w:sz w:val="24"/>
          <w:shd w:val="clear" w:color="auto" w:fill="FFFFFF"/>
        </w:rPr>
        <w:t>　中小评估机构的业务质量控制目标包括以下内容：</w:t>
      </w:r>
    </w:p>
    <w:p w14:paraId="2D5C8A8D">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（一）中小评估机构及其相关人员遵守法律法规、资产评估准则的规定；</w:t>
      </w:r>
    </w:p>
    <w:p w14:paraId="0D8944E6">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（二）中小评估机构及其相关人员勤勉尽责，保证业务质量，防范执业风险。</w:t>
      </w:r>
    </w:p>
    <w:p w14:paraId="2527781D">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第三条</w:t>
      </w:r>
      <w:r>
        <w:rPr>
          <w:rFonts w:hint="eastAsia" w:ascii="宋体" w:hAnsi="宋体" w:eastAsia="宋体" w:cs="宋体"/>
          <w:color w:val="000000"/>
          <w:kern w:val="0"/>
          <w:sz w:val="24"/>
          <w:shd w:val="clear" w:color="auto" w:fill="FFFFFF"/>
        </w:rPr>
        <w:t>　中小评估机构应当制定质量控制制度，为执行质量控制制度设计必要程序，具体包括以下内容：</w:t>
      </w:r>
    </w:p>
    <w:p w14:paraId="69664069">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（一）质量控制责任；</w:t>
      </w:r>
    </w:p>
    <w:p w14:paraId="55FF22F8">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（二）职业道德；</w:t>
      </w:r>
    </w:p>
    <w:p w14:paraId="0D3B6C59">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（三）人力资源；</w:t>
      </w:r>
    </w:p>
    <w:p w14:paraId="0300786A">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（四）评估业务承接；</w:t>
      </w:r>
    </w:p>
    <w:p w14:paraId="418864B9">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（五）评估业务计划；</w:t>
      </w:r>
    </w:p>
    <w:p w14:paraId="5C5A8D9C">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（六）评估业务实施和报告出具；</w:t>
      </w:r>
    </w:p>
    <w:p w14:paraId="1FEB8F55">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（七）监控和改进；</w:t>
      </w:r>
    </w:p>
    <w:p w14:paraId="78D5903C">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（八）文件和记录。</w:t>
      </w:r>
    </w:p>
    <w:p w14:paraId="273C6934">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第四条</w:t>
      </w:r>
      <w:r>
        <w:rPr>
          <w:rFonts w:hint="eastAsia" w:ascii="宋体" w:hAnsi="宋体" w:eastAsia="宋体" w:cs="宋体"/>
          <w:color w:val="000000"/>
          <w:kern w:val="0"/>
          <w:sz w:val="24"/>
          <w:shd w:val="clear" w:color="auto" w:fill="FFFFFF"/>
        </w:rPr>
        <w:t>　中小评估机构应当将质量控制制度和程序形成书面文件，传达到全体人员，记录制度和程序的执行情况。</w:t>
      </w:r>
    </w:p>
    <w:p w14:paraId="08331598">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中小评估机构人员应当根据岗位职责要求，掌握和执行这些制度和程序，及时向所在评估机构反馈对质量控制制度和程序的意见和建议。</w:t>
      </w:r>
    </w:p>
    <w:p w14:paraId="1A046D3E">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第二章　质量控制责任</w:t>
      </w:r>
    </w:p>
    <w:p w14:paraId="704A878B">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第五条</w:t>
      </w:r>
      <w:r>
        <w:rPr>
          <w:rFonts w:hint="eastAsia" w:ascii="宋体" w:hAnsi="宋体" w:eastAsia="宋体" w:cs="宋体"/>
          <w:color w:val="000000"/>
          <w:kern w:val="0"/>
          <w:sz w:val="24"/>
          <w:shd w:val="clear" w:color="auto" w:fill="FFFFFF"/>
        </w:rPr>
        <w:t>　中小评估机构应当合理界定质量控制主体承担的质量控制责任，并建立和落实责任追究机制。控制主体通常包括：</w:t>
      </w:r>
    </w:p>
    <w:p w14:paraId="36FC485B">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（一）最高管理层；</w:t>
      </w:r>
    </w:p>
    <w:p w14:paraId="17E28D76">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（二）首席评估师；</w:t>
      </w:r>
    </w:p>
    <w:p w14:paraId="37B49CC9">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（三）项目负责人；</w:t>
      </w:r>
    </w:p>
    <w:p w14:paraId="7EA4C90F">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（四）项目审核人员；</w:t>
      </w:r>
    </w:p>
    <w:p w14:paraId="6A666412">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（五）项目团队成员；</w:t>
      </w:r>
    </w:p>
    <w:p w14:paraId="2B9C0E61">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（六）评估机构其他人员。</w:t>
      </w:r>
    </w:p>
    <w:p w14:paraId="0811A5A5">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第六条</w:t>
      </w:r>
      <w:r>
        <w:rPr>
          <w:rFonts w:hint="eastAsia" w:ascii="宋体" w:hAnsi="宋体" w:eastAsia="宋体" w:cs="宋体"/>
          <w:color w:val="000000"/>
          <w:kern w:val="0"/>
          <w:sz w:val="24"/>
          <w:shd w:val="clear" w:color="auto" w:fill="FFFFFF"/>
        </w:rPr>
        <w:t>　最高管理层是指在中小评估机构内部指挥和控制评估机构的一个人或者一组人。最高管理层对业务质量控制承担最终责任。中小评估机构可以根据自身情况，确定最高管理层组成人员。当最高管理层为一个人时，公司制评估机构的最高管理层为法定代表人；合伙制评估机构的最高管理层为首席合伙人。</w:t>
      </w:r>
    </w:p>
    <w:p w14:paraId="46F86B73">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最高管理层应当在股东会（或者合伙人会议）授权的或者章程（或者合伙协议）规定的范围内行使职权，并承担以下职责：</w:t>
      </w:r>
    </w:p>
    <w:p w14:paraId="3E30716C">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（一）树立质量管理意识，让全体人员充分认识到业务质量控制的重要性，确保全员参与，以达到质量控制目标；</w:t>
      </w:r>
    </w:p>
    <w:p w14:paraId="5363B656">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（二）贯彻中小评估机构的服务宗旨，确保全体人员理解服务宗旨的内涵，并评审其持续适宜性；</w:t>
      </w:r>
    </w:p>
    <w:p w14:paraId="73489D46">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（三）制定各职能部门质量控制目标，质量控制目标应当具体、可测量和可实现，并与服务宗旨保持一致；</w:t>
      </w:r>
    </w:p>
    <w:p w14:paraId="440DA971">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（四）策划组织架构，设计质量控制制度和程序，对其进行定期评审，确保其处于适宜、充分和有效的状态。</w:t>
      </w:r>
    </w:p>
    <w:p w14:paraId="33C2F247">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第七条</w:t>
      </w:r>
      <w:r>
        <w:rPr>
          <w:rFonts w:hint="eastAsia" w:ascii="宋体" w:hAnsi="宋体" w:eastAsia="宋体" w:cs="宋体"/>
          <w:color w:val="000000"/>
          <w:kern w:val="0"/>
          <w:sz w:val="24"/>
          <w:shd w:val="clear" w:color="auto" w:fill="FFFFFF"/>
        </w:rPr>
        <w:t>　首席评估师是指最高管理层在业务质量控制方面的代表。首席评估师应当是评估机构的股东（或者合伙人），且应当具备履行职责所需要的经验和能力。首席评估师由最高管理层指定并授予其管理权限，直接对最高管理层负责。首席评估师承担以下职责：</w:t>
      </w:r>
    </w:p>
    <w:p w14:paraId="09DF7523">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（一）确保质量控制制度和程序的建立、实施和保持；</w:t>
      </w:r>
    </w:p>
    <w:p w14:paraId="4C617C32">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（二）监控质量控制制度和程序的运行情况，向最高管理层报告并提出改进的建议和方案；</w:t>
      </w:r>
    </w:p>
    <w:p w14:paraId="3BE523BD">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（三）促进全体人员不断提高业务质量意识。</w:t>
      </w:r>
    </w:p>
    <w:p w14:paraId="56387389">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第八条</w:t>
      </w:r>
      <w:r>
        <w:rPr>
          <w:rFonts w:hint="eastAsia" w:ascii="宋体" w:hAnsi="宋体" w:eastAsia="宋体" w:cs="宋体"/>
          <w:color w:val="000000"/>
          <w:kern w:val="0"/>
          <w:sz w:val="24"/>
          <w:shd w:val="clear" w:color="auto" w:fill="FFFFFF"/>
        </w:rPr>
        <w:t>　项目负责人是指负责某项业务及其执行，并在评估报告上签字的资产评估师。项目负责人承担以下职责：</w:t>
      </w:r>
    </w:p>
    <w:p w14:paraId="41CFB76C">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（一）评估计划的制订和组织实施；</w:t>
      </w:r>
    </w:p>
    <w:p w14:paraId="13A44EAF">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（二）评估业务实施中的协调和沟通；</w:t>
      </w:r>
    </w:p>
    <w:p w14:paraId="1721B023">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（三）按照程序报告与评估业务相关的重要信息；</w:t>
      </w:r>
    </w:p>
    <w:p w14:paraId="632DEC1C">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（四）组织复核项目团队成员的工作；</w:t>
      </w:r>
    </w:p>
    <w:p w14:paraId="14ADC47D">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（五）对专家的工作成果进行分析判断，确信其合理性；</w:t>
      </w:r>
    </w:p>
    <w:p w14:paraId="38DE3AA5">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（六）组织编制评估报告，并审核相关内容；</w:t>
      </w:r>
    </w:p>
    <w:p w14:paraId="0247A2AA">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（七）组织处理委托方或者委托方许可的相关当事方反馈的意见；</w:t>
      </w:r>
    </w:p>
    <w:p w14:paraId="0CD0687B">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（八）在出具的评估报告上签字盖章；</w:t>
      </w:r>
    </w:p>
    <w:p w14:paraId="217E76E1">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（九）组织评估业务工作底稿归档。</w:t>
      </w:r>
    </w:p>
    <w:p w14:paraId="42AB5EBD">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第九条</w:t>
      </w:r>
      <w:r>
        <w:rPr>
          <w:rFonts w:hint="eastAsia" w:ascii="宋体" w:hAnsi="宋体" w:eastAsia="宋体" w:cs="宋体"/>
          <w:color w:val="000000"/>
          <w:kern w:val="0"/>
          <w:sz w:val="24"/>
          <w:shd w:val="clear" w:color="auto" w:fill="FFFFFF"/>
        </w:rPr>
        <w:t>　项目审核人员是指项目团队以外，具有足够的技术专长和执业经验以及适当的权限，对项目团队工作进行独立、客观审核的人员。项目审核人员承担以下职责：</w:t>
      </w:r>
    </w:p>
    <w:p w14:paraId="57C1C0C0">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（一）审核评估程序执行情况；</w:t>
      </w:r>
    </w:p>
    <w:p w14:paraId="3347FE92">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（二）审核拟出具的评估报告；</w:t>
      </w:r>
    </w:p>
    <w:p w14:paraId="5DFC1F02">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（三）审核工作底稿；</w:t>
      </w:r>
    </w:p>
    <w:p w14:paraId="4D5EEB67">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（四）综合评价项目风险，提出出具评估报告的明确意见。</w:t>
      </w:r>
    </w:p>
    <w:p w14:paraId="6F07D03D">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第十条</w:t>
      </w:r>
      <w:r>
        <w:rPr>
          <w:rFonts w:hint="eastAsia" w:ascii="宋体" w:hAnsi="宋体" w:eastAsia="宋体" w:cs="宋体"/>
          <w:color w:val="000000"/>
          <w:kern w:val="0"/>
          <w:sz w:val="24"/>
          <w:shd w:val="clear" w:color="auto" w:fill="FFFFFF"/>
        </w:rPr>
        <w:t>　项目团队是指中小评估机构组建的为执行某项评估业务的一组人，项目团队由项目负责人管理。项目团队成员一般包括承担或者参与评估业务工作的资产评估师、业务助理人员。项目团队成员承担以下职责：</w:t>
      </w:r>
    </w:p>
    <w:p w14:paraId="39D4B179">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（一）接受项目负责人的管理，了解拟执行工作的目标，理解项目负责人的工作指令；</w:t>
      </w:r>
    </w:p>
    <w:p w14:paraId="62B5661A">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（二）按照评估机构质量控制制度和程序的要求从事具体评估业务工作，形成工作底稿；</w:t>
      </w:r>
    </w:p>
    <w:p w14:paraId="6E216549">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（三）汇报执行业务过程中发现的重大问题；</w:t>
      </w:r>
    </w:p>
    <w:p w14:paraId="09B111EA">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（四）复核已经完成的工作底稿并接受审核。</w:t>
      </w:r>
    </w:p>
    <w:p w14:paraId="66C01E24">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第十一条</w:t>
      </w:r>
      <w:r>
        <w:rPr>
          <w:rFonts w:hint="eastAsia" w:ascii="宋体" w:hAnsi="宋体" w:eastAsia="宋体" w:cs="宋体"/>
          <w:color w:val="000000"/>
          <w:kern w:val="0"/>
          <w:sz w:val="24"/>
          <w:shd w:val="clear" w:color="auto" w:fill="FFFFFF"/>
        </w:rPr>
        <w:t>　中小评估机构应当明确其他人员与质量控制相关的职责，该类人员通常包括：</w:t>
      </w:r>
    </w:p>
    <w:p w14:paraId="1D8C5052">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（一）业务洽谈人员；</w:t>
      </w:r>
    </w:p>
    <w:p w14:paraId="76CDEB8C">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（二）业务部门负责人；</w:t>
      </w:r>
    </w:p>
    <w:p w14:paraId="60F33E0D">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（三）人力资源管理人员；</w:t>
      </w:r>
    </w:p>
    <w:p w14:paraId="7E9C9BEA">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（四）信息管理人员；</w:t>
      </w:r>
    </w:p>
    <w:p w14:paraId="5D1BB583">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（五）档案管理人员；</w:t>
      </w:r>
    </w:p>
    <w:p w14:paraId="2E62BBFD">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（六）文秘人员。</w:t>
      </w:r>
      <w:bookmarkStart w:id="226" w:name="_Toc332433908"/>
    </w:p>
    <w:bookmarkEnd w:id="226"/>
    <w:p w14:paraId="5EA29D4D">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第三章　职业道德</w:t>
      </w:r>
    </w:p>
    <w:p w14:paraId="05FC6A5D">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第十二条</w:t>
      </w:r>
      <w:r>
        <w:rPr>
          <w:rFonts w:hint="eastAsia" w:ascii="宋体" w:hAnsi="宋体" w:eastAsia="宋体" w:cs="宋体"/>
          <w:color w:val="000000"/>
          <w:kern w:val="0"/>
          <w:sz w:val="24"/>
          <w:shd w:val="clear" w:color="auto" w:fill="FFFFFF"/>
        </w:rPr>
        <w:t>　中小评估机构应当制定制度和程序，并采取相应措施，以确保全体人员遵守《资产评估职业道德准则——基本准则》及相关资产评估准则。</w:t>
      </w:r>
    </w:p>
    <w:p w14:paraId="47C0900C">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第十三条</w:t>
      </w:r>
      <w:r>
        <w:rPr>
          <w:rFonts w:hint="eastAsia" w:ascii="宋体" w:hAnsi="宋体" w:eastAsia="宋体" w:cs="宋体"/>
          <w:color w:val="000000"/>
          <w:kern w:val="0"/>
          <w:sz w:val="24"/>
          <w:shd w:val="clear" w:color="auto" w:fill="FFFFFF"/>
        </w:rPr>
        <w:t>　中小评估机构管理层应当遵守《资产评估职业道德准则——基本准则》及相关资产评估准则，通过行为示范在评估机构内部形成重视职业道德的氛围。</w:t>
      </w:r>
    </w:p>
    <w:p w14:paraId="38717006">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第十四条</w:t>
      </w:r>
      <w:r>
        <w:rPr>
          <w:rFonts w:hint="eastAsia" w:ascii="宋体" w:hAnsi="宋体" w:eastAsia="宋体" w:cs="宋体"/>
          <w:color w:val="000000"/>
          <w:kern w:val="0"/>
          <w:sz w:val="24"/>
          <w:shd w:val="clear" w:color="auto" w:fill="FFFFFF"/>
        </w:rPr>
        <w:t>　中小评估机构应当对全体人员提出遵守职业道德的具体要求。</w:t>
      </w:r>
    </w:p>
    <w:p w14:paraId="348FBBE6">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第十五条</w:t>
      </w:r>
      <w:r>
        <w:rPr>
          <w:rFonts w:hint="eastAsia" w:ascii="宋体" w:hAnsi="宋体" w:eastAsia="宋体" w:cs="宋体"/>
          <w:color w:val="000000"/>
          <w:kern w:val="0"/>
          <w:sz w:val="24"/>
          <w:shd w:val="clear" w:color="auto" w:fill="FFFFFF"/>
        </w:rPr>
        <w:t>　中小评估机构应当通过专门教育和培训，确保资产评估师和相关人员具备相应的专业知识和经验，保持应有的专业胜任能力。</w:t>
      </w:r>
    </w:p>
    <w:p w14:paraId="27D1F493">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第十六条</w:t>
      </w:r>
      <w:r>
        <w:rPr>
          <w:rFonts w:hint="eastAsia" w:ascii="宋体" w:hAnsi="宋体" w:eastAsia="宋体" w:cs="宋体"/>
          <w:color w:val="000000"/>
          <w:kern w:val="0"/>
          <w:sz w:val="24"/>
          <w:shd w:val="clear" w:color="auto" w:fill="FFFFFF"/>
        </w:rPr>
        <w:t>　中小评估机构应当要求评估人员在签订劳动合同的同时签署遵守职业道德规范承诺函，并且每年对评估人员所签署的职业道德规范承诺函的遵守情况进行全面检查。</w:t>
      </w:r>
    </w:p>
    <w:p w14:paraId="31841EB9">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第十七条</w:t>
      </w:r>
      <w:r>
        <w:rPr>
          <w:rFonts w:hint="eastAsia" w:ascii="宋体" w:hAnsi="宋体" w:eastAsia="宋体" w:cs="宋体"/>
          <w:color w:val="000000"/>
          <w:kern w:val="0"/>
          <w:sz w:val="24"/>
          <w:shd w:val="clear" w:color="auto" w:fill="FFFFFF"/>
        </w:rPr>
        <w:t>　中小评估机构应当保持必要的职业审慎态度，识别可能影响独立性的情形，合理判断其对独立性的影响，采取恰当措施保证独立性贯穿评估程序始终。</w:t>
      </w:r>
    </w:p>
    <w:p w14:paraId="2EA572EA">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第十八条</w:t>
      </w:r>
      <w:r>
        <w:rPr>
          <w:rFonts w:hint="eastAsia" w:ascii="宋体" w:hAnsi="宋体" w:eastAsia="宋体" w:cs="宋体"/>
          <w:color w:val="000000"/>
          <w:kern w:val="0"/>
          <w:sz w:val="24"/>
          <w:shd w:val="clear" w:color="auto" w:fill="FFFFFF"/>
        </w:rPr>
        <w:t>　中小评估机构执业人员和其他相关人员对国家秘密、委托方和相关当事方的商业秘密、所在机构的商业秘密负有保密义务。除下列人员和机构可以依法从评估机构获取和保留国家秘密及商业秘密外，不得向他人泄露在执业过程中获得的不应当公开的信息以及评估结论：</w:t>
      </w:r>
    </w:p>
    <w:p w14:paraId="578CA96F">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（一）委托方或者由委托方书面许可的人；</w:t>
      </w:r>
    </w:p>
    <w:p w14:paraId="5CDCA07B">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（二）法律、行政法规允许的</w:t>
      </w:r>
      <w:bookmarkStart w:id="227" w:name="_Toc332433909"/>
      <w:r>
        <w:rPr>
          <w:rFonts w:hint="eastAsia" w:ascii="宋体" w:hAnsi="宋体" w:eastAsia="宋体" w:cs="宋体"/>
          <w:color w:val="000000"/>
          <w:kern w:val="0"/>
          <w:sz w:val="24"/>
          <w:shd w:val="clear" w:color="auto" w:fill="FFFFFF"/>
        </w:rPr>
        <w:t>第三方；</w:t>
      </w:r>
    </w:p>
    <w:p w14:paraId="66C86170">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（三）具有管辖权的监管机构、行业协会。</w:t>
      </w:r>
    </w:p>
    <w:p w14:paraId="00E2741A">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执业人员和其他相关人员在为委托方和相关当事方服务结束或者离开所在评估机构后，应当按照有关规定或者合同约定承担保密义务。</w:t>
      </w:r>
    </w:p>
    <w:p w14:paraId="08CD8907">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第十九条</w:t>
      </w:r>
      <w:r>
        <w:rPr>
          <w:rFonts w:hint="eastAsia" w:ascii="宋体" w:hAnsi="宋体" w:eastAsia="宋体" w:cs="宋体"/>
          <w:color w:val="000000"/>
          <w:kern w:val="0"/>
          <w:sz w:val="24"/>
          <w:shd w:val="clear" w:color="auto" w:fill="FFFFFF"/>
        </w:rPr>
        <w:t>　中小评估机构应当对违反职业道德要求的员工进行处理并记录处理结果。</w:t>
      </w:r>
    </w:p>
    <w:bookmarkEnd w:id="227"/>
    <w:p w14:paraId="2103207A">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第四章　人力资源</w:t>
      </w:r>
    </w:p>
    <w:p w14:paraId="3EBAC12D">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第二十条</w:t>
      </w:r>
      <w:r>
        <w:rPr>
          <w:rFonts w:hint="eastAsia" w:ascii="宋体" w:hAnsi="宋体" w:eastAsia="宋体" w:cs="宋体"/>
          <w:color w:val="000000"/>
          <w:kern w:val="0"/>
          <w:sz w:val="24"/>
          <w:shd w:val="clear" w:color="auto" w:fill="FFFFFF"/>
        </w:rPr>
        <w:t>　中小评估机构应当合理配置必需的人力资源，并根据业务的变化，对人力资源进行调整和更新。</w:t>
      </w:r>
    </w:p>
    <w:p w14:paraId="5FDDBAA6">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第二十一条</w:t>
      </w:r>
      <w:r>
        <w:rPr>
          <w:rFonts w:hint="eastAsia" w:ascii="宋体" w:hAnsi="宋体" w:eastAsia="宋体" w:cs="宋体"/>
          <w:color w:val="000000"/>
          <w:kern w:val="0"/>
          <w:sz w:val="24"/>
          <w:shd w:val="clear" w:color="auto" w:fill="FFFFFF"/>
        </w:rPr>
        <w:t>　中小评估机构应当明确各岗位职责和任职要求，制定并不断完善员工招聘制度、培训制度、绩效考评制度、薪酬及晋升制度。</w:t>
      </w:r>
    </w:p>
    <w:p w14:paraId="625BDD84">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中小评估机构应当制定适宜的招聘制度，根据自身及业务发展的实际需要，招聘具备执行业务所需的专业胜任能力的人员。中小评估机构按照所需岗位的职位描述对应聘人员进行初步筛选，从专业胜任能力方面对应聘者进行评价，形成综合评价意见。</w:t>
      </w:r>
    </w:p>
    <w:p w14:paraId="6E5CA735">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中小评估机构应当根据自身业务特点建立和完善员工培训制度，确保各级业务人员及时熟悉并掌握相关法律法规和评估准则，更新和提高专业知识，保持和完善专业技能，不断提高专业胜任能力。培训制度应当包括以下内容：</w:t>
      </w:r>
    </w:p>
    <w:p w14:paraId="51382DF3">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1.员工培训计划；</w:t>
      </w:r>
    </w:p>
    <w:p w14:paraId="7E3A78AC">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2.参加并完成资产评估行业协会、相关管理部门要求的继续教育；</w:t>
      </w:r>
    </w:p>
    <w:p w14:paraId="62324355">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3.举办内部培训；</w:t>
      </w:r>
    </w:p>
    <w:p w14:paraId="55AE7827">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4.书面记录各级评估人员参加培训情况，定期检查、评价培训的内容和效果。</w:t>
      </w:r>
    </w:p>
    <w:p w14:paraId="3A84807B">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（三）中小评估机构根据自身发展目标的需求，建立和完善员工绩效考评制度，优化人力资源结构，提升员工的满意程度和未来期望。绩效考评制度通常包括以下内容：</w:t>
      </w:r>
    </w:p>
    <w:p w14:paraId="7FDAE44E">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1.每年至少进行一次员工绩效考评。绩效考评按不同职务级别、不同岗位进行；</w:t>
      </w:r>
    </w:p>
    <w:p w14:paraId="4A596182">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2.绩效考评可以采取上级评价下级、集体无记名打分等评价方式，对员工年度内的工作态度、工作能力、工作成绩、综合能力及素质进行综合性评价；</w:t>
      </w:r>
    </w:p>
    <w:p w14:paraId="5D5DF1CC">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3.绩效考评结果与薪酬调整、职级升降和续聘辞退挂钩。</w:t>
      </w:r>
    </w:p>
    <w:p w14:paraId="1A22940C">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（四）中小评估机构应当本着责任与报酬相配比，风险与补偿相对应，考核与激励相结合，绩效与奖惩相挂钩的原则，建立和完善员工薪酬制度。</w:t>
      </w:r>
    </w:p>
    <w:p w14:paraId="1D218BB2">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第二十二条</w:t>
      </w:r>
      <w:r>
        <w:rPr>
          <w:rFonts w:hint="eastAsia" w:ascii="宋体" w:hAnsi="宋体" w:eastAsia="宋体" w:cs="宋体"/>
          <w:color w:val="000000"/>
          <w:kern w:val="0"/>
          <w:sz w:val="24"/>
          <w:shd w:val="clear" w:color="auto" w:fill="FFFFFF"/>
        </w:rPr>
        <w:t>　中小评估机构在制定组建项目团队的制度和程序时，应当要求项目团队成员具备下列条件：</w:t>
      </w:r>
    </w:p>
    <w:p w14:paraId="08D0FBFE">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（一）必要的职业道德，能够保持独立性；</w:t>
      </w:r>
    </w:p>
    <w:p w14:paraId="2394176C">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（二）必要的专业知识、执业能力、专业经验；</w:t>
      </w:r>
    </w:p>
    <w:p w14:paraId="289B55FD">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（三）遵守评估机构业务质量控制制度和程序的意识。</w:t>
      </w:r>
    </w:p>
    <w:p w14:paraId="3FE46E83">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第二十三条</w:t>
      </w:r>
      <w:r>
        <w:rPr>
          <w:rFonts w:hint="eastAsia" w:ascii="宋体" w:hAnsi="宋体" w:eastAsia="宋体" w:cs="宋体"/>
          <w:color w:val="000000"/>
          <w:kern w:val="0"/>
          <w:sz w:val="24"/>
          <w:shd w:val="clear" w:color="auto" w:fill="FFFFFF"/>
        </w:rPr>
        <w:t>　中小评估机构应当结合自身情况，建立健全聘请专家和外部人员协助工作的制度和程序，以确信专家和外部人员工作的合理性。</w:t>
      </w:r>
      <w:bookmarkStart w:id="228" w:name="_Toc332433910"/>
    </w:p>
    <w:bookmarkEnd w:id="228"/>
    <w:p w14:paraId="56C63AC8">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第五章　评估业务承接</w:t>
      </w:r>
    </w:p>
    <w:p w14:paraId="480D9C5B">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第二十四条</w:t>
      </w:r>
      <w:r>
        <w:rPr>
          <w:rFonts w:hint="eastAsia" w:ascii="宋体" w:hAnsi="宋体" w:eastAsia="宋体" w:cs="宋体"/>
          <w:color w:val="000000"/>
          <w:kern w:val="0"/>
          <w:sz w:val="24"/>
          <w:shd w:val="clear" w:color="auto" w:fill="FFFFFF"/>
        </w:rPr>
        <w:t>　中小评估机构应当根据自身特点谨慎地选择客户和业务，在业务承接环节应当考虑以下方面：</w:t>
      </w:r>
    </w:p>
    <w:p w14:paraId="62180F24">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（一）评估业务的基本事项、委托方的要求、被评估单位（产权持有单位）的情况；</w:t>
      </w:r>
    </w:p>
    <w:p w14:paraId="3F04DAC0">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（二）具有执行该项业务的专业胜任能力、时间和资源；</w:t>
      </w:r>
    </w:p>
    <w:p w14:paraId="2224045E">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（三）能够遵守职业道德，与委托方或者相关当事方不存在可能影响独立性的情形；</w:t>
      </w:r>
    </w:p>
    <w:p w14:paraId="3F5F2694">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（四）对委托业务风险进行评价，该项业务的承接不会给评估机构带来不可控制的风险；</w:t>
      </w:r>
    </w:p>
    <w:p w14:paraId="670D449C">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（五）考虑工作量，预计项目成本，合理确定项目收费。</w:t>
      </w:r>
    </w:p>
    <w:p w14:paraId="46365E7A">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第二十五条</w:t>
      </w:r>
      <w:r>
        <w:rPr>
          <w:rFonts w:hint="eastAsia" w:ascii="宋体" w:hAnsi="宋体" w:eastAsia="宋体" w:cs="宋体"/>
          <w:color w:val="000000"/>
          <w:kern w:val="0"/>
          <w:sz w:val="24"/>
          <w:shd w:val="clear" w:color="auto" w:fill="FFFFFF"/>
        </w:rPr>
        <w:t>　业务洽谈人员对评估业务进行初步评价，可以接受的评估业务，报法定代表人（或者首席合伙人）批准；当评估业务存在较大风险时，业务洽谈人员提请首席评估师处理；首席评估师不能解决的，应当向最高管理层报告，最高管理层认为有必要时，中小评估机构应当召开由法定代表人（或者首席合伙人）主持，首席评估师、业务洽谈人员、拟委派的项目负责人、签字资产评估师和项目审核人员等参加的会议，决定是否承接。会议应当形成记录并归档。</w:t>
      </w:r>
    </w:p>
    <w:p w14:paraId="11081146">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第二十六条</w:t>
      </w:r>
      <w:r>
        <w:rPr>
          <w:rFonts w:hint="eastAsia" w:ascii="宋体" w:hAnsi="宋体" w:eastAsia="宋体" w:cs="宋体"/>
          <w:color w:val="000000"/>
          <w:kern w:val="0"/>
          <w:sz w:val="24"/>
          <w:shd w:val="clear" w:color="auto" w:fill="FFFFFF"/>
        </w:rPr>
        <w:t>　项目负责人在获知可能存在风险的情形或者变更、中止、终止业务约定书的信息时，应当提请首席评估师处理；首席评估师不能解决的，应当报最高管理层；最高管理层认为必要时，召开由法定代表人（或者首席合伙人）主持，首席评估师、业务洽谈人员、项目负责人、签字资产评估师和项目审核人员等参加的会议，决定是否变更、中止、终止该项业务约定书。会议应当形成记录并归档。</w:t>
      </w:r>
    </w:p>
    <w:p w14:paraId="3995194F">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第二十七条</w:t>
      </w:r>
      <w:r>
        <w:rPr>
          <w:rFonts w:hint="eastAsia" w:ascii="宋体" w:hAnsi="宋体" w:eastAsia="宋体" w:cs="宋体"/>
          <w:color w:val="000000"/>
          <w:kern w:val="0"/>
          <w:sz w:val="24"/>
          <w:shd w:val="clear" w:color="auto" w:fill="FFFFFF"/>
        </w:rPr>
        <w:t>　如果变更、中止、终止该项业务，中小评估机构的相关人员应当就拟采取的行动及原因与客户进行沟通。</w:t>
      </w:r>
    </w:p>
    <w:p w14:paraId="64D9F133">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第六章　评估业务计划</w:t>
      </w:r>
    </w:p>
    <w:p w14:paraId="0CC5F2B2">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第二十八条</w:t>
      </w:r>
      <w:r>
        <w:rPr>
          <w:rFonts w:hint="eastAsia" w:ascii="宋体" w:hAnsi="宋体" w:eastAsia="宋体" w:cs="宋体"/>
          <w:color w:val="000000"/>
          <w:kern w:val="0"/>
          <w:sz w:val="24"/>
          <w:shd w:val="clear" w:color="auto" w:fill="FFFFFF"/>
        </w:rPr>
        <w:t>　中小评估机构应当制定评估业务计划的控制制度和程序，并采取相应措施，以确保：</w:t>
      </w:r>
    </w:p>
    <w:p w14:paraId="51F50732">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（一）项目团队成员了解工作内容、工作目标、重点关注领域；</w:t>
      </w:r>
    </w:p>
    <w:p w14:paraId="54DB6006">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（二）项目负责人有效组织和管理评估业务；</w:t>
      </w:r>
    </w:p>
    <w:p w14:paraId="304FE667">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（三）管理层人员有效监控评估业务；</w:t>
      </w:r>
    </w:p>
    <w:p w14:paraId="5907409E">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（四）委托方和相关当事方了解评估计划的内容，配合项目团队工作。</w:t>
      </w:r>
    </w:p>
    <w:p w14:paraId="4BFE965F">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第二十九条</w:t>
      </w:r>
      <w:r>
        <w:rPr>
          <w:rFonts w:hint="eastAsia" w:ascii="宋体" w:hAnsi="宋体" w:eastAsia="宋体" w:cs="宋体"/>
          <w:color w:val="000000"/>
          <w:kern w:val="0"/>
          <w:sz w:val="24"/>
          <w:shd w:val="clear" w:color="auto" w:fill="FFFFFF"/>
        </w:rPr>
        <w:t>　评估计划应当由项目负责人编制，在编制评估计划前项目负责人应当完成以下事项：</w:t>
      </w:r>
    </w:p>
    <w:p w14:paraId="6408CFC9">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（一）进一步明确评估业务基本事项；</w:t>
      </w:r>
    </w:p>
    <w:p w14:paraId="116FCBB3">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（二）为编制评估计划、开展后续工作组织资源；</w:t>
      </w:r>
    </w:p>
    <w:p w14:paraId="0093ED2E">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（三）确定是否对委托方和相关当事方进行必要的业务指导；</w:t>
      </w:r>
    </w:p>
    <w:p w14:paraId="57F35552">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（四）确定是否对项目团队成员进行适当的培训；</w:t>
      </w:r>
    </w:p>
    <w:p w14:paraId="5A5DA528">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（五）确定是否开展初步评估活动。</w:t>
      </w:r>
    </w:p>
    <w:p w14:paraId="0DC43919">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第三十条</w:t>
      </w:r>
      <w:r>
        <w:rPr>
          <w:rFonts w:hint="eastAsia" w:ascii="宋体" w:hAnsi="宋体" w:eastAsia="宋体" w:cs="宋体"/>
          <w:color w:val="000000"/>
          <w:kern w:val="0"/>
          <w:sz w:val="24"/>
          <w:shd w:val="clear" w:color="auto" w:fill="FFFFFF"/>
        </w:rPr>
        <w:t>　评估计划应当涵盖评估业务实施全过程，一般包括现场调查、收集评估资料、评定估算、编制和提交评估报告等。评估计划主要内容通常包括：</w:t>
      </w:r>
    </w:p>
    <w:p w14:paraId="30BA433B">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（一）评估目的；</w:t>
      </w:r>
    </w:p>
    <w:p w14:paraId="20618D48">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（二）评估对象和范围；</w:t>
      </w:r>
    </w:p>
    <w:p w14:paraId="1573AC0C">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（三）价值类型；</w:t>
      </w:r>
    </w:p>
    <w:p w14:paraId="7E57CB72">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（四）评估基准日；</w:t>
      </w:r>
    </w:p>
    <w:p w14:paraId="0BE71BA2">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（五）主要程序的时间进度；</w:t>
      </w:r>
    </w:p>
    <w:p w14:paraId="20562959">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（六）人员安排；</w:t>
      </w:r>
    </w:p>
    <w:p w14:paraId="4864126C">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（七）评估方法；</w:t>
      </w:r>
    </w:p>
    <w:p w14:paraId="641680AF">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（八）技术方案；</w:t>
      </w:r>
    </w:p>
    <w:p w14:paraId="0592CD3D">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（九）是否需要利用专家工作。</w:t>
      </w:r>
    </w:p>
    <w:p w14:paraId="06320702">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第三十一条</w:t>
      </w:r>
      <w:r>
        <w:rPr>
          <w:rFonts w:hint="eastAsia" w:ascii="宋体" w:hAnsi="宋体" w:eastAsia="宋体" w:cs="宋体"/>
          <w:color w:val="000000"/>
          <w:kern w:val="0"/>
          <w:sz w:val="24"/>
          <w:shd w:val="clear" w:color="auto" w:fill="FFFFFF"/>
        </w:rPr>
        <w:t>　评估计划应当经过最高管理层成员批准后实施。如果在业务执行过程中发生重大调整，应当重新报批。</w:t>
      </w:r>
    </w:p>
    <w:p w14:paraId="646B2CAB">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第三十二条</w:t>
      </w:r>
      <w:r>
        <w:rPr>
          <w:rFonts w:hint="eastAsia" w:ascii="宋体" w:hAnsi="宋体" w:eastAsia="宋体" w:cs="宋体"/>
          <w:color w:val="000000"/>
          <w:kern w:val="0"/>
          <w:sz w:val="24"/>
          <w:shd w:val="clear" w:color="auto" w:fill="FFFFFF"/>
        </w:rPr>
        <w:t>　对大型、复杂的评估业务，应当编制详细的评估计划。</w:t>
      </w:r>
      <w:bookmarkStart w:id="229" w:name="_Toc332433912"/>
    </w:p>
    <w:bookmarkEnd w:id="229"/>
    <w:p w14:paraId="4D4F9042">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第七章　评估业务实施和报告出具</w:t>
      </w:r>
    </w:p>
    <w:p w14:paraId="4276DC4A">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第三十三条</w:t>
      </w:r>
      <w:r>
        <w:rPr>
          <w:rFonts w:hint="eastAsia" w:ascii="宋体" w:hAnsi="宋体" w:eastAsia="宋体" w:cs="宋体"/>
          <w:color w:val="000000"/>
          <w:kern w:val="0"/>
          <w:sz w:val="24"/>
          <w:shd w:val="clear" w:color="auto" w:fill="FFFFFF"/>
        </w:rPr>
        <w:t>　中小评估机构应当制定评估业务实施和报告出具环节的制度和程序，针对以下方面采取相应措施，保证评估业务正确执行，满足出具评估报告的要求：</w:t>
      </w:r>
    </w:p>
    <w:p w14:paraId="4ADC43E8">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（一）项目团队组建及工作委派；</w:t>
      </w:r>
    </w:p>
    <w:p w14:paraId="1F6EE987">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（二）现场调查、评估资料收集和评定估算；</w:t>
      </w:r>
    </w:p>
    <w:p w14:paraId="7044E647">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（三）评估报告编制；</w:t>
      </w:r>
    </w:p>
    <w:p w14:paraId="6FF3394E">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（四）利用专家工作；</w:t>
      </w:r>
    </w:p>
    <w:p w14:paraId="3FD9C022">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（五）疑难问题的咨询及解决；</w:t>
      </w:r>
    </w:p>
    <w:p w14:paraId="61436333">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（六）争议事项的解决；</w:t>
      </w:r>
    </w:p>
    <w:p w14:paraId="35649E8A">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（七）项目负责人的指导与监督；</w:t>
      </w:r>
    </w:p>
    <w:p w14:paraId="506F8E1E">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（八）内部审核；</w:t>
      </w:r>
    </w:p>
    <w:p w14:paraId="40D76394">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（九）评估报告签发及提交。</w:t>
      </w:r>
    </w:p>
    <w:p w14:paraId="1A4C3B0F">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第三十四条</w:t>
      </w:r>
      <w:r>
        <w:rPr>
          <w:rFonts w:hint="eastAsia" w:ascii="宋体" w:hAnsi="宋体" w:eastAsia="宋体" w:cs="宋体"/>
          <w:color w:val="000000"/>
          <w:kern w:val="0"/>
          <w:sz w:val="24"/>
          <w:shd w:val="clear" w:color="auto" w:fill="FFFFFF"/>
        </w:rPr>
        <w:t>　中小评估机构应当根据评估业务的规模、难易程度等确定项目负责人，根据项目负责人的建议组建项目团队，明确项目团队成员的职责、权限分工。</w:t>
      </w:r>
    </w:p>
    <w:p w14:paraId="4D488560">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（一）项目负责人应当符合下列要求：</w:t>
      </w:r>
    </w:p>
    <w:p w14:paraId="75712304">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1.具有资产评估师资格；</w:t>
      </w:r>
    </w:p>
    <w:p w14:paraId="7A1CF981">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2.具备履行职责所需的职业道德、专业知识、执业能力、专业经验；</w:t>
      </w:r>
    </w:p>
    <w:p w14:paraId="1FDD602E">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3.对大型、复杂的评估业务，项目负责人应当由具有专业胜任能力的股东（或者合伙人）担任。</w:t>
      </w:r>
    </w:p>
    <w:p w14:paraId="2B4C7210">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（二）项目团队其他成员应当具有完成评估业务必备的专业胜任能力和经验。</w:t>
      </w:r>
    </w:p>
    <w:p w14:paraId="57DC6B02">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第三十五条</w:t>
      </w:r>
      <w:r>
        <w:rPr>
          <w:rFonts w:hint="eastAsia" w:ascii="宋体" w:hAnsi="宋体" w:eastAsia="宋体" w:cs="宋体"/>
          <w:color w:val="000000"/>
          <w:kern w:val="0"/>
          <w:sz w:val="24"/>
          <w:shd w:val="clear" w:color="auto" w:fill="FFFFFF"/>
        </w:rPr>
        <w:t>　中小评估机构应当针对不同特征资产（企业）的现场调查、收集评估资料、评定估算以及编制评估报告情况，制定控制制度和程序：</w:t>
      </w:r>
    </w:p>
    <w:p w14:paraId="04902ED1">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（一）根据业务现场情况制定可行的现场工作方案，组织项目团队成员进行现场调查，收集、整理相关资料，按评估计划完成现场工作，并有完整记录；</w:t>
      </w:r>
    </w:p>
    <w:p w14:paraId="083EDF7E">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谨慎选择收集资料的渠道，对委托方及被评估单位（产权持有单位）提供的资料，现场调查收集的资料，直接从市场等渠道独立获取的资料，以及从政府部门、各类专业机构和其他相关部门获取的资料进行分析，并重点关注评估资料的相关性和可靠性；</w:t>
      </w:r>
    </w:p>
    <w:p w14:paraId="349E9B19">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（三）根据评估对象、评估目的、价值类型、资料收集情况，分析、判断评估方法的恰当性，进行评定估算，对评估结论的合理性进行分析，记录评估方法、参数的选取及评估结论的确定过程。</w:t>
      </w:r>
    </w:p>
    <w:p w14:paraId="1BD24638">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第三十六条</w:t>
      </w:r>
      <w:r>
        <w:rPr>
          <w:rFonts w:hint="eastAsia" w:ascii="宋体" w:hAnsi="宋体" w:eastAsia="宋体" w:cs="宋体"/>
          <w:color w:val="000000"/>
          <w:kern w:val="0"/>
          <w:sz w:val="24"/>
          <w:shd w:val="clear" w:color="auto" w:fill="FFFFFF"/>
        </w:rPr>
        <w:t>　评估报告应当由项目负责人组织编制，在评估报告编制前应当对已经完成的工作底稿进行整理、分析、审核，对评估结论进行综合评价。评估报告应当全面、客观反映评估过程和评估结论，内容完整，格式规范。</w:t>
      </w:r>
    </w:p>
    <w:p w14:paraId="67501B2F">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第三十七条</w:t>
      </w:r>
      <w:r>
        <w:rPr>
          <w:rFonts w:hint="eastAsia" w:ascii="宋体" w:hAnsi="宋体" w:eastAsia="宋体" w:cs="宋体"/>
          <w:color w:val="000000"/>
          <w:kern w:val="0"/>
          <w:sz w:val="24"/>
          <w:shd w:val="clear" w:color="auto" w:fill="FFFFFF"/>
        </w:rPr>
        <w:t>　中小评估机构在评估业务执行过程中，如果需要专家协助工作，项目负责人应当与专家充分沟通，确保专家理解工作目标，履行评估程序。</w:t>
      </w:r>
    </w:p>
    <w:p w14:paraId="404D8558">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第三十八条</w:t>
      </w:r>
      <w:r>
        <w:rPr>
          <w:rFonts w:hint="eastAsia" w:ascii="宋体" w:hAnsi="宋体" w:eastAsia="宋体" w:cs="宋体"/>
          <w:color w:val="000000"/>
          <w:kern w:val="0"/>
          <w:sz w:val="24"/>
          <w:shd w:val="clear" w:color="auto" w:fill="FFFFFF"/>
        </w:rPr>
        <w:t>　中小评估机构制定的引用其他专业报告结论的控制制度和程序，通常包括下列内容：</w:t>
      </w:r>
    </w:p>
    <w:p w14:paraId="26010CB7">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（一）对出具专业报告的机构资质进行核实；</w:t>
      </w:r>
    </w:p>
    <w:p w14:paraId="7FB8FEFC">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（二）对拟引用专业报告的重大事项进行必要关注；</w:t>
      </w:r>
    </w:p>
    <w:p w14:paraId="0009D7DB">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（三）引用的情形、方式及其在评估报告中的披露。</w:t>
      </w:r>
    </w:p>
    <w:p w14:paraId="447B918A">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第三十九条</w:t>
      </w:r>
      <w:r>
        <w:rPr>
          <w:rFonts w:hint="eastAsia" w:ascii="宋体" w:hAnsi="宋体" w:eastAsia="宋体" w:cs="宋体"/>
          <w:color w:val="000000"/>
          <w:kern w:val="0"/>
          <w:sz w:val="24"/>
          <w:shd w:val="clear" w:color="auto" w:fill="FFFFFF"/>
        </w:rPr>
        <w:t>　中小评估机构应当制定疑难问题解决制度和程序，对于在评估业务执行过程中遇到的疑难问题，应当考虑以适当方式和渠道进行咨询，避免随意处理或者回避。</w:t>
      </w:r>
    </w:p>
    <w:p w14:paraId="50AEA00B">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项目团队内部应当形成良好的咨询、研讨氛围，评估人员遇到疑难问题时，应当及时向项目负责人或者项目团队其他成员咨询。如果疑难问题在项目团队内部无法得到解决，项目负责人应当将问题以及所有相关的事项报首席评估师；</w:t>
      </w:r>
    </w:p>
    <w:p w14:paraId="182636C8">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（二）首席评估师应当及时解答项目团队提交的问题，并以适当的形式反馈咨询意见。对于首席评估师无法解决的疑难事项，可向评估机构外部其他具备适当知识、资历和经验的专业人士咨询；</w:t>
      </w:r>
    </w:p>
    <w:p w14:paraId="3C37F864">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（三）项目团队应当完整、详细地记录寻求咨询的事项及咨询的结果。</w:t>
      </w:r>
    </w:p>
    <w:p w14:paraId="1C69C84E">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项目团队各级人员应当切实履行职责，其职责不因咨询而改变。</w:t>
      </w:r>
    </w:p>
    <w:p w14:paraId="725AD988">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第四十条</w:t>
      </w:r>
      <w:r>
        <w:rPr>
          <w:rFonts w:hint="eastAsia" w:ascii="宋体" w:hAnsi="宋体" w:eastAsia="宋体" w:cs="宋体"/>
          <w:color w:val="000000"/>
          <w:kern w:val="0"/>
          <w:sz w:val="24"/>
          <w:shd w:val="clear" w:color="auto" w:fill="FFFFFF"/>
        </w:rPr>
        <w:t>　中小评估机构应当制定意见分歧解决制度和程序，处理和解决签字的资产评估师之间的意见分歧，项目负责人与项目审核人员、首席评估师之间的意见分歧。形成的结论应当执行并记录。</w:t>
      </w:r>
    </w:p>
    <w:p w14:paraId="4A34E0D5">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（一）签字的资产评估师之间、项目负责人与项目审核人员之间、项目负责人与首席评估师之间的意见分歧，由首席评估师负责协调处理；</w:t>
      </w:r>
    </w:p>
    <w:p w14:paraId="72CCDC40">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（二）在意见分歧未得到解决之前，评估机构不得出具评估报告。</w:t>
      </w:r>
    </w:p>
    <w:p w14:paraId="1781608D">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第四十一条</w:t>
      </w:r>
      <w:r>
        <w:rPr>
          <w:rFonts w:hint="eastAsia" w:ascii="宋体" w:hAnsi="宋体" w:eastAsia="宋体" w:cs="宋体"/>
          <w:color w:val="000000"/>
          <w:kern w:val="0"/>
          <w:sz w:val="24"/>
          <w:shd w:val="clear" w:color="auto" w:fill="FFFFFF"/>
        </w:rPr>
        <w:t>　中小评估机构应当制定项目负责人制度和程序，要求项目负责人对项目团队成员的评估业务工作给予充分的指导和监督，合理保证其按照法律法规、资产评估准则的规定执行业务，并根据具体情况出具客观、公正的报告。</w:t>
      </w:r>
    </w:p>
    <w:p w14:paraId="72D37403">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（一）项目负责人应当根据项目团队成员的专业胜任能力、经验进行合理分工，通过适当的培训，使项目团队成员清楚了解所分派工作的目标，指导其完成所分派的工作，以保证项目团队成员明确下列事项：</w:t>
      </w:r>
    </w:p>
    <w:p w14:paraId="5E6EA884">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1.各自的职责；</w:t>
      </w:r>
    </w:p>
    <w:p w14:paraId="57E324DC">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2.评估业务基本情况；</w:t>
      </w:r>
    </w:p>
    <w:p w14:paraId="49AFCF0B">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3.评估计划；</w:t>
      </w:r>
    </w:p>
    <w:p w14:paraId="5B2ED0CD">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4.与风险相关的事项；</w:t>
      </w:r>
    </w:p>
    <w:p w14:paraId="68D41D29">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5.可能出现的问题。</w:t>
      </w:r>
    </w:p>
    <w:p w14:paraId="12ED9AAF">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（二）项目负责人应当监督评估业务的执行，主要监督工作包括：</w:t>
      </w:r>
    </w:p>
    <w:p w14:paraId="7A5BBB87">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1.对项目团队成员承担的工作进行检查，掌握其工作进展情况；</w:t>
      </w:r>
    </w:p>
    <w:p w14:paraId="440D0681">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2.对项目团队成员承担的工作进行协调、管理；</w:t>
      </w:r>
    </w:p>
    <w:p w14:paraId="1F08E058">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3.项目团队内部复核。</w:t>
      </w:r>
    </w:p>
    <w:p w14:paraId="0026D8F7">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第四十二条</w:t>
      </w:r>
      <w:r>
        <w:rPr>
          <w:rFonts w:hint="eastAsia" w:ascii="宋体" w:hAnsi="宋体" w:eastAsia="宋体" w:cs="宋体"/>
          <w:color w:val="000000"/>
          <w:kern w:val="0"/>
          <w:sz w:val="24"/>
          <w:shd w:val="clear" w:color="auto" w:fill="FFFFFF"/>
        </w:rPr>
        <w:t>　中小评估机构应当制定评估业务内部审核制度和程序，项目负责人应当对编制完成的评估报告相关内容进行审核，经过项目团队其他签字资产评估师复核后，提交项目审核人员审核，重大评估业务在项目审核人员审核后报首席评估师审核。应当确保未经审核合格的事项不得进入下一程序，审核过程、结论应当记录并归档。</w:t>
      </w:r>
    </w:p>
    <w:p w14:paraId="48DA22D1">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（一）项目审核人员应当重点审核以下内容，综合评价评估业务风险，提出出具评估报告的明确意见：</w:t>
      </w:r>
    </w:p>
    <w:p w14:paraId="7E8645A7">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1.项目团队内部是否已经进行复核；</w:t>
      </w:r>
    </w:p>
    <w:p w14:paraId="73C3E593">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2.是否已经按资产评估准则的要求履行了必要的评估程序，完成了评估计划全部工作；</w:t>
      </w:r>
    </w:p>
    <w:p w14:paraId="5051FDD3">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获取的证据是否充分、适当，足以支持形成的结论；采用的评估方法是否恰当，选取的参数是否合理，测算过程是否清晰；评估报告是否已经正确完整编制，措辞是否恰当，重大事项是否在评估报告中已经完整披露，是否符合出具评估报告的要求；</w:t>
      </w:r>
    </w:p>
    <w:p w14:paraId="63E78B69">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4.支持评估结论的相关证据及评估过程是否已经形成工作底稿，工作底稿形式上是否做到要素齐全、格式规范、标识一致、记录清晰；内容上是否做到资料完整、信息准确、繁简得当、结论明确。</w:t>
      </w:r>
    </w:p>
    <w:p w14:paraId="296346FD">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（二）首席评估师应当重点审核以下内容：</w:t>
      </w:r>
    </w:p>
    <w:p w14:paraId="0D3D0244">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1.项目审核人员的工作是否恰当，审核结论是否合理；</w:t>
      </w:r>
    </w:p>
    <w:p w14:paraId="5F195794">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2.项目团队的工作是否已经按照法律法规、资产评估准则的规定执行；</w:t>
      </w:r>
    </w:p>
    <w:p w14:paraId="51591BBB">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3.重要事项和重大风险问题的判断和处理是否恰当，评估结论是否合理。</w:t>
      </w:r>
    </w:p>
    <w:p w14:paraId="06FA9CD9">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项目审核人员、首席评估师应当在审核记录上签署姓名及日期。</w:t>
      </w:r>
    </w:p>
    <w:p w14:paraId="0448A04E">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第四十三条</w:t>
      </w:r>
      <w:r>
        <w:rPr>
          <w:rFonts w:hint="eastAsia" w:ascii="宋体" w:hAnsi="宋体" w:eastAsia="宋体" w:cs="宋体"/>
          <w:color w:val="000000"/>
          <w:kern w:val="0"/>
          <w:sz w:val="24"/>
          <w:shd w:val="clear" w:color="auto" w:fill="FFFFFF"/>
        </w:rPr>
        <w:t>　中小评估机构应当制定评估报告签发及提交制度和程序，通常包括：</w:t>
      </w:r>
    </w:p>
    <w:p w14:paraId="07B9622C">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（一）评估报告签发及提交流程；</w:t>
      </w:r>
    </w:p>
    <w:p w14:paraId="4F2E55ED">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（二）发现已经提交的评估报告存在对评估结论产生重大影响的瑕疵、错误等问题时应当采取处理措施。通常包括：</w:t>
      </w:r>
    </w:p>
    <w:p w14:paraId="352F109E">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1.收回评估报告，针对发现的问题进行修改，重新提交评估报告；</w:t>
      </w:r>
    </w:p>
    <w:p w14:paraId="1E9745F0">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2.不能收回评估报告且评估报告未使用的，应当重新出具评估报告，同时声明原评估报告作废；</w:t>
      </w:r>
    </w:p>
    <w:p w14:paraId="0D7E41DC">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3.评估报告已经使用的，应当出具正式文件说明发现的问题和产生错误的原因及正确的结果。</w:t>
      </w:r>
      <w:bookmarkStart w:id="230" w:name="_Toc332433913"/>
    </w:p>
    <w:bookmarkEnd w:id="230"/>
    <w:p w14:paraId="2568C713">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第八章　监控和改进</w:t>
      </w:r>
    </w:p>
    <w:p w14:paraId="5281DFC9">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第四十四条</w:t>
      </w:r>
      <w:r>
        <w:rPr>
          <w:rFonts w:hint="eastAsia" w:ascii="宋体" w:hAnsi="宋体" w:eastAsia="宋体" w:cs="宋体"/>
          <w:color w:val="000000"/>
          <w:kern w:val="0"/>
          <w:sz w:val="24"/>
          <w:shd w:val="clear" w:color="auto" w:fill="FFFFFF"/>
        </w:rPr>
        <w:t>　中小评估机构应当对质量控制制度和程序的遵守情况进行监控，以合理保证这些制度和程序有效运行并得到及时修订。</w:t>
      </w:r>
    </w:p>
    <w:p w14:paraId="50C5719E">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第四十五条</w:t>
      </w:r>
      <w:r>
        <w:rPr>
          <w:rFonts w:hint="eastAsia" w:ascii="宋体" w:hAnsi="宋体" w:eastAsia="宋体" w:cs="宋体"/>
          <w:color w:val="000000"/>
          <w:kern w:val="0"/>
          <w:sz w:val="24"/>
          <w:shd w:val="clear" w:color="auto" w:fill="FFFFFF"/>
        </w:rPr>
        <w:t>　中小评估机构应当针对以下重点内容对质量控制制度和程序运行情况进行监控：</w:t>
      </w:r>
    </w:p>
    <w:p w14:paraId="54A18335">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（一）是否符合评估机构的实际；</w:t>
      </w:r>
    </w:p>
    <w:p w14:paraId="1E5C86B6">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（二）是否达到了质量控制目标；</w:t>
      </w:r>
    </w:p>
    <w:p w14:paraId="75E0FD1D">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（三）是否得到有效的实施和保持。</w:t>
      </w:r>
    </w:p>
    <w:p w14:paraId="3041E8BC">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第四十六条</w:t>
      </w:r>
      <w:r>
        <w:rPr>
          <w:rFonts w:hint="eastAsia" w:ascii="宋体" w:hAnsi="宋体" w:eastAsia="宋体" w:cs="宋体"/>
          <w:color w:val="000000"/>
          <w:kern w:val="0"/>
          <w:sz w:val="24"/>
          <w:shd w:val="clear" w:color="auto" w:fill="FFFFFF"/>
        </w:rPr>
        <w:t>　中小评估机构应当每年对质量控制制度和程序设计的适当性和运行的有效性进行全面自查。检查人员应当具备适当专业胜任能力和经验，参与评估业务执行的人员不得承担该项业务的检查工作。</w:t>
      </w:r>
    </w:p>
    <w:p w14:paraId="664FBF1D">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第四十七条</w:t>
      </w:r>
      <w:r>
        <w:rPr>
          <w:rFonts w:hint="eastAsia" w:ascii="宋体" w:hAnsi="宋体" w:eastAsia="宋体" w:cs="宋体"/>
          <w:color w:val="000000"/>
          <w:kern w:val="0"/>
          <w:sz w:val="24"/>
          <w:shd w:val="clear" w:color="auto" w:fill="FFFFFF"/>
        </w:rPr>
        <w:t>　中小评估机构应当收集、管理和利用不同渠道来源的相关信息，对质量控制制度和程序加以改进，并将改进内容传达到全体人员，确保质量控制制度和程序的有效实施。重点考虑以下内容：</w:t>
      </w:r>
    </w:p>
    <w:p w14:paraId="387131D3">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（一）根据法律法规、资产评估准则的变化情况及时进行修订；</w:t>
      </w:r>
    </w:p>
    <w:p w14:paraId="59FBFF01">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（二）对业务执行过程中发现的执业质量问题，首席评估师应当及时与项目负责人沟通，指出问题或者不足，并提出修改制度和程序的建议；</w:t>
      </w:r>
    </w:p>
    <w:p w14:paraId="754E0750">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（三）对于在质量控制制度理解方面存在的问题，应当及时对相关人员进行培训；</w:t>
      </w:r>
    </w:p>
    <w:p w14:paraId="6E7AD306">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（四）对于质量控制制度和程序设计上存在的缺陷或者薄弱环节，应当及时修订；</w:t>
      </w:r>
    </w:p>
    <w:p w14:paraId="02BCE1B4">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（五）对严重违反评估机构业务质量控制制度和程序的人员，应当按照本评估机构人力资源管理制度的相关规定对其进行处理。</w:t>
      </w:r>
    </w:p>
    <w:p w14:paraId="30346778">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第九章　文件和记录</w:t>
      </w:r>
    </w:p>
    <w:p w14:paraId="69D6430A">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第四十八条</w:t>
      </w:r>
      <w:r>
        <w:rPr>
          <w:rFonts w:hint="eastAsia" w:ascii="宋体" w:hAnsi="宋体" w:eastAsia="宋体" w:cs="宋体"/>
          <w:color w:val="000000"/>
          <w:kern w:val="0"/>
          <w:sz w:val="24"/>
          <w:shd w:val="clear" w:color="auto" w:fill="FFFFFF"/>
        </w:rPr>
        <w:t>　中小评估机构应当制定文件控制制度和程序，确保质量控制制度和程序使用的文件均为有效版本，防止误用失效或者废止的文件和资料。</w:t>
      </w:r>
    </w:p>
    <w:p w14:paraId="76CB0317">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第四十九条</w:t>
      </w:r>
      <w:r>
        <w:rPr>
          <w:rFonts w:hint="eastAsia" w:ascii="宋体" w:hAnsi="宋体" w:eastAsia="宋体" w:cs="宋体"/>
          <w:color w:val="000000"/>
          <w:kern w:val="0"/>
          <w:sz w:val="24"/>
          <w:shd w:val="clear" w:color="auto" w:fill="FFFFFF"/>
        </w:rPr>
        <w:t>　中小评估机构应当制定业务质量控制记录制度和程序，保持业务质量控制的相关记录并及时归档。</w:t>
      </w:r>
    </w:p>
    <w:p w14:paraId="28FD90FA">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记录控制的制度和程序应当规定记录的标识、存储、保护、检索、保存期限和超期后的处置所需的控制。</w:t>
      </w:r>
    </w:p>
    <w:p w14:paraId="4545B79F">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第五十条</w:t>
      </w:r>
      <w:r>
        <w:rPr>
          <w:rFonts w:hint="eastAsia" w:ascii="宋体" w:hAnsi="宋体" w:eastAsia="宋体" w:cs="宋体"/>
          <w:color w:val="000000"/>
          <w:kern w:val="0"/>
          <w:sz w:val="24"/>
          <w:shd w:val="clear" w:color="auto" w:fill="FFFFFF"/>
        </w:rPr>
        <w:t>　业务质量控制记录主要包括：</w:t>
      </w:r>
    </w:p>
    <w:p w14:paraId="2BD95C1D">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（一）人力资源管理记录；</w:t>
      </w:r>
    </w:p>
    <w:p w14:paraId="2985CAF8">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（二）评估业务工作底稿；</w:t>
      </w:r>
    </w:p>
    <w:p w14:paraId="2AF4C440">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（三）监控和改进记录；</w:t>
      </w:r>
    </w:p>
    <w:p w14:paraId="66A7A9E7">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（四）质量控制制度和程序评审记录。</w:t>
      </w:r>
    </w:p>
    <w:p w14:paraId="0C7A3F97">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第五十一条</w:t>
      </w:r>
      <w:r>
        <w:rPr>
          <w:rFonts w:hint="eastAsia" w:ascii="宋体" w:hAnsi="宋体" w:eastAsia="宋体" w:cs="宋体"/>
          <w:color w:val="000000"/>
          <w:kern w:val="0"/>
          <w:sz w:val="24"/>
          <w:shd w:val="clear" w:color="auto" w:fill="FFFFFF"/>
        </w:rPr>
        <w:t>　业务质量控制记录应当根据重要性和必要性设计其内容，以满足法律法规、资产评估准则及相关的要求。</w:t>
      </w:r>
    </w:p>
    <w:p w14:paraId="27D7093D">
      <w:pPr>
        <w:spacing w:line="440" w:lineRule="atLeast"/>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br w:type="page"/>
      </w:r>
      <w:r>
        <w:rPr>
          <w:rFonts w:hint="eastAsia" w:ascii="宋体" w:hAnsi="宋体" w:eastAsia="宋体" w:cs="宋体"/>
          <w:color w:val="000000"/>
          <w:kern w:val="0"/>
          <w:sz w:val="24"/>
          <w:shd w:val="clear" w:color="auto" w:fill="FFFFFF"/>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Pr>
          <w:rFonts w:hint="eastAsia" w:ascii="宋体" w:hAnsi="宋体" w:eastAsia="宋体" w:cs="宋体"/>
          <w:color w:val="000000"/>
          <w:kern w:val="0"/>
          <w:sz w:val="24"/>
          <w:shd w:val="clear" w:color="auto" w:fill="FFFFFF"/>
        </w:rPr>
        <w:instrText xml:space="preserve">ADDIN CNKISM.UserStyle</w:instrText>
      </w:r>
      <w:r>
        <w:rPr>
          <w:rFonts w:hint="eastAsia" w:ascii="宋体" w:hAnsi="宋体" w:eastAsia="宋体" w:cs="宋体"/>
          <w:color w:val="000000"/>
          <w:kern w:val="0"/>
          <w:sz w:val="24"/>
          <w:shd w:val="clear" w:color="auto" w:fill="FFFFFF"/>
        </w:rPr>
        <w:fldChar w:fldCharType="end"/>
      </w:r>
    </w:p>
    <w:p w14:paraId="591BC5C7">
      <w:pPr>
        <w:pStyle w:val="5"/>
        <w:spacing w:line="440" w:lineRule="atLeast"/>
        <w:jc w:val="center"/>
        <w:rPr>
          <w:rFonts w:ascii="宋体" w:hAnsi="宋体" w:eastAsia="宋体" w:cs="宋体"/>
        </w:rPr>
      </w:pPr>
      <w:bookmarkStart w:id="231" w:name="_Toc27115"/>
      <w:r>
        <w:rPr>
          <w:rFonts w:hint="eastAsia" w:ascii="宋体" w:hAnsi="宋体" w:eastAsia="宋体" w:cs="宋体"/>
        </w:rPr>
        <w:t>资产评估专家指引第8号——资产评估中的核查验证</w:t>
      </w:r>
      <w:bookmarkEnd w:id="231"/>
    </w:p>
    <w:p w14:paraId="18C3A4BC">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本专家指引是一种专家建议。评估机构执行资产评估业务，可以参照本专家指引，也可以根据具体情况采用其他适当的做法。中国资产评估协会将根据业务发展，对本专家指引进行更新。</w:t>
      </w:r>
    </w:p>
    <w:p w14:paraId="1E801157">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第一章　引言</w:t>
      </w:r>
    </w:p>
    <w:p w14:paraId="34B57802">
      <w:pPr>
        <w:spacing w:line="440" w:lineRule="atLeast"/>
        <w:ind w:firstLine="422" w:firstLineChars="200"/>
        <w:rPr>
          <w:rFonts w:ascii="宋体" w:hAnsi="宋体" w:eastAsia="宋体" w:cs="宋体"/>
          <w:color w:val="000000"/>
          <w:kern w:val="0"/>
          <w:sz w:val="24"/>
          <w:shd w:val="clear" w:color="auto" w:fill="FFFFFF"/>
        </w:rPr>
      </w:pPr>
      <w:r>
        <w:rPr>
          <w:rFonts w:hint="eastAsia" w:ascii="宋体" w:hAnsi="宋体" w:eastAsia="宋体" w:cs="宋体"/>
          <w:b/>
        </w:rPr>
        <w:t>第一条</w:t>
      </w:r>
      <w:r>
        <w:rPr>
          <w:rFonts w:hint="eastAsia" w:ascii="宋体" w:hAnsi="宋体" w:eastAsia="宋体" w:cs="宋体"/>
          <w:color w:val="000000"/>
          <w:kern w:val="0"/>
          <w:sz w:val="24"/>
          <w:shd w:val="clear" w:color="auto" w:fill="FFFFFF"/>
        </w:rPr>
        <w:t>　根据《中华人民共和国资产评估法》和《资产评估基本准则》的规定，资产评估专业人员应当依法对资产评估活动中使用的有关文件、证明和资料的真实性、准确性、完整性进行核查和验证。为指导资产评估专业人员在执业过程中履行适当的核查验证程序，中国资产评估协会组织制定了本专家指引。</w:t>
      </w:r>
    </w:p>
    <w:p w14:paraId="13AA81BB">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第二条</w:t>
      </w:r>
      <w:r>
        <w:rPr>
          <w:rFonts w:hint="eastAsia" w:ascii="宋体" w:hAnsi="宋体" w:eastAsia="宋体" w:cs="宋体"/>
          <w:color w:val="000000"/>
          <w:kern w:val="0"/>
          <w:sz w:val="24"/>
          <w:shd w:val="clear" w:color="auto" w:fill="FFFFFF"/>
        </w:rPr>
        <w:t>　核查验证对象是指资产评估专业人员在执行资产评估业务时可以通过合法途径获得并使用的有关文件、证明和资料，包括权属证明资料、财务报表、会计凭证、价格信息以及相关的专业报告等。</w:t>
      </w:r>
    </w:p>
    <w:p w14:paraId="2D9B7E0E">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核查验证对象可以是资产评估相关当事人提供的，也可以是资产评估专业人员独立收集的，或者是政府部门、各类专业机构以及其他组织发布的。</w:t>
      </w:r>
    </w:p>
    <w:p w14:paraId="3A2A9733">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第二章　基本遵循</w:t>
      </w:r>
    </w:p>
    <w:p w14:paraId="39B5F594">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第三条</w:t>
      </w:r>
      <w:r>
        <w:rPr>
          <w:rFonts w:hint="eastAsia" w:ascii="宋体" w:hAnsi="宋体" w:eastAsia="宋体" w:cs="宋体"/>
          <w:color w:val="000000"/>
          <w:kern w:val="0"/>
          <w:sz w:val="24"/>
          <w:shd w:val="clear" w:color="auto" w:fill="FFFFFF"/>
        </w:rPr>
        <w:t>　核查验证是评估程序中的一个重要环节。资产评估专业人员在执行核查验证程序时，可以在符合项目风险以及业务质量控制要求的前提下，根据核查验证对象对评估结论的重要性水平确定核查验证的范围。重要性水平由资产评估专业人员根据评估目的、被评估单位内部控制状况、相关资料收集情况、评估对象金额和数量等因素进行综合分析后予以确定。</w:t>
      </w:r>
    </w:p>
    <w:p w14:paraId="22D758FF">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第四条</w:t>
      </w:r>
      <w:r>
        <w:rPr>
          <w:rFonts w:hint="eastAsia" w:ascii="宋体" w:hAnsi="宋体" w:eastAsia="宋体" w:cs="宋体"/>
          <w:color w:val="000000"/>
          <w:kern w:val="0"/>
          <w:sz w:val="24"/>
          <w:shd w:val="clear" w:color="auto" w:fill="FFFFFF"/>
        </w:rPr>
        <w:t>　资产评估专业人员在分析判断某核查验证对象的真实性、准确性和完整性时，通常需要针对该核查验证对象特点采取相应的核查验证实施方式。如果计划采用的核查验证实施方式无法执行，资产评估专业人员应当对该具体事项进行评判，确定是否需要采取其他替代措施完成核查验证工作。</w:t>
      </w:r>
    </w:p>
    <w:p w14:paraId="31E05FAA">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第五条</w:t>
      </w:r>
      <w:r>
        <w:rPr>
          <w:rFonts w:hint="eastAsia" w:ascii="宋体" w:hAnsi="宋体" w:eastAsia="宋体" w:cs="宋体"/>
          <w:color w:val="000000"/>
          <w:kern w:val="0"/>
          <w:sz w:val="24"/>
          <w:shd w:val="clear" w:color="auto" w:fill="FFFFFF"/>
        </w:rPr>
        <w:t>　对超出资产评估专业人员胜任能力的核查验证事项，资产评估机构可以委托或者要求委托人委托相关专业机构出具专业意见。资产评估专业人员应当了解相关机构的执业资格、独立性，核查专业报告作为评估依据的可靠性、时效性。因法律法规规定、客观条件限制无法实施核查验证的事项，资产评估专业人员应当在工作底稿中予以说明，分析其对评估结论的影响程度，确信不足以对评估结论产生重大影响的前提下，在资产评估报告中予以披露。如果上述事项对评估结论产生重大影响或者无法判断其影响程度，资产评估机构不得出具资产评估报告。</w:t>
      </w:r>
    </w:p>
    <w:p w14:paraId="07948D95">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第六条</w:t>
      </w:r>
      <w:r>
        <w:rPr>
          <w:rFonts w:hint="eastAsia" w:ascii="宋体" w:hAnsi="宋体" w:eastAsia="宋体" w:cs="宋体"/>
          <w:color w:val="000000"/>
          <w:kern w:val="0"/>
          <w:sz w:val="24"/>
          <w:shd w:val="clear" w:color="auto" w:fill="FFFFFF"/>
        </w:rPr>
        <w:t>　履行核查验证程序的资产评估专业人员应当具备必要的专业知识和实践经验。</w:t>
      </w:r>
    </w:p>
    <w:p w14:paraId="7EE66AD9">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第七条</w:t>
      </w:r>
      <w:r>
        <w:rPr>
          <w:rFonts w:hint="eastAsia" w:ascii="宋体" w:hAnsi="宋体" w:eastAsia="宋体" w:cs="宋体"/>
          <w:color w:val="000000"/>
          <w:kern w:val="0"/>
          <w:sz w:val="24"/>
          <w:shd w:val="clear" w:color="auto" w:fill="FFFFFF"/>
        </w:rPr>
        <w:t>　对核查验证程序执行情况的内部审核，应当关注核查验证所采用的实施方式或者选取的替代措施是否适用、恰当、有效。</w:t>
      </w:r>
    </w:p>
    <w:p w14:paraId="4F7EBD95">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第八条</w:t>
      </w:r>
      <w:r>
        <w:rPr>
          <w:rFonts w:hint="eastAsia" w:ascii="宋体" w:hAnsi="宋体" w:eastAsia="宋体" w:cs="宋体"/>
          <w:color w:val="000000"/>
          <w:kern w:val="0"/>
          <w:sz w:val="24"/>
          <w:shd w:val="clear" w:color="auto" w:fill="FFFFFF"/>
        </w:rPr>
        <w:t>　资产评估专业人员执行核查验证程序形成的工作底稿的内容，因评估目的、评估对象、评估方法和核查验证实施方式等不同可以有所差异。</w:t>
      </w:r>
    </w:p>
    <w:p w14:paraId="5B49743B">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第三章　不同评估资料的核查验证</w:t>
      </w:r>
    </w:p>
    <w:p w14:paraId="6C38AB91">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第九条</w:t>
      </w:r>
      <w:r>
        <w:rPr>
          <w:rFonts w:hint="eastAsia" w:ascii="宋体" w:hAnsi="宋体" w:eastAsia="宋体" w:cs="宋体"/>
          <w:color w:val="000000"/>
          <w:kern w:val="0"/>
          <w:sz w:val="24"/>
          <w:shd w:val="clear" w:color="auto" w:fill="FFFFFF"/>
        </w:rPr>
        <w:t>　核查验证的实施方式通常包括观察、询问、书面审查、实地调查、查询、函证、复核等。资产评估专业人员应当根据各类资料的特点，合理确定核查验证的实施方式。对某些复杂的资料，可以采取多种方式相结合的形式进行。</w:t>
      </w:r>
    </w:p>
    <w:p w14:paraId="1E796C32">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资产评估专业人员采用观察方式进行核查验证，应当关注观察方式的有效性和充分性。如果仅用观察方式不足以确认核查验证对象是否真实、准确和完整，还应当追加采用其他方式进行核查验证。对于重要的观察事项，应当记录观察对象、观察时间、观察地点、观察人员和观察结果，并对观察到的现象与核查验证对象是否一致发表明确意见。</w:t>
      </w:r>
    </w:p>
    <w:p w14:paraId="71F17C89">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资产评估专业人员采用询问方式进行核查验证，应当形成询问记录，并要求询问人和被询问人对询问记录采用签字或者盖章等方式予以确认。如果被询问人拒绝签字或者拒绝以其他方式予以确认，资产评估专业人员应当在书面记录中注明。</w:t>
      </w:r>
    </w:p>
    <w:p w14:paraId="7617D541">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（三）资产评估专业人员采用书面审查方式进行核查验证，应当分析相关书面信息来源的可靠性，并通过核对原件等方式对书面信息的准确性和完整性进行核查，同时要求提供方在复印件上盖章。</w:t>
      </w:r>
    </w:p>
    <w:p w14:paraId="79A1D803">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资产评估专业人员采用实地调查的方式进行核查验证，应当将实地调查情况形成书面记录，由相关当事人签字。如果实地调查涉及的单位为企业法人，需要根据调查事项的重要性和相关性判断是否需要单位盖章确认。如果相关当事人拒绝签字或者盖章，资产评估专业人员应当在书面记录中注明。</w:t>
      </w:r>
    </w:p>
    <w:p w14:paraId="26936667">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资产评估专业人员采用查询方式进行核查验证，应当查询公告、网页或者其他载体相关信息，通过对不同来源的信息进行对比、分析形成结论，并就查询的信息内容、时间、网址、载体等有关事项形成查询记录。</w:t>
      </w:r>
    </w:p>
    <w:p w14:paraId="2D90A7C5">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六）资产评估专业人员采用函证方式进行核查验证，可以采用邮寄、快递、跟函、电子形式函证（包括传真、电子邮件、直接访问网站等）等方式发出和收回。信件回执、查询信函底稿和对方回函等资料应当由经办的资产评估专业人员签字。被询证人以传真、电子邮件等方式回函的，可以要求被询证人寄回询证函原件。被询证人未签署回执、未予签收或者在函证规定的期限内未回复的，由经办的资产评估专业人员对相关情况做出书面说明。</w:t>
      </w:r>
    </w:p>
    <w:p w14:paraId="07F308C6">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七）资产评估专业人员采用复核方式进行核查验证，应当结合核查验证对象的特点，采取验算、校对等具体措施判断核查验证对象的真实性、准确性和完整性。对于重要的复核事项，应当记录复核过程、采取的措施、复核依据和复核结果，并且由复核人员进行签字确认。</w:t>
      </w:r>
    </w:p>
    <w:p w14:paraId="77FBBE61">
      <w:pPr>
        <w:shd w:val="clear" w:color="auto" w:fill="FFFFFF"/>
        <w:spacing w:line="440" w:lineRule="atLeast"/>
        <w:jc w:val="center"/>
        <w:rPr>
          <w:rFonts w:ascii="黑体" w:hAnsi="黑体" w:eastAsia="黑体" w:cs="黑体"/>
          <w:b/>
          <w:color w:val="000000"/>
          <w:kern w:val="0"/>
          <w:sz w:val="24"/>
          <w:shd w:val="clear" w:color="auto" w:fill="FFFFFF"/>
        </w:rPr>
      </w:pPr>
      <w:r>
        <w:rPr>
          <w:rFonts w:hint="eastAsia" w:ascii="黑体" w:hAnsi="黑体" w:eastAsia="黑体" w:cs="黑体"/>
          <w:b/>
          <w:color w:val="000000"/>
          <w:kern w:val="0"/>
          <w:sz w:val="24"/>
          <w:shd w:val="clear" w:color="auto" w:fill="FFFFFF"/>
        </w:rPr>
        <w:t>第一节　权属证明资料</w:t>
      </w:r>
    </w:p>
    <w:p w14:paraId="7A994732">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第十条</w:t>
      </w:r>
      <w:r>
        <w:rPr>
          <w:rFonts w:hint="eastAsia" w:ascii="宋体" w:hAnsi="宋体" w:eastAsia="宋体" w:cs="宋体"/>
          <w:color w:val="000000"/>
          <w:kern w:val="0"/>
          <w:sz w:val="24"/>
          <w:shd w:val="clear" w:color="auto" w:fill="FFFFFF"/>
        </w:rPr>
        <w:t>　权属证明资料的核查验证是对资产法律权属凭证、权威部门出具的权属证明资料以及能够间接证明资产归属的其他资料的核实。</w:t>
      </w:r>
    </w:p>
    <w:p w14:paraId="771A78C9">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第十一条</w:t>
      </w:r>
      <w:r>
        <w:rPr>
          <w:rFonts w:hint="eastAsia" w:ascii="宋体" w:hAnsi="宋体" w:eastAsia="宋体" w:cs="宋体"/>
          <w:color w:val="000000"/>
          <w:kern w:val="0"/>
          <w:sz w:val="24"/>
          <w:shd w:val="clear" w:color="auto" w:fill="FFFFFF"/>
        </w:rPr>
        <w:t>　不动产权属证明资料的核查验证。</w:t>
      </w:r>
    </w:p>
    <w:p w14:paraId="1ECBEE04">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（一）本条所称不动产不包括海域、森林资源资产、矿业权等。</w:t>
      </w:r>
    </w:p>
    <w:p w14:paraId="48F2AC42">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不动产权属证明资料主要为不动产权证，没有颁发不动产权证的可以是国有土地使用权证、集体土地所有权证、集体土地使用证、土地他项权利证明书、农村土地承包经营权证、用地通知书、国有建设用地出让合同、划拨决定书、房屋所有权证、房屋他项权证、土地房屋权证、房地产权证、在建工程抵押登记证明等。</w:t>
      </w:r>
    </w:p>
    <w:p w14:paraId="650BD36E">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资产评估专业人员采用书面审查的方式核查上述权属证明资料的，应当查阅并核对评估对象的不动产权属原件、复印件是否一致。处于受理状态中的证明资料，资产评估专业人员可以根据需要要求评估对象产权持有人到不动产所在地的市、县人民政府不动产登记机构查询评估对象权属证明资料并取得查询结果。</w:t>
      </w:r>
    </w:p>
    <w:p w14:paraId="376EC749">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如果评估对象没有办理产权证，资产评估专业人员应当查验取得不动产的相关证明文件、发票以及合同等资料，并根据具体情况和重要性原则在资产评估报告中披露评估对象未办理产权证的原因、核查处理方法以及可能对评估结论产生的影响。</w:t>
      </w:r>
    </w:p>
    <w:p w14:paraId="1420C4E3">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第十二条</w:t>
      </w:r>
      <w:r>
        <w:rPr>
          <w:rFonts w:hint="eastAsia" w:ascii="宋体" w:hAnsi="宋体" w:eastAsia="宋体" w:cs="宋体"/>
          <w:color w:val="000000"/>
          <w:kern w:val="0"/>
          <w:sz w:val="24"/>
          <w:shd w:val="clear" w:color="auto" w:fill="FFFFFF"/>
        </w:rPr>
        <w:t>　森林资源权属证明资料的核查验证。</w:t>
      </w:r>
    </w:p>
    <w:p w14:paraId="492F3DD8">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（一）森林资源权属证明资料主要为不动产权证，没有颁发不动产权证的可以是林权证、林木使用权证、森林资源资产抵押登记证等。</w:t>
      </w:r>
    </w:p>
    <w:p w14:paraId="1F0C567C">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资产评估专业人员采用书面审查的方式核查上述权属证明资料的，应当查阅并核对评估对象的不动产权证、林权证原件、复印件是否一致。处于受理状态中的证明资料，资产评估专业人员可以根据需要要求评估对象产权持有人到不动产所在地的市、县人民政府不动产登记机构查询评估对象权属证明资料并取得查询结果。</w:t>
      </w:r>
    </w:p>
    <w:p w14:paraId="1D2C9355">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如果评估对象没有办理产权证，应当查验取得森林资源的相关证明文件、合同等资料，并根据具体情况和重要性原则在评估报告中披露评估对象未办理产权证的原因、核查处理方法以及可能对评估结论产生的影响。</w:t>
      </w:r>
    </w:p>
    <w:p w14:paraId="07EB56F3">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第十三条</w:t>
      </w:r>
      <w:r>
        <w:rPr>
          <w:rFonts w:hint="eastAsia" w:ascii="宋体" w:hAnsi="宋体" w:eastAsia="宋体" w:cs="宋体"/>
          <w:color w:val="000000"/>
          <w:kern w:val="0"/>
          <w:sz w:val="24"/>
          <w:shd w:val="clear" w:color="auto" w:fill="FFFFFF"/>
        </w:rPr>
        <w:t>　矿业权权属证明资料的核查验证。</w:t>
      </w:r>
    </w:p>
    <w:p w14:paraId="034D0012">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（一）矿业权权属证明资料主要包括：划定矿区范围批复、采矿权许可证、矿产资源勘查许可证、矿业权出让（转让）合同以及相关付款凭证、矿业权抵押备案相关资料等。</w:t>
      </w:r>
    </w:p>
    <w:p w14:paraId="489A9CD5">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资产评估专业人员采用书面审查的方式核查上述权属证明文件的，应当核对证书（或者资料）原件、复印件是否一致，资产评估专业人员可以根据需要通过矿业权行政管理部门官方网站查询相关信息，对资产权属相关数据的一致性进行核查。</w:t>
      </w:r>
    </w:p>
    <w:p w14:paraId="5DCD1523">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如果评估对象没有办理产权证，应当查验取得矿业权的相关证明文件、合同等资料，并根据具体情况和重要性原则在评估报告中披露评估对象未办理产权证的原因、核查处理方法以及可能对评估结论产生的影响。</w:t>
      </w:r>
    </w:p>
    <w:p w14:paraId="6C3FA481">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第十四条</w:t>
      </w:r>
      <w:r>
        <w:rPr>
          <w:rFonts w:hint="eastAsia" w:ascii="宋体" w:hAnsi="宋体" w:eastAsia="宋体" w:cs="宋体"/>
          <w:color w:val="000000"/>
          <w:kern w:val="0"/>
          <w:sz w:val="24"/>
          <w:shd w:val="clear" w:color="auto" w:fill="FFFFFF"/>
        </w:rPr>
        <w:t>　机器设备权属证明资料的核查验证。</w:t>
      </w:r>
    </w:p>
    <w:p w14:paraId="39D751AC">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机器设备权属证明资料主要包括：机动车登记证、船舶所有权证书、船舶国籍证书；外购机器设备的购置合同、购置发票、付款凭据、进口设备报关单；自制机器设备主要材料以及外购件的采购合同和发票、竣工决算资料；融资租赁设备的融资租赁合同、发票；由法院判决形成的设备资产的法院判决书、资产交接单；抵（质）押机器设备的抵（质）押合同、抵（质）押登记证书；国有资产划转材料、调拨单。</w:t>
      </w:r>
    </w:p>
    <w:p w14:paraId="6F7938B8">
      <w:pPr>
        <w:pStyle w:val="45"/>
        <w:spacing w:line="440" w:lineRule="atLeast"/>
        <w:ind w:firstLine="480"/>
        <w:rPr>
          <w:rFonts w:ascii="宋体" w:hAnsi="宋体" w:cs="宋体"/>
          <w:color w:val="000000"/>
          <w:kern w:val="0"/>
          <w:sz w:val="24"/>
          <w:shd w:val="clear" w:color="auto" w:fill="FFFFFF"/>
        </w:rPr>
      </w:pPr>
      <w:r>
        <w:rPr>
          <w:rFonts w:hint="eastAsia" w:ascii="宋体" w:hAnsi="宋体" w:cs="宋体"/>
          <w:color w:val="000000"/>
          <w:kern w:val="0"/>
          <w:sz w:val="24"/>
          <w:shd w:val="clear" w:color="auto" w:fill="FFFFFF"/>
        </w:rPr>
        <w:t>（二）资产评估专业人员采用书面审查的方式核查上述权属证明资料的，应当查阅并核对权属证明资料的原件、复印件是否一致；如果权属证明资料原件留存于他处，资产评估专业人员可以向原件留存方查询或者函证；资产评估专业人员根据需要要求产权持有人到相关权属主管部门配合查询评估对象法律权属登记情况；对于重要设备的购买合同、发票（及报关单、装箱单等）、竣工决算资料等，资产评估专业人员根据经济行为特点、产权持有人信用情况以及重要性原则，自行判断是否采取其它延伸核查方式。</w:t>
      </w:r>
    </w:p>
    <w:p w14:paraId="0E6E4D82">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（三）对权属资料不完备、毁损、丢失等瑕疵事项，以及资产评估专业人员根据重要性原则应当收集但未能取得的相关权属资料，可以要求产权持有人提供产权归属承诺，并在评估报告中披露相关事项。</w:t>
      </w:r>
    </w:p>
    <w:p w14:paraId="615F8AC8">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第十五条</w:t>
      </w:r>
      <w:r>
        <w:rPr>
          <w:rFonts w:hint="eastAsia" w:ascii="宋体" w:hAnsi="宋体" w:eastAsia="宋体" w:cs="宋体"/>
          <w:color w:val="000000"/>
          <w:kern w:val="0"/>
          <w:sz w:val="24"/>
          <w:shd w:val="clear" w:color="auto" w:fill="FFFFFF"/>
        </w:rPr>
        <w:t>　知识产权权属证明资料的核查验证。</w:t>
      </w:r>
    </w:p>
    <w:p w14:paraId="6E5B33F4">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知识产权权属证明资料主要包括：专利证书、专利登记簿副本、最近一期的专利年费缴费凭证、实用新型、外观设计专利权评价报告或者专利权利要求书、专利说明书以及附图；委托人或者相关权利人提供的专有技术形成说明材料；注册商标证书、商标历史获奖证书、商标授权使用登记备案材料；著作权登记证书，著作权作品原稿、职务创作的相关合同、与著作权有关权利的情况说明、委托人和著作权人的身份证明文件和承诺函；植物新品种权证书；集成电路布图设计登记证书、延长期限请求费付款凭证；有效期内的知识产权年费缴费凭证、涉及到的转让合同（购买协议）、授权使用协议、变更登记、付款记录等资料。</w:t>
      </w:r>
    </w:p>
    <w:p w14:paraId="643F859D">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资产评估专业人员采用书面审查的方式核查上述权属证明资料的，应当查阅并核对权属证明资料的原件、复印件是否一致，查验权属材料的所有权人、取得方式、权利范围、有效期、他项权利（是否质押）等相关信息。对知识产权的权属信息可以与国家相关政府网站公示信息核对是否一致，以确认评估基准日真实有效的权属状态。</w:t>
      </w:r>
    </w:p>
    <w:p w14:paraId="705A136A">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（三）对许可使用的知识产权使用权，资产评估专业人员应当查阅授权协议以及付款记录，必要时可以向权利人函证，确认该类使用权的许可期限、许可范围、使用条件、许可费支付等相关条款的约定。</w:t>
      </w:r>
    </w:p>
    <w:p w14:paraId="00659173">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如果评估对象没有取得知识产权权属文件，应当查验取得知识产权的相关证明文件以及合同等资料，并根据具体情况和重要性原则在评估报告中披露评估对象未办理产权证的原因、核查处理方法以及可能对评估结论产生的影响。</w:t>
      </w:r>
    </w:p>
    <w:p w14:paraId="3F82D9EF">
      <w:pPr>
        <w:shd w:val="clear" w:color="auto" w:fill="FFFFFF"/>
        <w:spacing w:line="440" w:lineRule="atLeast"/>
        <w:jc w:val="center"/>
        <w:rPr>
          <w:rFonts w:ascii="黑体" w:hAnsi="黑体" w:eastAsia="黑体" w:cs="黑体"/>
          <w:b/>
          <w:color w:val="000000"/>
          <w:kern w:val="0"/>
          <w:sz w:val="24"/>
          <w:shd w:val="clear" w:color="auto" w:fill="FFFFFF"/>
        </w:rPr>
      </w:pPr>
      <w:r>
        <w:rPr>
          <w:rFonts w:hint="eastAsia" w:ascii="黑体" w:hAnsi="黑体" w:eastAsia="黑体" w:cs="黑体"/>
          <w:b/>
          <w:color w:val="000000"/>
          <w:kern w:val="0"/>
          <w:sz w:val="24"/>
          <w:shd w:val="clear" w:color="auto" w:fill="FFFFFF"/>
        </w:rPr>
        <w:t>第二节　财务会计信息资料</w:t>
      </w:r>
    </w:p>
    <w:p w14:paraId="623E5CD1">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第十六条</w:t>
      </w:r>
      <w:r>
        <w:rPr>
          <w:rFonts w:hint="eastAsia" w:ascii="宋体" w:hAnsi="宋体" w:eastAsia="宋体" w:cs="宋体"/>
          <w:color w:val="000000"/>
          <w:kern w:val="0"/>
          <w:sz w:val="24"/>
          <w:shd w:val="clear" w:color="auto" w:fill="FFFFFF"/>
        </w:rPr>
        <w:t>　财务会计信息资料通常包括：由委托人和其他相关当事人提供的已经审计的财务报表及其附注、未经审计的财务资料、会计凭证以及会计账簿等。</w:t>
      </w:r>
    </w:p>
    <w:p w14:paraId="2FC41184">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第十七条</w:t>
      </w:r>
      <w:r>
        <w:rPr>
          <w:rFonts w:hint="eastAsia" w:ascii="宋体" w:hAnsi="宋体" w:eastAsia="宋体" w:cs="宋体"/>
          <w:color w:val="000000"/>
          <w:kern w:val="0"/>
          <w:sz w:val="24"/>
          <w:shd w:val="clear" w:color="auto" w:fill="FFFFFF"/>
        </w:rPr>
        <w:t>　资产评估专业人员采用询问、书面审查、复核等方式对已经审计的财务报表及其附注进行核查，应当了解出具审计报告的会计师事务所的执业资质和独立性。</w:t>
      </w:r>
    </w:p>
    <w:p w14:paraId="4566B207">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第十八条</w:t>
      </w:r>
      <w:r>
        <w:rPr>
          <w:rFonts w:hint="eastAsia" w:ascii="宋体" w:hAnsi="宋体" w:eastAsia="宋体" w:cs="宋体"/>
          <w:color w:val="000000"/>
          <w:kern w:val="0"/>
          <w:sz w:val="24"/>
          <w:shd w:val="clear" w:color="auto" w:fill="FFFFFF"/>
        </w:rPr>
        <w:t>　资产评估专业人员采用询问、书面审查以及复核等方式对未经审计的财务资料进行核查，应当对财务报表变动趋势、财务指标构成比例进行分析，将财务报表各项目的数据与有关的账簿进行核对。根据重要性原则采用抽样方法对相关会计凭证进行查阅，结合对评估对象的调查结论或者其他文件、证明和资料的核查验证结论检查财务数据的一致性。</w:t>
      </w:r>
    </w:p>
    <w:p w14:paraId="19F12551">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第十九条</w:t>
      </w:r>
      <w:r>
        <w:rPr>
          <w:rFonts w:hint="eastAsia" w:ascii="宋体" w:hAnsi="宋体" w:eastAsia="宋体" w:cs="宋体"/>
          <w:color w:val="000000"/>
          <w:kern w:val="0"/>
          <w:sz w:val="24"/>
          <w:shd w:val="clear" w:color="auto" w:fill="FFFFFF"/>
        </w:rPr>
        <w:t>　资产评估专业人员采用实地调查、书面审查等方式对现金、票据以及实物性资产等涉及的各类资料进行核查，应当将相关调查情况或者审查情况形成书面记录，由参与调查的资产评估专业人员、被评估单位的相关人员签字确认。</w:t>
      </w:r>
    </w:p>
    <w:p w14:paraId="3963DD15">
      <w:pPr>
        <w:spacing w:line="440" w:lineRule="atLeast"/>
        <w:ind w:firstLine="482" w:firstLineChars="200"/>
        <w:rPr>
          <w:rFonts w:ascii="宋体" w:hAnsi="宋体" w:eastAsia="宋体" w:cs="宋体"/>
          <w:b/>
          <w:color w:val="000000"/>
          <w:kern w:val="0"/>
          <w:sz w:val="24"/>
          <w:shd w:val="clear" w:color="auto" w:fill="FFFFFF"/>
        </w:rPr>
      </w:pPr>
      <w:r>
        <w:rPr>
          <w:rFonts w:hint="eastAsia" w:ascii="宋体" w:hAnsi="宋体" w:eastAsia="宋体" w:cs="宋体"/>
          <w:b/>
          <w:color w:val="000000"/>
          <w:kern w:val="0"/>
          <w:sz w:val="24"/>
          <w:shd w:val="clear" w:color="auto" w:fill="FFFFFF"/>
        </w:rPr>
        <w:t>第二十条</w:t>
      </w:r>
      <w:r>
        <w:rPr>
          <w:rFonts w:hint="eastAsia" w:ascii="宋体" w:hAnsi="宋体" w:eastAsia="宋体" w:cs="宋体"/>
          <w:color w:val="000000"/>
          <w:kern w:val="0"/>
          <w:sz w:val="24"/>
          <w:shd w:val="clear" w:color="auto" w:fill="FFFFFF"/>
        </w:rPr>
        <w:t>　资产评估专业人员采用函证方式对银行存款、异地存货、往来账款、交易性金融资产等涉及的各类资料进行核查的，对利用第三方机构询证函结果的，应当记录取得第三方机构函证结果的过程、分析该函证行为的目的、核实函证基准日、了解第三方机构对函证的控制措施等。无法获取上述信息的，应当实施替代程序并获取相关证据，对该函证结果的可靠性进行分析判断。</w:t>
      </w:r>
    </w:p>
    <w:p w14:paraId="35F82A85">
      <w:pPr>
        <w:shd w:val="clear" w:color="auto" w:fill="FFFFFF"/>
        <w:spacing w:line="440" w:lineRule="atLeast"/>
        <w:jc w:val="center"/>
        <w:rPr>
          <w:rFonts w:ascii="黑体" w:hAnsi="黑体" w:eastAsia="黑体" w:cs="黑体"/>
          <w:b/>
          <w:color w:val="000000"/>
          <w:kern w:val="0"/>
          <w:sz w:val="24"/>
          <w:shd w:val="clear" w:color="auto" w:fill="FFFFFF"/>
        </w:rPr>
      </w:pPr>
      <w:r>
        <w:rPr>
          <w:rFonts w:hint="eastAsia" w:ascii="黑体" w:hAnsi="黑体" w:eastAsia="黑体" w:cs="黑体"/>
          <w:b/>
          <w:color w:val="000000"/>
          <w:kern w:val="0"/>
          <w:sz w:val="24"/>
          <w:shd w:val="clear" w:color="auto" w:fill="FFFFFF"/>
        </w:rPr>
        <w:t>第三节　其他相关资料</w:t>
      </w:r>
    </w:p>
    <w:p w14:paraId="26585D7E">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第二十一条</w:t>
      </w:r>
      <w:r>
        <w:rPr>
          <w:rFonts w:hint="eastAsia" w:ascii="宋体" w:hAnsi="宋体" w:eastAsia="宋体" w:cs="宋体"/>
          <w:color w:val="000000"/>
          <w:kern w:val="0"/>
          <w:sz w:val="24"/>
          <w:shd w:val="clear" w:color="auto" w:fill="FFFFFF"/>
        </w:rPr>
        <w:t>　资产评估专业人员采用查询、查阅、核对等方式对询价资料、交易案例、检查记录、鉴定报告、行业资讯、政府文件等其他相关信息资料进行核查，应当将通过文献查阅以及查询相关网址信息等获取的结论形成书面记录。</w:t>
      </w:r>
    </w:p>
    <w:p w14:paraId="5AE39762">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第二十二条</w:t>
      </w:r>
      <w:r>
        <w:rPr>
          <w:rFonts w:hint="eastAsia" w:ascii="宋体" w:hAnsi="宋体" w:eastAsia="宋体" w:cs="宋体"/>
          <w:color w:val="000000"/>
          <w:kern w:val="0"/>
          <w:sz w:val="24"/>
          <w:shd w:val="clear" w:color="auto" w:fill="FFFFFF"/>
        </w:rPr>
        <w:t>　资产评估专业人员采用询问、书面审查以及复核等方式对其他专业机构提供的专业报告以及引用的单项资产评估报告进行核查，应当了解专业机构的业务范围、执业资质以及独立性，检查专业报告以及引用的单项资产评估报告出具的时效性，分析是否满足资产评估业务的需要。</w:t>
      </w:r>
    </w:p>
    <w:p w14:paraId="4F2ADCBB">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第二十三条</w:t>
      </w:r>
      <w:r>
        <w:rPr>
          <w:rFonts w:hint="eastAsia" w:ascii="宋体" w:hAnsi="宋体" w:eastAsia="宋体" w:cs="宋体"/>
          <w:color w:val="000000"/>
          <w:kern w:val="0"/>
          <w:sz w:val="24"/>
          <w:shd w:val="clear" w:color="auto" w:fill="FFFFFF"/>
        </w:rPr>
        <w:t>　资产评估专业人员采用书面审查、查询等方式对被评估单位对外担保进行核查，应当获取被评估单位出具有关对外担保事项声明以及担保合同、协议等资料，利用央行全国联网的企业征信系统进行查询。</w:t>
      </w:r>
    </w:p>
    <w:p w14:paraId="2602B29D">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第二十四条</w:t>
      </w:r>
      <w:r>
        <w:rPr>
          <w:rFonts w:hint="eastAsia" w:ascii="宋体" w:hAnsi="宋体" w:eastAsia="宋体" w:cs="宋体"/>
          <w:color w:val="000000"/>
          <w:kern w:val="0"/>
          <w:sz w:val="24"/>
          <w:shd w:val="clear" w:color="auto" w:fill="FFFFFF"/>
        </w:rPr>
        <w:t>　资产评估专业人员采用书面审查、查询、复核等方式对被评估单位涉及的诉讼、仲裁进行核查，应当查阅被评估单位出具的有关诉讼、仲裁事项声明书，并与公告或者网站披露的信息进行核对，以了解被评估单位诉讼、仲裁事项发生的背景、涉及的金额以及可能对评估结论产生的影响。</w:t>
      </w:r>
    </w:p>
    <w:p w14:paraId="43C798CF">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第二十五条</w:t>
      </w:r>
      <w:r>
        <w:rPr>
          <w:rFonts w:hint="eastAsia" w:ascii="宋体" w:hAnsi="宋体" w:eastAsia="宋体" w:cs="宋体"/>
          <w:color w:val="000000"/>
          <w:kern w:val="0"/>
          <w:sz w:val="24"/>
          <w:shd w:val="clear" w:color="auto" w:fill="FFFFFF"/>
        </w:rPr>
        <w:t>　资产评估专业人员采用书面审查方式对被评估单位存在抵（质）押的资产进行核查，应当查阅被评估单位提供的抵（质）押合同以及相关的主债权合同、抵（质）押资产清单以及说明。如果需要，可以向抵（质）押单位进行查询。　</w:t>
      </w:r>
    </w:p>
    <w:p w14:paraId="3056BD3B">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第四章　企业价值评估中的核查验证</w:t>
      </w:r>
    </w:p>
    <w:p w14:paraId="0D0DB699">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第二十六条</w:t>
      </w:r>
      <w:r>
        <w:rPr>
          <w:rFonts w:hint="eastAsia" w:ascii="宋体" w:hAnsi="宋体" w:eastAsia="宋体" w:cs="宋体"/>
          <w:color w:val="000000"/>
          <w:kern w:val="0"/>
          <w:sz w:val="24"/>
          <w:shd w:val="clear" w:color="auto" w:fill="FFFFFF"/>
        </w:rPr>
        <w:t>　企业价值评估因企业类型和评估方法的不同，核查验证的对象和实施方式有所不同。</w:t>
      </w:r>
    </w:p>
    <w:p w14:paraId="02914D24">
      <w:pPr>
        <w:spacing w:line="440" w:lineRule="atLeast"/>
        <w:ind w:firstLine="487" w:firstLineChars="202"/>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第二十七条</w:t>
      </w:r>
      <w:r>
        <w:rPr>
          <w:rFonts w:hint="eastAsia" w:ascii="宋体" w:hAnsi="宋体" w:eastAsia="宋体" w:cs="宋体"/>
          <w:color w:val="000000"/>
          <w:kern w:val="0"/>
          <w:sz w:val="24"/>
          <w:shd w:val="clear" w:color="auto" w:fill="FFFFFF"/>
        </w:rPr>
        <w:t>宏观经济资料、区域经济资料、行业现状和发展前景资料，来自政府部门、行业协会的，应当从有关权威发布平台取得，一般可以视为具有权威性，可以直接引用，但应当关注该类资料的时效性。　</w:t>
      </w:r>
    </w:p>
    <w:p w14:paraId="6A7E5EDB">
      <w:pPr>
        <w:spacing w:line="440" w:lineRule="atLeast"/>
        <w:ind w:firstLine="487" w:firstLineChars="202"/>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第二十八条</w:t>
      </w:r>
      <w:r>
        <w:rPr>
          <w:rFonts w:hint="eastAsia" w:ascii="宋体" w:hAnsi="宋体" w:eastAsia="宋体" w:cs="宋体"/>
          <w:color w:val="000000"/>
          <w:kern w:val="0"/>
          <w:sz w:val="24"/>
          <w:shd w:val="clear" w:color="auto" w:fill="FFFFFF"/>
        </w:rPr>
        <w:t>　资产评估专业人员采用书面审查、实地调查、查询等方式，对企业提供的投资协议、公司章程、公司制度、股权买卖协议或者回购协议等资料进行核查，应当查看相关印章、签字是否清晰、完整，与企业管理层进行访谈，利用“国家企业信用信息公示系统”查询公开信息。如果需要，还可以到市场监督管理等政府部门查询相关资料。</w:t>
      </w:r>
    </w:p>
    <w:p w14:paraId="6C66B66E">
      <w:pPr>
        <w:spacing w:line="440" w:lineRule="atLeast"/>
        <w:ind w:firstLine="567"/>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第二十九条</w:t>
      </w:r>
      <w:r>
        <w:rPr>
          <w:rFonts w:hint="eastAsia" w:ascii="宋体" w:hAnsi="宋体" w:eastAsia="宋体" w:cs="宋体"/>
          <w:color w:val="000000"/>
          <w:kern w:val="0"/>
          <w:sz w:val="24"/>
          <w:shd w:val="clear" w:color="auto" w:fill="FFFFFF"/>
        </w:rPr>
        <w:t>　对于来自证券市场、产权交易市场等市场的资料进行核查验证，可以考虑的做法包括：</w:t>
      </w:r>
    </w:p>
    <w:p w14:paraId="05F69844">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（一）对于直接从上市公司年报获取的数据资料，由于该数据资料已经经过注册会计师审计，资产评估专业人员在进行必要分析调整后可以直接采用。</w:t>
      </w:r>
    </w:p>
    <w:p w14:paraId="1863F94F">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对于来自不同资讯网站的数据或者研究成果，资产评估专业人员可以结合网站的知名度和权威性综合判断获取的数据或者研究成果的可靠性。对于从浏览量较少的网站获取的数据或者研究成果，必要时获取两个以上途径的有效数据，从而相互验证其可靠性。</w:t>
      </w:r>
    </w:p>
    <w:p w14:paraId="2DE14EAA">
      <w:pPr>
        <w:spacing w:line="440" w:lineRule="atLeast"/>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br w:type="page"/>
      </w:r>
      <w:r>
        <w:rPr>
          <w:rFonts w:hint="eastAsia" w:ascii="宋体" w:hAnsi="宋体" w:eastAsia="宋体" w:cs="宋体"/>
          <w:color w:val="000000"/>
          <w:kern w:val="0"/>
          <w:sz w:val="24"/>
          <w:shd w:val="clear" w:color="auto" w:fill="FFFFFF"/>
        </w:rPr>
        <w:fldChar w:fldCharType="begin"/>
      </w:r>
      <w:r>
        <w:rPr>
          <w:rFonts w:hint="eastAsia" w:ascii="宋体" w:hAnsi="宋体" w:eastAsia="宋体" w:cs="宋体"/>
          <w:color w:val="000000"/>
          <w:kern w:val="0"/>
          <w:sz w:val="24"/>
          <w:shd w:val="clear" w:color="auto" w:fill="FFFFFF"/>
        </w:rPr>
        <w:instrText xml:space="preserve">ADDIN CNKISM.UserStyle</w:instrText>
      </w:r>
      <w:r>
        <w:rPr>
          <w:rFonts w:hint="eastAsia" w:ascii="宋体" w:hAnsi="宋体" w:eastAsia="宋体" w:cs="宋体"/>
          <w:color w:val="000000"/>
          <w:kern w:val="0"/>
          <w:sz w:val="24"/>
          <w:shd w:val="clear" w:color="auto" w:fill="FFFFFF"/>
        </w:rPr>
        <w:fldChar w:fldCharType="end"/>
      </w:r>
    </w:p>
    <w:p w14:paraId="01607432">
      <w:pPr>
        <w:pStyle w:val="5"/>
        <w:spacing w:line="440" w:lineRule="atLeast"/>
        <w:jc w:val="center"/>
        <w:rPr>
          <w:rFonts w:ascii="宋体" w:hAnsi="宋体" w:eastAsia="宋体" w:cs="宋体"/>
        </w:rPr>
      </w:pPr>
      <w:bookmarkStart w:id="232" w:name="_Toc13716"/>
      <w:r>
        <w:rPr>
          <w:rFonts w:hint="eastAsia" w:ascii="宋体" w:hAnsi="宋体" w:eastAsia="宋体" w:cs="宋体"/>
        </w:rPr>
        <w:t>资产评估专家指引第9号——数据资产评估</w:t>
      </w:r>
      <w:bookmarkEnd w:id="232"/>
    </w:p>
    <w:p w14:paraId="78870305">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本专家指引是一种专家建议。评估机构执行资产评估业务，可以参照本专家指引，也可以根据具体情况采用其他适当的做法。中国资产评估协会将根据业务发展，对本专家指引进行更新。</w:t>
      </w:r>
      <w:r>
        <w:rPr>
          <w:rFonts w:hint="eastAsia" w:ascii="宋体" w:hAnsi="宋体" w:eastAsia="宋体" w:cs="宋体"/>
          <w:color w:val="000000"/>
          <w:kern w:val="0"/>
          <w:sz w:val="24"/>
          <w:shd w:val="clear" w:color="auto" w:fill="FFFFFF"/>
        </w:rPr>
        <w:tab/>
      </w:r>
    </w:p>
    <w:p w14:paraId="1F97CF38">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第一章　引言</w:t>
      </w:r>
    </w:p>
    <w:p w14:paraId="7B218D25">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第一条</w:t>
      </w:r>
      <w:r>
        <w:rPr>
          <w:rFonts w:hint="eastAsia" w:ascii="宋体" w:hAnsi="宋体" w:eastAsia="宋体" w:cs="宋体"/>
          <w:color w:val="000000"/>
          <w:kern w:val="0"/>
          <w:sz w:val="24"/>
          <w:shd w:val="clear" w:color="auto" w:fill="FFFFFF"/>
        </w:rPr>
        <w:t>　针对数据资产特点，结合目前实际操作中的部分难点和要点，中国资产评估协会组织制定了本专家指引。</w:t>
      </w:r>
    </w:p>
    <w:p w14:paraId="6B5AE3D9">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第二条</w:t>
      </w:r>
      <w:r>
        <w:rPr>
          <w:rFonts w:hint="eastAsia" w:ascii="宋体" w:hAnsi="宋体" w:eastAsia="宋体" w:cs="宋体"/>
          <w:color w:val="000000"/>
          <w:kern w:val="0"/>
          <w:sz w:val="24"/>
          <w:shd w:val="clear" w:color="auto" w:fill="FFFFFF"/>
        </w:rPr>
        <w:t>　本专家指引所指数据资产是由特定主体合法拥有或者控制，能持续发挥作用并且能带来直接或者间接经济利益的数据资源。</w:t>
      </w:r>
    </w:p>
    <w:p w14:paraId="049C1839">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第三条</w:t>
      </w:r>
      <w:r>
        <w:rPr>
          <w:rFonts w:hint="eastAsia" w:ascii="宋体" w:hAnsi="宋体" w:eastAsia="宋体" w:cs="宋体"/>
          <w:color w:val="000000"/>
          <w:kern w:val="0"/>
          <w:sz w:val="24"/>
          <w:shd w:val="clear" w:color="auto" w:fill="FFFFFF"/>
        </w:rPr>
        <w:t>　本专家指引所指数据资产评估，是资产评估机构及其资产评估专业人员遵守法律、行政法规和资产评估准则，接受委托对评估基准日特定目的下的数据资产价值进行评定和估算，并出具资产评估报告的专业服务行为。</w:t>
      </w:r>
    </w:p>
    <w:p w14:paraId="111E0C5E">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第二章　评估对象</w:t>
      </w:r>
    </w:p>
    <w:p w14:paraId="3250218E">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第四条</w:t>
      </w:r>
      <w:r>
        <w:rPr>
          <w:rFonts w:hint="eastAsia" w:ascii="宋体" w:hAnsi="宋体" w:eastAsia="宋体" w:cs="宋体"/>
          <w:color w:val="000000"/>
          <w:kern w:val="0"/>
          <w:sz w:val="24"/>
          <w:shd w:val="clear" w:color="auto" w:fill="FFFFFF"/>
        </w:rPr>
        <w:t>　数据资产的基本状况通常包括：数据名称、数据来源、数据规模、产生时间、更新时间、数据类型、呈现形式、时效性、应用范围等。执行数据资产评估业务时，资产评估专业人员可以通过委托人提供、相关当事人提供、自主收集等方式获取数据资产的基本状况。</w:t>
      </w:r>
    </w:p>
    <w:p w14:paraId="7EBC90A2">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第五条</w:t>
      </w:r>
      <w:r>
        <w:rPr>
          <w:rFonts w:hint="eastAsia" w:ascii="宋体" w:hAnsi="宋体" w:eastAsia="宋体" w:cs="宋体"/>
          <w:color w:val="000000"/>
          <w:kern w:val="0"/>
          <w:sz w:val="24"/>
          <w:shd w:val="clear" w:color="auto" w:fill="FFFFFF"/>
        </w:rPr>
        <w:t>　数据资产的基本特征通常包括：非实体性、依托性、多样性、可加工性、价值易变性等。通过对数据资产基本特征的了解，可以帮助资产评估专业人员分析基本特征对数据资产价值评估的影响。</w:t>
      </w:r>
    </w:p>
    <w:p w14:paraId="4F378A6D">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非实体性：数据资产无实物形态，虽然需要依托实物载体，但决定数据资产价值的是数据本身。数据的非实体性导致了数据的无消耗性，即数据不会因为使用频率的增加而磨损、消耗。这一点与其他传统无形资产相似。</w:t>
      </w:r>
    </w:p>
    <w:p w14:paraId="23B83CA8">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（二）依托性：数据必须存储在一定的介质里。介质的种类多种多样，例如，纸、磁盘、磁带、光盘、硬盘等，甚至可以是化学介质或者生物介质。同一数据可以以不同形式同时存在于多种介质。</w:t>
      </w:r>
    </w:p>
    <w:p w14:paraId="72A2877E">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多样性：数据的表现形式多种多样，可以是数字、表格、图像、声音、视频、文字、光电信号、化学反应、甚至是生物信息等。数据资产的多样性，还表现在数据与数据处理技术的融合，形成融合形态数据资产。例如，数据库技术与数据，数字媒体与数字制作特技等融合产生的数据资产。多样的信息可以通过不同的方法进行互相转换，从而满足不同数据消费者的需求。该多样性表现在数据消费者上，则是使用方式的不确定性。不同数据类型拥有不同的处理方式，同一数据资产也可以有多种使用方式。数据应用的不确定性，导致数据资产的价值变化波动较大。</w:t>
      </w:r>
    </w:p>
    <w:p w14:paraId="774C6CD3">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（四）可加工性：数据可以被维护、更新、补充，增加数据量；也可以被删除、合并、归集，消除冗余；还可以被分析、提炼、挖掘，加工得到更深层次的数据资源。</w:t>
      </w:r>
    </w:p>
    <w:p w14:paraId="0BBEAC8C">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价值易变性：数据资产的价值受多种不同因素影响，这些因素随时间的推移不断变化，某些数据当前看来可能没有价值，但随着时代进步可能会产生更大的价值。另外，随着技术的进步或者同类数据库的发展，可能会导致数据资产出现无形损耗，表现为价值降低。</w:t>
      </w:r>
    </w:p>
    <w:p w14:paraId="0ED3DF01">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第六条</w:t>
      </w:r>
      <w:r>
        <w:rPr>
          <w:rFonts w:hint="eastAsia" w:ascii="宋体" w:hAnsi="宋体" w:eastAsia="宋体" w:cs="宋体"/>
          <w:color w:val="000000"/>
          <w:kern w:val="0"/>
          <w:sz w:val="24"/>
          <w:shd w:val="clear" w:color="auto" w:fill="FFFFFF"/>
        </w:rPr>
        <w:t>　数据资产的价值影响因素包括技术因素、数据容量、数据价值密度、数据应用的商业模式和其他因素。其中技术因素通常包括数据获取、数据存储、数据加工、数据挖掘、数据保护、数据共享等。</w:t>
      </w:r>
    </w:p>
    <w:p w14:paraId="1DE686B5">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第七条</w:t>
      </w:r>
      <w:r>
        <w:rPr>
          <w:rFonts w:hint="eastAsia" w:ascii="宋体" w:hAnsi="宋体" w:eastAsia="宋体" w:cs="宋体"/>
          <w:color w:val="000000"/>
          <w:kern w:val="0"/>
          <w:sz w:val="24"/>
          <w:shd w:val="clear" w:color="auto" w:fill="FFFFFF"/>
        </w:rPr>
        <w:t>　数据资产可以按照数据应用所在的行业进行划分，不同行业的数据资产具有不同的特征，这些特征可能会对数据资产的价值产生较大的影响。以下列举的是部分行业数据资产的特征。</w:t>
      </w:r>
    </w:p>
    <w:p w14:paraId="3BF1DBFE">
      <w:pPr>
        <w:numPr>
          <w:ilvl w:val="0"/>
          <w:numId w:val="2"/>
        </w:num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金融行业数据资产的特征通常包括：</w:t>
      </w:r>
    </w:p>
    <w:p w14:paraId="227D2C2C">
      <w:pPr>
        <w:spacing w:line="440" w:lineRule="atLeast"/>
        <w:ind w:firstLine="480" w:firstLineChars="200"/>
        <w:jc w:val="left"/>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高效性：金融数据资产的高效性体现在能够提高金融系统运行效率，降低系统运行成本和维护成本，为数据库终端拥有人带来超额利润。数据库终端以科学技术为核心，不断进步的技术可以降低数据库终端的维护成本。</w:t>
      </w:r>
    </w:p>
    <w:p w14:paraId="07797BF1">
      <w:pPr>
        <w:spacing w:line="440" w:lineRule="atLeast"/>
        <w:ind w:firstLine="480" w:firstLineChars="200"/>
        <w:jc w:val="left"/>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风险性：金融数据资产的风险性主要包括研发风险和收益风险。研发风险是指在研究开发过程中，研究开发方虽然作了最大限度努力，但由于现有的认识水平、技术水平、科学知识以及其他现有条件的限制，仍然发生了无法预见、无法克服的技术困难，导致研究开发全部或者部分失败，因而引起的财产上的风险；数据库终端是在经历一系列研发失败之后的阶段性成果，研发失败的支出作为费用处理，账面的资产价值与研发成本具有弱对应性。金融数据资产的收益风险是指数据库终端的经济寿命受技术进步和市场不确定性因素的影响较大，竞争对手新开发或者升级的数据库终端有可能使得权利人的该项资产价值下降。</w:t>
      </w:r>
    </w:p>
    <w:p w14:paraId="3B18E1AB">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共益性：金融数据资产的共益性是指数据库终端可以在同一时间不同地点由不同的主体同时使用。例如，数据库终端有不同的账号和密码，不同的个人账号和密码可以同时登录使用，机构的同一个账号和密码也可以同时由机构内不同人员登录使用。</w:t>
      </w:r>
    </w:p>
    <w:p w14:paraId="5692A736">
      <w:pPr>
        <w:numPr>
          <w:ilvl w:val="0"/>
          <w:numId w:val="2"/>
        </w:num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电信行业数据资产的特征通常包括：</w:t>
      </w:r>
    </w:p>
    <w:p w14:paraId="1CD7CFF1">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1.关联性：电信行业数据几乎承载了用户所有的通信行为，并且数据之间存在着天然的关联基因。</w:t>
      </w:r>
    </w:p>
    <w:p w14:paraId="06631C29">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2.复杂性：电信行业数据不仅包括结构化数据，也包括非结构化数据以及混合结构数据。</w:t>
      </w:r>
    </w:p>
    <w:p w14:paraId="5AA093E1">
      <w:pPr>
        <w:numPr>
          <w:ilvl w:val="0"/>
          <w:numId w:val="2"/>
        </w:num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政府数据资产的特征通常包括：数量庞大，领域广泛，异构性强。政府数据跨越了农业、气候、教育、能源、金融、地理空间、全球发展、医疗卫生、工作就业、公共安全、科学研究、气象气候等领域。这些来源广泛、数量巨大、非结构化的异质数据，增加了政府管理的难度。</w:t>
      </w:r>
    </w:p>
    <w:p w14:paraId="3B9D209A">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数据资产对政府公共管理的潜在利用价值大。尽管数据资产能在各个领域显著提高创新力、竞争力和产出率，但对于不同部门而言，数据资产所带来的收益程度不同。政府数据资产的构成和特点分析表明，政府在数据占有方面具有天然的优势。占有巨量数据是从数据中挖掘出巨大价值的前提，但由于政府数据资产来自于横向的不同部门或者管理领域以及纵向的不同层级，其数据资产管理面临着巨大的难度，这一难度既有数据资产及其技术发展方面的障碍，也有政府组织之间相互独立的限制和跨职能部门交流的障碍。</w:t>
      </w:r>
    </w:p>
    <w:p w14:paraId="3C110069">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第八条</w:t>
      </w:r>
      <w:r>
        <w:rPr>
          <w:rFonts w:hint="eastAsia" w:ascii="宋体" w:hAnsi="宋体" w:eastAsia="宋体" w:cs="宋体"/>
          <w:color w:val="000000"/>
          <w:kern w:val="0"/>
          <w:sz w:val="24"/>
          <w:shd w:val="clear" w:color="auto" w:fill="FFFFFF"/>
        </w:rPr>
        <w:t>　相同的数据资产，由于其应用领域、使用方法、获利方式的不同，会造成其价值差异。因此对数据资产商业模式的关注，可以帮助资产评估专业人员了解数据资产活动获取收益的方式。目前以数据资产为核心的商业模式主要有：</w:t>
      </w:r>
    </w:p>
    <w:p w14:paraId="4F785C7C">
      <w:pPr>
        <w:numPr>
          <w:ilvl w:val="0"/>
          <w:numId w:val="3"/>
        </w:num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提供数据服务模式：该模式的企业主营业务为出售经广泛收集、精心过滤的时效性强的数据，为用户提供各种商业机会。</w:t>
      </w:r>
    </w:p>
    <w:p w14:paraId="0BE6AC15">
      <w:pPr>
        <w:numPr>
          <w:ilvl w:val="0"/>
          <w:numId w:val="3"/>
        </w:num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提供信息服务模式：该模式的企业聚焦某个行业，通过广泛收集相关数据、深度整合萃取信息，以庞大的数据中心加上专用的数据终端，形成数据采集、信息萃取、价值传递的完整链条，通过为用户提供信息服务的形式获利。</w:t>
      </w:r>
    </w:p>
    <w:p w14:paraId="7C2A62F6">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数字媒体模式：数字媒体公司通过多媒体服务，面向个体，广泛搜集数据，发挥数据技术的预测能力，开展精准的自营业务和第三方推广营销业务。</w:t>
      </w:r>
    </w:p>
    <w:p w14:paraId="66104D87">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数据资产服务模式：通过提供软件和硬件等技术开发服务，根据用户需求，从指导、安全认证、应用开发和数据表设计等方面提供全方位数据开发和运行保障服务，满足用户业务需求，提升客户营运能力。并通过评估数据集群运行状态优化运行方案，以充分发挥客户数据资产的使用价值，帮助客户将数据资产转化为实际的生产力。</w:t>
      </w:r>
    </w:p>
    <w:p w14:paraId="5B7CB24C">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数据空间运营模式：该模式的企业主要为第三方提供专业的数据存储服务业务。</w:t>
      </w:r>
    </w:p>
    <w:p w14:paraId="769E44A3">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数据资产技术服务模式：该模式的企业为第三方提供开发数据资产所需的应用技术和技术支持作为商业模式。例如，提供数据管理以及处理技术、多媒体编解码技术，语音语义识别技术，数据传输与控制技术等。</w:t>
      </w:r>
    </w:p>
    <w:p w14:paraId="2D43C3D6">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第九条</w:t>
      </w:r>
      <w:r>
        <w:rPr>
          <w:rFonts w:hint="eastAsia" w:ascii="宋体" w:hAnsi="宋体" w:eastAsia="宋体" w:cs="宋体"/>
          <w:color w:val="000000"/>
          <w:kern w:val="0"/>
          <w:sz w:val="24"/>
          <w:shd w:val="clear" w:color="auto" w:fill="FFFFFF"/>
        </w:rPr>
        <w:t>　数据资产的法律因素通常包括数据资产的权利属性以及权利限制、数据资产的保护方式等。关注数据资产所有权的具体形式、以往使用和转让的情况对数据资产价值的影响、数据资产的历史诉讼情况等法律因素情况，可以帮助评估专业人员判断法律因素对数据资产价值的影响程度。</w:t>
      </w:r>
    </w:p>
    <w:p w14:paraId="02C29AB1">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第十条</w:t>
      </w:r>
      <w:r>
        <w:rPr>
          <w:rFonts w:hint="eastAsia" w:ascii="宋体" w:hAnsi="宋体" w:eastAsia="宋体" w:cs="宋体"/>
          <w:color w:val="000000"/>
          <w:kern w:val="0"/>
          <w:sz w:val="24"/>
          <w:shd w:val="clear" w:color="auto" w:fill="FFFFFF"/>
        </w:rPr>
        <w:t>　数据资产的经济因素通常包括数据资产的取得成本、获利状况、类似资产的交易价格、市场应用情况、市场规模情况、市场占有率、竞争情况等。通过对经济因素情况的分析，资产评估专业人员可以判断经济因素对数据资产价值的影响程度。</w:t>
      </w:r>
    </w:p>
    <w:p w14:paraId="56D7A050">
      <w:pPr>
        <w:spacing w:line="440" w:lineRule="atLeast"/>
        <w:ind w:firstLine="482" w:firstLineChars="200"/>
        <w:jc w:val="left"/>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第十一条</w:t>
      </w:r>
      <w:r>
        <w:rPr>
          <w:rFonts w:hint="eastAsia" w:ascii="宋体" w:hAnsi="宋体" w:eastAsia="宋体" w:cs="宋体"/>
          <w:color w:val="000000"/>
          <w:kern w:val="0"/>
          <w:sz w:val="24"/>
          <w:shd w:val="clear" w:color="auto" w:fill="FFFFFF"/>
        </w:rPr>
        <w:t>　数据资产的使用过程中存在隐私保护方面的风险。部分数据如果使用不当，可能会产生损害国家安全、泄露商业秘密、侵犯个人隐私等问题。数据资产在实际应用中需要考虑合法性，资产评估专业人员应当关注此类事项对数据资产评估的影响。</w:t>
      </w:r>
    </w:p>
    <w:p w14:paraId="5F60664A">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第三章　数据资产的评估方法</w:t>
      </w:r>
    </w:p>
    <w:p w14:paraId="548FE61A">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第十二条</w:t>
      </w:r>
      <w:r>
        <w:rPr>
          <w:rFonts w:hint="eastAsia" w:ascii="宋体" w:hAnsi="宋体" w:eastAsia="宋体" w:cs="宋体"/>
          <w:color w:val="000000"/>
          <w:kern w:val="0"/>
          <w:sz w:val="24"/>
          <w:shd w:val="clear" w:color="auto" w:fill="FFFFFF"/>
        </w:rPr>
        <w:t>　数据资产价值的评估方法包括成本法、收益法和市场法三种基本方法及其衍生方法。</w:t>
      </w:r>
    </w:p>
    <w:p w14:paraId="298A0707">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第十三条</w:t>
      </w:r>
      <w:r>
        <w:rPr>
          <w:rFonts w:hint="eastAsia" w:ascii="宋体" w:hAnsi="宋体" w:eastAsia="宋体" w:cs="宋体"/>
          <w:color w:val="000000"/>
          <w:kern w:val="0"/>
          <w:sz w:val="24"/>
          <w:shd w:val="clear" w:color="auto" w:fill="FFFFFF"/>
        </w:rPr>
        <w:t>　执行数据资产评估业务，应当根据评估目的、评估对象、价值类型、资料收集等情况，分析上述三种基本方法的适用性，选择评估方法。数据资产评估方法的选择应当注意方法的适用性，不可机械地按某种模式或者某种顺序进行选择。</w:t>
      </w:r>
    </w:p>
    <w:p w14:paraId="2451B121">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成本法是根据形成数据资产的成本进行评估。尽管无形资产的成本和价值先天具有弱对应性且其成本具有不完整性，但一些数据资产应用成本法评估其价值存在一定合理性。</w:t>
      </w:r>
    </w:p>
    <w:p w14:paraId="370B5708">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收益法是通过预计数据资产带来的收益估计其价值。这种方法在实际中比较容易操作。该方法是目前对数据资产评估比较容易接受的一种方法。虽然目前使用数据资产直接取得收益的情况比较少，但根据数据交易中心提供的交易数据，还是能够对部分企业数据资产的收益进行了解。</w:t>
      </w:r>
    </w:p>
    <w:p w14:paraId="7986808F">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市场法是根据相同或者相似的数据资产的近期或者往期成交价格，通过对比分析，评估数据资产价值的方法。根据数据资产价值的影响因素，可以利用市场法对不同属性的数据资产的价值进行对比和分析调整，反映出被评估数据资产的价值。</w:t>
      </w:r>
    </w:p>
    <w:p w14:paraId="63CD0731">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第十四条</w:t>
      </w:r>
      <w:r>
        <w:rPr>
          <w:rFonts w:hint="eastAsia" w:ascii="宋体" w:hAnsi="宋体" w:eastAsia="宋体" w:cs="宋体"/>
          <w:color w:val="000000"/>
          <w:kern w:val="0"/>
          <w:sz w:val="24"/>
          <w:shd w:val="clear" w:color="auto" w:fill="FFFFFF"/>
        </w:rPr>
        <w:t>　对于成本法，数据资产的价值由该资产的重置成本扣减各项贬值确定。其基本计算公式为：</w:t>
      </w:r>
    </w:p>
    <w:p w14:paraId="726EA861">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评估值＝重置成本×（1-贬值率）或者评估值=重置成本-功能性贬值-经济性贬值</w:t>
      </w:r>
    </w:p>
    <w:p w14:paraId="268A2B4F">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第十五条</w:t>
      </w:r>
      <w:r>
        <w:rPr>
          <w:rFonts w:hint="eastAsia" w:ascii="宋体" w:hAnsi="宋体" w:eastAsia="宋体" w:cs="宋体"/>
          <w:color w:val="000000"/>
          <w:kern w:val="0"/>
          <w:sz w:val="24"/>
          <w:shd w:val="clear" w:color="auto" w:fill="FFFFFF"/>
        </w:rPr>
        <w:t>　使用成本法执行数据资产评估业务时，首先要根据数据资产形成的全部投入，分析数据资产价值与成本的相关程度，考虑成本法的适用性。然后要确定数据资产的重置成本。数据资产的重置成本包括合理的成本、利润和相关税费。合理的成本则包括直接成本和间接费用。</w:t>
      </w:r>
    </w:p>
    <w:p w14:paraId="2D0B1A70">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第十六条</w:t>
      </w:r>
      <w:r>
        <w:rPr>
          <w:rFonts w:hint="eastAsia" w:ascii="宋体" w:hAnsi="宋体" w:eastAsia="宋体" w:cs="宋体"/>
          <w:color w:val="000000"/>
          <w:kern w:val="0"/>
          <w:sz w:val="24"/>
          <w:shd w:val="clear" w:color="auto" w:fill="FFFFFF"/>
        </w:rPr>
        <w:t>　在成本法中，数据资产的取得成本需要根据创建数据资产生命的流程特点，分阶段进行统计。尽管数据资产的存储、分析、挖掘技术复杂多变，但目前普遍使用的流程可以概括为四步，即数据采集、数据导入和预处理、数据统计和分析、数据挖掘。其中，数据采集属于数据资产获取阶段，后三个步骤属于数据资产研发阶段。</w:t>
      </w:r>
    </w:p>
    <w:p w14:paraId="5E515526">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数据获取可能是主动获取，也可能是被动获取。数据主动获取可能发生的成本有：向数据持有人购买数据的价款、注册费、手续费，通过其他渠道获取数据时发生的市场调查、访谈、实验观察等费用，以及在数据采集阶段发生的人工工资、场地租金、打印费、网络费等相关费用。被动获取的数据包括企业生产经营中获得的数据、相关部门开放并经确认的数据、企业相互合作共享的数据等。从企业角度看，被动获取的数据如果要形成数据资产，还需要企业自身进行大量资源数据的清洗、研发和深挖掘，在数据获取阶段企业付出的成本较小，因此在获取阶段，可以只考虑发生的数据存储等费用，成本重心落在数据资产研发阶段。研发阶段发生的成本通常包括设备折旧、研发人员工资等费用。采用成本法进行数据资产评估时，需要合理确定贬值。数据资产贬值主要包括：功能性贬值和经济性贬值。</w:t>
      </w:r>
    </w:p>
    <w:p w14:paraId="5152C7E3">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第十七条</w:t>
      </w:r>
      <w:r>
        <w:rPr>
          <w:rFonts w:hint="eastAsia" w:ascii="宋体" w:hAnsi="宋体" w:eastAsia="宋体" w:cs="宋体"/>
          <w:color w:val="000000"/>
          <w:kern w:val="0"/>
          <w:sz w:val="24"/>
          <w:shd w:val="clear" w:color="auto" w:fill="FFFFFF"/>
        </w:rPr>
        <w:t>　在传统无形资产成本法的基础上，可以综合考虑数据资产的成本与预期使用溢价，加入数据资产价值影响因素对资产价值进行修正，建立一种数据资产价值评估成本法模型。成本法模型的表达式为：</w:t>
      </w:r>
    </w:p>
    <w:p w14:paraId="58F80125">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P=TC×（1+R）×U</w:t>
      </w:r>
    </w:p>
    <w:p w14:paraId="2BF3203E">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其中：</w:t>
      </w:r>
    </w:p>
    <w:p w14:paraId="17145FB3">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P—评估值；</w:t>
      </w:r>
    </w:p>
    <w:p w14:paraId="038DB9F6">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TC—数据资产总成本；</w:t>
      </w:r>
    </w:p>
    <w:p w14:paraId="7310F3C1">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R—数据资产成本投资回报率；</w:t>
      </w:r>
    </w:p>
    <w:p w14:paraId="717BE2C5">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U—数据效用。</w:t>
      </w:r>
    </w:p>
    <w:p w14:paraId="1AFCE3A2">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第十八条</w:t>
      </w:r>
      <w:r>
        <w:rPr>
          <w:rFonts w:hint="eastAsia" w:ascii="宋体" w:hAnsi="宋体" w:eastAsia="宋体" w:cs="宋体"/>
          <w:color w:val="000000"/>
          <w:kern w:val="0"/>
          <w:sz w:val="24"/>
          <w:shd w:val="clear" w:color="auto" w:fill="FFFFFF"/>
        </w:rPr>
        <w:t>　在上述评估模型中，数据资产总成本TC表示数据资产从产生到评估基准日所发生的总成本。数据资产总成本可以通过系统开发委托合同和实际支出进行计算，主要包括建设成本、运维成本和管理成本三类，并且不同的数据资产所包含的建设费用和运维费用的比例是不同的。因此，每一个评估项对数据资产价值产生多大的影响，必须给出一个比较合理的权重。其中建设成本是指数据规划、采集获取、数据确认、数据描述等方面的内容；运维成本包含着数据存储、数据整合、知识发现等评价指标；管理成本主要由人力成本、间接成本以及服务外包成本构成。</w:t>
      </w:r>
    </w:p>
    <w:p w14:paraId="0961A374">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第十九条</w:t>
      </w:r>
      <w:r>
        <w:rPr>
          <w:rFonts w:hint="eastAsia" w:ascii="宋体" w:hAnsi="宋体" w:eastAsia="宋体" w:cs="宋体"/>
          <w:color w:val="000000"/>
          <w:kern w:val="0"/>
          <w:sz w:val="24"/>
          <w:shd w:val="clear" w:color="auto" w:fill="FFFFFF"/>
        </w:rPr>
        <w:t>　在上述评估模型中，数据效用U是影响数据价值实现因素的集合，用于修正数据资产成本投资回报率R。数据质量、数据基数、数据流通以及数据价值实现风险均会对数据效用U产生影响。定义数据效用的表达式为：</w:t>
      </w:r>
    </w:p>
    <w:p w14:paraId="07990E8B">
      <w:pPr>
        <w:spacing w:before="159" w:beforeLines="50" w:line="440" w:lineRule="atLeast"/>
        <w:ind w:firstLine="600" w:firstLineChars="250"/>
        <w:jc w:val="left"/>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object>
          <v:shape id="_x0000_i1033" o:spt="75" type="#_x0000_t75" style="height:21.3pt;width:119.6pt;" o:ole="t" filled="f" o:preferrelative="t" stroked="f" coordsize="21600,21600">
            <v:path/>
            <v:fill on="f" focussize="0,0"/>
            <v:stroke on="f" joinstyle="miter"/>
            <v:imagedata r:id="rId61" o:title=""/>
            <o:lock v:ext="edit" aspectratio="t"/>
            <w10:wrap type="none"/>
            <w10:anchorlock/>
          </v:shape>
          <o:OLEObject Type="Embed" ProgID="Equation.3" ShapeID="_x0000_i1033" DrawAspect="Content" ObjectID="_1468075733" r:id="rId60">
            <o:LockedField>false</o:LockedField>
          </o:OLEObject>
        </w:object>
      </w:r>
    </w:p>
    <w:p w14:paraId="3596ABCB">
      <w:pPr>
        <w:spacing w:before="159" w:beforeLines="50"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其中：</w:t>
      </w:r>
    </w:p>
    <w:p w14:paraId="5BA4A1EB">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α—数据质量系数；</w:t>
      </w:r>
    </w:p>
    <w:p w14:paraId="4A018479">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β—数据流通系数；</w:t>
      </w:r>
    </w:p>
    <w:p w14:paraId="10AF5D63">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object>
          <v:shape id="_x0000_i1034" o:spt="75" type="#_x0000_t75" style="height:22.55pt;width:16.3pt;" o:ole="t" filled="f" o:preferrelative="t" stroked="f" coordsize="21600,21600">
            <v:path/>
            <v:fill on="f" focussize="0,0"/>
            <v:stroke on="f" joinstyle="miter"/>
            <v:imagedata r:id="rId63" o:title=""/>
            <o:lock v:ext="edit" aspectratio="t"/>
            <w10:wrap type="none"/>
            <w10:anchorlock/>
          </v:shape>
          <o:OLEObject Type="Embed" ProgID="Equation.3" ShapeID="_x0000_i1034" DrawAspect="Content" ObjectID="_1468075734" r:id="rId62">
            <o:LockedField>false</o:LockedField>
          </o:OLEObject>
        </w:object>
      </w:r>
      <w:r>
        <w:rPr>
          <w:rFonts w:hint="eastAsia" w:ascii="宋体" w:hAnsi="宋体" w:eastAsia="宋体" w:cs="宋体"/>
          <w:color w:val="000000"/>
          <w:kern w:val="0"/>
          <w:sz w:val="24"/>
          <w:shd w:val="clear" w:color="auto" w:fill="FFFFFF"/>
        </w:rPr>
        <w:t>—数据垄断系数；</w:t>
      </w:r>
    </w:p>
    <w:p w14:paraId="56B8E25C">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r—数据价值实现风险系数。</w:t>
      </w:r>
    </w:p>
    <w:p w14:paraId="5A78382D">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（一）数据质量系数α</w:t>
      </w:r>
    </w:p>
    <w:p w14:paraId="2B931A6C">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数据质量是指数据固有质量，可以通过对数据完整性、数据准确性和数据有效性三方面设立约束规则，利用统计分析数据是否满足约束规则完成量化。基于统计学的思想，数据质量为满足要求的数据在数据系统中的百分比。数据质量的评价办法由数据模块、规则模块和评价模块三者组成。</w:t>
      </w:r>
    </w:p>
    <w:p w14:paraId="338B3283">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数据模块是数据资产价值评估的对象，即待评估数据资产的合集。</w:t>
      </w:r>
    </w:p>
    <w:p w14:paraId="78F0E83A">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规则模块用于生成数据的检验标准，即数据的约束规则。约束规则应当根据具体的业务内容和数据自身规则（如值域约束和语法约束）提炼出基本约束，并归纳形成规则库。在对数据质量进行评价时，约束规则是对数据进行检测的依据。</w:t>
      </w:r>
    </w:p>
    <w:p w14:paraId="6EBAD761">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评价模块是数据质量评估办法的关键模块，目的是利用规则模块中的约束规则对数据进行检验并分析汇总。各个规则模块获取的结果需要加权汇总以获得最终的数据质量系数。</w:t>
      </w:r>
    </w:p>
    <w:p w14:paraId="215532A8">
      <w:pPr>
        <w:spacing w:line="440" w:lineRule="atLeast"/>
        <w:ind w:left="664"/>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（二）数据流通系数β</w:t>
      </w:r>
    </w:p>
    <w:p w14:paraId="16ED3924">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数据资产按流通类型可以分为开放数据、公开数据、共享数据和非共享数据四类。因此，在考察数据流通效率时，首先通过可流通数据量占总数据量的比重确定数据对外开放共享程度；然后，考虑到不同的数据流通类型对数据接受者范围的影响，需要将数据传播系数考虑进来。传播系数是指数据的传播广度，即数据在网络中被他人接受的总人次，可以通过查看系统访问量、网站访问量获得。</w:t>
      </w:r>
    </w:p>
    <w:p w14:paraId="37D848D1">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数据流通系数表示为：</w:t>
      </w:r>
    </w:p>
    <w:p w14:paraId="5F701809">
      <w:pPr>
        <w:spacing w:line="440" w:lineRule="atLeast"/>
        <w:ind w:left="1885" w:leftChars="212" w:hanging="1440" w:hangingChars="6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数据流通系数=（传播系数</w:t>
      </w:r>
      <w:r>
        <w:rPr>
          <w:rFonts w:hint="eastAsia" w:ascii="宋体" w:hAnsi="宋体" w:eastAsia="宋体" w:cs="宋体"/>
          <w:color w:val="000000"/>
          <w:kern w:val="0"/>
          <w:sz w:val="24"/>
          <w:shd w:val="clear" w:color="auto" w:fill="FFFFFF"/>
        </w:rPr>
        <w:object>
          <v:shape id="_x0000_i1035" o:spt="75" type="#_x0000_t75" style="height:10.65pt;width:10pt;" o:ole="t" filled="f" o:preferrelative="t" stroked="f" coordsize="21600,21600">
            <v:path/>
            <v:fill on="f" focussize="0,0"/>
            <v:stroke on="f" joinstyle="miter"/>
            <v:imagedata r:id="rId65" o:title=""/>
            <o:lock v:ext="edit" aspectratio="t"/>
            <w10:wrap type="none"/>
            <w10:anchorlock/>
          </v:shape>
          <o:OLEObject Type="Embed" ProgID="Equation.3" ShapeID="_x0000_i1035" DrawAspect="Content" ObjectID="_1468075735" r:id="rId64">
            <o:LockedField>false</o:LockedField>
          </o:OLEObject>
        </w:object>
      </w:r>
      <w:r>
        <w:rPr>
          <w:rFonts w:hint="eastAsia" w:ascii="宋体" w:hAnsi="宋体" w:eastAsia="宋体" w:cs="宋体"/>
          <w:color w:val="000000"/>
          <w:kern w:val="0"/>
          <w:sz w:val="24"/>
          <w:shd w:val="clear" w:color="auto" w:fill="FFFFFF"/>
        </w:rPr>
        <w:t>可流通的数据量）/总数据量</w:t>
      </w:r>
    </w:p>
    <w:p w14:paraId="5FE19BA1">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w:t>
      </w:r>
      <w:r>
        <w:rPr>
          <w:rFonts w:hint="eastAsia" w:ascii="宋体" w:hAnsi="宋体" w:eastAsia="宋体" w:cs="宋体"/>
          <w:color w:val="000000"/>
          <w:kern w:val="0"/>
          <w:sz w:val="24"/>
          <w:shd w:val="clear" w:color="auto" w:fill="FFFFFF"/>
        </w:rPr>
        <w:object>
          <v:shape id="_x0000_i1036" o:spt="75" type="#_x0000_t75" style="height:10.65pt;width:18.15pt;" o:ole="t" filled="f" o:preferrelative="t" stroked="f" coordsize="21600,21600">
            <v:path/>
            <v:fill on="f" focussize="0,0"/>
            <v:stroke on="f" joinstyle="miter"/>
            <v:imagedata r:id="rId67" o:title=""/>
            <o:lock v:ext="edit" aspectratio="t"/>
            <w10:wrap type="none"/>
            <w10:anchorlock/>
          </v:shape>
          <o:OLEObject Type="Embed" ProgID="Equation.3" ShapeID="_x0000_i1036" DrawAspect="Content" ObjectID="_1468075736" r:id="rId66">
            <o:LockedField>false</o:LockedField>
          </o:OLEObject>
        </w:object>
      </w:r>
      <w:r>
        <w:rPr>
          <w:rFonts w:hint="eastAsia" w:ascii="宋体" w:hAnsi="宋体" w:eastAsia="宋体" w:cs="宋体"/>
          <w:color w:val="000000"/>
          <w:kern w:val="0"/>
          <w:sz w:val="24"/>
          <w:shd w:val="clear" w:color="auto" w:fill="FFFFFF"/>
        </w:rPr>
        <w:t>开放数据量+</w:t>
      </w:r>
      <w:r>
        <w:rPr>
          <w:rFonts w:hint="eastAsia" w:ascii="宋体" w:hAnsi="宋体" w:eastAsia="宋体" w:cs="宋体"/>
          <w:color w:val="000000"/>
          <w:kern w:val="0"/>
          <w:sz w:val="24"/>
          <w:shd w:val="clear" w:color="auto" w:fill="FFFFFF"/>
        </w:rPr>
        <w:object>
          <v:shape id="_x0000_i1037" o:spt="75" type="#_x0000_t75" style="height:14.4pt;width:18.8pt;" o:ole="t" filled="f" o:preferrelative="t" stroked="f" coordsize="21600,21600">
            <v:path/>
            <v:fill on="f" focussize="0,0"/>
            <v:stroke on="f" joinstyle="miter"/>
            <v:imagedata r:id="rId69" o:title=""/>
            <o:lock v:ext="edit" aspectratio="t"/>
            <w10:wrap type="none"/>
            <w10:anchorlock/>
          </v:shape>
          <o:OLEObject Type="Embed" ProgID="Equation.3" ShapeID="_x0000_i1037" DrawAspect="Content" ObjectID="_1468075737" r:id="rId68">
            <o:LockedField>false</o:LockedField>
          </o:OLEObject>
        </w:object>
      </w:r>
      <w:r>
        <w:rPr>
          <w:rFonts w:hint="eastAsia" w:ascii="宋体" w:hAnsi="宋体" w:eastAsia="宋体" w:cs="宋体"/>
          <w:color w:val="000000"/>
          <w:kern w:val="0"/>
          <w:sz w:val="24"/>
          <w:shd w:val="clear" w:color="auto" w:fill="FFFFFF"/>
        </w:rPr>
        <w:t>公开数据量+</w:t>
      </w:r>
      <w:r>
        <w:rPr>
          <w:rFonts w:hint="eastAsia" w:ascii="宋体" w:hAnsi="宋体" w:eastAsia="宋体" w:cs="宋体"/>
          <w:color w:val="000000"/>
          <w:kern w:val="0"/>
          <w:sz w:val="24"/>
          <w:shd w:val="clear" w:color="auto" w:fill="FFFFFF"/>
        </w:rPr>
        <w:object>
          <v:shape id="_x0000_i1038" o:spt="75" type="#_x0000_t75" style="height:10.65pt;width:18.8pt;" o:ole="t" filled="f" o:preferrelative="t" stroked="f" coordsize="21600,21600">
            <v:path/>
            <v:fill on="f" focussize="0,0"/>
            <v:stroke on="f" joinstyle="miter"/>
            <v:imagedata r:id="rId71" o:title=""/>
            <o:lock v:ext="edit" aspectratio="t"/>
            <w10:wrap type="none"/>
            <w10:anchorlock/>
          </v:shape>
          <o:OLEObject Type="Embed" ProgID="Equation.3" ShapeID="_x0000_i1038" DrawAspect="Content" ObjectID="_1468075738" r:id="rId70">
            <o:LockedField>false</o:LockedField>
          </o:OLEObject>
        </w:object>
      </w:r>
      <w:r>
        <w:rPr>
          <w:rFonts w:hint="eastAsia" w:ascii="宋体" w:hAnsi="宋体" w:eastAsia="宋体" w:cs="宋体"/>
          <w:color w:val="000000"/>
          <w:kern w:val="0"/>
          <w:sz w:val="24"/>
          <w:shd w:val="clear" w:color="auto" w:fill="FFFFFF"/>
        </w:rPr>
        <w:t>共享数据量）/总数据量</w:t>
      </w:r>
    </w:p>
    <w:p w14:paraId="4D18EAA1">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其中，a、b、c分别为开放、公开和共享三种数据流通类型的传播系数，非共享数据流通限制过强，对整体流通效率影响忽略不计。</w:t>
      </w:r>
    </w:p>
    <w:p w14:paraId="631F94C8">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（三）数据垄断系数</w:t>
      </w:r>
      <w:r>
        <w:rPr>
          <w:rFonts w:hint="eastAsia" w:ascii="宋体" w:hAnsi="宋体" w:eastAsia="宋体" w:cs="宋体"/>
          <w:color w:val="000000"/>
          <w:kern w:val="0"/>
          <w:sz w:val="24"/>
          <w:shd w:val="clear" w:color="auto" w:fill="FFFFFF"/>
        </w:rPr>
        <w:object>
          <v:shape id="_x0000_i1039" o:spt="75" type="#_x0000_t75" style="height:20.65pt;width:10pt;" o:ole="t" filled="f" o:preferrelative="t" stroked="f" coordsize="21600,21600">
            <v:path/>
            <v:fill on="f" focussize="0,0"/>
            <v:stroke on="f" joinstyle="miter"/>
            <v:imagedata r:id="rId73" o:title=""/>
            <o:lock v:ext="edit" aspectratio="t"/>
            <w10:wrap type="none"/>
            <w10:anchorlock/>
          </v:shape>
          <o:OLEObject Type="Embed" ProgID="Equation.3" ShapeID="_x0000_i1039" DrawAspect="Content" ObjectID="_1468075739" r:id="rId72">
            <o:LockedField>false</o:LockedField>
          </o:OLEObject>
        </w:object>
      </w:r>
    </w:p>
    <w:p w14:paraId="5C3C89EB">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数据资产的垄断程度是由数据基数决定，即该数据资产所拥有的数据量占该类型数据总量的比例，可以通过某类别数据在整个行业领域内的数据占比衡量，即通过比较同类数据总量来确定。</w:t>
      </w:r>
    </w:p>
    <w:p w14:paraId="75817309">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数据垄断系数表示为：</w:t>
      </w:r>
    </w:p>
    <w:p w14:paraId="3211C757">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数据垄断系数=系统数据量/行业总数据量</w:t>
      </w:r>
    </w:p>
    <w:p w14:paraId="620F7D8B">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数据是现实事物的客观描述。衡量某种数据的垄断性不仅受限于所属行业，还可能与其所处的地域相关。</w:t>
      </w:r>
    </w:p>
    <w:p w14:paraId="35C6F487">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（四）数据价值实现风险系数r</w:t>
      </w:r>
    </w:p>
    <w:p w14:paraId="39CAD64A">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在数据价值链上的各个环节都存在影响数据价值实现的风险。数据价值实现风险分为数据管理风险、数据流通风险、增值开发风险和数据安全风险四个二级指标和设备故障、数据描述不当、系统不兼容、政策影响、应用需求、数据开发水平、数据泄露、数据损坏八个三级指标。由于数据资产价值实现环节较多且评估过程复杂，可以采用专家打分法与层次分析法获得其风险系数。</w:t>
      </w:r>
    </w:p>
    <w:p w14:paraId="471457DB">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第二十条</w:t>
      </w:r>
      <w:r>
        <w:rPr>
          <w:rFonts w:hint="eastAsia" w:ascii="宋体" w:hAnsi="宋体" w:eastAsia="宋体" w:cs="宋体"/>
          <w:color w:val="000000"/>
          <w:kern w:val="0"/>
          <w:sz w:val="24"/>
          <w:shd w:val="clear" w:color="auto" w:fill="FFFFFF"/>
        </w:rPr>
        <w:t>　收益法评估数据资产时，数据资产作为经营资产直接或者间接产生收益，其价值实现方式包括数据分析、数据挖掘、应用开发等。收益法较真实、准确地反映了数据资产本金化的价值，更容易被交易各方所接受。</w:t>
      </w:r>
    </w:p>
    <w:p w14:paraId="08FBDDB9">
      <w:pPr>
        <w:spacing w:line="440" w:lineRule="atLeast"/>
        <w:ind w:firstLine="472" w:firstLineChars="196"/>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第二十一条</w:t>
      </w:r>
      <w:r>
        <w:rPr>
          <w:rFonts w:hint="eastAsia" w:ascii="宋体" w:hAnsi="宋体" w:eastAsia="宋体" w:cs="宋体"/>
          <w:color w:val="000000"/>
          <w:kern w:val="0"/>
          <w:sz w:val="24"/>
          <w:shd w:val="clear" w:color="auto" w:fill="FFFFFF"/>
        </w:rPr>
        <w:t>　收益法评估的基本计算公式为：</w:t>
      </w:r>
    </w:p>
    <w:p w14:paraId="6029E304">
      <w:pPr>
        <w:spacing w:line="440" w:lineRule="atLeast"/>
        <w:ind w:left="420" w:left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drawing>
          <wp:inline distT="0" distB="0" distL="0" distR="0">
            <wp:extent cx="1857375" cy="723900"/>
            <wp:effectExtent l="0" t="0" r="9525"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1857375" cy="723900"/>
                    </a:xfrm>
                    <a:prstGeom prst="rect">
                      <a:avLst/>
                    </a:prstGeom>
                    <a:noFill/>
                    <a:ln>
                      <a:noFill/>
                    </a:ln>
                    <a:effectLst/>
                  </pic:spPr>
                </pic:pic>
              </a:graphicData>
            </a:graphic>
          </wp:inline>
        </w:drawing>
      </w:r>
    </w:p>
    <w:p w14:paraId="3DCE2EBE">
      <w:pPr>
        <w:spacing w:line="440" w:lineRule="atLeast"/>
        <w:ind w:left="420" w:left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其中：</w:t>
      </w:r>
    </w:p>
    <w:p w14:paraId="71C8266D">
      <w:pPr>
        <w:spacing w:line="440" w:lineRule="atLeast"/>
        <w:ind w:left="420" w:left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P—评估值；</w:t>
      </w:r>
    </w:p>
    <w:p w14:paraId="31568A70">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Ft—数据资产未来第t个收益期的收益额；</w:t>
      </w:r>
    </w:p>
    <w:p w14:paraId="50BF99C4">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n—剩余经济寿命期；</w:t>
      </w:r>
    </w:p>
    <w:p w14:paraId="5A35576E">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t—未来第t年；</w:t>
      </w:r>
    </w:p>
    <w:p w14:paraId="6BA0662F">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i—折现率。</w:t>
      </w:r>
    </w:p>
    <w:p w14:paraId="6B46EF63">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根据收益法基本公式，在获取数据资产相关信息的基础上，根据该数据资产或者类似数据资产的历史应用情况以及未来应用前景，结合数据资产应用的商业模式，重点分析数据资产经济收益的可预测性，考虑收益法的适用性。</w:t>
      </w:r>
    </w:p>
    <w:p w14:paraId="66E5E00E">
      <w:pPr>
        <w:spacing w:line="440" w:lineRule="atLeast"/>
        <w:ind w:firstLine="482" w:firstLineChars="200"/>
        <w:jc w:val="left"/>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第二十二条</w:t>
      </w:r>
      <w:r>
        <w:rPr>
          <w:rFonts w:hint="eastAsia" w:ascii="宋体" w:hAnsi="宋体" w:eastAsia="宋体" w:cs="宋体"/>
          <w:color w:val="000000"/>
          <w:kern w:val="0"/>
          <w:sz w:val="24"/>
          <w:shd w:val="clear" w:color="auto" w:fill="FFFFFF"/>
        </w:rPr>
        <w:t>　在估算数据资产带来的预期收益时，需要区分数据资产和其他资产所获得的收益，分析与之有关的预期变动、收益期限、成本费用、配套资产、现金流量、风险因素等。</w:t>
      </w:r>
    </w:p>
    <w:p w14:paraId="5BA24565">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数据资产的预期收益是因数据资产的使用而额外带来的收益，数据资产收益现金流是全部收益扣除其他资产的贡献后归属于数据资产的现金流。数据资产的获利形式通常包括：对企业顾客群体细分、模拟实境、提高投入回报率、数据存储空间出租、管理客户关系、个性化精准推荐、数据搜索等。目前确定数据资产现金流的方法有增量收益、收益分成或者超额收益等方式。确定预期收益时，注意区分并剔除与委托评估的数据资产无关的业务产生的收益，并关注数据资产产品或者服务所属行业的市场规模、市场地位以及相关企业的经营情况。</w:t>
      </w:r>
    </w:p>
    <w:p w14:paraId="1DBF0E1D">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第二十三条</w:t>
      </w:r>
      <w:r>
        <w:rPr>
          <w:rFonts w:hint="eastAsia" w:ascii="宋体" w:hAnsi="宋体" w:eastAsia="宋体" w:cs="宋体"/>
          <w:color w:val="000000"/>
          <w:kern w:val="0"/>
          <w:sz w:val="24"/>
          <w:shd w:val="clear" w:color="auto" w:fill="FFFFFF"/>
        </w:rPr>
        <w:t>　使用收益法执行数据资产评估业务时，需要综合考虑法律保护期限、相关合同约定期限、数据资产的产生时间、数据资产的更新时间、数据资产的时效性以及数据资产的权利状况等因素确定收益期限。收益期限不得超出产品或者服务的合理收益期。</w:t>
      </w:r>
    </w:p>
    <w:p w14:paraId="559CE5CC">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第二十四条</w:t>
      </w:r>
      <w:r>
        <w:rPr>
          <w:rFonts w:hint="eastAsia" w:ascii="宋体" w:hAnsi="宋体" w:eastAsia="宋体" w:cs="宋体"/>
          <w:color w:val="000000"/>
          <w:kern w:val="0"/>
          <w:sz w:val="24"/>
          <w:shd w:val="clear" w:color="auto" w:fill="FFFFFF"/>
        </w:rPr>
        <w:t>　使用收益法执行数据资产评估业务时，应当合理确定折现率。折现率可以通过分析评估基准日的利率、投资回报率，以及数据资产权利实施过程中的技术、经营、市场、资金等因素确定。数据资产折现率可以采用无风险报酬率加风险报酬率的方式确定。数据资产折现率与预期收益的口径保持一致。</w:t>
      </w:r>
    </w:p>
    <w:p w14:paraId="4517FE7C">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第二十五条</w:t>
      </w:r>
      <w:r>
        <w:rPr>
          <w:rFonts w:hint="eastAsia" w:ascii="宋体" w:hAnsi="宋体" w:eastAsia="宋体" w:cs="宋体"/>
          <w:color w:val="000000"/>
          <w:kern w:val="0"/>
          <w:sz w:val="24"/>
          <w:shd w:val="clear" w:color="auto" w:fill="FFFFFF"/>
        </w:rPr>
        <w:t>　执行数据资产评估业务，选用市场法的前提条件是具有公开并活跃的交易市场。　</w:t>
      </w:r>
    </w:p>
    <w:p w14:paraId="2E66518B">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第二十六条</w:t>
      </w:r>
      <w:r>
        <w:rPr>
          <w:rFonts w:hint="eastAsia" w:ascii="宋体" w:hAnsi="宋体" w:eastAsia="宋体" w:cs="宋体"/>
          <w:color w:val="000000"/>
          <w:kern w:val="0"/>
          <w:sz w:val="24"/>
          <w:shd w:val="clear" w:color="auto" w:fill="FFFFFF"/>
        </w:rPr>
        <w:t>　市场法通过以下公式中的因素修正评估数据资产价值：</w:t>
      </w:r>
    </w:p>
    <w:p w14:paraId="69D1230F">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被评估数据资产的价值=可比案例数据资产的价值×技术修正系数×价值密度修正系数×期日修正系数×容量修正系数×其他修正系数</w:t>
      </w:r>
    </w:p>
    <w:p w14:paraId="5EE3E0BF">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第二十七条</w:t>
      </w:r>
      <w:r>
        <w:rPr>
          <w:rFonts w:hint="eastAsia" w:ascii="宋体" w:hAnsi="宋体" w:eastAsia="宋体" w:cs="宋体"/>
          <w:color w:val="000000"/>
          <w:kern w:val="0"/>
          <w:sz w:val="24"/>
          <w:shd w:val="clear" w:color="auto" w:fill="FFFFFF"/>
        </w:rPr>
        <w:t>　使用市场法执行数据资产评估业务时，在充分了解被评估数据资产的情况后，需要搜集类似数据资产交易案例相关信息，包括交易价格、交易时间、交易条件等信息，并从中选取可比案例。对于类似数据资产，可以从相近数据类型和相近数据用途两个方面获取。目前比较常见的数据类型包括：用户关系数据、基于用户关系产生的社交数据、交易数据、信用数据、移动数据、用户搜索表征的需求数据等。目前比较常见的数据用途包括：精准化营销、产品销售预测和需求管理、客户关系管理、风险管控等。</w:t>
      </w:r>
    </w:p>
    <w:p w14:paraId="6B275692">
      <w:pPr>
        <w:spacing w:line="440" w:lineRule="atLeast"/>
        <w:ind w:firstLine="634"/>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第二十八条</w:t>
      </w:r>
      <w:r>
        <w:rPr>
          <w:rFonts w:hint="eastAsia" w:ascii="宋体" w:hAnsi="宋体" w:eastAsia="宋体" w:cs="宋体"/>
          <w:color w:val="000000"/>
          <w:kern w:val="0"/>
          <w:sz w:val="24"/>
          <w:shd w:val="clear" w:color="auto" w:fill="FFFFFF"/>
        </w:rPr>
        <w:t>　使用市场法执行数据资产评估业务时，应当收集足够的可比交易案例，并根据数据资产特性对交易信息进行必要调整，调整参数一般可以包括技术修正系数、价值密度修正系数、期日修正系数、容量修正系数和其他修正系数。</w:t>
      </w:r>
    </w:p>
    <w:p w14:paraId="060594E4">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其中，技术修正系数主要考虑因技术因素带来的数据资产价值差异，通常包括数据获取、数据存储、数据加工、数据挖掘、数据保护、数据共享等因素。</w:t>
      </w:r>
    </w:p>
    <w:p w14:paraId="7388EA66">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期日修正系数主要考虑评估基准日与可比案例交易日期的不同带来的数据资产价值差异。一般来说，离评估基准日越近，越能反应相近商业环境下的成交价，其价值差异越小。期日修正系数的基本公式为：期日修正系数=评估基准日价格指数/可比案例交易日价格指数。</w:t>
      </w:r>
    </w:p>
    <w:p w14:paraId="47677B67">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容量修正系数主要考虑不同数据容量带来的数据资产价值差异，其基本逻辑为：一般情况下，价值密度接近时，容量越大，数据资产总价值越高。容量修正系数的基本公式为：容量修正系数=评估对象的容量/可比案例的容量。当评估对象和可比案例的价值密度相同或者相近时，一般只需要考虑数据容量对资产价值的影响；当评估对象和可比案例的价值密度差异较大时，除需要考虑数据容量之外，还需要考虑价值密度对资产价值的影响。</w:t>
      </w:r>
    </w:p>
    <w:p w14:paraId="6D0CE0C9">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价值密度修正系数主要考虑有效数据占总体数据比例不同带来的数据资产价值差异。价值密度用单位数据的价值来衡量，价值密度修正系数的逻辑为：有效数据（指在总体数据中对整体价值有贡献的那部分数据）占总体数据量比重越大，则数据资产总价值越高。如果一项数据资产可以进一步拆分为多项子数据资产，每一项子数据资产可能具有不同的价值密度，那么总体的价值密度应当考虑每个子数据资产的价值密度。</w:t>
      </w:r>
    </w:p>
    <w:p w14:paraId="1AE8EE51">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其他修正系数主要考虑数据资产评估实务中，根据具体数据资产的情况，影响数据资产价值差异的其他因素，例如，市场供需状况差异。可以根据实际情况考虑可比案例差异，选择修正系数。</w:t>
      </w:r>
    </w:p>
    <w:p w14:paraId="3E6BB3FF">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第二十九条</w:t>
      </w:r>
      <w:r>
        <w:rPr>
          <w:rFonts w:hint="eastAsia" w:ascii="宋体" w:hAnsi="宋体" w:eastAsia="宋体" w:cs="宋体"/>
          <w:color w:val="000000"/>
          <w:kern w:val="0"/>
          <w:sz w:val="24"/>
          <w:shd w:val="clear" w:color="auto" w:fill="FFFFFF"/>
        </w:rPr>
        <w:t>　当前正值数据资产市场建设期，交易透明度、信息公开度还需要时间来提升，有些数据资产不是在企业经营中形成直接收益，直接预测收益有一定难度，需要进行大量的市场调研、应用推演和实践检验。在上述条件下，可以考虑使用成本法，而收益法和市场法通常适用于交易性和收益性较好的数据资产评估。</w:t>
      </w:r>
    </w:p>
    <w:p w14:paraId="4617B1F5">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第三十条</w:t>
      </w:r>
      <w:r>
        <w:rPr>
          <w:rFonts w:hint="eastAsia" w:ascii="宋体" w:hAnsi="宋体" w:eastAsia="宋体" w:cs="宋体"/>
          <w:color w:val="000000"/>
          <w:kern w:val="0"/>
          <w:sz w:val="24"/>
          <w:shd w:val="clear" w:color="auto" w:fill="FFFFFF"/>
        </w:rPr>
        <w:t>　资产评估专业人员执行数据资产评估业务时，不论选择哪种评估方法进行评估，都应当保证评估目的与评估所依据的各种假设、前提条件，所使用的各种参数，在性质和逻辑上的一致。尤其是在运用多种评估方法评估同一评估对象时，更要保证每种评估方法运用中所依据的各种假设、前提条件，数据参数的可比性，以便能够使运用不同评估方法所得到的测算结果具有可比性和相互可验证性。</w:t>
      </w:r>
    </w:p>
    <w:p w14:paraId="06E08514">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第四章　数据资产评估报告的编制</w:t>
      </w:r>
    </w:p>
    <w:p w14:paraId="443DB04E">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第三十一条</w:t>
      </w:r>
      <w:r>
        <w:rPr>
          <w:rFonts w:hint="eastAsia" w:ascii="宋体" w:hAnsi="宋体" w:eastAsia="宋体" w:cs="宋体"/>
          <w:color w:val="000000"/>
          <w:kern w:val="0"/>
          <w:sz w:val="24"/>
          <w:shd w:val="clear" w:color="auto" w:fill="FFFFFF"/>
        </w:rPr>
        <w:t>　鉴于我国数据资产的产权还没有专门的法律法规予以明确，在编制数据资产评估报告时，可以就数据资产的来源、加工、形成进行描述，关注资产评估相关准则对评估对象产权描述的规定。</w:t>
      </w:r>
    </w:p>
    <w:p w14:paraId="04756A95">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第三十二条</w:t>
      </w:r>
      <w:r>
        <w:rPr>
          <w:rFonts w:hint="eastAsia" w:ascii="宋体" w:hAnsi="宋体" w:eastAsia="宋体" w:cs="宋体"/>
          <w:color w:val="000000"/>
          <w:kern w:val="0"/>
          <w:sz w:val="24"/>
          <w:shd w:val="clear" w:color="auto" w:fill="FFFFFF"/>
        </w:rPr>
        <w:t>　在编制数据资产评估报告时，不得违法披露数据资产涉及的国家安全、商业秘密、个人隐私等数据。</w:t>
      </w:r>
    </w:p>
    <w:p w14:paraId="52C908E1">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第三十三条</w:t>
      </w:r>
      <w:r>
        <w:rPr>
          <w:rFonts w:hint="eastAsia" w:ascii="宋体" w:hAnsi="宋体" w:eastAsia="宋体" w:cs="宋体"/>
          <w:color w:val="000000"/>
          <w:kern w:val="0"/>
          <w:sz w:val="24"/>
          <w:shd w:val="clear" w:color="auto" w:fill="FFFFFF"/>
        </w:rPr>
        <w:t>　编制数据资产评估报告需要反映数据资产的特点，通常包括下列内容：</w:t>
      </w:r>
    </w:p>
    <w:p w14:paraId="0E4F428C">
      <w:pPr>
        <w:numPr>
          <w:ilvl w:val="0"/>
          <w:numId w:val="4"/>
        </w:num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评估对象的详细情况，通常包括数据资产的名称、来源、数据规模、产生时间、更新时间、数据类型、呈现形式、时效性、应用范围、权利属性、使用权具体形式以及法律状态等；</w:t>
      </w:r>
    </w:p>
    <w:p w14:paraId="1707A960">
      <w:pPr>
        <w:numPr>
          <w:ilvl w:val="0"/>
          <w:numId w:val="4"/>
        </w:num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数据资产应用的商业模式；</w:t>
      </w:r>
    </w:p>
    <w:p w14:paraId="181876EA">
      <w:pPr>
        <w:numPr>
          <w:ilvl w:val="0"/>
          <w:numId w:val="4"/>
        </w:num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对影响数据资产价值的基本因素、法律因素、经济因素的分析过程；</w:t>
      </w:r>
    </w:p>
    <w:p w14:paraId="2C76C438">
      <w:pPr>
        <w:numPr>
          <w:ilvl w:val="0"/>
          <w:numId w:val="4"/>
        </w:num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使用的评估假设和前提条件；</w:t>
      </w:r>
    </w:p>
    <w:p w14:paraId="3B7657CF">
      <w:pPr>
        <w:numPr>
          <w:ilvl w:val="0"/>
          <w:numId w:val="4"/>
        </w:num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数据资产的许可使用、转让、诉讼和质押情况；</w:t>
      </w:r>
    </w:p>
    <w:p w14:paraId="17ED9E29">
      <w:pPr>
        <w:numPr>
          <w:ilvl w:val="0"/>
          <w:numId w:val="4"/>
        </w:num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有关评估方法的主要内容，包括评估方法的选取及其理由，评估方法中的运算和逻辑推理公式，各重要参数的来源、分析、比较与测算过程，对测算结果进行分析并形成评估结论的过程；</w:t>
      </w:r>
    </w:p>
    <w:p w14:paraId="00D9F74A">
      <w:pPr>
        <w:numPr>
          <w:ilvl w:val="0"/>
          <w:numId w:val="4"/>
        </w:num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其他必要信息。</w:t>
      </w:r>
    </w:p>
    <w:p w14:paraId="31AB28F6">
      <w:pPr>
        <w:spacing w:line="440" w:lineRule="atLeast"/>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br w:type="page"/>
      </w:r>
      <w:r>
        <w:rPr>
          <w:rFonts w:hint="eastAsia" w:ascii="宋体" w:hAnsi="宋体" w:eastAsia="宋体" w:cs="宋体"/>
          <w:color w:val="000000"/>
          <w:kern w:val="0"/>
          <w:sz w:val="24"/>
          <w:shd w:val="clear" w:color="auto" w:fill="FFFFFF"/>
        </w:rPr>
        <w:fldChar w:fldCharType="begin"/>
      </w:r>
      <w:r>
        <w:rPr>
          <w:rFonts w:hint="eastAsia" w:ascii="宋体" w:hAnsi="宋体" w:eastAsia="宋体" w:cs="宋体"/>
          <w:color w:val="000000"/>
          <w:kern w:val="0"/>
          <w:sz w:val="24"/>
          <w:shd w:val="clear" w:color="auto" w:fill="FFFFFF"/>
        </w:rPr>
        <w:instrText xml:space="preserve">ADDIN CNKISM.UserStyle</w:instrText>
      </w:r>
      <w:r>
        <w:rPr>
          <w:rFonts w:hint="eastAsia" w:ascii="宋体" w:hAnsi="宋体" w:eastAsia="宋体" w:cs="宋体"/>
          <w:color w:val="000000"/>
          <w:kern w:val="0"/>
          <w:sz w:val="24"/>
          <w:shd w:val="clear" w:color="auto" w:fill="FFFFFF"/>
        </w:rPr>
        <w:fldChar w:fldCharType="end"/>
      </w:r>
    </w:p>
    <w:p w14:paraId="7D8F34DF">
      <w:pPr>
        <w:pStyle w:val="5"/>
        <w:spacing w:line="440" w:lineRule="atLeast"/>
        <w:jc w:val="center"/>
        <w:rPr>
          <w:rFonts w:ascii="宋体" w:hAnsi="宋体" w:eastAsia="宋体" w:cs="宋体"/>
        </w:rPr>
      </w:pPr>
      <w:bookmarkStart w:id="233" w:name="_Toc9603"/>
      <w:r>
        <w:rPr>
          <w:rFonts w:hint="eastAsia" w:ascii="宋体" w:hAnsi="宋体" w:eastAsia="宋体" w:cs="宋体"/>
        </w:rPr>
        <w:t>资产评估专家指引第10号——在新冠肺疫情期间合理履行资产评估程序</w:t>
      </w:r>
      <w:bookmarkEnd w:id="233"/>
    </w:p>
    <w:p w14:paraId="2629BB33">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本专家指引是一种专家建议。评估机构执行资产评估业务，可以参照本专家指引，也可以根据具体情况采用其他适当的做法。中国资产评估协会将根据业务发展，对本专家指引进行更新。</w:t>
      </w:r>
    </w:p>
    <w:p w14:paraId="74F2CC95">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为指导资产评估机构及其资产评估专业人员在新冠肺炎疫情期间合理履行资产评估程序，中国资产评估协会制定了本专家指引。</w:t>
      </w:r>
    </w:p>
    <w:p w14:paraId="7D62EEE1">
      <w:pPr>
        <w:spacing w:line="440" w:lineRule="atLeast"/>
        <w:ind w:firstLine="482" w:firstLineChars="200"/>
        <w:rPr>
          <w:rFonts w:ascii="宋体" w:hAnsi="宋体" w:eastAsia="宋体" w:cs="宋体"/>
          <w:b/>
          <w:bCs/>
          <w:color w:val="000000"/>
          <w:kern w:val="0"/>
          <w:sz w:val="24"/>
          <w:shd w:val="clear" w:color="auto" w:fill="FFFFFF"/>
        </w:rPr>
      </w:pPr>
      <w:r>
        <w:rPr>
          <w:rFonts w:hint="eastAsia" w:ascii="宋体" w:hAnsi="宋体" w:eastAsia="宋体" w:cs="宋体"/>
          <w:b/>
          <w:bCs/>
          <w:color w:val="000000"/>
          <w:kern w:val="0"/>
          <w:sz w:val="24"/>
          <w:shd w:val="clear" w:color="auto" w:fill="FFFFFF"/>
        </w:rPr>
        <w:t>一、执行资产评估业务应当遵守资产评估准则</w:t>
      </w:r>
    </w:p>
    <w:p w14:paraId="1165B0A0">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根据《资产评估法》《资产评估行业财政监督管理办法》和《资产评估基本准则》，资产评估准则是资产评估执业的标准。资产评估准则的规定，是资产评估行业、监管部门和资产评估报告使用人等相关各方的共识。</w:t>
      </w:r>
    </w:p>
    <w:p w14:paraId="54D970ED">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资产评估机构及其资产评估专业人员执行资产评估业务，应当遵守资产评估准则。</w:t>
      </w:r>
    </w:p>
    <w:p w14:paraId="3ADFCB0E">
      <w:pPr>
        <w:spacing w:line="440" w:lineRule="atLeast"/>
        <w:ind w:firstLine="482" w:firstLineChars="200"/>
        <w:rPr>
          <w:rFonts w:ascii="宋体" w:hAnsi="宋体" w:eastAsia="宋体" w:cs="宋体"/>
          <w:b/>
          <w:bCs/>
          <w:color w:val="000000"/>
          <w:kern w:val="0"/>
          <w:sz w:val="24"/>
          <w:shd w:val="clear" w:color="auto" w:fill="FFFFFF"/>
        </w:rPr>
      </w:pPr>
      <w:r>
        <w:rPr>
          <w:rFonts w:hint="eastAsia" w:ascii="宋体" w:hAnsi="宋体" w:eastAsia="宋体" w:cs="宋体"/>
          <w:b/>
          <w:bCs/>
          <w:color w:val="000000"/>
          <w:kern w:val="0"/>
          <w:sz w:val="24"/>
          <w:shd w:val="clear" w:color="auto" w:fill="FFFFFF"/>
        </w:rPr>
        <w:t>二、评估程序受限时应当及时与委托人沟通，合理采取弥补措施</w:t>
      </w:r>
    </w:p>
    <w:p w14:paraId="54659E27">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与平时相比，疫情期间的主要执业难点在于现场调查程序和核查验证程序受到较大限制。对此，资产评估机构及其资产评估专业人员可以采取以下措施：</w:t>
      </w:r>
    </w:p>
    <w:p w14:paraId="0B1F1445">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1.及时与委托人沟通，合理确定现场调查、核查验证时间。</w:t>
      </w:r>
    </w:p>
    <w:p w14:paraId="4E0E938D">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资产评估机构及其资产评估专业人员，应当及时与委托人沟通，根据被评估单位所在地域的疫情防控要求以及业务具体情况，可以延后现场调查、核查验证时间，避开防疫管控期和人员隔离期。</w:t>
      </w:r>
    </w:p>
    <w:p w14:paraId="6465C2F2">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2.无法开展现场调查和核查验证的，应当采取适当的弥补措施。</w:t>
      </w:r>
    </w:p>
    <w:p w14:paraId="28762B0E">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根据《资产评估执业准则——资产评估程序》，“执行资产评估业务，因法律法规规定、客观条件限制，无法或者不能完全履行资产评估基本程序，经采取措施弥补程序缺失，且未对评估结论产生重大影响时，资产评估机构及其资产评估专业人员可以继续开展业务，对评估结论产生重大影响或者无法判断其影响程度的，不得出具资产评估报告。”</w:t>
      </w:r>
    </w:p>
    <w:p w14:paraId="1B2F6699">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根据当地政府部门发布的疫情防控、交通管制公告等，确实因疫情防控无法开展现场调查或者核查验证的，属于相关程序履行受到客观条件限制的情形，资产评估机构及其资产评估专业人员应当在符合疫情防控要求的前提下采取措施弥补程序缺失，并判断对评估结论产生的影响。</w:t>
      </w:r>
    </w:p>
    <w:p w14:paraId="73931137">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3.如实记录并充分披露评估程序受限情况和弥补措施。</w:t>
      </w:r>
    </w:p>
    <w:p w14:paraId="22A08A3D">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资产评估执业准则——资产评估程序》规定，“因法律法规规定、客观条件限制无法实施核查验证的事项，资产评估专业人员应当在工作底稿中予以说明，分析其对评估结论的影响程度,并在资产评估报告中予以披露。”《资产评估执业准则——资产评估报告》规定，“因法律法规规定、客观条件限制，无法或者不能完全履行资产评估基本程序，经采取措施弥补程序缺失，且未对评估结论产生重大影响的，可以出具资产评估报告，但应当在资产评估报告中说明资产评估程序受限情况、处理方式及其对评估结论的影响。”</w:t>
      </w:r>
    </w:p>
    <w:p w14:paraId="3822B6D3">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资产评估机构及其资产评估专业人员先行通过电子邮件、视频、微信等现代通讯方式获取资料，开展基础核查工作，并待疫情结束再补充现场核查工作的，应当作好相关评估工作计划。</w:t>
      </w:r>
    </w:p>
    <w:p w14:paraId="46B4A0F5">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对于开展基础核查工作后认为资产评估程序受限对评估结论不产生重大影响，并且确实亟需出具资产评估报告的，经委托人、有关监管部门和资产评估报告使用人同意，资产评估机构及其资产评估专业人员可以先行出具资产评估报告，待疫情结束再后续开展现场核查工作，并在资产评估报告中对受限事项予以披露，提请资产评估报告使用人对未履行现场核查程序予以特别关注。</w:t>
      </w:r>
    </w:p>
    <w:p w14:paraId="354356FD">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资产评估程序受限情况消除后，在资产评估报告未使用前，资产评估机构及其资产评估专业人员应当在补充相关现场核查程序后，判断是否需要调整评估结论和资产评估报告。如果需要调整，应当在资产评估报告中披露调整情况，并将调整后的资产评估报告提交委托人。</w:t>
      </w:r>
    </w:p>
    <w:p w14:paraId="0A887292">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资产评估程序受限情况消除后，如果资产评估报告已经使用，资产评估机构及其资产评估专业人员应当在补充相关现场核查程序后，出具关于对评估结论影响情况的说明，并提交委托人。</w:t>
      </w:r>
    </w:p>
    <w:p w14:paraId="476034D5">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资产评估机构及其资产评估专业人员应当在工作底稿中如实记录并在资产评估报告中充分披露资产评估程序受限情况和采取的弥补措施，以及对评估结论的影响。</w:t>
      </w:r>
    </w:p>
    <w:p w14:paraId="1F51DAD6">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4.加强特殊介质工作底稿的管理。</w:t>
      </w:r>
    </w:p>
    <w:p w14:paraId="31738C23">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资产评估执业准则——资产评估档案》规定，“工作底稿可以是纸质文档、电子文档或者其他介质形式的文档，资产评估机构及其资产评估专业人员应当根据资产评估业务具体情况和工作底稿介质的理化特性谨慎选择工作底稿的介质形式。”</w:t>
      </w:r>
    </w:p>
    <w:p w14:paraId="4BFE8B56">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资产评估机构及其资产评估专业人员应当根据采取的弥补措施合理选择工作底稿的介质形式。形成特殊介质工作底稿的，资产评估机构及其资产评估专业人员应当加强管理，保证工作底稿安全、可追溯。</w:t>
      </w:r>
    </w:p>
    <w:p w14:paraId="33A51972">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补充相关现场核查程序所形成的补充性工作底稿，和资产评估报告出具前的工作底稿具有相同的作用。</w:t>
      </w:r>
    </w:p>
    <w:p w14:paraId="1A866CFE">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5.加强风险管理，合理维护合法权益。</w:t>
      </w:r>
    </w:p>
    <w:p w14:paraId="170897A2">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当前我国发生的新冠肺炎疫情属于不能预见、不能避免并不能克服的不可抗力。疫情期间，业务委托合同的履行可能会受到影响，资产评估机构及其资产评估专业人员应当加强风险管理。</w:t>
      </w:r>
    </w:p>
    <w:p w14:paraId="564B5A72">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我们提倡资产评估机构发挥专业精神，服务经济和社会，在疫情期间承担社会责任。但是，如果确需解除或者变更相关业务委托合同，资产评估机构可以引用不可抗力因素，与委托人协商处理委托合同的解除或者变更事项，依法维护自身合法权益。</w:t>
      </w:r>
    </w:p>
    <w:p w14:paraId="243CF45B">
      <w:pPr>
        <w:spacing w:line="440" w:lineRule="atLeast"/>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br w:type="page"/>
      </w:r>
    </w:p>
    <w:p w14:paraId="6463009D">
      <w:pPr>
        <w:pStyle w:val="5"/>
        <w:spacing w:line="440" w:lineRule="atLeast"/>
        <w:jc w:val="center"/>
        <w:rPr>
          <w:rFonts w:ascii="宋体" w:hAnsi="宋体" w:eastAsia="宋体" w:cs="宋体"/>
        </w:rPr>
      </w:pPr>
      <w:bookmarkStart w:id="234" w:name="_Toc613"/>
      <w:r>
        <w:rPr>
          <w:rFonts w:hint="eastAsia" w:ascii="宋体" w:hAnsi="宋体" w:eastAsia="宋体" w:cs="宋体"/>
        </w:rPr>
        <w:t>资产评估专家指引第11号——商誉减值测试评估</w:t>
      </w:r>
      <w:bookmarkEnd w:id="234"/>
    </w:p>
    <w:p w14:paraId="249FB761">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本专家指引是一种专家建议。资产评估机构执行资产评估业务，可以参照本专家指引。中国资产评估协会将根据业务发展，对本专家指引进行更新。</w:t>
      </w:r>
    </w:p>
    <w:p w14:paraId="326109CA">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第一章　引言</w:t>
      </w:r>
    </w:p>
    <w:p w14:paraId="492EF802">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第一条　</w:t>
      </w:r>
      <w:r>
        <w:rPr>
          <w:rFonts w:hint="eastAsia" w:ascii="宋体" w:hAnsi="宋体" w:eastAsia="宋体" w:cs="宋体"/>
          <w:color w:val="000000"/>
          <w:kern w:val="0"/>
          <w:sz w:val="24"/>
          <w:shd w:val="clear" w:color="auto" w:fill="FFFFFF"/>
        </w:rPr>
        <w:t>为指导资产评估机构执行企业商誉减值测试评估业务，根据《以财务报告为目的的评估指南》，中国资产评估协会组织制定了本专家指引。</w:t>
      </w:r>
    </w:p>
    <w:p w14:paraId="02411327">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第二条</w:t>
      </w:r>
      <w:r>
        <w:rPr>
          <w:rFonts w:hint="eastAsia" w:ascii="宋体" w:hAnsi="宋体" w:eastAsia="宋体" w:cs="宋体"/>
          <w:color w:val="000000"/>
          <w:kern w:val="0"/>
          <w:sz w:val="24"/>
          <w:shd w:val="clear" w:color="auto" w:fill="FFFFFF"/>
        </w:rPr>
        <w:t>　根据《企业会计准则第8号——资产减值》的规定，因企业合并形成的商誉应在每年年度终了或在会计期间内出现减值迹象时进行减值测试，商誉减值测试应当估计包含商誉的资产组或资产组组合的可收回金额，以判断商誉是否发生减值或计算商誉减值金额。</w:t>
      </w:r>
    </w:p>
    <w:p w14:paraId="3E4CBB49">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本专家指引所称商誉减值测试评估，仅指资产评估机构接受企业委托，根据企业商誉减值测试的需要，对包含商誉的资产组或资产组组合的可收回金额进行估算并出具资产评估报告的专业服务行为。</w:t>
      </w:r>
    </w:p>
    <w:p w14:paraId="5A783287">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资产评估专业人员接受委托执行的其他商誉减值测试相关业务，可以参照本专家指引。</w:t>
      </w:r>
    </w:p>
    <w:p w14:paraId="49966F39">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第三条</w:t>
      </w:r>
      <w:r>
        <w:rPr>
          <w:rFonts w:hint="eastAsia" w:ascii="宋体" w:hAnsi="宋体" w:eastAsia="宋体" w:cs="宋体"/>
          <w:color w:val="000000"/>
          <w:kern w:val="0"/>
          <w:sz w:val="24"/>
          <w:shd w:val="clear" w:color="auto" w:fill="FFFFFF"/>
        </w:rPr>
        <w:t>　资产评估专业人员需要了解企业商誉减值测试的基本程序，理解会计准则中商誉减值测试评估有关会计准则条款与资产评估的关系，具备相应的商誉减值测试评估专业知识，能够胜任商誉减值测试评估业务。</w:t>
      </w:r>
    </w:p>
    <w:p w14:paraId="7B87DA2B">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第二章　接受委托关注的事项</w:t>
      </w:r>
    </w:p>
    <w:p w14:paraId="756E9203">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第四条</w:t>
      </w:r>
      <w:r>
        <w:rPr>
          <w:rFonts w:hint="eastAsia" w:ascii="宋体" w:hAnsi="宋体" w:eastAsia="宋体" w:cs="宋体"/>
          <w:color w:val="000000"/>
          <w:kern w:val="0"/>
          <w:sz w:val="24"/>
          <w:shd w:val="clear" w:color="auto" w:fill="FFFFFF"/>
        </w:rPr>
        <w:t>　资产评估机构承接商誉减值测试评估业务，应当与企业沟通商誉减值测试评估目的、评估基准日，以企业委托的评估对象和评估范围为基础，确定价值类型等评估要素，并在业务委托合同中予以明确。</w:t>
      </w:r>
    </w:p>
    <w:p w14:paraId="300BA3ED">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第五条</w:t>
      </w:r>
      <w:r>
        <w:rPr>
          <w:rFonts w:hint="eastAsia" w:ascii="宋体" w:hAnsi="宋体" w:eastAsia="宋体" w:cs="宋体"/>
          <w:color w:val="000000"/>
          <w:kern w:val="0"/>
          <w:sz w:val="24"/>
          <w:shd w:val="clear" w:color="auto" w:fill="FFFFFF"/>
        </w:rPr>
        <w:t>　资产评估专业人员应当知晓商誉减值测试评估目的是为企业商誉减值测试确定包含商誉资产组或资产组组合的可收回金额提供价值参考。</w:t>
      </w:r>
    </w:p>
    <w:p w14:paraId="1A049936">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第六条</w:t>
      </w:r>
      <w:r>
        <w:rPr>
          <w:rFonts w:hint="eastAsia" w:ascii="宋体" w:hAnsi="宋体" w:eastAsia="宋体" w:cs="宋体"/>
          <w:color w:val="000000"/>
          <w:kern w:val="0"/>
          <w:sz w:val="24"/>
          <w:shd w:val="clear" w:color="auto" w:fill="FFFFFF"/>
        </w:rPr>
        <w:t>　商誉减值测试评估基准日通常为资产负债表日。</w:t>
      </w:r>
    </w:p>
    <w:p w14:paraId="69229AB1">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当企业判断包含商誉资产组或资产组组合发生特定减值迹象而委托资产评估机构进行评估时，资产评估专业人员需要了解企业确定的评估基准日、特定减值迹象具体表现以及特定减值迹象出现的时点。</w:t>
      </w:r>
    </w:p>
    <w:p w14:paraId="14508DB3">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第七条</w:t>
      </w:r>
      <w:r>
        <w:rPr>
          <w:rFonts w:hint="eastAsia" w:ascii="宋体" w:hAnsi="宋体" w:eastAsia="宋体" w:cs="宋体"/>
          <w:color w:val="000000"/>
          <w:kern w:val="0"/>
          <w:sz w:val="24"/>
          <w:shd w:val="clear" w:color="auto" w:fill="FFFFFF"/>
        </w:rPr>
        <w:t>　商誉减值测试评估价值类型是可收回金额。可收回金额应当根据包含商誉资产组或资产组组合公允价值减去处置费用后的净额与预计未来现金流量的现值两者之间较高者确定。</w:t>
      </w:r>
    </w:p>
    <w:p w14:paraId="020F0F3E">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已确信包含商誉资产组或资产组组合公允价值减去处置费用后的净额、预计未来现金流量的现值两者中任意一项金额已超过评估对象账面价值时，可以以该金额为依据确定评估结论。</w:t>
      </w:r>
    </w:p>
    <w:p w14:paraId="18C44261">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包含商誉资产组或资产组组合的公允价值减去处置费用后的净额如果无法可靠估计，可以以预计未来现金流量的现值作为可收回金额。</w:t>
      </w:r>
    </w:p>
    <w:p w14:paraId="037A5386">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如果包含商誉资产组或资产组组合可收回金额的评估仅依据公允价值减去处置费用后的净额或预计未来现金流量的现值中一种方式确定，评估结论应当表述为包含商誉的资产组或资产组组合可收回金额不低于该金额。</w:t>
      </w:r>
    </w:p>
    <w:p w14:paraId="245CE375">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第三章　评估对象和评估范围</w:t>
      </w:r>
    </w:p>
    <w:p w14:paraId="1034D759">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第八条</w:t>
      </w:r>
      <w:r>
        <w:rPr>
          <w:rFonts w:hint="eastAsia" w:ascii="宋体" w:hAnsi="宋体" w:eastAsia="宋体" w:cs="宋体"/>
          <w:color w:val="000000"/>
          <w:kern w:val="0"/>
          <w:sz w:val="24"/>
          <w:shd w:val="clear" w:color="auto" w:fill="FFFFFF"/>
        </w:rPr>
        <w:t>　商誉减值测试评估对象是包含商誉的资产组或资产组组合。评估范围包括商誉、商誉相关资产组或资产组组合。其中，商誉是完全商誉，既包括归属于母公司股东权益的商誉，也包括归属于少数股东权益的商誉。</w:t>
      </w:r>
    </w:p>
    <w:p w14:paraId="2A616638">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第九条</w:t>
      </w:r>
      <w:r>
        <w:rPr>
          <w:rFonts w:hint="eastAsia" w:ascii="宋体" w:hAnsi="宋体" w:eastAsia="宋体" w:cs="宋体"/>
          <w:color w:val="000000"/>
          <w:kern w:val="0"/>
          <w:sz w:val="24"/>
          <w:shd w:val="clear" w:color="auto" w:fill="FFFFFF"/>
        </w:rPr>
        <w:t>　资产评估专业人员需要知晓企业确定商誉相关资产组或资产组组合时的会计准则内涵，通常包括下列方面：</w:t>
      </w:r>
    </w:p>
    <w:p w14:paraId="54554003">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（一）商誉相关资产组或资产组组合应当是企业可以认定的最小资产组或最小资产组组合，其产生的现金流入应当基本独立于其他资产或资产组。</w:t>
      </w:r>
    </w:p>
    <w:p w14:paraId="599A6561">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（二）商誉相关资产组或资产组组合应当是能够从企业合并的协同效应中受益的资产组或资产组组合。</w:t>
      </w:r>
    </w:p>
    <w:p w14:paraId="214C4A8B">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（三）包含商誉资产组或资产组组合账面价值通常不应当包括已确认负债的账面价值，但如果不考虑该负债金额就无法确定资产组可收回金额的除外。</w:t>
      </w:r>
    </w:p>
    <w:p w14:paraId="7AE6BB89">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（四）商誉相关资产组的认定应当考虑企业管理层管理生产经营活动的方式（如是按照生产线、业务种类还是按照地区或者区域等），以及企业管理层对资产的持续使用或者处置的决策方式等。</w:t>
      </w:r>
    </w:p>
    <w:p w14:paraId="3CC08CA3">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（五）商誉相关资产组或资产组组合不应当大于按照《企业会计准则第35号——分部报告》所确定的报告分部。</w:t>
      </w:r>
    </w:p>
    <w:p w14:paraId="34CD84FD">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商誉相关资产组一经确定，各个会计期间应当保持一致，不得随意变更。如需变更，企业管理层应当证明该变更是合理的。</w:t>
      </w:r>
    </w:p>
    <w:p w14:paraId="7971BE4E">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第十条</w:t>
      </w:r>
      <w:r>
        <w:rPr>
          <w:rFonts w:hint="eastAsia" w:ascii="宋体" w:hAnsi="宋体" w:eastAsia="宋体" w:cs="宋体"/>
          <w:color w:val="000000"/>
          <w:kern w:val="0"/>
          <w:sz w:val="24"/>
          <w:shd w:val="clear" w:color="auto" w:fill="FFFFFF"/>
        </w:rPr>
        <w:t>　资产评估专业人员应当对企业确定的商誉减值测试评估范围进行核实。通常商誉减值测试评估范围符合下列要求：</w:t>
      </w:r>
    </w:p>
    <w:p w14:paraId="654598FA">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（一）包含商誉资产组或资产组组合通常情况下不包括流动资产、流动负债，但如果不考虑相关资产和负债就无法合理确定评估对象可收回金额的除外。</w:t>
      </w:r>
    </w:p>
    <w:p w14:paraId="1ACC31B2">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（二）评估范围不应当包括与预计未来现金流量无关的资产、负债，如溢余资产或负债、非经营性资产或负债。</w:t>
      </w:r>
    </w:p>
    <w:p w14:paraId="290AC0F2">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（三）评估范围不应当包括付息债务等已确认负债，但如果不考虑该负债就无法确定评估对象可收回金额的除外。</w:t>
      </w:r>
    </w:p>
    <w:p w14:paraId="5ED5CA78">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与包含商誉资产组或资产组组合业务相关的开发过程中的在建工程、无形资产，如果达到预定生产能力尚需投资金额，完工后现金流可以合理计量，且经企业确认是与商誉相关的资产组，应当纳入评估范围。</w:t>
      </w:r>
    </w:p>
    <w:p w14:paraId="0AB2B90A">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（五）商誉相关资产组或资产组组合的账面价值应当与企业合并报表口径保持一致。</w:t>
      </w:r>
    </w:p>
    <w:p w14:paraId="21EA363D">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资产评估专业人员需要获取企业提供的评估范围及其对应的资产账面价值、资产类别、资产数量清单，并与企业、审计机构就包含商誉的资产组或资产组组合的范围进行沟通，取得企业、审计机构确认。如果资产评估专业人员与企业、审计机构意见不一致，可以采纳企业、审计机构的意见。</w:t>
      </w:r>
    </w:p>
    <w:p w14:paraId="2F8C4495">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第四章　现场调查和核查验证</w:t>
      </w:r>
    </w:p>
    <w:p w14:paraId="6DF1E8A4">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第十一条</w:t>
      </w:r>
      <w:r>
        <w:rPr>
          <w:rFonts w:hint="eastAsia" w:ascii="宋体" w:hAnsi="宋体" w:eastAsia="宋体" w:cs="宋体"/>
          <w:color w:val="000000"/>
          <w:kern w:val="0"/>
          <w:sz w:val="24"/>
          <w:shd w:val="clear" w:color="auto" w:fill="FFFFFF"/>
        </w:rPr>
        <w:t>　资产评估专业人员应当对包含商誉资产组或资产组组合进行现场调查，并对收集的资料进行必要的核查验证，以了解包含商誉资产组或资产组组合独立产生现金流的能力。</w:t>
      </w:r>
    </w:p>
    <w:p w14:paraId="16A98F8E">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第十二条</w:t>
      </w:r>
      <w:r>
        <w:rPr>
          <w:rFonts w:hint="eastAsia" w:ascii="宋体" w:hAnsi="宋体" w:eastAsia="宋体" w:cs="宋体"/>
          <w:color w:val="000000"/>
          <w:kern w:val="0"/>
          <w:sz w:val="24"/>
          <w:shd w:val="clear" w:color="auto" w:fill="FFFFFF"/>
        </w:rPr>
        <w:t>　资产评估专业人员应当关注企业提供的包含商誉资产组或资产组组合与商誉初始确认、以前会计期间商誉减值测试时是否一致，如果不一致，应当提示企业说明包含商誉资产组或资产组组合变动的原因及其是否符合《企业会计准则第8号——资产减值》的相关规定。</w:t>
      </w:r>
    </w:p>
    <w:p w14:paraId="75A36485">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第十三条</w:t>
      </w:r>
      <w:r>
        <w:rPr>
          <w:rFonts w:hint="eastAsia" w:ascii="宋体" w:hAnsi="宋体" w:eastAsia="宋体" w:cs="宋体"/>
          <w:color w:val="000000"/>
          <w:kern w:val="0"/>
          <w:sz w:val="24"/>
          <w:shd w:val="clear" w:color="auto" w:fill="FFFFFF"/>
        </w:rPr>
        <w:t>　资产评估专业人员对包含商誉资产组或资产组组合独立产生现金流能力的核查，通常包括下列四个方面：</w:t>
      </w:r>
    </w:p>
    <w:p w14:paraId="52874BCF">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关注法律权属。资产评估专业人员可以通过审阅、核对或者访谈等手段，对评估范围内主要资产权属是否存在权属不清、存在瑕疵，权属关系复杂、权属资料不完备等予以关注，判断其对评估对象产生现金流能力的影响。</w:t>
      </w:r>
    </w:p>
    <w:p w14:paraId="4DA4114D">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（二）关注物理状况。资产评估专业人员可以通过现场勘查、实地调查或者询问等手段，对评估范围内主要资产的实际使用状况予以关注，判断主要资产物理状况与其产生现金流的关系。</w:t>
      </w:r>
    </w:p>
    <w:p w14:paraId="156AD35C">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（三）关注技术状况。资产评估专业人员可以通过查阅文件、访谈、核对或者利用专家工作等手段，对评估范围主要资产生产技术水平予以关注，判断主要资产技术竞争力水平对其产生现金流的影响。</w:t>
      </w:r>
    </w:p>
    <w:p w14:paraId="79874AC8">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（四）关注经济状况。资产评估专业人员可以通过历史财务数据分析、核对或者访谈等手段，关注评估范围内主要资产与其产生现金流能力的关系。</w:t>
      </w:r>
    </w:p>
    <w:p w14:paraId="30602526">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第五章　评估方法</w:t>
      </w:r>
    </w:p>
    <w:p w14:paraId="5B242BC0">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第十四条</w:t>
      </w:r>
      <w:r>
        <w:rPr>
          <w:rFonts w:hint="eastAsia" w:ascii="宋体" w:hAnsi="宋体" w:eastAsia="宋体" w:cs="宋体"/>
          <w:color w:val="000000"/>
          <w:kern w:val="0"/>
          <w:sz w:val="24"/>
          <w:shd w:val="clear" w:color="auto" w:fill="FFFFFF"/>
        </w:rPr>
        <w:t>　执行商誉减值测试评估业务，资产评估专业人员应当根据企业委托评估目的、价值类型、资料收集情况、数据来源等，参照会计准则相关规定，考虑评估方法适用前提，选择恰当的评估方法。</w:t>
      </w:r>
    </w:p>
    <w:p w14:paraId="69B57B9A">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第十五条</w:t>
      </w:r>
      <w:r>
        <w:rPr>
          <w:rFonts w:hint="eastAsia" w:ascii="宋体" w:hAnsi="宋体" w:eastAsia="宋体" w:cs="宋体"/>
          <w:color w:val="000000"/>
          <w:kern w:val="0"/>
          <w:sz w:val="24"/>
          <w:shd w:val="clear" w:color="auto" w:fill="FFFFFF"/>
        </w:rPr>
        <w:t>　资产评估专业人员应当知晓商誉减值测试评估方法应当与以前会计期间商誉减值测试采用的评估方法保持一致，除非有证据显示变更后的评估方法得出的评估结论更具合理性，或者因以前会计期间采用评估方法依据的市场数据发生重大变化而不再适用。</w:t>
      </w:r>
    </w:p>
    <w:p w14:paraId="4408ECB7">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第十六条</w:t>
      </w:r>
      <w:r>
        <w:rPr>
          <w:rFonts w:hint="eastAsia" w:ascii="宋体" w:hAnsi="宋体" w:eastAsia="宋体" w:cs="宋体"/>
          <w:color w:val="000000"/>
          <w:kern w:val="0"/>
          <w:sz w:val="24"/>
          <w:shd w:val="clear" w:color="auto" w:fill="FFFFFF"/>
        </w:rPr>
        <w:t>　商誉减值测试评估需要计算公允价值减去处置费用后的净额时，资产评估专业人员可以采用市场法、收益法、成本法计算包含商誉资产组或资产组组合的公允价值。</w:t>
      </w:r>
    </w:p>
    <w:p w14:paraId="5E64CE92">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采用市场法计算包含商誉资产组或资产组组合公允价值时，资产评估专业人员需要关注可比对象实际交易所在市场和评估对象模拟有序交易所在的主要市场或最有利市场是否一致。若选择从事相似业务的上市公司作为可比对象，需要知晓作为资产组或资产组组合的评估对象与作为股权的可比上市公司在资产性质及价值内涵方面的差异，并在计算价值比率时进行相应调整。</w:t>
      </w:r>
    </w:p>
    <w:p w14:paraId="27C64078">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采用收益法计算包含商誉资产组或资产组组合公允价值时，资产评估专业人员应当从主要市场（最有利市场）中市场参与者的角度确定评估对象的最佳用途，并考虑其对评估对象未来收益预测的影响。通常情况下，评估对象的现行用途可以视为最佳用途，除非市场因素或者其他因素表明市场参与者按照其他用途使用该资产可以实现价值最大化。</w:t>
      </w:r>
    </w:p>
    <w:p w14:paraId="4D96A411">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采用成本法计算包含商誉资产组或资产组组合公允价值时，由于商誉无法单独评估，该方法通常仅适用于资产组部分资产公允价值高于评估对象账面价值的特殊情形。在此情形下，资产评估专业人员需要取得企业对商誉资产组或资产组组合价值可以通过未来运营得以全额收回的承诺，并在资产评估报告中提示评估结论仅在此前提下成立。</w:t>
      </w:r>
    </w:p>
    <w:p w14:paraId="4BA690CB">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公允价值减去处置费用后的净额计算中，资产评估专业人员通常需要考虑的处置费用包括与评估对象处置有关的法律费用、相关税费等。</w:t>
      </w:r>
    </w:p>
    <w:p w14:paraId="28EFEFC6">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第十七条</w:t>
      </w:r>
      <w:r>
        <w:rPr>
          <w:rFonts w:hint="eastAsia" w:ascii="宋体" w:hAnsi="宋体" w:eastAsia="宋体" w:cs="宋体"/>
          <w:color w:val="000000"/>
          <w:kern w:val="0"/>
          <w:sz w:val="24"/>
          <w:shd w:val="clear" w:color="auto" w:fill="FFFFFF"/>
        </w:rPr>
        <w:t>　商誉减值测试评估需要计算预计未来现金流量的现值时，资产评估专业人员应当取得商誉相关资产组或资产组组合所在企业管理层最近批准的包含商誉资产组或资产组组合的财务预测数据，访谈企业相关人员、了解企业管理层确定的评估假设内容和依据，结合企业内部、外部经营环境，分析历史财务数据，判断企业财务预测数据的可行性。以评估对象账面价值确定基础与可收回金额确定方式一致性为原则，计算包含商誉资产组或资产组组合预计未来现金流量的现值。</w:t>
      </w:r>
    </w:p>
    <w:p w14:paraId="7F256FC9">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对取得的经管理层批准的财务预测数据进行核查验证时，如果企业未提供重要参数确定的依据，资产评估专业人员需要判断其对评估结论的影响。如果构成重大影响，不得出具资产评估报告。</w:t>
      </w:r>
    </w:p>
    <w:p w14:paraId="0166784C">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第六章　评估参数</w:t>
      </w:r>
    </w:p>
    <w:p w14:paraId="2703E280">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第十八条</w:t>
      </w:r>
      <w:r>
        <w:rPr>
          <w:rFonts w:hint="eastAsia" w:ascii="宋体" w:hAnsi="宋体" w:eastAsia="宋体" w:cs="宋体"/>
          <w:color w:val="000000"/>
          <w:kern w:val="0"/>
          <w:sz w:val="24"/>
          <w:shd w:val="clear" w:color="auto" w:fill="FFFFFF"/>
        </w:rPr>
        <w:t>　资产评估专业人员应当关注企业提供的预计未来现金流量的预测基础是否与包含商誉资产组或资产组组合的账面价值确定基础一致，即二者内涵需对应相同的资产（负债），按照与包含商誉资产组或资产组组合内资产（负债）一致的基础预测未来现金流量。</w:t>
      </w:r>
    </w:p>
    <w:p w14:paraId="3A59680A">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第十九条</w:t>
      </w:r>
      <w:r>
        <w:rPr>
          <w:rFonts w:hint="eastAsia" w:ascii="宋体" w:hAnsi="宋体" w:eastAsia="宋体" w:cs="宋体"/>
          <w:color w:val="000000"/>
          <w:kern w:val="0"/>
          <w:sz w:val="24"/>
          <w:shd w:val="clear" w:color="auto" w:fill="FFFFFF"/>
        </w:rPr>
        <w:t>　资产评估专业人员需要关注企业提供的预计未来现金流量应当以资产当前状况为基础、以税前口径为依据，分析销量、价格、成本、费用、增长率等关键参数预测的合理性。</w:t>
      </w:r>
    </w:p>
    <w:p w14:paraId="268F89BC">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资产评估专业人员需要关注以前会计期间企业预测财务数据的实现情况。如果以前会计期间预测财务数据与实际实现存在重大偏差，需要了解企业管理层识别出的导致偏差的主要原因，关注当期预测财务数据是否充分考虑了相关因素的影响，并调整了当期财务数据预测基础。</w:t>
      </w:r>
    </w:p>
    <w:p w14:paraId="376A2679">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第二十条</w:t>
      </w:r>
      <w:r>
        <w:rPr>
          <w:rFonts w:hint="eastAsia" w:ascii="宋体" w:hAnsi="宋体" w:eastAsia="宋体" w:cs="宋体"/>
          <w:color w:val="000000"/>
          <w:kern w:val="0"/>
          <w:sz w:val="24"/>
          <w:shd w:val="clear" w:color="auto" w:fill="FFFFFF"/>
        </w:rPr>
        <w:t>　资产评估专业人员应当知晓预计包含商誉资产组或资产组组合的未来现金流量不应当考虑将来可能发生的、尚未作出承诺的重组事项或者与资产改良有关的事项，但评估基准日已发生支出的与包含商誉资产组或资产组组合业务相关的在建工程、开发过程中的无形资产等事项对未来现金流量的影响应当予以考虑，同时应当考虑预期为使该资产达到预定可使用或者可销售状态发生的全部现金流出。</w:t>
      </w:r>
    </w:p>
    <w:p w14:paraId="68AD9C8B">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预计包含商誉资产组或资产组组合的未来现金流量也不应当包括筹资活动产生的现金流入或者流出以及与所得税收付有关的现金流量。</w:t>
      </w:r>
    </w:p>
    <w:p w14:paraId="68491A9A">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第二十一条</w:t>
      </w:r>
      <w:r>
        <w:rPr>
          <w:rFonts w:hint="eastAsia" w:ascii="宋体" w:hAnsi="宋体" w:eastAsia="宋体" w:cs="宋体"/>
          <w:color w:val="000000"/>
          <w:kern w:val="0"/>
          <w:sz w:val="24"/>
          <w:shd w:val="clear" w:color="auto" w:fill="FFFFFF"/>
        </w:rPr>
        <w:t>　当预计未来现金流量受内部转移价格影响时，资产评估专业人员需要提醒企业管理层按照在公平交易中对未来价格的最佳估计数确定未来现金流量。</w:t>
      </w:r>
    </w:p>
    <w:p w14:paraId="066B62DF">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第二十二条</w:t>
      </w:r>
      <w:r>
        <w:rPr>
          <w:rFonts w:hint="eastAsia" w:ascii="宋体" w:hAnsi="宋体" w:eastAsia="宋体" w:cs="宋体"/>
          <w:color w:val="000000"/>
          <w:kern w:val="0"/>
          <w:sz w:val="24"/>
          <w:shd w:val="clear" w:color="auto" w:fill="FFFFFF"/>
        </w:rPr>
        <w:t>　资产评估专业人员取得的经企业管理层批准的预计未来现金流量详细预测期通常涵盖5年，如涵盖更长期间，应当取得企业管理层的合理性说明。</w:t>
      </w:r>
    </w:p>
    <w:p w14:paraId="6845D8EE">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预计未来现金流量收益期通常以包含商誉资产组的核心资产（商誉）为依据确定。商誉未来收益期不可确定，但包含商誉资产组或资产组组合未来经营期限受法律、协议等因素影响的，如矿业企业资产组、签订经营期限企业资产组等，应当以法律、协议约定的年限为基础计算确定预计未来现金流量的收益期。</w:t>
      </w:r>
    </w:p>
    <w:p w14:paraId="53760196">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预计未来现金流量资本性支出应当以维持包含商誉资产组或资产组组合正常运转或原定正常产出水平为基础确定。同时商誉相关资产组包括与其业务相关的已发生支出的在建工程或者开发过程中的无形资产等事项时，应当将为使该资产达到预定可使用或可销售状态发生的现金流出作为资本性支出。</w:t>
      </w:r>
    </w:p>
    <w:p w14:paraId="33A52AB4">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第二十三条</w:t>
      </w:r>
      <w:r>
        <w:rPr>
          <w:rFonts w:hint="eastAsia" w:ascii="宋体" w:hAnsi="宋体" w:eastAsia="宋体" w:cs="宋体"/>
          <w:color w:val="000000"/>
          <w:kern w:val="0"/>
          <w:sz w:val="24"/>
          <w:shd w:val="clear" w:color="auto" w:fill="FFFFFF"/>
        </w:rPr>
        <w:t>　资产评估专业人员应当知晓详细预测期之后预计现金流量可以保持稳定的或递减的增长率，如果企业管理层提供证据表明递增的增长率是合理的，可以以递增的增长率为基础。</w:t>
      </w:r>
    </w:p>
    <w:p w14:paraId="40DD146E">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详细预测期之后增长率，不应当超过企业经营的产品、市场、所处的行业或者所在国家或者地区的长期平均增长率，或者包含商誉资产组或资产组组合所处市场的长期平均增长率。</w:t>
      </w:r>
    </w:p>
    <w:p w14:paraId="6D04E7AA">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第二十四条</w:t>
      </w:r>
      <w:r>
        <w:rPr>
          <w:rFonts w:hint="eastAsia" w:ascii="宋体" w:hAnsi="宋体" w:eastAsia="宋体" w:cs="宋体"/>
          <w:color w:val="000000"/>
          <w:kern w:val="0"/>
          <w:sz w:val="24"/>
          <w:shd w:val="clear" w:color="auto" w:fill="FFFFFF"/>
        </w:rPr>
        <w:t>　折现率的确定应当以该资产的市场利率为依据。该折现率是企业作为市场参与者在购置或者投资资产时所要求的必要报酬率。</w:t>
      </w:r>
    </w:p>
    <w:p w14:paraId="5302FE55">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无法从市场获得的，可以使用替代利率估计折现率。替代利率可以根据加权平均资金成本或者其他相关市场利率作适当调整后确定。</w:t>
      </w:r>
    </w:p>
    <w:p w14:paraId="5E099F42">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对折现率的计算，资产评估专业人员应当关注是否与相应的宏观、行业、地域、特定市场、特定市场主体的风险因素相匹配。</w:t>
      </w:r>
    </w:p>
    <w:p w14:paraId="60A295C1">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在计算预计未来现金流量现值时，如果用于计算折现率的基础是税后的，应当将其调整为税前的折现率。但计算公允价值时，资产评估专业人员应当知晓可以采用税后折现率。</w:t>
      </w:r>
    </w:p>
    <w:p w14:paraId="179100C2">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第二十五条</w:t>
      </w:r>
      <w:r>
        <w:rPr>
          <w:rFonts w:hint="eastAsia" w:ascii="宋体" w:hAnsi="宋体" w:eastAsia="宋体" w:cs="宋体"/>
          <w:color w:val="000000"/>
          <w:kern w:val="0"/>
          <w:sz w:val="24"/>
          <w:shd w:val="clear" w:color="auto" w:fill="FFFFFF"/>
        </w:rPr>
        <w:t>　预计未来现金流量涉及外币的，资产评估专业人员需要以包含商誉资产组或资产组组合所产生的未来现金流量的结算货币为基础，按照该货币适用的折现率计算现值，然后将该外币现值按照评估基准日的即期汇率进行折算。</w:t>
      </w:r>
    </w:p>
    <w:p w14:paraId="66B15BAB">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第七章　报告披露</w:t>
      </w:r>
    </w:p>
    <w:p w14:paraId="7A39F943">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第二十六条</w:t>
      </w:r>
      <w:r>
        <w:rPr>
          <w:rFonts w:hint="eastAsia" w:ascii="宋体" w:hAnsi="宋体" w:eastAsia="宋体" w:cs="宋体"/>
          <w:color w:val="000000"/>
          <w:kern w:val="0"/>
          <w:sz w:val="24"/>
          <w:shd w:val="clear" w:color="auto" w:fill="FFFFFF"/>
        </w:rPr>
        <w:t>　资产评估报告应当披露与商誉减值测试相关的评估要素、关键评估参数以及其他对评估结论有重要影响的信息，以使资产评估报告使用人能够正确理解评估结论。通常重点披露下列内容：</w:t>
      </w:r>
    </w:p>
    <w:p w14:paraId="073158C6">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（一）企业委托评估目的，应当与业务委托合同约定服务内容一致；</w:t>
      </w:r>
    </w:p>
    <w:p w14:paraId="4FCD3269">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（二）评估对象和评估范围的具体描述，包括包含商誉资产组或资产组组合构成、账面价值等；</w:t>
      </w:r>
    </w:p>
    <w:p w14:paraId="2207B661">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（三）价值类型的定义；</w:t>
      </w:r>
    </w:p>
    <w:p w14:paraId="12A0D4F2">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（四）评估方法的选择、具体测算思路，以及本次评估方法与以前会计期间选取的评估方法是否一致，如果不一致，应当披露评估方法变更的原因；</w:t>
      </w:r>
    </w:p>
    <w:p w14:paraId="2C34EC6B">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（五）重要评估假设及前提；</w:t>
      </w:r>
    </w:p>
    <w:p w14:paraId="4A2BC2B2">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（六）关键评估参数测算依据，包括逻辑计算过程、重要评估数据获取来源等；</w:t>
      </w:r>
    </w:p>
    <w:p w14:paraId="34FB13C9">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（七）对评估结论有重要影响的事项，包括评估程序受限、可能对评估结论产生重要影响的瑕疵事项等。</w:t>
      </w:r>
    </w:p>
    <w:p w14:paraId="41A98ACE">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第二十七条</w:t>
      </w:r>
      <w:r>
        <w:rPr>
          <w:rFonts w:hint="eastAsia" w:ascii="宋体" w:hAnsi="宋体" w:eastAsia="宋体" w:cs="宋体"/>
          <w:color w:val="000000"/>
          <w:kern w:val="0"/>
          <w:sz w:val="24"/>
          <w:shd w:val="clear" w:color="auto" w:fill="FFFFFF"/>
        </w:rPr>
        <w:t>　资产评估专业人员应当关注评估基准日至资产评估报告日之间发生的与评估对象相关的重大期后事项，包括内外部环境的重大变化、重大诉讼与仲裁的最新进展等，并在资产评估报告特别事项说明中披露该事项及其对评估结论的影响。</w:t>
      </w:r>
    </w:p>
    <w:p w14:paraId="0E080B65">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资产评估专业人员需要根据会计准则关于资产负债表日后事项的调整事项和非调整事项的规范内容，考虑对评估对象可收回金额的影响。</w:t>
      </w:r>
    </w:p>
    <w:p w14:paraId="07155272">
      <w:pPr>
        <w:spacing w:line="440" w:lineRule="atLeast"/>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br w:type="page"/>
      </w:r>
    </w:p>
    <w:p w14:paraId="64E650F0">
      <w:pPr>
        <w:pStyle w:val="5"/>
        <w:spacing w:line="440" w:lineRule="atLeast"/>
        <w:jc w:val="center"/>
        <w:rPr>
          <w:rFonts w:ascii="宋体" w:hAnsi="宋体" w:eastAsia="宋体" w:cs="宋体"/>
        </w:rPr>
      </w:pPr>
      <w:bookmarkStart w:id="235" w:name="_Toc13661"/>
      <w:r>
        <w:rPr>
          <w:rFonts w:hint="eastAsia" w:ascii="宋体" w:hAnsi="宋体" w:eastAsia="宋体" w:cs="宋体"/>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Pr>
          <w:rFonts w:hint="eastAsia" w:ascii="宋体" w:hAnsi="宋体" w:eastAsia="宋体" w:cs="宋体"/>
        </w:rPr>
        <w:instrText xml:space="preserve">ADDIN CNKISM.UserStyle</w:instrText>
      </w:r>
      <w:r>
        <w:rPr>
          <w:rFonts w:hint="eastAsia" w:ascii="宋体" w:hAnsi="宋体" w:eastAsia="宋体" w:cs="宋体"/>
        </w:rPr>
        <w:fldChar w:fldCharType="end"/>
      </w:r>
      <w:r>
        <w:rPr>
          <w:rFonts w:hint="eastAsia" w:ascii="宋体" w:hAnsi="宋体" w:eastAsia="宋体" w:cs="宋体"/>
        </w:rPr>
        <w:t>资产评估专家指引第12号——收益法评估企业价值中折现率的测算</w:t>
      </w:r>
      <w:bookmarkEnd w:id="235"/>
    </w:p>
    <w:p w14:paraId="79BC5695">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本专家指引是一种专家建议。资产评估机构执行资产评估业务，可以参照本专家指引。中国资产评估协会将根据业务发展，对本专家指引进行更新。</w:t>
      </w:r>
    </w:p>
    <w:p w14:paraId="105990B5">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第一章　引言</w:t>
      </w:r>
    </w:p>
    <w:p w14:paraId="4257C24B">
      <w:pPr>
        <w:adjustRightInd w:val="0"/>
        <w:snapToGrid w:val="0"/>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第一条　</w:t>
      </w:r>
      <w:r>
        <w:rPr>
          <w:rFonts w:hint="eastAsia" w:ascii="宋体" w:hAnsi="宋体" w:eastAsia="宋体" w:cs="宋体"/>
          <w:color w:val="000000"/>
          <w:kern w:val="0"/>
          <w:sz w:val="24"/>
          <w:shd w:val="clear" w:color="auto" w:fill="FFFFFF"/>
        </w:rPr>
        <w:t>为指导资产评估专业人员在运用收益法评估企业价值时</w:t>
      </w:r>
      <w:bookmarkStart w:id="236" w:name="_Hlk56169481"/>
      <w:r>
        <w:rPr>
          <w:rFonts w:hint="eastAsia" w:ascii="宋体" w:hAnsi="宋体" w:eastAsia="宋体" w:cs="宋体"/>
          <w:color w:val="000000"/>
          <w:kern w:val="0"/>
          <w:sz w:val="24"/>
          <w:shd w:val="clear" w:color="auto" w:fill="FFFFFF"/>
        </w:rPr>
        <w:t>合理测算预期收益的折现率</w:t>
      </w:r>
      <w:bookmarkEnd w:id="236"/>
      <w:r>
        <w:rPr>
          <w:rFonts w:hint="eastAsia" w:ascii="宋体" w:hAnsi="宋体" w:eastAsia="宋体" w:cs="宋体"/>
          <w:color w:val="000000"/>
          <w:kern w:val="0"/>
          <w:sz w:val="24"/>
          <w:shd w:val="clear" w:color="auto" w:fill="FFFFFF"/>
        </w:rPr>
        <w:t>，中国资产评估协会组织制定了本专家指引。</w:t>
      </w:r>
    </w:p>
    <w:p w14:paraId="1A27F457">
      <w:pPr>
        <w:adjustRightInd w:val="0"/>
        <w:snapToGrid w:val="0"/>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第二条</w:t>
      </w:r>
      <w:r>
        <w:rPr>
          <w:rFonts w:hint="eastAsia" w:ascii="宋体" w:hAnsi="宋体" w:eastAsia="宋体" w:cs="宋体"/>
          <w:color w:val="000000"/>
          <w:kern w:val="0"/>
          <w:sz w:val="24"/>
          <w:shd w:val="clear" w:color="auto" w:fill="FFFFFF"/>
        </w:rPr>
        <w:t>　本专家指引</w:t>
      </w:r>
      <w:bookmarkStart w:id="237" w:name="_Hlk56168644"/>
      <w:r>
        <w:rPr>
          <w:rFonts w:hint="eastAsia" w:ascii="宋体" w:hAnsi="宋体" w:eastAsia="宋体" w:cs="宋体"/>
          <w:color w:val="000000"/>
          <w:kern w:val="0"/>
          <w:sz w:val="24"/>
          <w:shd w:val="clear" w:color="auto" w:fill="FFFFFF"/>
        </w:rPr>
        <w:t>仅针对收益法中运用资本资产定价模型（CAPM）、加权平均资本成本（WACC）计算折现率所涉及的</w:t>
      </w:r>
      <w:bookmarkEnd w:id="237"/>
      <w:r>
        <w:rPr>
          <w:rFonts w:hint="eastAsia" w:ascii="宋体" w:hAnsi="宋体" w:eastAsia="宋体" w:cs="宋体"/>
          <w:color w:val="000000"/>
          <w:kern w:val="0"/>
          <w:sz w:val="24"/>
          <w:shd w:val="clear" w:color="auto" w:fill="FFFFFF"/>
        </w:rPr>
        <w:t>无风险利率、市场风险溢价、贝塔系数、特定风险报酬率、债权期望报酬率等参数的确定。CAPM、WACC的公式分别表示如下：</w:t>
      </w:r>
    </w:p>
    <w:p w14:paraId="7C37B728">
      <w:pPr>
        <w:adjustRightInd w:val="0"/>
        <w:snapToGrid w:val="0"/>
        <w:spacing w:line="440" w:lineRule="atLeast"/>
        <w:ind w:firstLine="480" w:firstLineChars="200"/>
        <w:jc w:val="center"/>
        <w:rPr>
          <w:rFonts w:ascii="宋体" w:hAnsi="宋体" w:eastAsia="宋体" w:cs="宋体"/>
          <w:color w:val="000000"/>
          <w:kern w:val="0"/>
          <w:sz w:val="24"/>
          <w:shd w:val="clear" w:color="auto" w:fill="FFFFFF"/>
        </w:rPr>
      </w:pPr>
      <m:oMathPara>
        <m:oMath>
          <m:sSub>
            <m:sSubPr>
              <m:ctrlPr>
                <w:rPr>
                  <w:rFonts w:hint="eastAsia" w:ascii="Cambria Math" w:hAnsi="Cambria Math" w:eastAsia="宋体" w:cs="宋体"/>
                  <w:color w:val="000000"/>
                  <w:kern w:val="0"/>
                  <w:sz w:val="24"/>
                  <w:shd w:val="clear" w:color="auto" w:fill="FFFFFF"/>
                </w:rPr>
              </m:ctrlPr>
            </m:sSubPr>
            <m:e>
              <m:r>
                <m:rPr>
                  <m:sty m:val="p"/>
                </m:rPr>
                <w:rPr>
                  <w:rFonts w:hint="eastAsia" w:ascii="Cambria Math" w:hAnsi="Cambria Math" w:eastAsia="宋体" w:cs="宋体"/>
                  <w:color w:val="000000"/>
                  <w:kern w:val="0"/>
                  <w:sz w:val="24"/>
                  <w:shd w:val="clear" w:color="auto" w:fill="FFFFFF"/>
                </w:rPr>
                <m:t>R</m:t>
              </m:r>
              <m:ctrlPr>
                <w:rPr>
                  <w:rFonts w:hint="eastAsia" w:ascii="Cambria Math" w:hAnsi="Cambria Math" w:eastAsia="宋体" w:cs="宋体"/>
                  <w:color w:val="000000"/>
                  <w:kern w:val="0"/>
                  <w:sz w:val="24"/>
                  <w:shd w:val="clear" w:color="auto" w:fill="FFFFFF"/>
                </w:rPr>
              </m:ctrlPr>
            </m:e>
            <m:sub>
              <m:r>
                <m:rPr>
                  <m:sty m:val="p"/>
                </m:rPr>
                <w:rPr>
                  <w:rFonts w:hint="eastAsia" w:ascii="Cambria Math" w:hAnsi="Cambria Math" w:eastAsia="宋体" w:cs="宋体"/>
                  <w:color w:val="000000"/>
                  <w:kern w:val="0"/>
                  <w:sz w:val="24"/>
                  <w:shd w:val="clear" w:color="auto" w:fill="FFFFFF"/>
                </w:rPr>
                <m:t>e</m:t>
              </m:r>
              <m:ctrlPr>
                <w:rPr>
                  <w:rFonts w:hint="eastAsia" w:ascii="Cambria Math" w:hAnsi="Cambria Math" w:eastAsia="宋体" w:cs="宋体"/>
                  <w:color w:val="000000"/>
                  <w:kern w:val="0"/>
                  <w:sz w:val="24"/>
                  <w:shd w:val="clear" w:color="auto" w:fill="FFFFFF"/>
                </w:rPr>
              </m:ctrlPr>
            </m:sub>
          </m:sSub>
          <m:r>
            <m:rPr>
              <m:sty m:val="p"/>
            </m:rPr>
            <w:rPr>
              <w:rFonts w:hint="eastAsia" w:ascii="Cambria Math" w:hAnsi="Cambria Math" w:eastAsia="宋体" w:cs="宋体"/>
              <w:color w:val="000000"/>
              <w:kern w:val="0"/>
              <w:sz w:val="24"/>
              <w:shd w:val="clear" w:color="auto" w:fill="FFFFFF"/>
            </w:rPr>
            <m:t>=</m:t>
          </m:r>
          <m:sSub>
            <m:sSubPr>
              <m:ctrlPr>
                <w:rPr>
                  <w:rFonts w:hint="eastAsia" w:ascii="Cambria Math" w:hAnsi="Cambria Math" w:eastAsia="宋体" w:cs="宋体"/>
                  <w:color w:val="000000"/>
                  <w:kern w:val="0"/>
                  <w:sz w:val="24"/>
                  <w:shd w:val="clear" w:color="auto" w:fill="FFFFFF"/>
                </w:rPr>
              </m:ctrlPr>
            </m:sSubPr>
            <m:e>
              <m:r>
                <m:rPr>
                  <m:sty m:val="p"/>
                </m:rPr>
                <w:rPr>
                  <w:rFonts w:hint="eastAsia" w:ascii="Cambria Math" w:hAnsi="Cambria Math" w:eastAsia="宋体" w:cs="宋体"/>
                  <w:color w:val="000000"/>
                  <w:kern w:val="0"/>
                  <w:sz w:val="24"/>
                  <w:shd w:val="clear" w:color="auto" w:fill="FFFFFF"/>
                </w:rPr>
                <m:t>R</m:t>
              </m:r>
              <m:ctrlPr>
                <w:rPr>
                  <w:rFonts w:hint="eastAsia" w:ascii="Cambria Math" w:hAnsi="Cambria Math" w:eastAsia="宋体" w:cs="宋体"/>
                  <w:color w:val="000000"/>
                  <w:kern w:val="0"/>
                  <w:sz w:val="24"/>
                  <w:shd w:val="clear" w:color="auto" w:fill="FFFFFF"/>
                </w:rPr>
              </m:ctrlPr>
            </m:e>
            <m:sub>
              <m:r>
                <m:rPr>
                  <m:sty m:val="p"/>
                </m:rPr>
                <w:rPr>
                  <w:rFonts w:hint="eastAsia" w:ascii="Cambria Math" w:hAnsi="Cambria Math" w:eastAsia="宋体" w:cs="宋体"/>
                  <w:color w:val="000000"/>
                  <w:kern w:val="0"/>
                  <w:sz w:val="24"/>
                  <w:shd w:val="clear" w:color="auto" w:fill="FFFFFF"/>
                </w:rPr>
                <m:t>f</m:t>
              </m:r>
              <m:ctrlPr>
                <w:rPr>
                  <w:rFonts w:hint="eastAsia" w:ascii="Cambria Math" w:hAnsi="Cambria Math" w:eastAsia="宋体" w:cs="宋体"/>
                  <w:color w:val="000000"/>
                  <w:kern w:val="0"/>
                  <w:sz w:val="24"/>
                  <w:shd w:val="clear" w:color="auto" w:fill="FFFFFF"/>
                </w:rPr>
              </m:ctrlPr>
            </m:sub>
          </m:sSub>
          <m:r>
            <m:rPr>
              <m:sty m:val="p"/>
            </m:rPr>
            <w:rPr>
              <w:rFonts w:hint="eastAsia" w:ascii="Cambria Math" w:hAnsi="Cambria Math" w:eastAsia="宋体" w:cs="宋体"/>
              <w:color w:val="000000"/>
              <w:kern w:val="0"/>
              <w:sz w:val="24"/>
              <w:shd w:val="clear" w:color="auto" w:fill="FFFFFF"/>
            </w:rPr>
            <m:t>+β×(</m:t>
          </m:r>
          <m:sSub>
            <m:sSubPr>
              <m:ctrlPr>
                <w:rPr>
                  <w:rFonts w:hint="eastAsia" w:ascii="Cambria Math" w:hAnsi="Cambria Math" w:eastAsia="宋体" w:cs="宋体"/>
                  <w:color w:val="000000"/>
                  <w:kern w:val="0"/>
                  <w:sz w:val="24"/>
                  <w:shd w:val="clear" w:color="auto" w:fill="FFFFFF"/>
                </w:rPr>
              </m:ctrlPr>
            </m:sSubPr>
            <m:e>
              <m:r>
                <m:rPr>
                  <m:sty m:val="p"/>
                </m:rPr>
                <w:rPr>
                  <w:rFonts w:hint="eastAsia" w:ascii="Cambria Math" w:hAnsi="Cambria Math" w:eastAsia="宋体" w:cs="宋体"/>
                  <w:color w:val="000000"/>
                  <w:kern w:val="0"/>
                  <w:sz w:val="24"/>
                  <w:shd w:val="clear" w:color="auto" w:fill="FFFFFF"/>
                </w:rPr>
                <m:t>R</m:t>
              </m:r>
              <m:ctrlPr>
                <w:rPr>
                  <w:rFonts w:hint="eastAsia" w:ascii="Cambria Math" w:hAnsi="Cambria Math" w:eastAsia="宋体" w:cs="宋体"/>
                  <w:color w:val="000000"/>
                  <w:kern w:val="0"/>
                  <w:sz w:val="24"/>
                  <w:shd w:val="clear" w:color="auto" w:fill="FFFFFF"/>
                </w:rPr>
              </m:ctrlPr>
            </m:e>
            <m:sub>
              <m:r>
                <m:rPr>
                  <m:sty m:val="p"/>
                </m:rPr>
                <w:rPr>
                  <w:rFonts w:hint="eastAsia" w:ascii="Cambria Math" w:hAnsi="Cambria Math" w:eastAsia="宋体" w:cs="宋体"/>
                  <w:color w:val="000000"/>
                  <w:kern w:val="0"/>
                  <w:sz w:val="24"/>
                  <w:shd w:val="clear" w:color="auto" w:fill="FFFFFF"/>
                </w:rPr>
                <m:t>m</m:t>
              </m:r>
              <m:ctrlPr>
                <w:rPr>
                  <w:rFonts w:hint="eastAsia" w:ascii="Cambria Math" w:hAnsi="Cambria Math" w:eastAsia="宋体" w:cs="宋体"/>
                  <w:color w:val="000000"/>
                  <w:kern w:val="0"/>
                  <w:sz w:val="24"/>
                  <w:shd w:val="clear" w:color="auto" w:fill="FFFFFF"/>
                </w:rPr>
              </m:ctrlPr>
            </m:sub>
          </m:sSub>
          <m:r>
            <m:rPr>
              <m:sty m:val="p"/>
            </m:rPr>
            <w:rPr>
              <w:rFonts w:hint="eastAsia" w:ascii="Cambria Math" w:hAnsi="Cambria Math" w:eastAsia="宋体" w:cs="宋体"/>
              <w:color w:val="000000"/>
              <w:kern w:val="0"/>
              <w:sz w:val="24"/>
              <w:shd w:val="clear" w:color="auto" w:fill="FFFFFF"/>
            </w:rPr>
            <m:t>−</m:t>
          </m:r>
          <m:sSub>
            <m:sSubPr>
              <m:ctrlPr>
                <w:rPr>
                  <w:rFonts w:hint="eastAsia" w:ascii="Cambria Math" w:hAnsi="Cambria Math" w:eastAsia="宋体" w:cs="宋体"/>
                  <w:color w:val="000000"/>
                  <w:kern w:val="0"/>
                  <w:sz w:val="24"/>
                  <w:shd w:val="clear" w:color="auto" w:fill="FFFFFF"/>
                </w:rPr>
              </m:ctrlPr>
            </m:sSubPr>
            <m:e>
              <m:r>
                <m:rPr>
                  <m:sty m:val="p"/>
                </m:rPr>
                <w:rPr>
                  <w:rFonts w:hint="eastAsia" w:ascii="Cambria Math" w:hAnsi="Cambria Math" w:eastAsia="宋体" w:cs="宋体"/>
                  <w:color w:val="000000"/>
                  <w:kern w:val="0"/>
                  <w:sz w:val="24"/>
                  <w:shd w:val="clear" w:color="auto" w:fill="FFFFFF"/>
                </w:rPr>
                <m:t>R</m:t>
              </m:r>
              <m:ctrlPr>
                <w:rPr>
                  <w:rFonts w:hint="eastAsia" w:ascii="Cambria Math" w:hAnsi="Cambria Math" w:eastAsia="宋体" w:cs="宋体"/>
                  <w:color w:val="000000"/>
                  <w:kern w:val="0"/>
                  <w:sz w:val="24"/>
                  <w:shd w:val="clear" w:color="auto" w:fill="FFFFFF"/>
                </w:rPr>
              </m:ctrlPr>
            </m:e>
            <m:sub>
              <m:r>
                <m:rPr>
                  <m:sty m:val="p"/>
                </m:rPr>
                <w:rPr>
                  <w:rFonts w:hint="eastAsia" w:ascii="Cambria Math" w:hAnsi="Cambria Math" w:eastAsia="宋体" w:cs="宋体"/>
                  <w:color w:val="000000"/>
                  <w:kern w:val="0"/>
                  <w:sz w:val="24"/>
                  <w:shd w:val="clear" w:color="auto" w:fill="FFFFFF"/>
                </w:rPr>
                <m:t>f</m:t>
              </m:r>
              <m:ctrlPr>
                <w:rPr>
                  <w:rFonts w:hint="eastAsia" w:ascii="Cambria Math" w:hAnsi="Cambria Math" w:eastAsia="宋体" w:cs="宋体"/>
                  <w:color w:val="000000"/>
                  <w:kern w:val="0"/>
                  <w:sz w:val="24"/>
                  <w:shd w:val="clear" w:color="auto" w:fill="FFFFFF"/>
                </w:rPr>
              </m:ctrlPr>
            </m:sub>
          </m:sSub>
          <m:r>
            <m:rPr>
              <m:sty m:val="p"/>
            </m:rPr>
            <w:rPr>
              <w:rFonts w:hint="eastAsia" w:ascii="Cambria Math" w:hAnsi="Cambria Math" w:eastAsia="宋体" w:cs="宋体"/>
              <w:color w:val="000000"/>
              <w:kern w:val="0"/>
              <w:sz w:val="24"/>
              <w:shd w:val="clear" w:color="auto" w:fill="FFFFFF"/>
            </w:rPr>
            <m:t>)+ε</m:t>
          </m:r>
        </m:oMath>
      </m:oMathPara>
    </w:p>
    <w:p w14:paraId="7BEFA570">
      <w:pPr>
        <w:adjustRightInd w:val="0"/>
        <w:snapToGrid w:val="0"/>
        <w:spacing w:line="440" w:lineRule="atLeast"/>
        <w:ind w:firstLine="480" w:firstLineChars="200"/>
        <w:rPr>
          <w:rFonts w:ascii="宋体" w:hAnsi="宋体" w:eastAsia="宋体" w:cs="宋体"/>
          <w:color w:val="000000"/>
          <w:kern w:val="0"/>
          <w:sz w:val="24"/>
          <w:shd w:val="clear" w:color="auto" w:fill="FFFFFF"/>
        </w:rPr>
      </w:pPr>
      <m:oMathPara>
        <m:oMath>
          <m:r>
            <m:rPr>
              <m:sty m:val="p"/>
            </m:rPr>
            <w:rPr>
              <w:rFonts w:hint="eastAsia" w:ascii="Cambria Math" w:hAnsi="Cambria Math" w:eastAsia="宋体" w:cs="宋体"/>
              <w:color w:val="000000"/>
              <w:kern w:val="0"/>
              <w:sz w:val="24"/>
              <w:shd w:val="clear" w:color="auto" w:fill="FFFFFF"/>
            </w:rPr>
            <m:t>WACC=</m:t>
          </m:r>
          <m:sSub>
            <m:sSubPr>
              <m:ctrlPr>
                <w:rPr>
                  <w:rFonts w:hint="eastAsia" w:ascii="Cambria Math" w:hAnsi="Cambria Math" w:eastAsia="宋体" w:cs="宋体"/>
                  <w:color w:val="000000"/>
                  <w:kern w:val="0"/>
                  <w:sz w:val="24"/>
                  <w:shd w:val="clear" w:color="auto" w:fill="FFFFFF"/>
                </w:rPr>
              </m:ctrlPr>
            </m:sSubPr>
            <m:e>
              <m:r>
                <m:rPr>
                  <m:sty m:val="p"/>
                </m:rPr>
                <w:rPr>
                  <w:rFonts w:hint="eastAsia" w:ascii="Cambria Math" w:hAnsi="Cambria Math" w:eastAsia="宋体" w:cs="宋体"/>
                  <w:color w:val="000000"/>
                  <w:kern w:val="0"/>
                  <w:sz w:val="24"/>
                  <w:shd w:val="clear" w:color="auto" w:fill="FFFFFF"/>
                </w:rPr>
                <m:t>R</m:t>
              </m:r>
              <m:ctrlPr>
                <w:rPr>
                  <w:rFonts w:hint="eastAsia" w:ascii="Cambria Math" w:hAnsi="Cambria Math" w:eastAsia="宋体" w:cs="宋体"/>
                  <w:color w:val="000000"/>
                  <w:kern w:val="0"/>
                  <w:sz w:val="24"/>
                  <w:shd w:val="clear" w:color="auto" w:fill="FFFFFF"/>
                </w:rPr>
              </m:ctrlPr>
            </m:e>
            <m:sub>
              <m:r>
                <m:rPr>
                  <m:sty m:val="p"/>
                </m:rPr>
                <w:rPr>
                  <w:rFonts w:hint="eastAsia" w:ascii="Cambria Math" w:hAnsi="Cambria Math" w:eastAsia="宋体" w:cs="宋体"/>
                  <w:color w:val="000000"/>
                  <w:kern w:val="0"/>
                  <w:sz w:val="24"/>
                  <w:shd w:val="clear" w:color="auto" w:fill="FFFFFF"/>
                </w:rPr>
                <m:t>d</m:t>
              </m:r>
              <m:ctrlPr>
                <w:rPr>
                  <w:rFonts w:hint="eastAsia" w:ascii="Cambria Math" w:hAnsi="Cambria Math" w:eastAsia="宋体" w:cs="宋体"/>
                  <w:color w:val="000000"/>
                  <w:kern w:val="0"/>
                  <w:sz w:val="24"/>
                  <w:shd w:val="clear" w:color="auto" w:fill="FFFFFF"/>
                </w:rPr>
              </m:ctrlPr>
            </m:sub>
          </m:sSub>
          <m:r>
            <m:rPr>
              <m:sty m:val="p"/>
            </m:rPr>
            <w:rPr>
              <w:rFonts w:hint="eastAsia" w:ascii="Cambria Math" w:hAnsi="Cambria Math" w:eastAsia="宋体" w:cs="宋体"/>
              <w:color w:val="000000"/>
              <w:kern w:val="0"/>
              <w:sz w:val="24"/>
              <w:shd w:val="clear" w:color="auto" w:fill="FFFFFF"/>
            </w:rPr>
            <m:t>×（1−T）×</m:t>
          </m:r>
          <m:f>
            <m:fPr>
              <m:ctrlPr>
                <w:rPr>
                  <w:rFonts w:hint="eastAsia" w:ascii="Cambria Math" w:hAnsi="Cambria Math" w:eastAsia="宋体" w:cs="宋体"/>
                  <w:color w:val="000000"/>
                  <w:kern w:val="0"/>
                  <w:sz w:val="24"/>
                  <w:shd w:val="clear" w:color="auto" w:fill="FFFFFF"/>
                </w:rPr>
              </m:ctrlPr>
            </m:fPr>
            <w:bookmarkStart w:id="238" w:name="_Hlk51681515"/>
            <m:num>
              <m:r>
                <m:rPr>
                  <m:sty m:val="p"/>
                </m:rPr>
                <w:rPr>
                  <w:rFonts w:hint="eastAsia" w:ascii="Cambria Math" w:hAnsi="Cambria Math" w:eastAsia="宋体" w:cs="宋体"/>
                  <w:color w:val="000000"/>
                  <w:kern w:val="0"/>
                  <w:sz w:val="24"/>
                  <w:shd w:val="clear" w:color="auto" w:fill="FFFFFF"/>
                </w:rPr>
                <m:t>D</m:t>
              </m:r>
              <m:ctrlPr>
                <w:rPr>
                  <w:rFonts w:hint="eastAsia" w:ascii="Cambria Math" w:hAnsi="Cambria Math" w:eastAsia="宋体" w:cs="宋体"/>
                  <w:color w:val="000000"/>
                  <w:kern w:val="0"/>
                  <w:sz w:val="24"/>
                  <w:shd w:val="clear" w:color="auto" w:fill="FFFFFF"/>
                </w:rPr>
              </m:ctrlPr>
            </m:num>
            <m:den>
              <m:r>
                <m:rPr>
                  <m:sty m:val="p"/>
                </m:rPr>
                <w:rPr>
                  <w:rFonts w:hint="eastAsia" w:ascii="Cambria Math" w:hAnsi="Cambria Math" w:eastAsia="宋体" w:cs="宋体"/>
                  <w:color w:val="000000"/>
                  <w:kern w:val="0"/>
                  <w:sz w:val="24"/>
                  <w:shd w:val="clear" w:color="auto" w:fill="FFFFFF"/>
                </w:rPr>
                <m:t>D+E</m:t>
              </m:r>
              <w:bookmarkEnd w:id="238"/>
              <m:ctrlPr>
                <w:rPr>
                  <w:rFonts w:hint="eastAsia" w:ascii="Cambria Math" w:hAnsi="Cambria Math" w:eastAsia="宋体" w:cs="宋体"/>
                  <w:color w:val="000000"/>
                  <w:kern w:val="0"/>
                  <w:sz w:val="24"/>
                  <w:shd w:val="clear" w:color="auto" w:fill="FFFFFF"/>
                </w:rPr>
              </m:ctrlPr>
            </m:den>
          </m:f>
          <m:r>
            <m:rPr>
              <m:sty m:val="p"/>
            </m:rPr>
            <w:rPr>
              <w:rFonts w:hint="eastAsia" w:ascii="Cambria Math" w:hAnsi="Cambria Math" w:eastAsia="宋体" w:cs="宋体"/>
              <w:color w:val="000000"/>
              <w:kern w:val="0"/>
              <w:sz w:val="24"/>
              <w:shd w:val="clear" w:color="auto" w:fill="FFFFFF"/>
            </w:rPr>
            <m:t>+</m:t>
          </m:r>
          <m:sSub>
            <m:sSubPr>
              <m:ctrlPr>
                <w:rPr>
                  <w:rFonts w:hint="eastAsia" w:ascii="Cambria Math" w:hAnsi="Cambria Math" w:eastAsia="宋体" w:cs="宋体"/>
                  <w:color w:val="000000"/>
                  <w:kern w:val="0"/>
                  <w:sz w:val="24"/>
                  <w:shd w:val="clear" w:color="auto" w:fill="FFFFFF"/>
                </w:rPr>
              </m:ctrlPr>
            </m:sSubPr>
            <m:e>
              <m:r>
                <m:rPr>
                  <m:sty m:val="p"/>
                </m:rPr>
                <w:rPr>
                  <w:rFonts w:hint="eastAsia" w:ascii="Cambria Math" w:hAnsi="Cambria Math" w:eastAsia="宋体" w:cs="宋体"/>
                  <w:color w:val="000000"/>
                  <w:kern w:val="0"/>
                  <w:sz w:val="24"/>
                  <w:shd w:val="clear" w:color="auto" w:fill="FFFFFF"/>
                </w:rPr>
                <m:t>R</m:t>
              </m:r>
              <m:ctrlPr>
                <w:rPr>
                  <w:rFonts w:hint="eastAsia" w:ascii="Cambria Math" w:hAnsi="Cambria Math" w:eastAsia="宋体" w:cs="宋体"/>
                  <w:color w:val="000000"/>
                  <w:kern w:val="0"/>
                  <w:sz w:val="24"/>
                  <w:shd w:val="clear" w:color="auto" w:fill="FFFFFF"/>
                </w:rPr>
              </m:ctrlPr>
            </m:e>
            <m:sub>
              <m:r>
                <m:rPr>
                  <m:sty m:val="p"/>
                </m:rPr>
                <w:rPr>
                  <w:rFonts w:hint="eastAsia" w:ascii="Cambria Math" w:hAnsi="Cambria Math" w:eastAsia="宋体" w:cs="宋体"/>
                  <w:color w:val="000000"/>
                  <w:kern w:val="0"/>
                  <w:sz w:val="24"/>
                  <w:shd w:val="clear" w:color="auto" w:fill="FFFFFF"/>
                </w:rPr>
                <m:t>e</m:t>
              </m:r>
              <m:ctrlPr>
                <w:rPr>
                  <w:rFonts w:hint="eastAsia" w:ascii="Cambria Math" w:hAnsi="Cambria Math" w:eastAsia="宋体" w:cs="宋体"/>
                  <w:color w:val="000000"/>
                  <w:kern w:val="0"/>
                  <w:sz w:val="24"/>
                  <w:shd w:val="clear" w:color="auto" w:fill="FFFFFF"/>
                </w:rPr>
              </m:ctrlPr>
            </m:sub>
          </m:sSub>
          <m:r>
            <m:rPr>
              <m:sty m:val="p"/>
            </m:rPr>
            <w:rPr>
              <w:rFonts w:hint="eastAsia" w:ascii="Cambria Math" w:hAnsi="Cambria Math" w:eastAsia="宋体" w:cs="宋体"/>
              <w:color w:val="000000"/>
              <w:kern w:val="0"/>
              <w:sz w:val="24"/>
              <w:shd w:val="clear" w:color="auto" w:fill="FFFFFF"/>
            </w:rPr>
            <m:t>×</m:t>
          </m:r>
          <m:f>
            <m:fPr>
              <m:ctrlPr>
                <w:rPr>
                  <w:rFonts w:hint="eastAsia" w:ascii="Cambria Math" w:hAnsi="Cambria Math" w:eastAsia="宋体" w:cs="宋体"/>
                  <w:color w:val="000000"/>
                  <w:kern w:val="0"/>
                  <w:sz w:val="24"/>
                  <w:shd w:val="clear" w:color="auto" w:fill="FFFFFF"/>
                </w:rPr>
              </m:ctrlPr>
            </m:fPr>
            <m:num>
              <m:r>
                <m:rPr>
                  <m:sty m:val="p"/>
                </m:rPr>
                <w:rPr>
                  <w:rFonts w:hint="eastAsia" w:ascii="Cambria Math" w:hAnsi="Cambria Math" w:eastAsia="宋体" w:cs="宋体"/>
                  <w:color w:val="000000"/>
                  <w:kern w:val="0"/>
                  <w:sz w:val="24"/>
                  <w:shd w:val="clear" w:color="auto" w:fill="FFFFFF"/>
                </w:rPr>
                <m:t>E</m:t>
              </m:r>
              <m:ctrlPr>
                <w:rPr>
                  <w:rFonts w:hint="eastAsia" w:ascii="Cambria Math" w:hAnsi="Cambria Math" w:eastAsia="宋体" w:cs="宋体"/>
                  <w:color w:val="000000"/>
                  <w:kern w:val="0"/>
                  <w:sz w:val="24"/>
                  <w:shd w:val="clear" w:color="auto" w:fill="FFFFFF"/>
                </w:rPr>
              </m:ctrlPr>
            </m:num>
            <m:den>
              <m:r>
                <m:rPr>
                  <m:sty m:val="p"/>
                </m:rPr>
                <w:rPr>
                  <w:rFonts w:hint="eastAsia" w:ascii="Cambria Math" w:hAnsi="Cambria Math" w:eastAsia="宋体" w:cs="宋体"/>
                  <w:color w:val="000000"/>
                  <w:kern w:val="0"/>
                  <w:sz w:val="24"/>
                  <w:shd w:val="clear" w:color="auto" w:fill="FFFFFF"/>
                </w:rPr>
                <m:t>D+E</m:t>
              </m:r>
              <m:ctrlPr>
                <w:rPr>
                  <w:rFonts w:hint="eastAsia" w:ascii="Cambria Math" w:hAnsi="Cambria Math" w:eastAsia="宋体" w:cs="宋体"/>
                  <w:color w:val="000000"/>
                  <w:kern w:val="0"/>
                  <w:sz w:val="24"/>
                  <w:shd w:val="clear" w:color="auto" w:fill="FFFFFF"/>
                </w:rPr>
              </m:ctrlPr>
            </m:den>
          </m:f>
        </m:oMath>
      </m:oMathPara>
    </w:p>
    <w:p w14:paraId="5BDA74C0">
      <w:pPr>
        <w:adjustRightInd w:val="0"/>
        <w:snapToGrid w:val="0"/>
        <w:spacing w:line="440" w:lineRule="atLeast"/>
        <w:ind w:firstLine="480" w:firstLineChars="200"/>
        <w:rPr>
          <w:rFonts w:ascii="宋体" w:hAnsi="宋体" w:eastAsia="宋体" w:cs="宋体"/>
          <w:color w:val="000000"/>
          <w:kern w:val="0"/>
          <w:sz w:val="24"/>
          <w:shd w:val="clear" w:color="auto" w:fill="FFFFFF"/>
        </w:rPr>
      </w:pPr>
      <m:oMath>
        <m:sSub>
          <m:sSubPr>
            <m:ctrlPr>
              <w:rPr>
                <w:rFonts w:hint="eastAsia" w:ascii="Cambria Math" w:hAnsi="Cambria Math" w:eastAsia="宋体" w:cs="宋体"/>
                <w:color w:val="000000"/>
                <w:kern w:val="0"/>
                <w:sz w:val="24"/>
                <w:shd w:val="clear" w:color="auto" w:fill="FFFFFF"/>
              </w:rPr>
            </m:ctrlPr>
          </m:sSubPr>
          <m:e>
            <m:r>
              <m:rPr>
                <m:sty m:val="p"/>
              </m:rPr>
              <w:rPr>
                <w:rFonts w:hint="eastAsia" w:ascii="Cambria Math" w:hAnsi="Cambria Math" w:eastAsia="宋体" w:cs="宋体"/>
                <w:color w:val="000000"/>
                <w:kern w:val="0"/>
                <w:sz w:val="24"/>
                <w:shd w:val="clear" w:color="auto" w:fill="FFFFFF"/>
              </w:rPr>
              <m:t>R</m:t>
            </m:r>
            <m:ctrlPr>
              <w:rPr>
                <w:rFonts w:hint="eastAsia" w:ascii="Cambria Math" w:hAnsi="Cambria Math" w:eastAsia="宋体" w:cs="宋体"/>
                <w:color w:val="000000"/>
                <w:kern w:val="0"/>
                <w:sz w:val="24"/>
                <w:shd w:val="clear" w:color="auto" w:fill="FFFFFF"/>
              </w:rPr>
            </m:ctrlPr>
          </m:e>
          <m:sub>
            <m:r>
              <m:rPr>
                <m:sty m:val="p"/>
              </m:rPr>
              <w:rPr>
                <w:rFonts w:hint="eastAsia" w:ascii="Cambria Math" w:hAnsi="Cambria Math" w:eastAsia="宋体" w:cs="宋体"/>
                <w:color w:val="000000"/>
                <w:kern w:val="0"/>
                <w:sz w:val="24"/>
                <w:shd w:val="clear" w:color="auto" w:fill="FFFFFF"/>
              </w:rPr>
              <m:t>e</m:t>
            </m:r>
            <m:ctrlPr>
              <w:rPr>
                <w:rFonts w:hint="eastAsia" w:ascii="Cambria Math" w:hAnsi="Cambria Math" w:eastAsia="宋体" w:cs="宋体"/>
                <w:color w:val="000000"/>
                <w:kern w:val="0"/>
                <w:sz w:val="24"/>
                <w:shd w:val="clear" w:color="auto" w:fill="FFFFFF"/>
              </w:rPr>
            </m:ctrlPr>
          </m:sub>
        </m:sSub>
      </m:oMath>
      <w:r>
        <w:rPr>
          <w:rFonts w:hint="eastAsia" w:ascii="宋体" w:hAnsi="宋体" w:eastAsia="宋体" w:cs="宋体"/>
          <w:color w:val="000000"/>
          <w:kern w:val="0"/>
          <w:sz w:val="24"/>
          <w:shd w:val="clear" w:color="auto" w:fill="FFFFFF"/>
        </w:rPr>
        <w:t>表示股权期望报酬率，</w:t>
      </w:r>
      <m:oMath>
        <m:sSub>
          <m:sSubPr>
            <m:ctrlPr>
              <w:rPr>
                <w:rFonts w:hint="eastAsia" w:ascii="Cambria Math" w:hAnsi="Cambria Math" w:eastAsia="宋体" w:cs="宋体"/>
                <w:color w:val="000000"/>
                <w:kern w:val="0"/>
                <w:sz w:val="24"/>
                <w:shd w:val="clear" w:color="auto" w:fill="FFFFFF"/>
              </w:rPr>
            </m:ctrlPr>
          </m:sSubPr>
          <m:e>
            <m:r>
              <m:rPr>
                <m:sty m:val="p"/>
              </m:rPr>
              <w:rPr>
                <w:rFonts w:hint="eastAsia" w:ascii="Cambria Math" w:hAnsi="Cambria Math" w:eastAsia="宋体" w:cs="宋体"/>
                <w:color w:val="000000"/>
                <w:kern w:val="0"/>
                <w:sz w:val="24"/>
                <w:shd w:val="clear" w:color="auto" w:fill="FFFFFF"/>
              </w:rPr>
              <m:t>R</m:t>
            </m:r>
            <m:ctrlPr>
              <w:rPr>
                <w:rFonts w:hint="eastAsia" w:ascii="Cambria Math" w:hAnsi="Cambria Math" w:eastAsia="宋体" w:cs="宋体"/>
                <w:color w:val="000000"/>
                <w:kern w:val="0"/>
                <w:sz w:val="24"/>
                <w:shd w:val="clear" w:color="auto" w:fill="FFFFFF"/>
              </w:rPr>
            </m:ctrlPr>
          </m:e>
          <m:sub>
            <m:r>
              <m:rPr>
                <m:sty m:val="p"/>
              </m:rPr>
              <w:rPr>
                <w:rFonts w:hint="eastAsia" w:ascii="Cambria Math" w:hAnsi="Cambria Math" w:eastAsia="宋体" w:cs="宋体"/>
                <w:color w:val="000000"/>
                <w:kern w:val="0"/>
                <w:sz w:val="24"/>
                <w:shd w:val="clear" w:color="auto" w:fill="FFFFFF"/>
              </w:rPr>
              <m:t>f</m:t>
            </m:r>
            <m:ctrlPr>
              <w:rPr>
                <w:rFonts w:hint="eastAsia" w:ascii="Cambria Math" w:hAnsi="Cambria Math" w:eastAsia="宋体" w:cs="宋体"/>
                <w:color w:val="000000"/>
                <w:kern w:val="0"/>
                <w:sz w:val="24"/>
                <w:shd w:val="clear" w:color="auto" w:fill="FFFFFF"/>
              </w:rPr>
            </m:ctrlPr>
          </m:sub>
        </m:sSub>
      </m:oMath>
      <w:r>
        <w:rPr>
          <w:rFonts w:hint="eastAsia" w:ascii="宋体" w:hAnsi="宋体" w:eastAsia="宋体" w:cs="宋体"/>
          <w:color w:val="000000"/>
          <w:kern w:val="0"/>
          <w:sz w:val="24"/>
          <w:shd w:val="clear" w:color="auto" w:fill="FFFFFF"/>
        </w:rPr>
        <w:t>表示无风险利率，</w:t>
      </w:r>
      <m:oMath>
        <m:r>
          <m:rPr>
            <m:sty m:val="p"/>
          </m:rPr>
          <w:rPr>
            <w:rFonts w:hint="eastAsia" w:ascii="Cambria Math" w:hAnsi="Cambria Math" w:eastAsia="宋体" w:cs="宋体"/>
            <w:color w:val="000000"/>
            <w:kern w:val="0"/>
            <w:sz w:val="24"/>
            <w:shd w:val="clear" w:color="auto" w:fill="FFFFFF"/>
          </w:rPr>
          <m:t xml:space="preserve"> β</m:t>
        </m:r>
      </m:oMath>
      <w:r>
        <w:rPr>
          <w:rFonts w:hint="eastAsia" w:ascii="宋体" w:hAnsi="宋体" w:eastAsia="宋体" w:cs="宋体"/>
          <w:color w:val="000000"/>
          <w:kern w:val="0"/>
          <w:sz w:val="24"/>
          <w:shd w:val="clear" w:color="auto" w:fill="FFFFFF"/>
        </w:rPr>
        <w:t>表示股权系统性风险调整系数，</w:t>
      </w:r>
      <m:oMath>
        <m:r>
          <m:rPr>
            <m:sty m:val="p"/>
          </m:rPr>
          <w:rPr>
            <w:rFonts w:hint="eastAsia" w:ascii="Cambria Math" w:hAnsi="Cambria Math" w:eastAsia="宋体" w:cs="宋体"/>
            <w:color w:val="000000"/>
            <w:kern w:val="0"/>
            <w:sz w:val="24"/>
            <w:shd w:val="clear" w:color="auto" w:fill="FFFFFF"/>
          </w:rPr>
          <m:t>(</m:t>
        </m:r>
        <m:sSub>
          <m:sSubPr>
            <m:ctrlPr>
              <w:rPr>
                <w:rFonts w:hint="eastAsia" w:ascii="Cambria Math" w:hAnsi="Cambria Math" w:eastAsia="宋体" w:cs="宋体"/>
                <w:color w:val="000000"/>
                <w:kern w:val="0"/>
                <w:sz w:val="24"/>
                <w:shd w:val="clear" w:color="auto" w:fill="FFFFFF"/>
              </w:rPr>
            </m:ctrlPr>
          </m:sSubPr>
          <m:e>
            <m:r>
              <m:rPr>
                <m:sty m:val="p"/>
              </m:rPr>
              <w:rPr>
                <w:rFonts w:hint="eastAsia" w:ascii="Cambria Math" w:hAnsi="Cambria Math" w:eastAsia="宋体" w:cs="宋体"/>
                <w:color w:val="000000"/>
                <w:kern w:val="0"/>
                <w:sz w:val="24"/>
                <w:shd w:val="clear" w:color="auto" w:fill="FFFFFF"/>
              </w:rPr>
              <m:t>R</m:t>
            </m:r>
            <m:ctrlPr>
              <w:rPr>
                <w:rFonts w:hint="eastAsia" w:ascii="Cambria Math" w:hAnsi="Cambria Math" w:eastAsia="宋体" w:cs="宋体"/>
                <w:color w:val="000000"/>
                <w:kern w:val="0"/>
                <w:sz w:val="24"/>
                <w:shd w:val="clear" w:color="auto" w:fill="FFFFFF"/>
              </w:rPr>
            </m:ctrlPr>
          </m:e>
          <m:sub>
            <m:r>
              <m:rPr>
                <m:sty m:val="p"/>
              </m:rPr>
              <w:rPr>
                <w:rFonts w:hint="eastAsia" w:ascii="Cambria Math" w:hAnsi="Cambria Math" w:eastAsia="宋体" w:cs="宋体"/>
                <w:color w:val="000000"/>
                <w:kern w:val="0"/>
                <w:sz w:val="24"/>
                <w:shd w:val="clear" w:color="auto" w:fill="FFFFFF"/>
              </w:rPr>
              <m:t>m</m:t>
            </m:r>
            <m:ctrlPr>
              <w:rPr>
                <w:rFonts w:hint="eastAsia" w:ascii="Cambria Math" w:hAnsi="Cambria Math" w:eastAsia="宋体" w:cs="宋体"/>
                <w:color w:val="000000"/>
                <w:kern w:val="0"/>
                <w:sz w:val="24"/>
                <w:shd w:val="clear" w:color="auto" w:fill="FFFFFF"/>
              </w:rPr>
            </m:ctrlPr>
          </m:sub>
        </m:sSub>
        <m:r>
          <m:rPr>
            <m:sty m:val="p"/>
          </m:rPr>
          <w:rPr>
            <w:rFonts w:hint="eastAsia" w:ascii="Cambria Math" w:hAnsi="Cambria Math" w:eastAsia="宋体" w:cs="宋体"/>
            <w:color w:val="000000"/>
            <w:kern w:val="0"/>
            <w:sz w:val="24"/>
            <w:shd w:val="clear" w:color="auto" w:fill="FFFFFF"/>
          </w:rPr>
          <m:t>−</m:t>
        </m:r>
        <m:sSub>
          <m:sSubPr>
            <m:ctrlPr>
              <w:rPr>
                <w:rFonts w:hint="eastAsia" w:ascii="Cambria Math" w:hAnsi="Cambria Math" w:eastAsia="宋体" w:cs="宋体"/>
                <w:color w:val="000000"/>
                <w:kern w:val="0"/>
                <w:sz w:val="24"/>
                <w:shd w:val="clear" w:color="auto" w:fill="FFFFFF"/>
              </w:rPr>
            </m:ctrlPr>
          </m:sSubPr>
          <m:e>
            <m:r>
              <m:rPr>
                <m:sty m:val="p"/>
              </m:rPr>
              <w:rPr>
                <w:rFonts w:hint="eastAsia" w:ascii="Cambria Math" w:hAnsi="Cambria Math" w:eastAsia="宋体" w:cs="宋体"/>
                <w:color w:val="000000"/>
                <w:kern w:val="0"/>
                <w:sz w:val="24"/>
                <w:shd w:val="clear" w:color="auto" w:fill="FFFFFF"/>
              </w:rPr>
              <m:t>R</m:t>
            </m:r>
            <m:ctrlPr>
              <w:rPr>
                <w:rFonts w:hint="eastAsia" w:ascii="Cambria Math" w:hAnsi="Cambria Math" w:eastAsia="宋体" w:cs="宋体"/>
                <w:color w:val="000000"/>
                <w:kern w:val="0"/>
                <w:sz w:val="24"/>
                <w:shd w:val="clear" w:color="auto" w:fill="FFFFFF"/>
              </w:rPr>
            </m:ctrlPr>
          </m:e>
          <m:sub>
            <m:r>
              <m:rPr>
                <m:sty m:val="p"/>
              </m:rPr>
              <w:rPr>
                <w:rFonts w:hint="eastAsia" w:ascii="Cambria Math" w:hAnsi="Cambria Math" w:eastAsia="宋体" w:cs="宋体"/>
                <w:color w:val="000000"/>
                <w:kern w:val="0"/>
                <w:sz w:val="24"/>
                <w:shd w:val="clear" w:color="auto" w:fill="FFFFFF"/>
              </w:rPr>
              <m:t>f</m:t>
            </m:r>
            <m:ctrlPr>
              <w:rPr>
                <w:rFonts w:hint="eastAsia" w:ascii="Cambria Math" w:hAnsi="Cambria Math" w:eastAsia="宋体" w:cs="宋体"/>
                <w:color w:val="000000"/>
                <w:kern w:val="0"/>
                <w:sz w:val="24"/>
                <w:shd w:val="clear" w:color="auto" w:fill="FFFFFF"/>
              </w:rPr>
            </m:ctrlPr>
          </m:sub>
        </m:sSub>
        <m:r>
          <m:rPr>
            <m:sty m:val="p"/>
          </m:rPr>
          <w:rPr>
            <w:rFonts w:hint="eastAsia" w:ascii="Cambria Math" w:hAnsi="Cambria Math" w:eastAsia="宋体" w:cs="宋体"/>
            <w:color w:val="000000"/>
            <w:kern w:val="0"/>
            <w:sz w:val="24"/>
            <w:shd w:val="clear" w:color="auto" w:fill="FFFFFF"/>
          </w:rPr>
          <m:t>)</m:t>
        </m:r>
      </m:oMath>
      <w:r>
        <w:rPr>
          <w:rFonts w:hint="eastAsia" w:ascii="宋体" w:hAnsi="宋体" w:eastAsia="宋体" w:cs="宋体"/>
          <w:color w:val="000000"/>
          <w:kern w:val="0"/>
          <w:sz w:val="24"/>
          <w:shd w:val="clear" w:color="auto" w:fill="FFFFFF"/>
        </w:rPr>
        <w:t>表示市场风险溢价，ε表示特定风险报酬率，</w:t>
      </w:r>
      <m:oMath>
        <m:sSub>
          <m:sSubPr>
            <m:ctrlPr>
              <w:rPr>
                <w:rFonts w:hint="eastAsia" w:ascii="Cambria Math" w:hAnsi="Cambria Math" w:eastAsia="宋体" w:cs="宋体"/>
                <w:color w:val="000000"/>
                <w:kern w:val="0"/>
                <w:sz w:val="24"/>
                <w:shd w:val="clear" w:color="auto" w:fill="FFFFFF"/>
              </w:rPr>
            </m:ctrlPr>
          </m:sSubPr>
          <m:e>
            <m:r>
              <m:rPr>
                <m:sty m:val="p"/>
              </m:rPr>
              <w:rPr>
                <w:rFonts w:hint="eastAsia" w:ascii="Cambria Math" w:hAnsi="Cambria Math" w:eastAsia="宋体" w:cs="宋体"/>
                <w:color w:val="000000"/>
                <w:kern w:val="0"/>
                <w:sz w:val="24"/>
                <w:shd w:val="clear" w:color="auto" w:fill="FFFFFF"/>
              </w:rPr>
              <m:t>R</m:t>
            </m:r>
            <m:ctrlPr>
              <w:rPr>
                <w:rFonts w:hint="eastAsia" w:ascii="Cambria Math" w:hAnsi="Cambria Math" w:eastAsia="宋体" w:cs="宋体"/>
                <w:color w:val="000000"/>
                <w:kern w:val="0"/>
                <w:sz w:val="24"/>
                <w:shd w:val="clear" w:color="auto" w:fill="FFFFFF"/>
              </w:rPr>
            </m:ctrlPr>
          </m:e>
          <m:sub>
            <m:r>
              <m:rPr>
                <m:sty m:val="p"/>
              </m:rPr>
              <w:rPr>
                <w:rFonts w:hint="eastAsia" w:ascii="Cambria Math" w:hAnsi="Cambria Math" w:eastAsia="宋体" w:cs="宋体"/>
                <w:color w:val="000000"/>
                <w:kern w:val="0"/>
                <w:sz w:val="24"/>
                <w:shd w:val="clear" w:color="auto" w:fill="FFFFFF"/>
              </w:rPr>
              <m:t>d</m:t>
            </m:r>
            <m:ctrlPr>
              <w:rPr>
                <w:rFonts w:hint="eastAsia" w:ascii="Cambria Math" w:hAnsi="Cambria Math" w:eastAsia="宋体" w:cs="宋体"/>
                <w:color w:val="000000"/>
                <w:kern w:val="0"/>
                <w:sz w:val="24"/>
                <w:shd w:val="clear" w:color="auto" w:fill="FFFFFF"/>
              </w:rPr>
            </m:ctrlPr>
          </m:sub>
        </m:sSub>
      </m:oMath>
      <w:r>
        <w:rPr>
          <w:rFonts w:hint="eastAsia" w:ascii="宋体" w:hAnsi="宋体" w:eastAsia="宋体" w:cs="宋体"/>
          <w:color w:val="000000"/>
          <w:kern w:val="0"/>
          <w:sz w:val="24"/>
          <w:shd w:val="clear" w:color="auto" w:fill="FFFFFF"/>
        </w:rPr>
        <w:t>表示债权期望报酬率，D表示债权价值，E表示股权价值，T表示所得税税率。</w:t>
      </w:r>
    </w:p>
    <w:p w14:paraId="4B83ED53">
      <w:pPr>
        <w:adjustRightInd w:val="0"/>
        <w:snapToGrid w:val="0"/>
        <w:spacing w:line="440" w:lineRule="atLeast"/>
        <w:ind w:firstLine="482" w:firstLineChars="200"/>
        <w:rPr>
          <w:rFonts w:ascii="宋体" w:hAnsi="宋体" w:eastAsia="宋体" w:cs="宋体"/>
          <w:color w:val="000000"/>
          <w:kern w:val="0"/>
          <w:sz w:val="24"/>
          <w:shd w:val="clear" w:color="auto" w:fill="FFFFFF"/>
        </w:rPr>
      </w:pPr>
      <w:bookmarkStart w:id="239" w:name="_Hlk56168785"/>
      <w:r>
        <w:rPr>
          <w:rFonts w:hint="eastAsia" w:ascii="宋体" w:hAnsi="宋体" w:eastAsia="宋体" w:cs="宋体"/>
          <w:b/>
          <w:color w:val="000000"/>
          <w:kern w:val="0"/>
          <w:sz w:val="24"/>
          <w:shd w:val="clear" w:color="auto" w:fill="FFFFFF"/>
        </w:rPr>
        <w:t>第三条</w:t>
      </w:r>
      <w:r>
        <w:rPr>
          <w:rFonts w:hint="eastAsia" w:ascii="宋体" w:hAnsi="宋体" w:eastAsia="宋体" w:cs="宋体"/>
          <w:color w:val="000000"/>
          <w:kern w:val="0"/>
          <w:sz w:val="24"/>
          <w:shd w:val="clear" w:color="auto" w:fill="FFFFFF"/>
        </w:rPr>
        <w:t>　采用风险累加法</w:t>
      </w:r>
      <w:bookmarkEnd w:id="239"/>
      <w:r>
        <w:rPr>
          <w:rFonts w:hint="eastAsia" w:ascii="宋体" w:hAnsi="宋体" w:eastAsia="宋体" w:cs="宋体"/>
          <w:color w:val="000000"/>
          <w:kern w:val="0"/>
          <w:sz w:val="24"/>
          <w:shd w:val="clear" w:color="auto" w:fill="FFFFFF"/>
        </w:rPr>
        <w:t>等其他方法计算折现率，涉及相同参数的测算时可以参照本专家指引。</w:t>
      </w:r>
    </w:p>
    <w:p w14:paraId="2221AE3B">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第二章　基本遵循</w:t>
      </w:r>
    </w:p>
    <w:p w14:paraId="5B68E4AA">
      <w:pPr>
        <w:adjustRightInd w:val="0"/>
        <w:snapToGrid w:val="0"/>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第四条</w:t>
      </w:r>
      <w:r>
        <w:rPr>
          <w:rFonts w:hint="eastAsia" w:ascii="宋体" w:hAnsi="宋体" w:eastAsia="宋体" w:cs="宋体"/>
          <w:color w:val="000000"/>
          <w:kern w:val="0"/>
          <w:sz w:val="24"/>
          <w:shd w:val="clear" w:color="auto" w:fill="FFFFFF"/>
        </w:rPr>
        <w:t>　资产评估机构</w:t>
      </w:r>
      <w:bookmarkStart w:id="240" w:name="_Hlk58599138"/>
      <w:bookmarkStart w:id="241" w:name="_Hlk56168892"/>
      <w:r>
        <w:rPr>
          <w:rFonts w:hint="eastAsia" w:ascii="宋体" w:hAnsi="宋体" w:eastAsia="宋体" w:cs="宋体"/>
          <w:color w:val="000000"/>
          <w:kern w:val="0"/>
          <w:sz w:val="24"/>
          <w:shd w:val="clear" w:color="auto" w:fill="FFFFFF"/>
        </w:rPr>
        <w:t>应当研究确定</w:t>
      </w:r>
      <w:bookmarkEnd w:id="240"/>
      <w:r>
        <w:rPr>
          <w:rFonts w:hint="eastAsia" w:ascii="宋体" w:hAnsi="宋体" w:eastAsia="宋体" w:cs="宋体"/>
          <w:color w:val="000000"/>
          <w:kern w:val="0"/>
          <w:sz w:val="24"/>
          <w:shd w:val="clear" w:color="auto" w:fill="FFFFFF"/>
        </w:rPr>
        <w:t>内部统一的折现率测算原则与方法，并在执业过程中保持折现率测算原则与方法的一致性</w:t>
      </w:r>
      <w:bookmarkEnd w:id="241"/>
      <w:r>
        <w:rPr>
          <w:rFonts w:hint="eastAsia" w:ascii="宋体" w:hAnsi="宋体" w:eastAsia="宋体" w:cs="宋体"/>
          <w:color w:val="000000"/>
          <w:kern w:val="0"/>
          <w:sz w:val="24"/>
          <w:shd w:val="clear" w:color="auto" w:fill="FFFFFF"/>
        </w:rPr>
        <w:t>。</w:t>
      </w:r>
    </w:p>
    <w:p w14:paraId="05EA1D8F">
      <w:pPr>
        <w:adjustRightInd w:val="0"/>
        <w:snapToGrid w:val="0"/>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第五条</w:t>
      </w:r>
      <w:r>
        <w:rPr>
          <w:rFonts w:hint="eastAsia" w:ascii="宋体" w:hAnsi="宋体" w:eastAsia="宋体" w:cs="宋体"/>
          <w:color w:val="000000"/>
          <w:kern w:val="0"/>
          <w:sz w:val="24"/>
          <w:shd w:val="clear" w:color="auto" w:fill="FFFFFF"/>
        </w:rPr>
        <w:t>　执行资产减值测试等延续性评估项目，需要关注不同评估基准日折现率测算的合理性。</w:t>
      </w:r>
    </w:p>
    <w:p w14:paraId="5D4EA127">
      <w:pPr>
        <w:adjustRightInd w:val="0"/>
        <w:snapToGrid w:val="0"/>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第六条</w:t>
      </w:r>
      <w:r>
        <w:rPr>
          <w:rFonts w:hint="eastAsia" w:ascii="宋体" w:hAnsi="宋体" w:eastAsia="宋体" w:cs="宋体"/>
          <w:color w:val="000000"/>
          <w:kern w:val="0"/>
          <w:sz w:val="24"/>
          <w:shd w:val="clear" w:color="auto" w:fill="FFFFFF"/>
        </w:rPr>
        <w:t>　资产评估专业人员需要关注折现率口径与预期收益口径的一致性，以及折现率计算公式中各参数的一致性。</w:t>
      </w:r>
    </w:p>
    <w:p w14:paraId="13D9C23D">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第三章　无风险利率</w:t>
      </w:r>
    </w:p>
    <w:p w14:paraId="272F5C01">
      <w:pPr>
        <w:adjustRightInd w:val="0"/>
        <w:snapToGrid w:val="0"/>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第七条</w:t>
      </w:r>
      <w:r>
        <w:rPr>
          <w:rFonts w:hint="eastAsia" w:ascii="宋体" w:hAnsi="宋体" w:eastAsia="宋体" w:cs="宋体"/>
          <w:color w:val="000000"/>
          <w:kern w:val="0"/>
          <w:sz w:val="24"/>
          <w:shd w:val="clear" w:color="auto" w:fill="FFFFFF"/>
        </w:rPr>
        <w:t>　无风险利率是指投资者投资无风险资产的期望报酬率，该无风险资产不存在违约风险。</w:t>
      </w:r>
    </w:p>
    <w:p w14:paraId="738C2DC8">
      <w:pPr>
        <w:adjustRightInd w:val="0"/>
        <w:snapToGrid w:val="0"/>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第八条</w:t>
      </w:r>
      <w:r>
        <w:rPr>
          <w:rFonts w:hint="eastAsia" w:ascii="宋体" w:hAnsi="宋体" w:eastAsia="宋体" w:cs="宋体"/>
          <w:color w:val="000000"/>
          <w:kern w:val="0"/>
          <w:sz w:val="24"/>
          <w:shd w:val="clear" w:color="auto" w:fill="FFFFFF"/>
        </w:rPr>
        <w:t>　无风险利率通常可以用国债的到期收益率表示，选择国债时应当考虑其剩余到期年限与企业现金流时间期限的匹配性。</w:t>
      </w:r>
    </w:p>
    <w:p w14:paraId="36ED3876">
      <w:pPr>
        <w:adjustRightInd w:val="0"/>
        <w:snapToGrid w:val="0"/>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第九条</w:t>
      </w:r>
      <w:r>
        <w:rPr>
          <w:rFonts w:hint="eastAsia" w:ascii="宋体" w:hAnsi="宋体" w:eastAsia="宋体" w:cs="宋体"/>
          <w:color w:val="000000"/>
          <w:kern w:val="0"/>
          <w:sz w:val="24"/>
          <w:shd w:val="clear" w:color="auto" w:fill="FFFFFF"/>
        </w:rPr>
        <w:t>　持续经营假设前提下的企业价值评估可以采用剩余期限为十年期或十年期以上国债的到期收益率作为无风险利率。</w:t>
      </w:r>
    </w:p>
    <w:p w14:paraId="72D1B9F7">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第四章　市场风险溢价</w:t>
      </w:r>
    </w:p>
    <w:p w14:paraId="2D0231D1">
      <w:pPr>
        <w:adjustRightInd w:val="0"/>
        <w:snapToGrid w:val="0"/>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第十条</w:t>
      </w:r>
      <w:r>
        <w:rPr>
          <w:rFonts w:hint="eastAsia" w:ascii="宋体" w:hAnsi="宋体" w:eastAsia="宋体" w:cs="宋体"/>
          <w:color w:val="000000"/>
          <w:kern w:val="0"/>
          <w:sz w:val="24"/>
          <w:shd w:val="clear" w:color="auto" w:fill="FFFFFF"/>
        </w:rPr>
        <w:t>　市场风险溢价是指投资者对与整体市场平均风险相同的股权投资所要求的预期超额收益，即超过无风险利率的风险补偿。市场风险溢价通常可以利用市场的历史风险溢价数据进行测算。</w:t>
      </w:r>
    </w:p>
    <w:p w14:paraId="681443E9">
      <w:pPr>
        <w:adjustRightInd w:val="0"/>
        <w:snapToGrid w:val="0"/>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第十一条</w:t>
      </w:r>
      <w:r>
        <w:rPr>
          <w:rFonts w:hint="eastAsia" w:ascii="宋体" w:hAnsi="宋体" w:eastAsia="宋体" w:cs="宋体"/>
          <w:color w:val="000000"/>
          <w:kern w:val="0"/>
          <w:sz w:val="24"/>
          <w:shd w:val="clear" w:color="auto" w:fill="FFFFFF"/>
        </w:rPr>
        <w:t>　中国市场风险溢价一般可以通过下列几种途径确定：</w:t>
      </w:r>
    </w:p>
    <w:p w14:paraId="0351B326">
      <w:pPr>
        <w:adjustRightInd w:val="0"/>
        <w:snapToGrid w:val="0"/>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（一）利用中国的证券市场指数的历史风险溢价数据计算；</w:t>
      </w:r>
    </w:p>
    <w:p w14:paraId="608127E6">
      <w:pPr>
        <w:adjustRightInd w:val="0"/>
        <w:snapToGrid w:val="0"/>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（二）采用其他成熟资本市场风险溢价调整方法；</w:t>
      </w:r>
    </w:p>
    <w:p w14:paraId="4ED3ED76">
      <w:pPr>
        <w:adjustRightInd w:val="0"/>
        <w:snapToGrid w:val="0"/>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（三）引用相关专家学者或者专业机构研究发布的数据。</w:t>
      </w:r>
    </w:p>
    <w:p w14:paraId="0F0AC9EA">
      <w:pPr>
        <w:adjustRightInd w:val="0"/>
        <w:snapToGrid w:val="0"/>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第十二条</w:t>
      </w:r>
      <w:r>
        <w:rPr>
          <w:rFonts w:hint="eastAsia" w:ascii="宋体" w:hAnsi="宋体" w:eastAsia="宋体" w:cs="宋体"/>
          <w:color w:val="000000"/>
          <w:kern w:val="0"/>
          <w:sz w:val="24"/>
          <w:shd w:val="clear" w:color="auto" w:fill="FFFFFF"/>
        </w:rPr>
        <w:t>　利用中国的证券市场指数计算市场风险溢价时，通常选择有代表性的指数，例如沪深300指数、上海证券综合指数等，计算指数一段历史时间内的超额收益率，时间跨度可以选择10年以上、数据频率可以选择周数据或者月数据、计算方法可以采取算术平均或者几何平均。</w:t>
      </w:r>
    </w:p>
    <w:p w14:paraId="363D59E1">
      <w:pPr>
        <w:adjustRightInd w:val="0"/>
        <w:snapToGrid w:val="0"/>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第十三条</w:t>
      </w:r>
      <w:r>
        <w:rPr>
          <w:rFonts w:hint="eastAsia" w:ascii="宋体" w:hAnsi="宋体" w:eastAsia="宋体" w:cs="宋体"/>
          <w:color w:val="000000"/>
          <w:kern w:val="0"/>
          <w:sz w:val="24"/>
          <w:shd w:val="clear" w:color="auto" w:fill="FFFFFF"/>
        </w:rPr>
        <w:t>　采用其他成熟资本市场风险溢价调整方法是在其他成熟资本市场风险溢价的基础上，考虑中国国家风险补偿得到中国市场风险溢价，基本计算公式可以表示为：</w:t>
      </w:r>
    </w:p>
    <w:p w14:paraId="3AD6D37D">
      <w:pPr>
        <w:adjustRightInd w:val="0"/>
        <w:snapToGrid w:val="0"/>
        <w:spacing w:line="440" w:lineRule="atLeast"/>
        <w:ind w:left="11" w:leftChars="-45" w:right="-132" w:rightChars="-63" w:hanging="105" w:hangingChars="44"/>
        <w:jc w:val="center"/>
        <w:rPr>
          <w:rFonts w:ascii="宋体" w:hAnsi="宋体" w:eastAsia="宋体" w:cs="宋体"/>
          <w:color w:val="000000"/>
          <w:kern w:val="0"/>
          <w:sz w:val="24"/>
          <w:shd w:val="clear" w:color="auto" w:fill="FFFFFF"/>
        </w:rPr>
      </w:pPr>
      <m:oMathPara>
        <m:oMath>
          <m:sSub>
            <m:sSubPr>
              <m:ctrlPr>
                <w:rPr>
                  <w:rFonts w:hint="eastAsia" w:ascii="Cambria Math" w:hAnsi="Cambria Math" w:eastAsia="宋体" w:cs="宋体"/>
                  <w:color w:val="000000"/>
                  <w:kern w:val="0"/>
                  <w:sz w:val="24"/>
                  <w:shd w:val="clear" w:color="auto" w:fill="FFFFFF"/>
                </w:rPr>
              </m:ctrlPr>
            </m:sSubPr>
            <m:e>
              <m:r>
                <m:rPr>
                  <m:sty m:val="p"/>
                </m:rPr>
                <w:rPr>
                  <w:rFonts w:hint="eastAsia" w:ascii="Cambria Math" w:hAnsi="Cambria Math" w:eastAsia="宋体" w:cs="宋体"/>
                  <w:color w:val="000000"/>
                  <w:kern w:val="0"/>
                  <w:sz w:val="24"/>
                  <w:shd w:val="clear" w:color="auto" w:fill="FFFFFF"/>
                </w:rPr>
                <m:t>市场风险溢价</m:t>
              </m:r>
              <m:ctrlPr>
                <w:rPr>
                  <w:rFonts w:hint="eastAsia" w:ascii="Cambria Math" w:hAnsi="Cambria Math" w:eastAsia="宋体" w:cs="宋体"/>
                  <w:color w:val="000000"/>
                  <w:kern w:val="0"/>
                  <w:sz w:val="24"/>
                  <w:shd w:val="clear" w:color="auto" w:fill="FFFFFF"/>
                </w:rPr>
              </m:ctrlPr>
            </m:e>
            <m:sub>
              <m:r>
                <m:rPr>
                  <m:sty m:val="p"/>
                </m:rPr>
                <w:rPr>
                  <w:rFonts w:hint="eastAsia" w:ascii="Cambria Math" w:hAnsi="Cambria Math" w:eastAsia="宋体" w:cs="宋体"/>
                  <w:color w:val="000000"/>
                  <w:kern w:val="0"/>
                  <w:sz w:val="24"/>
                  <w:shd w:val="clear" w:color="auto" w:fill="FFFFFF"/>
                </w:rPr>
                <m:t>中国</m:t>
              </m:r>
              <m:ctrlPr>
                <w:rPr>
                  <w:rFonts w:hint="eastAsia" w:ascii="Cambria Math" w:hAnsi="Cambria Math" w:eastAsia="宋体" w:cs="宋体"/>
                  <w:color w:val="000000"/>
                  <w:kern w:val="0"/>
                  <w:sz w:val="24"/>
                  <w:shd w:val="clear" w:color="auto" w:fill="FFFFFF"/>
                </w:rPr>
              </m:ctrlPr>
            </m:sub>
          </m:sSub>
          <m:r>
            <m:rPr>
              <m:sty m:val="p"/>
            </m:rPr>
            <w:rPr>
              <w:rFonts w:hint="eastAsia" w:ascii="Cambria Math" w:hAnsi="Cambria Math" w:eastAsia="宋体" w:cs="宋体"/>
              <w:color w:val="000000"/>
              <w:kern w:val="0"/>
              <w:sz w:val="24"/>
              <w:shd w:val="clear" w:color="auto" w:fill="FFFFFF"/>
            </w:rPr>
            <m:t>=</m:t>
          </m:r>
          <m:sSub>
            <m:sSubPr>
              <m:ctrlPr>
                <w:rPr>
                  <w:rFonts w:hint="eastAsia" w:ascii="Cambria Math" w:hAnsi="Cambria Math" w:eastAsia="宋体" w:cs="宋体"/>
                  <w:color w:val="000000"/>
                  <w:kern w:val="0"/>
                  <w:sz w:val="24"/>
                  <w:shd w:val="clear" w:color="auto" w:fill="FFFFFF"/>
                </w:rPr>
              </m:ctrlPr>
            </m:sSubPr>
            <m:e>
              <m:r>
                <m:rPr>
                  <m:sty m:val="p"/>
                </m:rPr>
                <w:rPr>
                  <w:rFonts w:hint="eastAsia" w:ascii="Cambria Math" w:hAnsi="Cambria Math" w:eastAsia="宋体" w:cs="宋体"/>
                  <w:color w:val="000000"/>
                  <w:kern w:val="0"/>
                  <w:sz w:val="24"/>
                  <w:shd w:val="clear" w:color="auto" w:fill="FFFFFF"/>
                </w:rPr>
                <m:t>市场风险溢价</m:t>
              </m:r>
              <m:ctrlPr>
                <w:rPr>
                  <w:rFonts w:hint="eastAsia" w:ascii="Cambria Math" w:hAnsi="Cambria Math" w:eastAsia="宋体" w:cs="宋体"/>
                  <w:color w:val="000000"/>
                  <w:kern w:val="0"/>
                  <w:sz w:val="24"/>
                  <w:shd w:val="clear" w:color="auto" w:fill="FFFFFF"/>
                </w:rPr>
              </m:ctrlPr>
            </m:e>
            <m:sub>
              <m:r>
                <m:rPr>
                  <m:sty m:val="p"/>
                </m:rPr>
                <w:rPr>
                  <w:rFonts w:hint="eastAsia" w:ascii="Cambria Math" w:hAnsi="Cambria Math" w:eastAsia="宋体" w:cs="宋体"/>
                  <w:color w:val="000000"/>
                  <w:kern w:val="0"/>
                  <w:sz w:val="24"/>
                  <w:shd w:val="clear" w:color="auto" w:fill="FFFFFF"/>
                </w:rPr>
                <m:t>其他成熟资本市场</m:t>
              </m:r>
              <m:ctrlPr>
                <w:rPr>
                  <w:rFonts w:hint="eastAsia" w:ascii="Cambria Math" w:hAnsi="Cambria Math" w:eastAsia="宋体" w:cs="宋体"/>
                  <w:color w:val="000000"/>
                  <w:kern w:val="0"/>
                  <w:sz w:val="24"/>
                  <w:shd w:val="clear" w:color="auto" w:fill="FFFFFF"/>
                </w:rPr>
              </m:ctrlPr>
            </m:sub>
          </m:sSub>
          <m:r>
            <m:rPr>
              <m:sty m:val="p"/>
            </m:rPr>
            <w:rPr>
              <w:rFonts w:hint="eastAsia" w:ascii="Cambria Math" w:hAnsi="Cambria Math" w:eastAsia="宋体" w:cs="宋体"/>
              <w:color w:val="000000"/>
              <w:kern w:val="0"/>
              <w:sz w:val="24"/>
              <w:shd w:val="clear" w:color="auto" w:fill="FFFFFF"/>
            </w:rPr>
            <m:t>+</m:t>
          </m:r>
          <m:sSub>
            <m:sSubPr>
              <m:ctrlPr>
                <w:rPr>
                  <w:rFonts w:hint="eastAsia" w:ascii="Cambria Math" w:hAnsi="Cambria Math" w:eastAsia="宋体" w:cs="宋体"/>
                  <w:color w:val="000000"/>
                  <w:kern w:val="0"/>
                  <w:sz w:val="24"/>
                  <w:shd w:val="clear" w:color="auto" w:fill="FFFFFF"/>
                </w:rPr>
              </m:ctrlPr>
            </m:sSubPr>
            <m:e>
              <m:r>
                <m:rPr>
                  <m:sty m:val="p"/>
                </m:rPr>
                <w:rPr>
                  <w:rFonts w:hint="eastAsia" w:ascii="Cambria Math" w:hAnsi="Cambria Math" w:eastAsia="宋体" w:cs="宋体"/>
                  <w:color w:val="000000"/>
                  <w:kern w:val="0"/>
                  <w:sz w:val="24"/>
                  <w:shd w:val="clear" w:color="auto" w:fill="FFFFFF"/>
                </w:rPr>
                <m:t>国家风险补偿</m:t>
              </m:r>
              <m:ctrlPr>
                <w:rPr>
                  <w:rFonts w:hint="eastAsia" w:ascii="Cambria Math" w:hAnsi="Cambria Math" w:eastAsia="宋体" w:cs="宋体"/>
                  <w:color w:val="000000"/>
                  <w:kern w:val="0"/>
                  <w:sz w:val="24"/>
                  <w:shd w:val="clear" w:color="auto" w:fill="FFFFFF"/>
                </w:rPr>
              </m:ctrlPr>
            </m:e>
            <m:sub>
              <m:r>
                <m:rPr>
                  <m:sty m:val="p"/>
                </m:rPr>
                <w:rPr>
                  <w:rFonts w:hint="eastAsia" w:ascii="Cambria Math" w:hAnsi="Cambria Math" w:eastAsia="宋体" w:cs="宋体"/>
                  <w:color w:val="000000"/>
                  <w:kern w:val="0"/>
                  <w:sz w:val="24"/>
                  <w:shd w:val="clear" w:color="auto" w:fill="FFFFFF"/>
                </w:rPr>
                <m:t>中国</m:t>
              </m:r>
              <m:ctrlPr>
                <w:rPr>
                  <w:rFonts w:hint="eastAsia" w:ascii="Cambria Math" w:hAnsi="Cambria Math" w:eastAsia="宋体" w:cs="宋体"/>
                  <w:color w:val="000000"/>
                  <w:kern w:val="0"/>
                  <w:sz w:val="24"/>
                  <w:shd w:val="clear" w:color="auto" w:fill="FFFFFF"/>
                </w:rPr>
              </m:ctrlPr>
            </m:sub>
          </m:sSub>
        </m:oMath>
      </m:oMathPara>
    </w:p>
    <w:p w14:paraId="1D460001">
      <w:pPr>
        <w:adjustRightInd w:val="0"/>
        <w:snapToGrid w:val="0"/>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第十四条</w:t>
      </w:r>
      <w:r>
        <w:rPr>
          <w:rFonts w:hint="eastAsia" w:ascii="宋体" w:hAnsi="宋体" w:eastAsia="宋体" w:cs="宋体"/>
          <w:color w:val="000000"/>
          <w:kern w:val="0"/>
          <w:sz w:val="24"/>
          <w:shd w:val="clear" w:color="auto" w:fill="FFFFFF"/>
        </w:rPr>
        <w:t>　其他成熟资本市场的市场风险溢价可以通过其证券市场指数的历史风险溢价数据等计算得到，也可以直接采用相关专家学者或者专业机构研究发布的数据。</w:t>
      </w:r>
    </w:p>
    <w:p w14:paraId="244DD58C">
      <w:pPr>
        <w:adjustRightInd w:val="0"/>
        <w:snapToGrid w:val="0"/>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第十五条</w:t>
      </w:r>
      <w:r>
        <w:rPr>
          <w:rFonts w:hint="eastAsia" w:ascii="宋体" w:hAnsi="宋体" w:eastAsia="宋体" w:cs="宋体"/>
          <w:color w:val="000000"/>
          <w:kern w:val="0"/>
          <w:sz w:val="24"/>
          <w:shd w:val="clear" w:color="auto" w:fill="FFFFFF"/>
        </w:rPr>
        <w:t>　中国国家风险补偿表示中国股票市场相对于其他成熟资本市场的国家风险溢价。中国国家风险补偿取值可以直接采用相关专家学者或者专业机构研究发布的中国国家风险补偿数据，也可以利用其发布的国家违约利差数据调整得到，基本计算公式如下：</w:t>
      </w:r>
    </w:p>
    <w:p w14:paraId="5D7D08E4">
      <w:pPr>
        <w:adjustRightInd w:val="0"/>
        <w:snapToGrid w:val="0"/>
        <w:spacing w:line="440" w:lineRule="atLeast"/>
        <w:ind w:firstLine="480" w:firstLineChars="200"/>
        <w:rPr>
          <w:rFonts w:ascii="宋体" w:hAnsi="宋体" w:eastAsia="宋体" w:cs="宋体"/>
          <w:color w:val="000000"/>
          <w:kern w:val="0"/>
          <w:sz w:val="24"/>
          <w:shd w:val="clear" w:color="auto" w:fill="FFFFFF"/>
        </w:rPr>
      </w:pPr>
      <m:oMathPara>
        <m:oMath>
          <m:sSub>
            <m:sSubPr>
              <m:ctrlPr>
                <w:rPr>
                  <w:rFonts w:hint="eastAsia" w:ascii="Cambria Math" w:hAnsi="Cambria Math" w:eastAsia="宋体" w:cs="宋体"/>
                  <w:color w:val="000000"/>
                  <w:kern w:val="0"/>
                  <w:sz w:val="24"/>
                  <w:shd w:val="clear" w:color="auto" w:fill="FFFFFF"/>
                </w:rPr>
              </m:ctrlPr>
            </m:sSubPr>
            <m:e>
              <m:r>
                <m:rPr>
                  <m:sty m:val="p"/>
                </m:rPr>
                <w:rPr>
                  <w:rFonts w:hint="eastAsia" w:ascii="Cambria Math" w:hAnsi="Cambria Math" w:eastAsia="宋体" w:cs="宋体"/>
                  <w:color w:val="000000"/>
                  <w:kern w:val="0"/>
                  <w:sz w:val="24"/>
                  <w:shd w:val="clear" w:color="auto" w:fill="FFFFFF"/>
                </w:rPr>
                <m:t>国家风险补偿</m:t>
              </m:r>
              <m:ctrlPr>
                <w:rPr>
                  <w:rFonts w:hint="eastAsia" w:ascii="Cambria Math" w:hAnsi="Cambria Math" w:eastAsia="宋体" w:cs="宋体"/>
                  <w:color w:val="000000"/>
                  <w:kern w:val="0"/>
                  <w:sz w:val="24"/>
                  <w:shd w:val="clear" w:color="auto" w:fill="FFFFFF"/>
                </w:rPr>
              </m:ctrlPr>
            </m:e>
            <m:sub>
              <m:r>
                <m:rPr>
                  <m:sty m:val="p"/>
                </m:rPr>
                <w:rPr>
                  <w:rFonts w:hint="eastAsia" w:ascii="Cambria Math" w:hAnsi="Cambria Math" w:eastAsia="宋体" w:cs="宋体"/>
                  <w:color w:val="000000"/>
                  <w:kern w:val="0"/>
                  <w:sz w:val="24"/>
                  <w:shd w:val="clear" w:color="auto" w:fill="FFFFFF"/>
                </w:rPr>
                <m:t>中国</m:t>
              </m:r>
              <m:ctrlPr>
                <w:rPr>
                  <w:rFonts w:hint="eastAsia" w:ascii="Cambria Math" w:hAnsi="Cambria Math" w:eastAsia="宋体" w:cs="宋体"/>
                  <w:color w:val="000000"/>
                  <w:kern w:val="0"/>
                  <w:sz w:val="24"/>
                  <w:shd w:val="clear" w:color="auto" w:fill="FFFFFF"/>
                </w:rPr>
              </m:ctrlPr>
            </m:sub>
          </m:sSub>
          <m:r>
            <m:rPr>
              <m:sty m:val="p"/>
            </m:rPr>
            <w:rPr>
              <w:rFonts w:hint="eastAsia" w:ascii="Cambria Math" w:hAnsi="Cambria Math" w:eastAsia="宋体" w:cs="宋体"/>
              <w:color w:val="000000"/>
              <w:kern w:val="0"/>
              <w:sz w:val="24"/>
              <w:shd w:val="clear" w:color="auto" w:fill="FFFFFF"/>
            </w:rPr>
            <m:t>=</m:t>
          </m:r>
          <m:sSub>
            <m:sSubPr>
              <m:ctrlPr>
                <w:rPr>
                  <w:rFonts w:hint="eastAsia" w:ascii="Cambria Math" w:hAnsi="Cambria Math" w:eastAsia="宋体" w:cs="宋体"/>
                  <w:color w:val="000000"/>
                  <w:kern w:val="0"/>
                  <w:sz w:val="24"/>
                  <w:shd w:val="clear" w:color="auto" w:fill="FFFFFF"/>
                </w:rPr>
              </m:ctrlPr>
            </m:sSubPr>
            <m:e>
              <m:r>
                <m:rPr>
                  <m:sty m:val="p"/>
                </m:rPr>
                <w:rPr>
                  <w:rFonts w:hint="eastAsia" w:ascii="Cambria Math" w:hAnsi="Cambria Math" w:eastAsia="宋体" w:cs="宋体"/>
                  <w:color w:val="000000"/>
                  <w:kern w:val="0"/>
                  <w:sz w:val="24"/>
                  <w:shd w:val="clear" w:color="auto" w:fill="FFFFFF"/>
                </w:rPr>
                <m:t>国家违约利差</m:t>
              </m:r>
              <m:ctrlPr>
                <w:rPr>
                  <w:rFonts w:hint="eastAsia" w:ascii="Cambria Math" w:hAnsi="Cambria Math" w:eastAsia="宋体" w:cs="宋体"/>
                  <w:color w:val="000000"/>
                  <w:kern w:val="0"/>
                  <w:sz w:val="24"/>
                  <w:shd w:val="clear" w:color="auto" w:fill="FFFFFF"/>
                </w:rPr>
              </m:ctrlPr>
            </m:e>
            <m:sub>
              <m:r>
                <m:rPr>
                  <m:sty m:val="p"/>
                </m:rPr>
                <w:rPr>
                  <w:rFonts w:hint="eastAsia" w:ascii="Cambria Math" w:hAnsi="Cambria Math" w:eastAsia="宋体" w:cs="宋体"/>
                  <w:color w:val="000000"/>
                  <w:kern w:val="0"/>
                  <w:sz w:val="24"/>
                  <w:shd w:val="clear" w:color="auto" w:fill="FFFFFF"/>
                </w:rPr>
                <m:t>中国</m:t>
              </m:r>
              <m:ctrlPr>
                <w:rPr>
                  <w:rFonts w:hint="eastAsia" w:ascii="Cambria Math" w:hAnsi="Cambria Math" w:eastAsia="宋体" w:cs="宋体"/>
                  <w:color w:val="000000"/>
                  <w:kern w:val="0"/>
                  <w:sz w:val="24"/>
                  <w:shd w:val="clear" w:color="auto" w:fill="FFFFFF"/>
                </w:rPr>
              </m:ctrlPr>
            </m:sub>
          </m:sSub>
          <m:r>
            <m:rPr>
              <m:sty m:val="p"/>
            </m:rPr>
            <w:rPr>
              <w:rFonts w:hint="eastAsia" w:ascii="Cambria Math" w:hAnsi="Cambria Math" w:eastAsia="宋体" w:cs="宋体"/>
              <w:color w:val="000000"/>
              <w:kern w:val="0"/>
              <w:sz w:val="24"/>
              <w:shd w:val="clear" w:color="auto" w:fill="FFFFFF"/>
            </w:rPr>
            <m:t>×</m:t>
          </m:r>
          <m:f>
            <m:fPr>
              <m:ctrlPr>
                <w:rPr>
                  <w:rFonts w:hint="eastAsia" w:ascii="Cambria Math" w:hAnsi="Cambria Math" w:eastAsia="宋体" w:cs="宋体"/>
                  <w:color w:val="000000"/>
                  <w:kern w:val="0"/>
                  <w:sz w:val="24"/>
                  <w:shd w:val="clear" w:color="auto" w:fill="FFFFFF"/>
                </w:rPr>
              </m:ctrlPr>
            </m:fPr>
            <m:num>
              <m:sSub>
                <m:sSubPr>
                  <m:ctrlPr>
                    <w:rPr>
                      <w:rFonts w:hint="eastAsia" w:ascii="Cambria Math" w:hAnsi="Cambria Math" w:eastAsia="宋体" w:cs="宋体"/>
                      <w:color w:val="000000"/>
                      <w:kern w:val="0"/>
                      <w:sz w:val="24"/>
                      <w:shd w:val="clear" w:color="auto" w:fill="FFFFFF"/>
                    </w:rPr>
                  </m:ctrlPr>
                </m:sSubPr>
                <m:e>
                  <m:r>
                    <m:rPr>
                      <m:sty m:val="p"/>
                    </m:rPr>
                    <w:rPr>
                      <w:rFonts w:hint="eastAsia" w:ascii="Cambria Math" w:hAnsi="Cambria Math" w:eastAsia="宋体" w:cs="宋体"/>
                      <w:color w:val="000000"/>
                      <w:kern w:val="0"/>
                      <w:sz w:val="24"/>
                      <w:shd w:val="clear" w:color="auto" w:fill="FFFFFF"/>
                    </w:rPr>
                    <m:t>σ</m:t>
                  </m:r>
                  <m:ctrlPr>
                    <w:rPr>
                      <w:rFonts w:hint="eastAsia" w:ascii="Cambria Math" w:hAnsi="Cambria Math" w:eastAsia="宋体" w:cs="宋体"/>
                      <w:color w:val="000000"/>
                      <w:kern w:val="0"/>
                      <w:sz w:val="24"/>
                      <w:shd w:val="clear" w:color="auto" w:fill="FFFFFF"/>
                    </w:rPr>
                  </m:ctrlPr>
                </m:e>
                <m:sub>
                  <m:r>
                    <m:rPr>
                      <m:sty m:val="p"/>
                    </m:rPr>
                    <w:rPr>
                      <w:rFonts w:hint="eastAsia" w:ascii="Cambria Math" w:hAnsi="Cambria Math" w:eastAsia="宋体" w:cs="宋体"/>
                      <w:color w:val="000000"/>
                      <w:kern w:val="0"/>
                      <w:sz w:val="24"/>
                      <w:shd w:val="clear" w:color="auto" w:fill="FFFFFF"/>
                    </w:rPr>
                    <m:t>股票</m:t>
                  </m:r>
                  <m:ctrlPr>
                    <w:rPr>
                      <w:rFonts w:hint="eastAsia" w:ascii="Cambria Math" w:hAnsi="Cambria Math" w:eastAsia="宋体" w:cs="宋体"/>
                      <w:color w:val="000000"/>
                      <w:kern w:val="0"/>
                      <w:sz w:val="24"/>
                      <w:shd w:val="clear" w:color="auto" w:fill="FFFFFF"/>
                    </w:rPr>
                  </m:ctrlPr>
                </m:sub>
              </m:sSub>
              <m:ctrlPr>
                <w:rPr>
                  <w:rFonts w:hint="eastAsia" w:ascii="Cambria Math" w:hAnsi="Cambria Math" w:eastAsia="宋体" w:cs="宋体"/>
                  <w:color w:val="000000"/>
                  <w:kern w:val="0"/>
                  <w:sz w:val="24"/>
                  <w:shd w:val="clear" w:color="auto" w:fill="FFFFFF"/>
                </w:rPr>
              </m:ctrlPr>
            </m:num>
            <m:den>
              <m:sSub>
                <m:sSubPr>
                  <m:ctrlPr>
                    <w:rPr>
                      <w:rFonts w:hint="eastAsia" w:ascii="Cambria Math" w:hAnsi="Cambria Math" w:eastAsia="宋体" w:cs="宋体"/>
                      <w:color w:val="000000"/>
                      <w:kern w:val="0"/>
                      <w:sz w:val="24"/>
                      <w:shd w:val="clear" w:color="auto" w:fill="FFFFFF"/>
                    </w:rPr>
                  </m:ctrlPr>
                </m:sSubPr>
                <m:e>
                  <m:r>
                    <m:rPr>
                      <m:sty m:val="p"/>
                    </m:rPr>
                    <w:rPr>
                      <w:rFonts w:hint="eastAsia" w:ascii="Cambria Math" w:hAnsi="Cambria Math" w:eastAsia="宋体" w:cs="宋体"/>
                      <w:color w:val="000000"/>
                      <w:kern w:val="0"/>
                      <w:sz w:val="24"/>
                      <w:shd w:val="clear" w:color="auto" w:fill="FFFFFF"/>
                    </w:rPr>
                    <m:t>σ</m:t>
                  </m:r>
                  <m:ctrlPr>
                    <w:rPr>
                      <w:rFonts w:hint="eastAsia" w:ascii="Cambria Math" w:hAnsi="Cambria Math" w:eastAsia="宋体" w:cs="宋体"/>
                      <w:color w:val="000000"/>
                      <w:kern w:val="0"/>
                      <w:sz w:val="24"/>
                      <w:shd w:val="clear" w:color="auto" w:fill="FFFFFF"/>
                    </w:rPr>
                  </m:ctrlPr>
                </m:e>
                <m:sub>
                  <m:r>
                    <m:rPr>
                      <m:sty m:val="p"/>
                    </m:rPr>
                    <w:rPr>
                      <w:rFonts w:hint="eastAsia" w:ascii="Cambria Math" w:hAnsi="Cambria Math" w:eastAsia="宋体" w:cs="宋体"/>
                      <w:color w:val="000000"/>
                      <w:kern w:val="0"/>
                      <w:sz w:val="24"/>
                      <w:shd w:val="clear" w:color="auto" w:fill="FFFFFF"/>
                    </w:rPr>
                    <m:t>国债</m:t>
                  </m:r>
                  <m:ctrlPr>
                    <w:rPr>
                      <w:rFonts w:hint="eastAsia" w:ascii="Cambria Math" w:hAnsi="Cambria Math" w:eastAsia="宋体" w:cs="宋体"/>
                      <w:color w:val="000000"/>
                      <w:kern w:val="0"/>
                      <w:sz w:val="24"/>
                      <w:shd w:val="clear" w:color="auto" w:fill="FFFFFF"/>
                    </w:rPr>
                  </m:ctrlPr>
                </m:sub>
              </m:sSub>
              <m:ctrlPr>
                <w:rPr>
                  <w:rFonts w:hint="eastAsia" w:ascii="Cambria Math" w:hAnsi="Cambria Math" w:eastAsia="宋体" w:cs="宋体"/>
                  <w:color w:val="000000"/>
                  <w:kern w:val="0"/>
                  <w:sz w:val="24"/>
                  <w:shd w:val="clear" w:color="auto" w:fill="FFFFFF"/>
                </w:rPr>
              </m:ctrlPr>
            </m:den>
          </m:f>
        </m:oMath>
      </m:oMathPara>
    </w:p>
    <w:p w14:paraId="56EE9E40">
      <w:pPr>
        <w:adjustRightInd w:val="0"/>
        <w:snapToGrid w:val="0"/>
        <w:spacing w:line="440" w:lineRule="atLeast"/>
        <w:ind w:firstLine="480" w:firstLineChars="200"/>
        <w:rPr>
          <w:rFonts w:ascii="宋体" w:hAnsi="宋体" w:eastAsia="宋体" w:cs="宋体"/>
          <w:color w:val="000000"/>
          <w:kern w:val="0"/>
          <w:sz w:val="24"/>
          <w:shd w:val="clear" w:color="auto" w:fill="FFFFFF"/>
        </w:rPr>
      </w:pPr>
      <m:oMath>
        <m:sSub>
          <m:sSubPr>
            <m:ctrlPr>
              <w:rPr>
                <w:rFonts w:hint="eastAsia" w:ascii="Cambria Math" w:hAnsi="Cambria Math" w:eastAsia="宋体" w:cs="宋体"/>
                <w:color w:val="000000"/>
                <w:kern w:val="0"/>
                <w:sz w:val="24"/>
                <w:shd w:val="clear" w:color="auto" w:fill="FFFFFF"/>
              </w:rPr>
            </m:ctrlPr>
          </m:sSubPr>
          <m:e>
            <m:r>
              <m:rPr>
                <m:sty m:val="p"/>
              </m:rPr>
              <w:rPr>
                <w:rFonts w:hint="eastAsia" w:ascii="Cambria Math" w:hAnsi="Cambria Math" w:eastAsia="宋体" w:cs="宋体"/>
                <w:color w:val="000000"/>
                <w:kern w:val="0"/>
                <w:sz w:val="24"/>
                <w:shd w:val="clear" w:color="auto" w:fill="FFFFFF"/>
              </w:rPr>
              <m:t>σ</m:t>
            </m:r>
            <m:ctrlPr>
              <w:rPr>
                <w:rFonts w:hint="eastAsia" w:ascii="Cambria Math" w:hAnsi="Cambria Math" w:eastAsia="宋体" w:cs="宋体"/>
                <w:color w:val="000000"/>
                <w:kern w:val="0"/>
                <w:sz w:val="24"/>
                <w:shd w:val="clear" w:color="auto" w:fill="FFFFFF"/>
              </w:rPr>
            </m:ctrlPr>
          </m:e>
          <m:sub>
            <m:r>
              <m:rPr>
                <m:sty m:val="p"/>
              </m:rPr>
              <w:rPr>
                <w:rFonts w:hint="eastAsia" w:ascii="Cambria Math" w:hAnsi="Cambria Math" w:eastAsia="宋体" w:cs="宋体"/>
                <w:color w:val="000000"/>
                <w:kern w:val="0"/>
                <w:sz w:val="24"/>
                <w:shd w:val="clear" w:color="auto" w:fill="FFFFFF"/>
              </w:rPr>
              <m:t>股票</m:t>
            </m:r>
            <m:ctrlPr>
              <w:rPr>
                <w:rFonts w:hint="eastAsia" w:ascii="Cambria Math" w:hAnsi="Cambria Math" w:eastAsia="宋体" w:cs="宋体"/>
                <w:color w:val="000000"/>
                <w:kern w:val="0"/>
                <w:sz w:val="24"/>
                <w:shd w:val="clear" w:color="auto" w:fill="FFFFFF"/>
              </w:rPr>
            </m:ctrlPr>
          </m:sub>
        </m:sSub>
      </m:oMath>
      <w:r>
        <w:rPr>
          <w:rFonts w:hint="eastAsia" w:ascii="宋体" w:hAnsi="宋体" w:eastAsia="宋体" w:cs="宋体"/>
          <w:color w:val="000000"/>
          <w:kern w:val="0"/>
          <w:sz w:val="24"/>
          <w:shd w:val="clear" w:color="auto" w:fill="FFFFFF"/>
        </w:rPr>
        <w:t>表示中国股票市场收益率的标准差，</w:t>
      </w:r>
      <m:oMath>
        <m:sSub>
          <m:sSubPr>
            <m:ctrlPr>
              <w:rPr>
                <w:rFonts w:hint="eastAsia" w:ascii="Cambria Math" w:hAnsi="Cambria Math" w:eastAsia="宋体" w:cs="宋体"/>
                <w:color w:val="000000"/>
                <w:kern w:val="0"/>
                <w:sz w:val="24"/>
                <w:shd w:val="clear" w:color="auto" w:fill="FFFFFF"/>
              </w:rPr>
            </m:ctrlPr>
          </m:sSubPr>
          <m:e>
            <m:r>
              <m:rPr>
                <m:sty m:val="p"/>
              </m:rPr>
              <w:rPr>
                <w:rFonts w:hint="eastAsia" w:ascii="Cambria Math" w:hAnsi="Cambria Math" w:eastAsia="宋体" w:cs="宋体"/>
                <w:color w:val="000000"/>
                <w:kern w:val="0"/>
                <w:sz w:val="24"/>
                <w:shd w:val="clear" w:color="auto" w:fill="FFFFFF"/>
              </w:rPr>
              <m:t>σ</m:t>
            </m:r>
            <m:ctrlPr>
              <w:rPr>
                <w:rFonts w:hint="eastAsia" w:ascii="Cambria Math" w:hAnsi="Cambria Math" w:eastAsia="宋体" w:cs="宋体"/>
                <w:color w:val="000000"/>
                <w:kern w:val="0"/>
                <w:sz w:val="24"/>
                <w:shd w:val="clear" w:color="auto" w:fill="FFFFFF"/>
              </w:rPr>
            </m:ctrlPr>
          </m:e>
          <m:sub>
            <m:r>
              <m:rPr>
                <m:sty m:val="p"/>
              </m:rPr>
              <w:rPr>
                <w:rFonts w:hint="eastAsia" w:ascii="Cambria Math" w:hAnsi="Cambria Math" w:eastAsia="宋体" w:cs="宋体"/>
                <w:color w:val="000000"/>
                <w:kern w:val="0"/>
                <w:sz w:val="24"/>
                <w:shd w:val="clear" w:color="auto" w:fill="FFFFFF"/>
              </w:rPr>
              <m:t>国债</m:t>
            </m:r>
            <m:ctrlPr>
              <w:rPr>
                <w:rFonts w:hint="eastAsia" w:ascii="Cambria Math" w:hAnsi="Cambria Math" w:eastAsia="宋体" w:cs="宋体"/>
                <w:color w:val="000000"/>
                <w:kern w:val="0"/>
                <w:sz w:val="24"/>
                <w:shd w:val="clear" w:color="auto" w:fill="FFFFFF"/>
              </w:rPr>
            </m:ctrlPr>
          </m:sub>
        </m:sSub>
      </m:oMath>
      <w:r>
        <w:rPr>
          <w:rFonts w:hint="eastAsia" w:ascii="宋体" w:hAnsi="宋体" w:eastAsia="宋体" w:cs="宋体"/>
          <w:color w:val="000000"/>
          <w:kern w:val="0"/>
          <w:sz w:val="24"/>
          <w:shd w:val="clear" w:color="auto" w:fill="FFFFFF"/>
        </w:rPr>
        <w:t>表示中国国债市场收益率的标准差。</w:t>
      </w:r>
    </w:p>
    <w:p w14:paraId="697D80E1">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第五章　贝塔系数</w:t>
      </w:r>
    </w:p>
    <w:p w14:paraId="78D7406C">
      <w:pPr>
        <w:adjustRightInd w:val="0"/>
        <w:snapToGrid w:val="0"/>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第十六条</w:t>
      </w:r>
      <w:r>
        <w:rPr>
          <w:rFonts w:hint="eastAsia" w:ascii="宋体" w:hAnsi="宋体" w:eastAsia="宋体" w:cs="宋体"/>
          <w:color w:val="000000"/>
          <w:kern w:val="0"/>
          <w:sz w:val="24"/>
          <w:shd w:val="clear" w:color="auto" w:fill="FFFFFF"/>
        </w:rPr>
        <w:t>　贝塔系数（β系数）表示系统性因素给股权投资者带来的不可分散的风险，由股票收益率与市场收益率的协方差除以市场收益率的方差得到，β系数等于1，表示股权投资风险与整体市场风险相当，β系数大于1（或者小于1）表示股权投资风险大于（或者小于）整体市场。</w:t>
      </w:r>
    </w:p>
    <w:p w14:paraId="6BC3B2CC">
      <w:pPr>
        <w:adjustRightInd w:val="0"/>
        <w:snapToGrid w:val="0"/>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第十七条</w:t>
      </w:r>
      <w:r>
        <w:rPr>
          <w:rFonts w:hint="eastAsia" w:ascii="宋体" w:hAnsi="宋体" w:eastAsia="宋体" w:cs="宋体"/>
          <w:color w:val="000000"/>
          <w:kern w:val="0"/>
          <w:sz w:val="24"/>
          <w:shd w:val="clear" w:color="auto" w:fill="FFFFFF"/>
        </w:rPr>
        <w:t>　非上市公司的股权β系数通常由多家可比上市公司的平均股权β系数调整得到，即计算可比上市公司带杠杆的</w:t>
      </w:r>
      <m:oMath>
        <m:sSub>
          <m:sSubPr>
            <m:ctrlPr>
              <w:rPr>
                <w:rFonts w:hint="eastAsia" w:ascii="Cambria Math" w:hAnsi="Cambria Math" w:eastAsia="宋体" w:cs="宋体"/>
                <w:color w:val="000000"/>
                <w:kern w:val="0"/>
                <w:sz w:val="24"/>
                <w:shd w:val="clear" w:color="auto" w:fill="FFFFFF"/>
              </w:rPr>
            </m:ctrlPr>
          </m:sSubPr>
          <m:e>
            <m:r>
              <m:rPr>
                <m:sty m:val="p"/>
              </m:rPr>
              <w:rPr>
                <w:rFonts w:hint="eastAsia" w:ascii="Cambria Math" w:hAnsi="Cambria Math" w:eastAsia="宋体" w:cs="宋体"/>
                <w:color w:val="000000"/>
                <w:kern w:val="0"/>
                <w:sz w:val="24"/>
                <w:shd w:val="clear" w:color="auto" w:fill="FFFFFF"/>
              </w:rPr>
              <m:t>β</m:t>
            </m:r>
            <m:ctrlPr>
              <w:rPr>
                <w:rFonts w:hint="eastAsia" w:ascii="Cambria Math" w:hAnsi="Cambria Math" w:eastAsia="宋体" w:cs="宋体"/>
                <w:color w:val="000000"/>
                <w:kern w:val="0"/>
                <w:sz w:val="24"/>
                <w:shd w:val="clear" w:color="auto" w:fill="FFFFFF"/>
              </w:rPr>
            </m:ctrlPr>
          </m:e>
          <m:sub>
            <m:r>
              <m:rPr>
                <m:sty m:val="p"/>
              </m:rPr>
              <w:rPr>
                <w:rFonts w:hint="eastAsia" w:ascii="Cambria Math" w:hAnsi="Cambria Math" w:eastAsia="宋体" w:cs="宋体"/>
                <w:color w:val="000000"/>
                <w:kern w:val="0"/>
                <w:sz w:val="24"/>
                <w:shd w:val="clear" w:color="auto" w:fill="FFFFFF"/>
              </w:rPr>
              <m:t>L</m:t>
            </m:r>
            <m:ctrlPr>
              <w:rPr>
                <w:rFonts w:hint="eastAsia" w:ascii="Cambria Math" w:hAnsi="Cambria Math" w:eastAsia="宋体" w:cs="宋体"/>
                <w:color w:val="000000"/>
                <w:kern w:val="0"/>
                <w:sz w:val="24"/>
                <w:shd w:val="clear" w:color="auto" w:fill="FFFFFF"/>
              </w:rPr>
            </m:ctrlPr>
          </m:sub>
        </m:sSub>
      </m:oMath>
      <w:r>
        <w:rPr>
          <w:rFonts w:hint="eastAsia" w:ascii="宋体" w:hAnsi="宋体" w:eastAsia="宋体" w:cs="宋体"/>
          <w:color w:val="000000"/>
          <w:kern w:val="0"/>
          <w:sz w:val="24"/>
          <w:shd w:val="clear" w:color="auto" w:fill="FFFFFF"/>
        </w:rPr>
        <w:t>并调整为不带杠杆的</w:t>
      </w:r>
      <m:oMath>
        <m:sSub>
          <m:sSubPr>
            <m:ctrlPr>
              <w:rPr>
                <w:rFonts w:hint="eastAsia" w:ascii="Cambria Math" w:hAnsi="Cambria Math" w:eastAsia="宋体" w:cs="宋体"/>
                <w:color w:val="000000"/>
                <w:kern w:val="0"/>
                <w:sz w:val="24"/>
                <w:shd w:val="clear" w:color="auto" w:fill="FFFFFF"/>
              </w:rPr>
            </m:ctrlPr>
          </m:sSubPr>
          <m:e>
            <m:r>
              <m:rPr>
                <m:sty m:val="p"/>
              </m:rPr>
              <w:rPr>
                <w:rFonts w:hint="eastAsia" w:ascii="Cambria Math" w:hAnsi="Cambria Math" w:eastAsia="宋体" w:cs="宋体"/>
                <w:color w:val="000000"/>
                <w:kern w:val="0"/>
                <w:sz w:val="24"/>
                <w:shd w:val="clear" w:color="auto" w:fill="FFFFFF"/>
              </w:rPr>
              <m:t>β</m:t>
            </m:r>
            <m:ctrlPr>
              <w:rPr>
                <w:rFonts w:hint="eastAsia" w:ascii="Cambria Math" w:hAnsi="Cambria Math" w:eastAsia="宋体" w:cs="宋体"/>
                <w:color w:val="000000"/>
                <w:kern w:val="0"/>
                <w:sz w:val="24"/>
                <w:shd w:val="clear" w:color="auto" w:fill="FFFFFF"/>
              </w:rPr>
            </m:ctrlPr>
          </m:e>
          <m:sub>
            <m:r>
              <m:rPr>
                <m:sty m:val="p"/>
              </m:rPr>
              <w:rPr>
                <w:rFonts w:hint="eastAsia" w:ascii="Cambria Math" w:hAnsi="Cambria Math" w:eastAsia="宋体" w:cs="宋体"/>
                <w:color w:val="000000"/>
                <w:kern w:val="0"/>
                <w:sz w:val="24"/>
                <w:shd w:val="clear" w:color="auto" w:fill="FFFFFF"/>
              </w:rPr>
              <m:t>U</m:t>
            </m:r>
            <m:ctrlPr>
              <w:rPr>
                <w:rFonts w:hint="eastAsia" w:ascii="Cambria Math" w:hAnsi="Cambria Math" w:eastAsia="宋体" w:cs="宋体"/>
                <w:color w:val="000000"/>
                <w:kern w:val="0"/>
                <w:sz w:val="24"/>
                <w:shd w:val="clear" w:color="auto" w:fill="FFFFFF"/>
              </w:rPr>
            </m:ctrlPr>
          </m:sub>
        </m:sSub>
      </m:oMath>
      <w:r>
        <w:rPr>
          <w:rFonts w:hint="eastAsia" w:ascii="宋体" w:hAnsi="宋体" w:eastAsia="宋体" w:cs="宋体"/>
          <w:color w:val="000000"/>
          <w:kern w:val="0"/>
          <w:sz w:val="24"/>
          <w:shd w:val="clear" w:color="auto" w:fill="FFFFFF"/>
        </w:rPr>
        <w:t>，在此基础上通过取平均值、中位数等方法得到被评估企业的</w:t>
      </w:r>
      <m:oMath>
        <m:sSub>
          <m:sSubPr>
            <m:ctrlPr>
              <w:rPr>
                <w:rFonts w:hint="eastAsia" w:ascii="Cambria Math" w:hAnsi="Cambria Math" w:eastAsia="宋体" w:cs="宋体"/>
                <w:color w:val="000000"/>
                <w:kern w:val="0"/>
                <w:sz w:val="24"/>
                <w:shd w:val="clear" w:color="auto" w:fill="FFFFFF"/>
              </w:rPr>
            </m:ctrlPr>
          </m:sSubPr>
          <m:e>
            <m:r>
              <m:rPr>
                <m:sty m:val="p"/>
              </m:rPr>
              <w:rPr>
                <w:rFonts w:hint="eastAsia" w:ascii="Cambria Math" w:hAnsi="Cambria Math" w:eastAsia="宋体" w:cs="宋体"/>
                <w:color w:val="000000"/>
                <w:kern w:val="0"/>
                <w:sz w:val="24"/>
                <w:shd w:val="clear" w:color="auto" w:fill="FFFFFF"/>
              </w:rPr>
              <m:t>β</m:t>
            </m:r>
            <m:ctrlPr>
              <w:rPr>
                <w:rFonts w:hint="eastAsia" w:ascii="Cambria Math" w:hAnsi="Cambria Math" w:eastAsia="宋体" w:cs="宋体"/>
                <w:color w:val="000000"/>
                <w:kern w:val="0"/>
                <w:sz w:val="24"/>
                <w:shd w:val="clear" w:color="auto" w:fill="FFFFFF"/>
              </w:rPr>
            </m:ctrlPr>
          </m:e>
          <m:sub>
            <m:r>
              <m:rPr>
                <m:sty m:val="p"/>
              </m:rPr>
              <w:rPr>
                <w:rFonts w:hint="eastAsia" w:ascii="Cambria Math" w:hAnsi="Cambria Math" w:eastAsia="宋体" w:cs="宋体"/>
                <w:color w:val="000000"/>
                <w:kern w:val="0"/>
                <w:sz w:val="24"/>
                <w:shd w:val="clear" w:color="auto" w:fill="FFFFFF"/>
              </w:rPr>
              <m:t>U</m:t>
            </m:r>
            <m:ctrlPr>
              <w:rPr>
                <w:rFonts w:hint="eastAsia" w:ascii="Cambria Math" w:hAnsi="Cambria Math" w:eastAsia="宋体" w:cs="宋体"/>
                <w:color w:val="000000"/>
                <w:kern w:val="0"/>
                <w:sz w:val="24"/>
                <w:shd w:val="clear" w:color="auto" w:fill="FFFFFF"/>
              </w:rPr>
            </m:ctrlPr>
          </m:sub>
        </m:sSub>
      </m:oMath>
      <w:r>
        <w:rPr>
          <w:rFonts w:hint="eastAsia" w:ascii="宋体" w:hAnsi="宋体" w:eastAsia="宋体" w:cs="宋体"/>
          <w:color w:val="000000"/>
          <w:kern w:val="0"/>
          <w:sz w:val="24"/>
          <w:shd w:val="clear" w:color="auto" w:fill="FFFFFF"/>
        </w:rPr>
        <w:t>，最后考虑被评估企业适用的资本结构得到其</w:t>
      </w:r>
      <m:oMath>
        <m:sSub>
          <m:sSubPr>
            <m:ctrlPr>
              <w:rPr>
                <w:rFonts w:hint="eastAsia" w:ascii="Cambria Math" w:hAnsi="Cambria Math" w:eastAsia="宋体" w:cs="宋体"/>
                <w:color w:val="000000"/>
                <w:kern w:val="0"/>
                <w:sz w:val="24"/>
                <w:shd w:val="clear" w:color="auto" w:fill="FFFFFF"/>
              </w:rPr>
            </m:ctrlPr>
          </m:sSubPr>
          <m:e>
            <m:r>
              <m:rPr>
                <m:sty m:val="p"/>
              </m:rPr>
              <w:rPr>
                <w:rFonts w:hint="eastAsia" w:ascii="Cambria Math" w:hAnsi="Cambria Math" w:eastAsia="宋体" w:cs="宋体"/>
                <w:color w:val="000000"/>
                <w:kern w:val="0"/>
                <w:sz w:val="24"/>
                <w:shd w:val="clear" w:color="auto" w:fill="FFFFFF"/>
              </w:rPr>
              <m:t>β</m:t>
            </m:r>
            <m:ctrlPr>
              <w:rPr>
                <w:rFonts w:hint="eastAsia" w:ascii="Cambria Math" w:hAnsi="Cambria Math" w:eastAsia="宋体" w:cs="宋体"/>
                <w:color w:val="000000"/>
                <w:kern w:val="0"/>
                <w:sz w:val="24"/>
                <w:shd w:val="clear" w:color="auto" w:fill="FFFFFF"/>
              </w:rPr>
            </m:ctrlPr>
          </m:e>
          <m:sub>
            <m:r>
              <m:rPr>
                <m:sty m:val="p"/>
              </m:rPr>
              <w:rPr>
                <w:rFonts w:hint="eastAsia" w:ascii="Cambria Math" w:hAnsi="Cambria Math" w:eastAsia="宋体" w:cs="宋体"/>
                <w:color w:val="000000"/>
                <w:kern w:val="0"/>
                <w:sz w:val="24"/>
                <w:shd w:val="clear" w:color="auto" w:fill="FFFFFF"/>
              </w:rPr>
              <m:t>L</m:t>
            </m:r>
            <m:ctrlPr>
              <w:rPr>
                <w:rFonts w:hint="eastAsia" w:ascii="Cambria Math" w:hAnsi="Cambria Math" w:eastAsia="宋体" w:cs="宋体"/>
                <w:color w:val="000000"/>
                <w:kern w:val="0"/>
                <w:sz w:val="24"/>
                <w:shd w:val="clear" w:color="auto" w:fill="FFFFFF"/>
              </w:rPr>
            </m:ctrlPr>
          </m:sub>
        </m:sSub>
      </m:oMath>
      <w:r>
        <w:rPr>
          <w:rFonts w:hint="eastAsia" w:ascii="宋体" w:hAnsi="宋体" w:eastAsia="宋体" w:cs="宋体"/>
          <w:color w:val="000000"/>
          <w:kern w:val="0"/>
          <w:sz w:val="24"/>
          <w:shd w:val="clear" w:color="auto" w:fill="FFFFFF"/>
        </w:rPr>
        <w:t>，计算公式如下：</w:t>
      </w:r>
    </w:p>
    <w:p w14:paraId="17EAB27D">
      <w:pPr>
        <w:adjustRightInd w:val="0"/>
        <w:snapToGrid w:val="0"/>
        <w:spacing w:line="440" w:lineRule="atLeast"/>
        <w:ind w:firstLine="480" w:firstLineChars="200"/>
        <w:jc w:val="center"/>
        <w:rPr>
          <w:rFonts w:ascii="宋体" w:hAnsi="宋体" w:eastAsia="宋体" w:cs="宋体"/>
          <w:color w:val="000000"/>
          <w:kern w:val="0"/>
          <w:sz w:val="24"/>
          <w:shd w:val="clear" w:color="auto" w:fill="FFFFFF"/>
        </w:rPr>
      </w:pPr>
      <m:oMathPara>
        <m:oMath>
          <m:sSub>
            <m:sSubPr>
              <m:ctrlPr>
                <w:rPr>
                  <w:rFonts w:hint="eastAsia" w:ascii="Cambria Math" w:hAnsi="Cambria Math" w:eastAsia="宋体" w:cs="宋体"/>
                  <w:color w:val="000000"/>
                  <w:kern w:val="0"/>
                  <w:sz w:val="24"/>
                  <w:shd w:val="clear" w:color="auto" w:fill="FFFFFF"/>
                </w:rPr>
              </m:ctrlPr>
            </m:sSubPr>
            <m:e>
              <m:r>
                <m:rPr>
                  <m:sty m:val="p"/>
                </m:rPr>
                <w:rPr>
                  <w:rFonts w:hint="eastAsia" w:ascii="Cambria Math" w:hAnsi="Cambria Math" w:eastAsia="宋体" w:cs="宋体"/>
                  <w:color w:val="000000"/>
                  <w:kern w:val="0"/>
                  <w:sz w:val="24"/>
                  <w:shd w:val="clear" w:color="auto" w:fill="FFFFFF"/>
                </w:rPr>
                <m:t>β</m:t>
              </m:r>
              <m:ctrlPr>
                <w:rPr>
                  <w:rFonts w:hint="eastAsia" w:ascii="Cambria Math" w:hAnsi="Cambria Math" w:eastAsia="宋体" w:cs="宋体"/>
                  <w:color w:val="000000"/>
                  <w:kern w:val="0"/>
                  <w:sz w:val="24"/>
                  <w:shd w:val="clear" w:color="auto" w:fill="FFFFFF"/>
                </w:rPr>
              </m:ctrlPr>
            </m:e>
            <m:sub>
              <m:r>
                <m:rPr>
                  <m:sty m:val="p"/>
                </m:rPr>
                <w:rPr>
                  <w:rFonts w:hint="eastAsia" w:ascii="Cambria Math" w:hAnsi="Cambria Math" w:eastAsia="宋体" w:cs="宋体"/>
                  <w:color w:val="000000"/>
                  <w:kern w:val="0"/>
                  <w:sz w:val="24"/>
                  <w:shd w:val="clear" w:color="auto" w:fill="FFFFFF"/>
                </w:rPr>
                <m:t>U</m:t>
              </m:r>
              <m:ctrlPr>
                <w:rPr>
                  <w:rFonts w:hint="eastAsia" w:ascii="Cambria Math" w:hAnsi="Cambria Math" w:eastAsia="宋体" w:cs="宋体"/>
                  <w:color w:val="000000"/>
                  <w:kern w:val="0"/>
                  <w:sz w:val="24"/>
                  <w:shd w:val="clear" w:color="auto" w:fill="FFFFFF"/>
                </w:rPr>
              </m:ctrlPr>
            </m:sub>
          </m:sSub>
          <m:r>
            <m:rPr>
              <m:sty m:val="p"/>
            </m:rPr>
            <w:rPr>
              <w:rFonts w:hint="eastAsia" w:ascii="Cambria Math" w:hAnsi="Cambria Math" w:eastAsia="宋体" w:cs="宋体"/>
              <w:color w:val="000000"/>
              <w:kern w:val="0"/>
              <w:sz w:val="24"/>
              <w:shd w:val="clear" w:color="auto" w:fill="FFFFFF"/>
            </w:rPr>
            <m:t>=</m:t>
          </m:r>
          <m:f>
            <m:fPr>
              <m:ctrlPr>
                <w:rPr>
                  <w:rFonts w:hint="eastAsia" w:ascii="Cambria Math" w:hAnsi="Cambria Math" w:eastAsia="宋体" w:cs="宋体"/>
                  <w:color w:val="000000"/>
                  <w:kern w:val="0"/>
                  <w:sz w:val="24"/>
                  <w:shd w:val="clear" w:color="auto" w:fill="FFFFFF"/>
                </w:rPr>
              </m:ctrlPr>
            </m:fPr>
            <m:num>
              <m:sSub>
                <m:sSubPr>
                  <m:ctrlPr>
                    <w:rPr>
                      <w:rFonts w:hint="eastAsia" w:ascii="Cambria Math" w:hAnsi="Cambria Math" w:eastAsia="宋体" w:cs="宋体"/>
                      <w:color w:val="000000"/>
                      <w:kern w:val="0"/>
                      <w:sz w:val="24"/>
                      <w:shd w:val="clear" w:color="auto" w:fill="FFFFFF"/>
                    </w:rPr>
                  </m:ctrlPr>
                </m:sSubPr>
                <m:e>
                  <m:r>
                    <m:rPr>
                      <m:sty m:val="p"/>
                    </m:rPr>
                    <w:rPr>
                      <w:rFonts w:hint="eastAsia" w:ascii="Cambria Math" w:hAnsi="Cambria Math" w:eastAsia="宋体" w:cs="宋体"/>
                      <w:color w:val="000000"/>
                      <w:kern w:val="0"/>
                      <w:sz w:val="24"/>
                      <w:shd w:val="clear" w:color="auto" w:fill="FFFFFF"/>
                    </w:rPr>
                    <m:t>β</m:t>
                  </m:r>
                  <m:ctrlPr>
                    <w:rPr>
                      <w:rFonts w:hint="eastAsia" w:ascii="Cambria Math" w:hAnsi="Cambria Math" w:eastAsia="宋体" w:cs="宋体"/>
                      <w:color w:val="000000"/>
                      <w:kern w:val="0"/>
                      <w:sz w:val="24"/>
                      <w:shd w:val="clear" w:color="auto" w:fill="FFFFFF"/>
                    </w:rPr>
                  </m:ctrlPr>
                </m:e>
                <m:sub>
                  <m:r>
                    <m:rPr>
                      <m:sty m:val="p"/>
                    </m:rPr>
                    <w:rPr>
                      <w:rFonts w:hint="eastAsia" w:ascii="Cambria Math" w:hAnsi="Cambria Math" w:eastAsia="宋体" w:cs="宋体"/>
                      <w:color w:val="000000"/>
                      <w:kern w:val="0"/>
                      <w:sz w:val="24"/>
                      <w:shd w:val="clear" w:color="auto" w:fill="FFFFFF"/>
                    </w:rPr>
                    <m:t>L</m:t>
                  </m:r>
                  <m:ctrlPr>
                    <w:rPr>
                      <w:rFonts w:hint="eastAsia" w:ascii="Cambria Math" w:hAnsi="Cambria Math" w:eastAsia="宋体" w:cs="宋体"/>
                      <w:color w:val="000000"/>
                      <w:kern w:val="0"/>
                      <w:sz w:val="24"/>
                      <w:shd w:val="clear" w:color="auto" w:fill="FFFFFF"/>
                    </w:rPr>
                  </m:ctrlPr>
                </m:sub>
              </m:sSub>
              <m:ctrlPr>
                <w:rPr>
                  <w:rFonts w:hint="eastAsia" w:ascii="Cambria Math" w:hAnsi="Cambria Math" w:eastAsia="宋体" w:cs="宋体"/>
                  <w:color w:val="000000"/>
                  <w:kern w:val="0"/>
                  <w:sz w:val="24"/>
                  <w:shd w:val="clear" w:color="auto" w:fill="FFFFFF"/>
                </w:rPr>
              </m:ctrlPr>
            </m:num>
            <m:den>
              <m:r>
                <m:rPr>
                  <m:sty m:val="p"/>
                </m:rPr>
                <w:rPr>
                  <w:rFonts w:hint="eastAsia" w:ascii="Cambria Math" w:hAnsi="Cambria Math" w:eastAsia="宋体" w:cs="宋体"/>
                  <w:color w:val="000000"/>
                  <w:kern w:val="0"/>
                  <w:sz w:val="24"/>
                  <w:shd w:val="clear" w:color="auto" w:fill="FFFFFF"/>
                </w:rPr>
                <m:t>1+</m:t>
              </m:r>
              <m:d>
                <m:dPr>
                  <m:begChr m:val="（"/>
                  <m:endChr m:val="）"/>
                  <m:ctrlPr>
                    <w:rPr>
                      <w:rFonts w:hint="eastAsia" w:ascii="Cambria Math" w:hAnsi="Cambria Math" w:eastAsia="宋体" w:cs="宋体"/>
                      <w:color w:val="000000"/>
                      <w:kern w:val="0"/>
                      <w:sz w:val="24"/>
                      <w:shd w:val="clear" w:color="auto" w:fill="FFFFFF"/>
                    </w:rPr>
                  </m:ctrlPr>
                </m:dPr>
                <m:e>
                  <m:r>
                    <m:rPr>
                      <m:sty m:val="p"/>
                    </m:rPr>
                    <w:rPr>
                      <w:rFonts w:hint="eastAsia" w:ascii="Cambria Math" w:hAnsi="Cambria Math" w:eastAsia="宋体" w:cs="宋体"/>
                      <w:color w:val="000000"/>
                      <w:kern w:val="0"/>
                      <w:sz w:val="24"/>
                      <w:shd w:val="clear" w:color="auto" w:fill="FFFFFF"/>
                    </w:rPr>
                    <m:t>1−T</m:t>
                  </m:r>
                  <m:ctrlPr>
                    <w:rPr>
                      <w:rFonts w:hint="eastAsia" w:ascii="Cambria Math" w:hAnsi="Cambria Math" w:eastAsia="宋体" w:cs="宋体"/>
                      <w:color w:val="000000"/>
                      <w:kern w:val="0"/>
                      <w:sz w:val="24"/>
                      <w:shd w:val="clear" w:color="auto" w:fill="FFFFFF"/>
                    </w:rPr>
                  </m:ctrlPr>
                </m:e>
              </m:d>
              <m:r>
                <m:rPr>
                  <m:sty m:val="p"/>
                </m:rPr>
                <w:rPr>
                  <w:rFonts w:hint="eastAsia" w:ascii="Cambria Math" w:hAnsi="Cambria Math" w:eastAsia="宋体" w:cs="宋体"/>
                  <w:color w:val="000000"/>
                  <w:kern w:val="0"/>
                  <w:sz w:val="24"/>
                  <w:shd w:val="clear" w:color="auto" w:fill="FFFFFF"/>
                </w:rPr>
                <m:t>×</m:t>
              </m:r>
              <m:f>
                <m:fPr>
                  <m:ctrlPr>
                    <w:rPr>
                      <w:rFonts w:hint="eastAsia" w:ascii="Cambria Math" w:hAnsi="Cambria Math" w:eastAsia="宋体" w:cs="宋体"/>
                      <w:color w:val="000000"/>
                      <w:kern w:val="0"/>
                      <w:sz w:val="24"/>
                      <w:shd w:val="clear" w:color="auto" w:fill="FFFFFF"/>
                    </w:rPr>
                  </m:ctrlPr>
                </m:fPr>
                <m:num>
                  <m:r>
                    <m:rPr>
                      <m:sty m:val="p"/>
                    </m:rPr>
                    <w:rPr>
                      <w:rFonts w:hint="eastAsia" w:ascii="Cambria Math" w:hAnsi="Cambria Math" w:eastAsia="宋体" w:cs="宋体"/>
                      <w:color w:val="000000"/>
                      <w:kern w:val="0"/>
                      <w:sz w:val="24"/>
                      <w:shd w:val="clear" w:color="auto" w:fill="FFFFFF"/>
                    </w:rPr>
                    <m:t>D</m:t>
                  </m:r>
                  <m:ctrlPr>
                    <w:rPr>
                      <w:rFonts w:hint="eastAsia" w:ascii="Cambria Math" w:hAnsi="Cambria Math" w:eastAsia="宋体" w:cs="宋体"/>
                      <w:color w:val="000000"/>
                      <w:kern w:val="0"/>
                      <w:sz w:val="24"/>
                      <w:shd w:val="clear" w:color="auto" w:fill="FFFFFF"/>
                    </w:rPr>
                  </m:ctrlPr>
                </m:num>
                <m:den>
                  <m:r>
                    <m:rPr>
                      <m:sty m:val="p"/>
                    </m:rPr>
                    <w:rPr>
                      <w:rFonts w:hint="eastAsia" w:ascii="Cambria Math" w:hAnsi="Cambria Math" w:eastAsia="宋体" w:cs="宋体"/>
                      <w:color w:val="000000"/>
                      <w:kern w:val="0"/>
                      <w:sz w:val="24"/>
                      <w:shd w:val="clear" w:color="auto" w:fill="FFFFFF"/>
                    </w:rPr>
                    <m:t>E</m:t>
                  </m:r>
                  <m:ctrlPr>
                    <w:rPr>
                      <w:rFonts w:hint="eastAsia" w:ascii="Cambria Math" w:hAnsi="Cambria Math" w:eastAsia="宋体" w:cs="宋体"/>
                      <w:color w:val="000000"/>
                      <w:kern w:val="0"/>
                      <w:sz w:val="24"/>
                      <w:shd w:val="clear" w:color="auto" w:fill="FFFFFF"/>
                    </w:rPr>
                  </m:ctrlPr>
                </m:den>
              </m:f>
              <m:ctrlPr>
                <w:rPr>
                  <w:rFonts w:hint="eastAsia" w:ascii="Cambria Math" w:hAnsi="Cambria Math" w:eastAsia="宋体" w:cs="宋体"/>
                  <w:color w:val="000000"/>
                  <w:kern w:val="0"/>
                  <w:sz w:val="24"/>
                  <w:shd w:val="clear" w:color="auto" w:fill="FFFFFF"/>
                </w:rPr>
              </m:ctrlPr>
            </m:den>
          </m:f>
        </m:oMath>
      </m:oMathPara>
    </w:p>
    <w:p w14:paraId="46845610">
      <w:pPr>
        <w:adjustRightInd w:val="0"/>
        <w:snapToGrid w:val="0"/>
        <w:spacing w:line="440" w:lineRule="atLeast"/>
        <w:ind w:firstLine="480" w:firstLineChars="200"/>
        <w:jc w:val="center"/>
        <w:rPr>
          <w:rFonts w:ascii="宋体" w:hAnsi="宋体" w:eastAsia="宋体" w:cs="宋体"/>
          <w:color w:val="000000"/>
          <w:kern w:val="0"/>
          <w:sz w:val="24"/>
          <w:shd w:val="clear" w:color="auto" w:fill="FFFFFF"/>
        </w:rPr>
      </w:pPr>
      <m:oMathPara>
        <m:oMath>
          <m:sSub>
            <m:sSubPr>
              <m:ctrlPr>
                <w:rPr>
                  <w:rFonts w:hint="eastAsia" w:ascii="Cambria Math" w:hAnsi="Cambria Math" w:eastAsia="宋体" w:cs="宋体"/>
                  <w:color w:val="000000"/>
                  <w:kern w:val="0"/>
                  <w:sz w:val="24"/>
                  <w:shd w:val="clear" w:color="auto" w:fill="FFFFFF"/>
                </w:rPr>
              </m:ctrlPr>
            </m:sSubPr>
            <m:e>
              <m:r>
                <m:rPr>
                  <m:sty m:val="p"/>
                </m:rPr>
                <w:rPr>
                  <w:rFonts w:hint="eastAsia" w:ascii="Cambria Math" w:hAnsi="Cambria Math" w:eastAsia="宋体" w:cs="宋体"/>
                  <w:color w:val="000000"/>
                  <w:kern w:val="0"/>
                  <w:sz w:val="24"/>
                  <w:shd w:val="clear" w:color="auto" w:fill="FFFFFF"/>
                </w:rPr>
                <m:t>β</m:t>
              </m:r>
              <m:ctrlPr>
                <w:rPr>
                  <w:rFonts w:hint="eastAsia" w:ascii="Cambria Math" w:hAnsi="Cambria Math" w:eastAsia="宋体" w:cs="宋体"/>
                  <w:color w:val="000000"/>
                  <w:kern w:val="0"/>
                  <w:sz w:val="24"/>
                  <w:shd w:val="clear" w:color="auto" w:fill="FFFFFF"/>
                </w:rPr>
              </m:ctrlPr>
            </m:e>
            <m:sub>
              <m:r>
                <m:rPr>
                  <m:sty m:val="p"/>
                </m:rPr>
                <w:rPr>
                  <w:rFonts w:hint="eastAsia" w:ascii="Cambria Math" w:hAnsi="Cambria Math" w:eastAsia="宋体" w:cs="宋体"/>
                  <w:color w:val="000000"/>
                  <w:kern w:val="0"/>
                  <w:sz w:val="24"/>
                  <w:shd w:val="clear" w:color="auto" w:fill="FFFFFF"/>
                </w:rPr>
                <m:t>L</m:t>
              </m:r>
              <m:ctrlPr>
                <w:rPr>
                  <w:rFonts w:hint="eastAsia" w:ascii="Cambria Math" w:hAnsi="Cambria Math" w:eastAsia="宋体" w:cs="宋体"/>
                  <w:color w:val="000000"/>
                  <w:kern w:val="0"/>
                  <w:sz w:val="24"/>
                  <w:shd w:val="clear" w:color="auto" w:fill="FFFFFF"/>
                </w:rPr>
              </m:ctrlPr>
            </m:sub>
          </m:sSub>
          <m:r>
            <m:rPr>
              <m:sty m:val="p"/>
            </m:rPr>
            <w:rPr>
              <w:rFonts w:hint="eastAsia" w:ascii="Cambria Math" w:hAnsi="Cambria Math" w:eastAsia="宋体" w:cs="宋体"/>
              <w:color w:val="000000"/>
              <w:kern w:val="0"/>
              <w:sz w:val="24"/>
              <w:shd w:val="clear" w:color="auto" w:fill="FFFFFF"/>
            </w:rPr>
            <m:t>=</m:t>
          </m:r>
          <m:sSub>
            <m:sSubPr>
              <m:ctrlPr>
                <w:rPr>
                  <w:rFonts w:hint="eastAsia" w:ascii="Cambria Math" w:hAnsi="Cambria Math" w:eastAsia="宋体" w:cs="宋体"/>
                  <w:color w:val="000000"/>
                  <w:kern w:val="0"/>
                  <w:sz w:val="24"/>
                  <w:shd w:val="clear" w:color="auto" w:fill="FFFFFF"/>
                </w:rPr>
              </m:ctrlPr>
            </m:sSubPr>
            <m:e>
              <m:r>
                <m:rPr>
                  <m:sty m:val="p"/>
                </m:rPr>
                <w:rPr>
                  <w:rFonts w:hint="eastAsia" w:ascii="Cambria Math" w:hAnsi="Cambria Math" w:eastAsia="宋体" w:cs="宋体"/>
                  <w:color w:val="000000"/>
                  <w:kern w:val="0"/>
                  <w:sz w:val="24"/>
                  <w:shd w:val="clear" w:color="auto" w:fill="FFFFFF"/>
                </w:rPr>
                <m:t>β</m:t>
              </m:r>
              <m:ctrlPr>
                <w:rPr>
                  <w:rFonts w:hint="eastAsia" w:ascii="Cambria Math" w:hAnsi="Cambria Math" w:eastAsia="宋体" w:cs="宋体"/>
                  <w:color w:val="000000"/>
                  <w:kern w:val="0"/>
                  <w:sz w:val="24"/>
                  <w:shd w:val="clear" w:color="auto" w:fill="FFFFFF"/>
                </w:rPr>
              </m:ctrlPr>
            </m:e>
            <m:sub>
              <m:r>
                <m:rPr>
                  <m:sty m:val="p"/>
                </m:rPr>
                <w:rPr>
                  <w:rFonts w:hint="eastAsia" w:ascii="Cambria Math" w:hAnsi="Cambria Math" w:eastAsia="宋体" w:cs="宋体"/>
                  <w:color w:val="000000"/>
                  <w:kern w:val="0"/>
                  <w:sz w:val="24"/>
                  <w:shd w:val="clear" w:color="auto" w:fill="FFFFFF"/>
                </w:rPr>
                <m:t>U</m:t>
              </m:r>
              <m:ctrlPr>
                <w:rPr>
                  <w:rFonts w:hint="eastAsia" w:ascii="Cambria Math" w:hAnsi="Cambria Math" w:eastAsia="宋体" w:cs="宋体"/>
                  <w:color w:val="000000"/>
                  <w:kern w:val="0"/>
                  <w:sz w:val="24"/>
                  <w:shd w:val="clear" w:color="auto" w:fill="FFFFFF"/>
                </w:rPr>
              </m:ctrlPr>
            </m:sub>
          </m:sSub>
          <m:d>
            <m:dPr>
              <m:begChr m:val="["/>
              <m:endChr m:val="]"/>
              <m:ctrlPr>
                <w:rPr>
                  <w:rFonts w:hint="eastAsia" w:ascii="Cambria Math" w:hAnsi="Cambria Math" w:eastAsia="宋体" w:cs="宋体"/>
                  <w:color w:val="000000"/>
                  <w:kern w:val="0"/>
                  <w:sz w:val="24"/>
                  <w:shd w:val="clear" w:color="auto" w:fill="FFFFFF"/>
                </w:rPr>
              </m:ctrlPr>
            </m:dPr>
            <m:e>
              <m:r>
                <m:rPr>
                  <m:sty m:val="p"/>
                </m:rPr>
                <w:rPr>
                  <w:rFonts w:hint="eastAsia" w:ascii="Cambria Math" w:hAnsi="Cambria Math" w:eastAsia="宋体" w:cs="宋体"/>
                  <w:color w:val="000000"/>
                  <w:kern w:val="0"/>
                  <w:sz w:val="24"/>
                  <w:shd w:val="clear" w:color="auto" w:fill="FFFFFF"/>
                </w:rPr>
                <m:t>1+</m:t>
              </m:r>
              <m:d>
                <m:dPr>
                  <m:begChr m:val="（"/>
                  <m:endChr m:val="）"/>
                  <m:ctrlPr>
                    <w:rPr>
                      <w:rFonts w:hint="eastAsia" w:ascii="Cambria Math" w:hAnsi="Cambria Math" w:eastAsia="宋体" w:cs="宋体"/>
                      <w:color w:val="000000"/>
                      <w:kern w:val="0"/>
                      <w:sz w:val="24"/>
                      <w:shd w:val="clear" w:color="auto" w:fill="FFFFFF"/>
                    </w:rPr>
                  </m:ctrlPr>
                </m:dPr>
                <m:e>
                  <m:r>
                    <m:rPr>
                      <m:sty m:val="p"/>
                    </m:rPr>
                    <w:rPr>
                      <w:rFonts w:hint="eastAsia" w:ascii="Cambria Math" w:hAnsi="Cambria Math" w:eastAsia="宋体" w:cs="宋体"/>
                      <w:color w:val="000000"/>
                      <w:kern w:val="0"/>
                      <w:sz w:val="24"/>
                      <w:shd w:val="clear" w:color="auto" w:fill="FFFFFF"/>
                    </w:rPr>
                    <m:t>1−T</m:t>
                  </m:r>
                  <m:ctrlPr>
                    <w:rPr>
                      <w:rFonts w:hint="eastAsia" w:ascii="Cambria Math" w:hAnsi="Cambria Math" w:eastAsia="宋体" w:cs="宋体"/>
                      <w:color w:val="000000"/>
                      <w:kern w:val="0"/>
                      <w:sz w:val="24"/>
                      <w:shd w:val="clear" w:color="auto" w:fill="FFFFFF"/>
                    </w:rPr>
                  </m:ctrlPr>
                </m:e>
              </m:d>
              <m:r>
                <m:rPr>
                  <m:sty m:val="p"/>
                </m:rPr>
                <w:rPr>
                  <w:rFonts w:hint="eastAsia" w:ascii="Cambria Math" w:hAnsi="Cambria Math" w:eastAsia="宋体" w:cs="宋体"/>
                  <w:color w:val="000000"/>
                  <w:kern w:val="0"/>
                  <w:sz w:val="24"/>
                  <w:shd w:val="clear" w:color="auto" w:fill="FFFFFF"/>
                </w:rPr>
                <m:t>×</m:t>
              </m:r>
              <m:f>
                <m:fPr>
                  <m:ctrlPr>
                    <w:rPr>
                      <w:rFonts w:hint="eastAsia" w:ascii="Cambria Math" w:hAnsi="Cambria Math" w:eastAsia="宋体" w:cs="宋体"/>
                      <w:color w:val="000000"/>
                      <w:kern w:val="0"/>
                      <w:sz w:val="24"/>
                      <w:shd w:val="clear" w:color="auto" w:fill="FFFFFF"/>
                    </w:rPr>
                  </m:ctrlPr>
                </m:fPr>
                <m:num>
                  <m:r>
                    <m:rPr>
                      <m:sty m:val="p"/>
                    </m:rPr>
                    <w:rPr>
                      <w:rFonts w:hint="eastAsia" w:ascii="Cambria Math" w:hAnsi="Cambria Math" w:eastAsia="宋体" w:cs="宋体"/>
                      <w:color w:val="000000"/>
                      <w:kern w:val="0"/>
                      <w:sz w:val="24"/>
                      <w:shd w:val="clear" w:color="auto" w:fill="FFFFFF"/>
                    </w:rPr>
                    <m:t>D</m:t>
                  </m:r>
                  <m:ctrlPr>
                    <w:rPr>
                      <w:rFonts w:hint="eastAsia" w:ascii="Cambria Math" w:hAnsi="Cambria Math" w:eastAsia="宋体" w:cs="宋体"/>
                      <w:color w:val="000000"/>
                      <w:kern w:val="0"/>
                      <w:sz w:val="24"/>
                      <w:shd w:val="clear" w:color="auto" w:fill="FFFFFF"/>
                    </w:rPr>
                  </m:ctrlPr>
                </m:num>
                <m:den>
                  <m:r>
                    <m:rPr>
                      <m:sty m:val="p"/>
                    </m:rPr>
                    <w:rPr>
                      <w:rFonts w:hint="eastAsia" w:ascii="Cambria Math" w:hAnsi="Cambria Math" w:eastAsia="宋体" w:cs="宋体"/>
                      <w:color w:val="000000"/>
                      <w:kern w:val="0"/>
                      <w:sz w:val="24"/>
                      <w:shd w:val="clear" w:color="auto" w:fill="FFFFFF"/>
                    </w:rPr>
                    <m:t>E</m:t>
                  </m:r>
                  <m:ctrlPr>
                    <w:rPr>
                      <w:rFonts w:hint="eastAsia" w:ascii="Cambria Math" w:hAnsi="Cambria Math" w:eastAsia="宋体" w:cs="宋体"/>
                      <w:color w:val="000000"/>
                      <w:kern w:val="0"/>
                      <w:sz w:val="24"/>
                      <w:shd w:val="clear" w:color="auto" w:fill="FFFFFF"/>
                    </w:rPr>
                  </m:ctrlPr>
                </m:den>
              </m:f>
              <m:ctrlPr>
                <w:rPr>
                  <w:rFonts w:hint="eastAsia" w:ascii="Cambria Math" w:hAnsi="Cambria Math" w:eastAsia="宋体" w:cs="宋体"/>
                  <w:color w:val="000000"/>
                  <w:kern w:val="0"/>
                  <w:sz w:val="24"/>
                  <w:shd w:val="clear" w:color="auto" w:fill="FFFFFF"/>
                </w:rPr>
              </m:ctrlPr>
            </m:e>
          </m:d>
        </m:oMath>
      </m:oMathPara>
    </w:p>
    <w:p w14:paraId="633BC317">
      <w:pPr>
        <w:adjustRightInd w:val="0"/>
        <w:snapToGrid w:val="0"/>
        <w:spacing w:line="440" w:lineRule="atLeast"/>
        <w:ind w:firstLine="480" w:firstLineChars="200"/>
        <w:rPr>
          <w:rFonts w:ascii="宋体" w:hAnsi="宋体" w:eastAsia="宋体" w:cs="宋体"/>
          <w:color w:val="000000"/>
          <w:kern w:val="0"/>
          <w:sz w:val="24"/>
          <w:shd w:val="clear" w:color="auto" w:fill="FFFFFF"/>
        </w:rPr>
      </w:pPr>
      <m:oMath>
        <m:sSub>
          <m:sSubPr>
            <m:ctrlPr>
              <w:rPr>
                <w:rFonts w:hint="eastAsia" w:ascii="Cambria Math" w:hAnsi="Cambria Math" w:eastAsia="宋体" w:cs="宋体"/>
                <w:color w:val="000000"/>
                <w:kern w:val="0"/>
                <w:sz w:val="24"/>
                <w:shd w:val="clear" w:color="auto" w:fill="FFFFFF"/>
              </w:rPr>
            </m:ctrlPr>
          </m:sSubPr>
          <m:e>
            <m:r>
              <m:rPr>
                <m:sty m:val="p"/>
              </m:rPr>
              <w:rPr>
                <w:rFonts w:hint="eastAsia" w:ascii="Cambria Math" w:hAnsi="Cambria Math" w:eastAsia="宋体" w:cs="宋体"/>
                <w:color w:val="000000"/>
                <w:kern w:val="0"/>
                <w:sz w:val="24"/>
                <w:shd w:val="clear" w:color="auto" w:fill="FFFFFF"/>
              </w:rPr>
              <m:t>β</m:t>
            </m:r>
            <m:ctrlPr>
              <w:rPr>
                <w:rFonts w:hint="eastAsia" w:ascii="Cambria Math" w:hAnsi="Cambria Math" w:eastAsia="宋体" w:cs="宋体"/>
                <w:color w:val="000000"/>
                <w:kern w:val="0"/>
                <w:sz w:val="24"/>
                <w:shd w:val="clear" w:color="auto" w:fill="FFFFFF"/>
              </w:rPr>
            </m:ctrlPr>
          </m:e>
          <m:sub>
            <m:r>
              <m:rPr>
                <m:sty m:val="p"/>
              </m:rPr>
              <w:rPr>
                <w:rFonts w:hint="eastAsia" w:ascii="Cambria Math" w:hAnsi="Cambria Math" w:eastAsia="宋体" w:cs="宋体"/>
                <w:color w:val="000000"/>
                <w:kern w:val="0"/>
                <w:sz w:val="24"/>
                <w:shd w:val="clear" w:color="auto" w:fill="FFFFFF"/>
              </w:rPr>
              <m:t>U</m:t>
            </m:r>
            <m:ctrlPr>
              <w:rPr>
                <w:rFonts w:hint="eastAsia" w:ascii="Cambria Math" w:hAnsi="Cambria Math" w:eastAsia="宋体" w:cs="宋体"/>
                <w:color w:val="000000"/>
                <w:kern w:val="0"/>
                <w:sz w:val="24"/>
                <w:shd w:val="clear" w:color="auto" w:fill="FFFFFF"/>
              </w:rPr>
            </m:ctrlPr>
          </m:sub>
        </m:sSub>
      </m:oMath>
      <w:r>
        <w:rPr>
          <w:rFonts w:hint="eastAsia" w:ascii="宋体" w:hAnsi="宋体" w:eastAsia="宋体" w:cs="宋体"/>
          <w:color w:val="000000"/>
          <w:kern w:val="0"/>
          <w:sz w:val="24"/>
          <w:shd w:val="clear" w:color="auto" w:fill="FFFFFF"/>
        </w:rPr>
        <w:t>表示无财务杠杆的β系数，</w:t>
      </w:r>
      <m:oMath>
        <m:sSub>
          <m:sSubPr>
            <m:ctrlPr>
              <w:rPr>
                <w:rFonts w:hint="eastAsia" w:ascii="Cambria Math" w:hAnsi="Cambria Math" w:eastAsia="宋体" w:cs="宋体"/>
                <w:color w:val="000000"/>
                <w:kern w:val="0"/>
                <w:sz w:val="24"/>
                <w:shd w:val="clear" w:color="auto" w:fill="FFFFFF"/>
              </w:rPr>
            </m:ctrlPr>
          </m:sSubPr>
          <m:e>
            <m:r>
              <m:rPr>
                <m:sty m:val="p"/>
              </m:rPr>
              <w:rPr>
                <w:rFonts w:hint="eastAsia" w:ascii="Cambria Math" w:hAnsi="Cambria Math" w:eastAsia="宋体" w:cs="宋体"/>
                <w:color w:val="000000"/>
                <w:kern w:val="0"/>
                <w:sz w:val="24"/>
                <w:shd w:val="clear" w:color="auto" w:fill="FFFFFF"/>
              </w:rPr>
              <m:t>β</m:t>
            </m:r>
            <m:ctrlPr>
              <w:rPr>
                <w:rFonts w:hint="eastAsia" w:ascii="Cambria Math" w:hAnsi="Cambria Math" w:eastAsia="宋体" w:cs="宋体"/>
                <w:color w:val="000000"/>
                <w:kern w:val="0"/>
                <w:sz w:val="24"/>
                <w:shd w:val="clear" w:color="auto" w:fill="FFFFFF"/>
              </w:rPr>
            </m:ctrlPr>
          </m:e>
          <m:sub>
            <m:r>
              <m:rPr>
                <m:sty m:val="p"/>
              </m:rPr>
              <w:rPr>
                <w:rFonts w:hint="eastAsia" w:ascii="Cambria Math" w:hAnsi="Cambria Math" w:eastAsia="宋体" w:cs="宋体"/>
                <w:color w:val="000000"/>
                <w:kern w:val="0"/>
                <w:sz w:val="24"/>
                <w:shd w:val="clear" w:color="auto" w:fill="FFFFFF"/>
              </w:rPr>
              <m:t>L</m:t>
            </m:r>
            <m:ctrlPr>
              <w:rPr>
                <w:rFonts w:hint="eastAsia" w:ascii="Cambria Math" w:hAnsi="Cambria Math" w:eastAsia="宋体" w:cs="宋体"/>
                <w:color w:val="000000"/>
                <w:kern w:val="0"/>
                <w:sz w:val="24"/>
                <w:shd w:val="clear" w:color="auto" w:fill="FFFFFF"/>
              </w:rPr>
            </m:ctrlPr>
          </m:sub>
        </m:sSub>
      </m:oMath>
      <w:r>
        <w:rPr>
          <w:rFonts w:hint="eastAsia" w:ascii="宋体" w:hAnsi="宋体" w:eastAsia="宋体" w:cs="宋体"/>
          <w:color w:val="000000"/>
          <w:kern w:val="0"/>
          <w:sz w:val="24"/>
          <w:shd w:val="clear" w:color="auto" w:fill="FFFFFF"/>
        </w:rPr>
        <w:t>表示包含财务杠杆的β系数，T表示所得税税率，D表示债权价值，E表示股权价值。</w:t>
      </w:r>
    </w:p>
    <w:p w14:paraId="510836E6">
      <w:pPr>
        <w:adjustRightInd w:val="0"/>
        <w:snapToGrid w:val="0"/>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第十八条</w:t>
      </w:r>
      <w:r>
        <w:rPr>
          <w:rFonts w:hint="eastAsia" w:ascii="宋体" w:hAnsi="宋体" w:eastAsia="宋体" w:cs="宋体"/>
          <w:color w:val="000000"/>
          <w:kern w:val="0"/>
          <w:sz w:val="24"/>
          <w:shd w:val="clear" w:color="auto" w:fill="FFFFFF"/>
        </w:rPr>
        <w:t>　被评估企业适用的资本结构一般可以通过下列几种途径确定：</w:t>
      </w:r>
    </w:p>
    <w:p w14:paraId="202DFB50">
      <w:pPr>
        <w:adjustRightInd w:val="0"/>
        <w:snapToGrid w:val="0"/>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（一）采用被评估企业评估基准日的真实资本结构，前提是企业发展趋于稳定；</w:t>
      </w:r>
    </w:p>
    <w:p w14:paraId="347516A9">
      <w:pPr>
        <w:adjustRightInd w:val="0"/>
        <w:snapToGrid w:val="0"/>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（二）采用目标资本结构，取值可以参考可比公司或者行业资本结构水平，并分析企业真实资本结构与目标资本结构的差异及其对债权期望报酬率、股权期望报酬率的影响，考虑是否需要采取过渡性调整等措施。</w:t>
      </w:r>
    </w:p>
    <w:p w14:paraId="2415E312">
      <w:pPr>
        <w:adjustRightInd w:val="0"/>
        <w:snapToGrid w:val="0"/>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第十九条</w:t>
      </w:r>
      <w:r>
        <w:rPr>
          <w:rFonts w:hint="eastAsia" w:ascii="宋体" w:hAnsi="宋体" w:eastAsia="宋体" w:cs="宋体"/>
          <w:color w:val="000000"/>
          <w:kern w:val="0"/>
          <w:sz w:val="24"/>
          <w:shd w:val="clear" w:color="auto" w:fill="FFFFFF"/>
        </w:rPr>
        <w:t>　评估专业人员在选择可比公司时，一般需要综合考虑可比公司与被评估企业在业务类型、企业规模、盈利能力、成长性、行业竞争力、企业发展阶段等多方面的可比性。</w:t>
      </w:r>
    </w:p>
    <w:p w14:paraId="6004F2A1">
      <w:pPr>
        <w:adjustRightInd w:val="0"/>
        <w:snapToGrid w:val="0"/>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第二十条</w:t>
      </w:r>
      <w:r>
        <w:rPr>
          <w:rFonts w:hint="eastAsia" w:ascii="宋体" w:hAnsi="宋体" w:eastAsia="宋体" w:cs="宋体"/>
          <w:color w:val="000000"/>
          <w:kern w:val="0"/>
          <w:sz w:val="24"/>
          <w:shd w:val="clear" w:color="auto" w:fill="FFFFFF"/>
        </w:rPr>
        <w:t>　可比上市公司的</w:t>
      </w:r>
      <w:bookmarkStart w:id="242" w:name="_Hlk58853979"/>
      <w:r>
        <w:rPr>
          <w:rFonts w:hint="eastAsia" w:ascii="宋体" w:hAnsi="宋体" w:eastAsia="宋体" w:cs="宋体"/>
          <w:color w:val="000000"/>
          <w:kern w:val="0"/>
          <w:sz w:val="24"/>
          <w:shd w:val="clear" w:color="auto" w:fill="FFFFFF"/>
        </w:rPr>
        <w:t>β系数</w:t>
      </w:r>
      <w:bookmarkEnd w:id="242"/>
      <w:r>
        <w:rPr>
          <w:rFonts w:hint="eastAsia" w:ascii="宋体" w:hAnsi="宋体" w:eastAsia="宋体" w:cs="宋体"/>
          <w:color w:val="000000"/>
          <w:kern w:val="0"/>
          <w:sz w:val="24"/>
          <w:shd w:val="clear" w:color="auto" w:fill="FFFFFF"/>
        </w:rPr>
        <w:t>可以通过回归方法计算得到，也可以从相关数据平台查询获取。</w:t>
      </w:r>
    </w:p>
    <w:p w14:paraId="56455096">
      <w:pPr>
        <w:adjustRightInd w:val="0"/>
        <w:snapToGrid w:val="0"/>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第二十一条</w:t>
      </w:r>
      <w:r>
        <w:rPr>
          <w:rFonts w:hint="eastAsia" w:ascii="宋体" w:hAnsi="宋体" w:eastAsia="宋体" w:cs="宋体"/>
          <w:color w:val="000000"/>
          <w:kern w:val="0"/>
          <w:sz w:val="24"/>
          <w:shd w:val="clear" w:color="auto" w:fill="FFFFFF"/>
        </w:rPr>
        <w:t>　可比上市公司的β系数计算或查询结果与证券市场指数的选择密切相关，评估专业人员应当合理选择证券市场指数，并关注其与市场风险溢价的匹配性。</w:t>
      </w:r>
    </w:p>
    <w:p w14:paraId="78C6DF9B">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第六章　其他参数</w:t>
      </w:r>
    </w:p>
    <w:p w14:paraId="4B38E421">
      <w:pPr>
        <w:adjustRightInd w:val="0"/>
        <w:snapToGrid w:val="0"/>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第二十二条</w:t>
      </w:r>
      <w:r>
        <w:rPr>
          <w:rFonts w:hint="eastAsia" w:ascii="宋体" w:hAnsi="宋体" w:eastAsia="宋体" w:cs="宋体"/>
          <w:color w:val="000000"/>
          <w:kern w:val="0"/>
          <w:sz w:val="24"/>
          <w:shd w:val="clear" w:color="auto" w:fill="FFFFFF"/>
        </w:rPr>
        <w:t>　特定风险报酬率</w:t>
      </w:r>
      <m:oMath>
        <m:r>
          <m:rPr>
            <m:sty m:val="p"/>
          </m:rPr>
          <w:rPr>
            <w:rFonts w:hint="eastAsia" w:ascii="Cambria Math" w:hAnsi="Cambria Math" w:eastAsia="宋体" w:cs="宋体"/>
            <w:color w:val="000000"/>
            <w:kern w:val="0"/>
            <w:sz w:val="24"/>
            <w:shd w:val="clear" w:color="auto" w:fill="FFFFFF"/>
          </w:rPr>
          <m:t>ε</m:t>
        </m:r>
      </m:oMath>
      <w:r>
        <w:rPr>
          <w:rFonts w:hint="eastAsia" w:ascii="宋体" w:hAnsi="宋体" w:eastAsia="宋体" w:cs="宋体"/>
          <w:color w:val="000000"/>
          <w:kern w:val="0"/>
          <w:sz w:val="24"/>
          <w:shd w:val="clear" w:color="auto" w:fill="FFFFFF"/>
        </w:rPr>
        <w:t>表示被评估企业自身特定因素导致的非系统性风险的报酬率。</w:t>
      </w:r>
    </w:p>
    <w:p w14:paraId="0DC6E650">
      <w:pPr>
        <w:adjustRightInd w:val="0"/>
        <w:snapToGrid w:val="0"/>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第二十三条</w:t>
      </w:r>
      <w:r>
        <w:rPr>
          <w:rFonts w:hint="eastAsia" w:ascii="宋体" w:hAnsi="宋体" w:eastAsia="宋体" w:cs="宋体"/>
          <w:color w:val="000000"/>
          <w:kern w:val="0"/>
          <w:sz w:val="24"/>
          <w:shd w:val="clear" w:color="auto" w:fill="FFFFFF"/>
        </w:rPr>
        <w:t>　特定风险报酬率一般可以通过下列几种方法确定：</w:t>
      </w:r>
    </w:p>
    <w:p w14:paraId="60591019">
      <w:pPr>
        <w:adjustRightInd w:val="0"/>
        <w:snapToGrid w:val="0"/>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（一）通过多因素回归分析等数理统计方法计算得到；</w:t>
      </w:r>
    </w:p>
    <w:p w14:paraId="0C250F85">
      <w:pPr>
        <w:adjustRightInd w:val="0"/>
        <w:snapToGrid w:val="0"/>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将特定风险报酬率拆分为规模溢价和其他特定风险溢价。规模溢价可以利用资本市场数据通过统计分析得到，也可以参考相关专家学者或者专业机构研究发布的数据；其他特定风险溢价一般可以通过经验判断分析确定；</w:t>
      </w:r>
    </w:p>
    <w:p w14:paraId="3FD3A265">
      <w:pPr>
        <w:adjustRightInd w:val="0"/>
        <w:snapToGrid w:val="0"/>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（三）在对企业的规模、核心竞争力、对大客户和关键供应商的依赖等因素进行综合分析的基础上，根据经验判断确定。</w:t>
      </w:r>
    </w:p>
    <w:p w14:paraId="68C8CAF4">
      <w:pPr>
        <w:adjustRightInd w:val="0"/>
        <w:snapToGrid w:val="0"/>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第二十四条</w:t>
      </w:r>
      <w:r>
        <w:rPr>
          <w:rFonts w:hint="eastAsia" w:ascii="宋体" w:hAnsi="宋体" w:eastAsia="宋体" w:cs="宋体"/>
          <w:color w:val="000000"/>
          <w:kern w:val="0"/>
          <w:sz w:val="24"/>
          <w:shd w:val="clear" w:color="auto" w:fill="FFFFFF"/>
        </w:rPr>
        <w:t>　债权期望报酬率是企业债务融资的资本成本，一般可以通过下列几种途径确定：</w:t>
      </w:r>
    </w:p>
    <w:p w14:paraId="0D967531">
      <w:pPr>
        <w:adjustRightInd w:val="0"/>
        <w:snapToGrid w:val="0"/>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（一）以全国银行间同业拆借中心公布的贷款市场报价利率（LPR）为基础调整得到；</w:t>
      </w:r>
    </w:p>
    <w:p w14:paraId="348A00D9">
      <w:pPr>
        <w:adjustRightInd w:val="0"/>
        <w:snapToGrid w:val="0"/>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（二）采用企业债务的实际利率，前提是其利率水平与市场利率不存在较大偏差。</w:t>
      </w:r>
    </w:p>
    <w:p w14:paraId="29696406">
      <w:pPr>
        <w:adjustRightInd w:val="0"/>
        <w:snapToGrid w:val="0"/>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第二十五条</w:t>
      </w:r>
      <w:r>
        <w:rPr>
          <w:rFonts w:hint="eastAsia" w:ascii="宋体" w:hAnsi="宋体" w:eastAsia="宋体" w:cs="宋体"/>
          <w:color w:val="000000"/>
          <w:kern w:val="0"/>
          <w:sz w:val="24"/>
          <w:shd w:val="clear" w:color="auto" w:fill="FFFFFF"/>
        </w:rPr>
        <w:t>　折现率计算中采用的债权价值和股权价值为市场价值。　</w:t>
      </w:r>
    </w:p>
    <w:p w14:paraId="198AD75A">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第七章　披露要求</w:t>
      </w:r>
    </w:p>
    <w:p w14:paraId="0AA941CB">
      <w:pPr>
        <w:adjustRightInd w:val="0"/>
        <w:snapToGrid w:val="0"/>
        <w:spacing w:line="440" w:lineRule="atLeast"/>
        <w:ind w:firstLine="482" w:firstLineChars="200"/>
        <w:jc w:val="left"/>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第二十六条</w:t>
      </w:r>
      <w:r>
        <w:rPr>
          <w:rFonts w:hint="eastAsia" w:ascii="宋体" w:hAnsi="宋体" w:eastAsia="宋体" w:cs="宋体"/>
          <w:color w:val="000000"/>
          <w:kern w:val="0"/>
          <w:sz w:val="24"/>
          <w:shd w:val="clear" w:color="auto" w:fill="FFFFFF"/>
        </w:rPr>
        <w:t>　资产评估报告中应当披露折现率计算</w:t>
      </w:r>
      <w:bookmarkStart w:id="243" w:name="_Hlk56168509"/>
      <w:r>
        <w:rPr>
          <w:rFonts w:hint="eastAsia" w:ascii="宋体" w:hAnsi="宋体" w:eastAsia="宋体" w:cs="宋体"/>
          <w:color w:val="000000"/>
          <w:kern w:val="0"/>
          <w:sz w:val="24"/>
          <w:shd w:val="clear" w:color="auto" w:fill="FFFFFF"/>
        </w:rPr>
        <w:t>采用的模型及各参数</w:t>
      </w:r>
      <w:bookmarkEnd w:id="243"/>
      <w:r>
        <w:rPr>
          <w:rFonts w:hint="eastAsia" w:ascii="宋体" w:hAnsi="宋体" w:eastAsia="宋体" w:cs="宋体"/>
          <w:color w:val="000000"/>
          <w:kern w:val="0"/>
          <w:sz w:val="24"/>
          <w:shd w:val="clear" w:color="auto" w:fill="FFFFFF"/>
        </w:rPr>
        <w:t>的确定方法。</w:t>
      </w:r>
    </w:p>
    <w:p w14:paraId="4A72B904">
      <w:pPr>
        <w:adjustRightInd w:val="0"/>
        <w:snapToGrid w:val="0"/>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第二十七条</w:t>
      </w:r>
      <w:r>
        <w:rPr>
          <w:rFonts w:hint="eastAsia" w:ascii="宋体" w:hAnsi="宋体" w:eastAsia="宋体" w:cs="宋体"/>
          <w:color w:val="000000"/>
          <w:kern w:val="0"/>
          <w:sz w:val="24"/>
          <w:shd w:val="clear" w:color="auto" w:fill="FFFFFF"/>
        </w:rPr>
        <w:t>　引用相关专家学者、专业机构或者数据平台发布的数据作为参数值的，资产评估报告中应当披露数据来源。</w:t>
      </w:r>
    </w:p>
    <w:p w14:paraId="2842A249">
      <w:pPr>
        <w:adjustRightInd w:val="0"/>
        <w:snapToGrid w:val="0"/>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引用的参数应当能够通过评估档案追溯其数据来源及查询方法。</w:t>
      </w:r>
    </w:p>
    <w:p w14:paraId="28476E0C">
      <w:pPr>
        <w:adjustRightInd w:val="0"/>
        <w:snapToGrid w:val="0"/>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第二十八条</w:t>
      </w:r>
      <w:r>
        <w:rPr>
          <w:rFonts w:hint="eastAsia" w:ascii="宋体" w:hAnsi="宋体" w:eastAsia="宋体" w:cs="宋体"/>
          <w:color w:val="000000"/>
          <w:kern w:val="0"/>
          <w:sz w:val="24"/>
          <w:shd w:val="clear" w:color="auto" w:fill="FFFFFF"/>
        </w:rPr>
        <w:t>　通过市场公开数据计算得到市场风险溢价、β系数、规模溢价等参数值的，资产评估报告中应当披露计算方法。</w:t>
      </w:r>
    </w:p>
    <w:p w14:paraId="3ADBBAA2">
      <w:pPr>
        <w:adjustRightInd w:val="0"/>
        <w:snapToGrid w:val="0"/>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计算的参数应当能够通过评估档案复核其计算结果。</w:t>
      </w:r>
    </w:p>
    <w:p w14:paraId="598F16B3">
      <w:pPr>
        <w:adjustRightInd w:val="0"/>
        <w:snapToGrid w:val="0"/>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第二十九条</w:t>
      </w:r>
      <w:r>
        <w:rPr>
          <w:rFonts w:hint="eastAsia" w:ascii="宋体" w:hAnsi="宋体" w:eastAsia="宋体" w:cs="宋体"/>
          <w:color w:val="000000"/>
          <w:kern w:val="0"/>
          <w:sz w:val="24"/>
          <w:shd w:val="clear" w:color="auto" w:fill="FFFFFF"/>
        </w:rPr>
        <w:t>　通过经验判断等主观分析方法得到参数值的，资产评估报告中应当披露分析方法。</w:t>
      </w:r>
    </w:p>
    <w:p w14:paraId="73C3F826">
      <w:pPr>
        <w:adjustRightInd w:val="0"/>
        <w:snapToGrid w:val="0"/>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第三十条</w:t>
      </w:r>
      <w:r>
        <w:rPr>
          <w:rFonts w:hint="eastAsia" w:ascii="宋体" w:hAnsi="宋体" w:eastAsia="宋体" w:cs="宋体"/>
          <w:color w:val="000000"/>
          <w:kern w:val="0"/>
          <w:sz w:val="24"/>
          <w:shd w:val="clear" w:color="auto" w:fill="FFFFFF"/>
        </w:rPr>
        <w:t>　对存在不确定性因素的参数，资产评估专业人员可以通过敏感性分析等方法分析其对评估结论的影响，并在资产评估报告中予以披露。</w:t>
      </w:r>
    </w:p>
    <w:p w14:paraId="4D950A61">
      <w:pPr>
        <w:pStyle w:val="2"/>
        <w:rPr>
          <w:rFonts w:ascii="宋体" w:hAnsi="宋体" w:eastAsia="宋体" w:cs="宋体"/>
          <w:shd w:val="clear" w:color="auto" w:fill="FFFFFF"/>
        </w:rPr>
      </w:pPr>
    </w:p>
    <w:p w14:paraId="1B665A3D">
      <w:pPr>
        <w:pStyle w:val="2"/>
        <w:rPr>
          <w:rFonts w:ascii="宋体" w:hAnsi="宋体" w:eastAsia="宋体" w:cs="宋体"/>
          <w:shd w:val="clear" w:color="auto" w:fill="FFFFFF"/>
        </w:rPr>
      </w:pPr>
    </w:p>
    <w:p w14:paraId="30916444">
      <w:pPr>
        <w:spacing w:line="560" w:lineRule="exact"/>
        <w:jc w:val="center"/>
        <w:rPr>
          <w:rFonts w:ascii="宋体" w:hAnsi="宋体" w:eastAsia="宋体" w:cs="宋体"/>
          <w:color w:val="000000"/>
          <w:kern w:val="0"/>
          <w:sz w:val="24"/>
          <w:shd w:val="clear" w:color="auto" w:fill="FFFFFF"/>
        </w:rPr>
      </w:pPr>
    </w:p>
    <w:p w14:paraId="440506ED">
      <w:pPr>
        <w:pStyle w:val="5"/>
        <w:spacing w:line="440" w:lineRule="atLeast"/>
        <w:jc w:val="center"/>
        <w:rPr>
          <w:rFonts w:ascii="宋体" w:hAnsi="宋体" w:eastAsia="宋体" w:cs="宋体"/>
        </w:rPr>
      </w:pPr>
      <w:bookmarkStart w:id="244" w:name="_Toc4231"/>
      <w:r>
        <w:rPr>
          <w:rFonts w:hint="eastAsia" w:ascii="宋体" w:hAnsi="宋体" w:eastAsia="宋体" w:cs="宋体"/>
        </w:rPr>
        <w:t>资产评估专家指引第13号——境外并购资产评估</w:t>
      </w:r>
      <w:bookmarkEnd w:id="244"/>
    </w:p>
    <w:p w14:paraId="2E68953B">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本专家指引是一种专家建议。资产评估机构执行资产评估业务，可以参照本专家指引。中国资产评估协会将根据业务发展，对本专家指引进行更新。</w:t>
      </w:r>
    </w:p>
    <w:p w14:paraId="0CB0C0F2">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第一章　引言</w:t>
      </w:r>
    </w:p>
    <w:p w14:paraId="73271474">
      <w:pPr>
        <w:spacing w:line="560" w:lineRule="exac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第一条　</w:t>
      </w:r>
      <w:r>
        <w:rPr>
          <w:rFonts w:hint="eastAsia" w:ascii="宋体" w:hAnsi="宋体" w:eastAsia="宋体" w:cs="宋体"/>
          <w:color w:val="000000"/>
          <w:kern w:val="0"/>
          <w:sz w:val="24"/>
          <w:shd w:val="clear" w:color="auto" w:fill="FFFFFF"/>
        </w:rPr>
        <w:t>为指导资产评估机构及其资产评估专业人员执行境外并购资产评估业务，中国资产评估协会总结资产评估行业境外并购资产评估实践经验，制定了本专家指引。</w:t>
      </w:r>
    </w:p>
    <w:p w14:paraId="3CE21642">
      <w:pPr>
        <w:spacing w:line="560" w:lineRule="exac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第二条</w:t>
      </w:r>
      <w:r>
        <w:rPr>
          <w:rFonts w:hint="eastAsia" w:ascii="宋体" w:hAnsi="宋体" w:eastAsia="宋体" w:cs="宋体"/>
          <w:color w:val="000000"/>
          <w:kern w:val="0"/>
          <w:sz w:val="24"/>
          <w:shd w:val="clear" w:color="auto" w:fill="FFFFFF"/>
        </w:rPr>
        <w:t>　本专家指引所称境外并购，是指境内企业合并和收购境外企业股权或者资产的简称。合并是指两家或者两家以上的独立企业通过股权合并形成一家企业。合并方式分为吸收合并和新设合并。收购是指一家企业通过现金、股份支付等方式，取得另一家企业的股权或者资产。</w:t>
      </w:r>
    </w:p>
    <w:p w14:paraId="6D8B5278">
      <w:pPr>
        <w:spacing w:line="560" w:lineRule="exac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第三条</w:t>
      </w:r>
      <w:r>
        <w:rPr>
          <w:rFonts w:hint="eastAsia" w:ascii="宋体" w:hAnsi="宋体" w:eastAsia="宋体" w:cs="宋体"/>
          <w:color w:val="000000"/>
          <w:kern w:val="0"/>
          <w:sz w:val="24"/>
          <w:shd w:val="clear" w:color="auto" w:fill="FFFFFF"/>
        </w:rPr>
        <w:t>　本专家指引所称境外并购资产评估，是指资产评估机构及其资产评估专业人员遵守中国相关法律、行政法规和资产评估准则，根据委托对评估基准日特定目的下的境外并购标的资产价值进行评定、估算，并出具资产评估报告的专业服务行为。</w:t>
      </w:r>
    </w:p>
    <w:p w14:paraId="17D8ADC6">
      <w:pPr>
        <w:spacing w:line="560" w:lineRule="exac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第四条</w:t>
      </w:r>
      <w:r>
        <w:rPr>
          <w:rFonts w:hint="eastAsia" w:ascii="宋体" w:hAnsi="宋体" w:eastAsia="宋体" w:cs="宋体"/>
          <w:color w:val="000000"/>
          <w:kern w:val="0"/>
          <w:sz w:val="24"/>
          <w:shd w:val="clear" w:color="auto" w:fill="FFFFFF"/>
        </w:rPr>
        <w:t>　</w:t>
      </w:r>
      <w:r>
        <w:rPr>
          <w:rFonts w:hint="eastAsia"/>
          <w:sz w:val="24"/>
        </w:rPr>
        <w:t>本专家指引适用于资产评估机构及其资产评估专业人员执行境外并购资产评估业务，按照《资产评估执业准则——资产评估报告》编制出具资产评估报告的情形。</w:t>
      </w:r>
    </w:p>
    <w:p w14:paraId="6089DA3B">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第二章　基本遵循</w:t>
      </w:r>
    </w:p>
    <w:p w14:paraId="37F1DC8C">
      <w:pPr>
        <w:spacing w:line="560" w:lineRule="exac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第五条</w:t>
      </w:r>
      <w:r>
        <w:rPr>
          <w:rFonts w:hint="eastAsia" w:ascii="宋体" w:hAnsi="宋体" w:eastAsia="宋体" w:cs="宋体"/>
          <w:color w:val="000000"/>
          <w:kern w:val="0"/>
          <w:sz w:val="24"/>
          <w:shd w:val="clear" w:color="auto" w:fill="FFFFFF"/>
        </w:rPr>
        <w:t>　资产评估机构及其资产评估专业人员执行境外并购资产评估业务，应当遵守中国和标的资产所在国家或者地区相关法律、行政法规，了解与境外并购经济行为相关的境内外相关法律、行政法规的鼓励、限制和禁止情况，特别关注国有资产、证券、反垄断、国家安全等境内外监管审查要求。</w:t>
      </w:r>
    </w:p>
    <w:p w14:paraId="3A7FA7EE">
      <w:pPr>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第六条</w:t>
      </w:r>
      <w:r>
        <w:rPr>
          <w:rFonts w:hint="eastAsia" w:ascii="宋体" w:hAnsi="宋体" w:eastAsia="宋体" w:cs="宋体"/>
          <w:color w:val="000000"/>
          <w:kern w:val="0"/>
          <w:sz w:val="24"/>
          <w:shd w:val="clear" w:color="auto" w:fill="FFFFFF"/>
        </w:rPr>
        <w:t>　资产评估机构及其资产评估专业人员执行境外并购资产评估业务，应当勤勉尽责、保持应有的职业谨慎，恪守独立、客观、公正的原则，同时应当遵守保密原则，对评估活动中知悉的国家秘密、工作信息、商业秘密、个人隐私和个人信息予以保密，不得在保密期限内向委托人以外的第三方提供保密信息，除非得到委托人的同意或者属于法律、行政法规允许的范围。</w:t>
      </w:r>
    </w:p>
    <w:p w14:paraId="12E15CF8">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境外并购经济行为涉及国家秘密的，资产评估机构及其资产评估专业人员应当严格遵守《中华人民共和国保守国家秘密法》，保守国家秘密，维护国家安全和利益。</w:t>
      </w:r>
    </w:p>
    <w:p w14:paraId="007147C6">
      <w:pPr>
        <w:spacing w:line="560" w:lineRule="exac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第七条</w:t>
      </w:r>
      <w:r>
        <w:rPr>
          <w:rFonts w:hint="eastAsia" w:ascii="宋体" w:hAnsi="宋体" w:eastAsia="宋体" w:cs="宋体"/>
          <w:color w:val="000000"/>
          <w:kern w:val="0"/>
          <w:sz w:val="24"/>
          <w:shd w:val="clear" w:color="auto" w:fill="FFFFFF"/>
        </w:rPr>
        <w:t>　资产评估专业人员应当具备境外并购资产评估的专业知识和实践经验，能够胜任所执行的境外并购资产评估业务。</w:t>
      </w:r>
    </w:p>
    <w:p w14:paraId="2DEB35CD">
      <w:pPr>
        <w:spacing w:line="560" w:lineRule="exac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资产评估专业人员缺乏标的资产所在国家或者地区的某项特定专业知识和经验时，应当采取弥补措施，包括利用专家工作及相关报告等。</w:t>
      </w:r>
    </w:p>
    <w:p w14:paraId="0887A005">
      <w:pPr>
        <w:spacing w:line="560" w:lineRule="exac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资产评估专业人员通常需要具备必要的外语能力，也可以聘请外语翻译人员协助开展境外并购资产评估业务。聘请外语翻译人员时，资产评估专业人员需要对外语翻译人员的外语能力、专业知识水平、保密意识等进行综合分析评判，必要时应当对外语翻译人员就资产评估专业知识、保密意识进行适当培训，以保证其能够胜任资产评估相关外语翻译工作，符合保密要求。</w:t>
      </w:r>
    </w:p>
    <w:p w14:paraId="2CE81AA7">
      <w:pPr>
        <w:spacing w:line="560" w:lineRule="exac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资产评估专业人员查阅外文资产评估资料时，可以借助外语翻译软件获取信息，对于外文资产评估资料中的重要内容，可以向委托人或者其他相关当事人进行确认。</w:t>
      </w:r>
    </w:p>
    <w:p w14:paraId="1C617C33">
      <w:pPr>
        <w:spacing w:line="560" w:lineRule="exac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第八条</w:t>
      </w:r>
      <w:r>
        <w:rPr>
          <w:rFonts w:hint="eastAsia" w:ascii="宋体" w:hAnsi="宋体" w:eastAsia="宋体" w:cs="宋体"/>
          <w:color w:val="000000"/>
          <w:kern w:val="0"/>
          <w:sz w:val="24"/>
          <w:shd w:val="clear" w:color="auto" w:fill="FFFFFF"/>
        </w:rPr>
        <w:t>　资产评估机构及其资产评估专业人员执行境外并购资产评估业务，应当根据评估目的，明确评估对象，合理使用评估假设，选择适当的价值类型，恰当运用评估方法，履行必要评估程序，形成评估结论。</w:t>
      </w:r>
    </w:p>
    <w:p w14:paraId="5B45A07B">
      <w:pPr>
        <w:spacing w:line="560" w:lineRule="exac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第九条</w:t>
      </w:r>
      <w:r>
        <w:rPr>
          <w:rFonts w:hint="eastAsia" w:ascii="宋体" w:hAnsi="宋体" w:eastAsia="宋体" w:cs="宋体"/>
          <w:color w:val="000000"/>
          <w:kern w:val="0"/>
          <w:sz w:val="24"/>
          <w:shd w:val="clear" w:color="auto" w:fill="FFFFFF"/>
        </w:rPr>
        <w:t>　资产评估专业人员应当依法对境外并购资产评估业务活动中使用的资料进行核查验证。</w:t>
      </w:r>
    </w:p>
    <w:p w14:paraId="09ED7835">
      <w:pPr>
        <w:spacing w:line="560" w:lineRule="exac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核查验证对象可以是委托人或者其他相关当事人提供的资料，也可以是资产评估专业人员独立收集的资料。委托人或者其他相关当事人应当对其提供资料的真实性、完整性、合法性进行确认。资产评估专业人员独立收集的资料通常包括：相关国家或者地区政府部门、国际组织发布的经济和行业政策；金融机构、投资机构、交易市场、院校学者和专业机构发布的研究资料；行业协会和同行企业发布的行业信息、经营资料。</w:t>
      </w:r>
    </w:p>
    <w:p w14:paraId="73AC7B7D">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第三章　操作要求</w:t>
      </w:r>
    </w:p>
    <w:p w14:paraId="63DD318B">
      <w:pPr>
        <w:spacing w:line="560" w:lineRule="exac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第十条</w:t>
      </w:r>
      <w:r>
        <w:rPr>
          <w:rFonts w:hint="eastAsia" w:ascii="宋体" w:hAnsi="宋体" w:eastAsia="宋体" w:cs="宋体"/>
          <w:color w:val="000000"/>
          <w:kern w:val="0"/>
          <w:sz w:val="24"/>
          <w:shd w:val="clear" w:color="auto" w:fill="FFFFFF"/>
        </w:rPr>
        <w:t>　资产评估机构及其资产评估专业人员执行境外并购资产评估业务，应当关注境外并购的主要风险。主要风险包括政治风险、法律风险、财务风险、金融风险和整合风险等。</w:t>
      </w:r>
    </w:p>
    <w:p w14:paraId="7581C2B7">
      <w:pPr>
        <w:spacing w:line="560" w:lineRule="exac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（一）政治风险，是指因并购方与被并购方所在国家或者地区政治环境发生变化、政局不稳定、政策法规发生变化，给并购方带来经济损失的风险。</w:t>
      </w:r>
    </w:p>
    <w:p w14:paraId="2F49241E">
      <w:pPr>
        <w:spacing w:line="560" w:lineRule="exac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（二）法律风险，是指由于各国家或者地区法律制度的不同导致并购失败的风险，包括来自并购方所在国家或者地区的风险、被并购方所在国家或者地区的风险和国际方面的风险。</w:t>
      </w:r>
    </w:p>
    <w:p w14:paraId="146FA99A">
      <w:pPr>
        <w:spacing w:line="560" w:lineRule="exac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（三）财务风险，是指境外并购过程中，由于信息不对称、估值、支付、融资等引起的财务状况变化，进而可能导致所并购的资产实际价值低于预期价值的风险。</w:t>
      </w:r>
    </w:p>
    <w:p w14:paraId="4FEE9568">
      <w:pPr>
        <w:spacing w:line="560" w:lineRule="exac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（四）金融风险，是指境外并购过程中，汇率变动和通货膨胀引起的风险。</w:t>
      </w:r>
    </w:p>
    <w:p w14:paraId="66D7BE79">
      <w:pPr>
        <w:spacing w:line="560" w:lineRule="exac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整合风险，是指并购方在取得被并购方的控制权之后，不能很好地对被并购方进行整合，导致预期的经济效益不能实现甚至给并购方带来损失的风险。投资价值类型评估中通常需要考虑整合风险。关注整合风险时，需要对一般市场参与者和特定并购方存在的不同整合风险进行合理区分。</w:t>
      </w:r>
    </w:p>
    <w:p w14:paraId="4E5E3E64">
      <w:pPr>
        <w:spacing w:line="560" w:lineRule="exac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第十一条</w:t>
      </w:r>
      <w:r>
        <w:rPr>
          <w:rFonts w:hint="eastAsia" w:ascii="宋体" w:hAnsi="宋体" w:eastAsia="宋体" w:cs="宋体"/>
          <w:color w:val="000000"/>
          <w:kern w:val="0"/>
          <w:sz w:val="24"/>
          <w:shd w:val="clear" w:color="auto" w:fill="FFFFFF"/>
        </w:rPr>
        <w:t>　资产评估机构承接境外并购资产评估业务前，除明确《资产评估执业准则——资产评估程序》所列明的资产评估基本事项外，对于下列事项可以进行了解和关注：</w:t>
      </w:r>
    </w:p>
    <w:p w14:paraId="7609E036">
      <w:pPr>
        <w:spacing w:line="560" w:lineRule="exac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（一）境外并购经济行为是否属于相关法律、行政法规规定的鼓励、限制和禁止的情况，特别是涉及敏感行业、敏感技术以及敏感地域的并购经济行为。</w:t>
      </w:r>
    </w:p>
    <w:p w14:paraId="0D07A212">
      <w:pPr>
        <w:spacing w:line="560" w:lineRule="exac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（二）境外并购经济行为的境内外监管审查要求。境内外监管审查通常涉及国有资产、证券、反垄断、国家安全等内容。</w:t>
      </w:r>
    </w:p>
    <w:p w14:paraId="509AF09F">
      <w:pPr>
        <w:spacing w:line="560" w:lineRule="exac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（三）标的资产及其各组织成员所在国家或者地区的政治、经济、技术、社会文化等环境因素。</w:t>
      </w:r>
    </w:p>
    <w:p w14:paraId="3BD620DB">
      <w:pPr>
        <w:spacing w:line="560" w:lineRule="exac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（四）与标的资产经营情况、商业模式、行业及市场状况、资产及其权属状况等信息相关的境外并购方案、尽职调查报告、可行性研究报告等资料。</w:t>
      </w:r>
    </w:p>
    <w:p w14:paraId="5F556243">
      <w:pPr>
        <w:spacing w:line="560" w:lineRule="exac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（五）标的资产的组织架构、核心组织成员、核心资产、核心业务、分工协作方式、国际税收筹划方案等情况。</w:t>
      </w:r>
    </w:p>
    <w:p w14:paraId="58F7D109">
      <w:pPr>
        <w:spacing w:line="560" w:lineRule="exac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（六）资产评估专业人员和外语翻译人员的专业胜任能力。</w:t>
      </w:r>
    </w:p>
    <w:p w14:paraId="1A749510">
      <w:pPr>
        <w:spacing w:line="560" w:lineRule="exac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（七）专家工作范围及工作内容。</w:t>
      </w:r>
    </w:p>
    <w:p w14:paraId="0D3898EC">
      <w:pPr>
        <w:spacing w:line="560" w:lineRule="exac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（八）参与境外并购的其他中介机构的工作范围、工作内容和协作方式。</w:t>
      </w:r>
    </w:p>
    <w:p w14:paraId="066EC125">
      <w:pPr>
        <w:spacing w:line="560" w:lineRule="exac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第十二条</w:t>
      </w:r>
      <w:r>
        <w:rPr>
          <w:rFonts w:hint="eastAsia" w:ascii="宋体" w:hAnsi="宋体" w:eastAsia="宋体" w:cs="宋体"/>
          <w:color w:val="000000"/>
          <w:kern w:val="0"/>
          <w:sz w:val="24"/>
          <w:shd w:val="clear" w:color="auto" w:fill="FFFFFF"/>
        </w:rPr>
        <w:t>　资产评估机构受理境外并购资产评估业务，依法订立资产评估委托合同时，除应当遵守《资产评估执业准则——资产评估委托合同》外，也可以就下列事项在资产评估委托合同中予以明确：</w:t>
      </w:r>
    </w:p>
    <w:p w14:paraId="24BD3926">
      <w:pPr>
        <w:spacing w:line="560" w:lineRule="exac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（一）订立资产评估委托合同应当遵守中国相关法律、行政法规。</w:t>
      </w:r>
    </w:p>
    <w:p w14:paraId="462EC82C">
      <w:pPr>
        <w:spacing w:line="560" w:lineRule="exac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（二）资产评估工作语言和资产评估报告语言。</w:t>
      </w:r>
    </w:p>
    <w:p w14:paraId="48E8ECC2">
      <w:pPr>
        <w:spacing w:line="560" w:lineRule="exac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（三）中国相关法律、行政法规规定的资产评估报告使用范围。</w:t>
      </w:r>
    </w:p>
    <w:p w14:paraId="5EB65E00">
      <w:pPr>
        <w:spacing w:line="560" w:lineRule="exac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委托人或者其他相关当事人提供资产评估资料的形式，例如纸质文件、电子邮件、网络数据库等，以及资产评估专业人员的核查权限和保密事项。其中，核查权限通常可以就资产评估资料的核查人员、核查时限、复制等权限事项进行明确。</w:t>
      </w:r>
    </w:p>
    <w:p w14:paraId="33D0ABD4">
      <w:pPr>
        <w:spacing w:line="560" w:lineRule="exac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明确委托人或者其他相关当事人确认其提供的资产评估资料和其他重要资料的真实性、完整性、合法性的确认人和确认方式。确认人通常包括依照法律、管理制度确定的有权或者被授权的个人或者部门，确认方式通常包括签字、盖章或者其他具有法律效力的方式。</w:t>
      </w:r>
    </w:p>
    <w:p w14:paraId="30B2BFCB">
      <w:pPr>
        <w:spacing w:line="560" w:lineRule="exac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第十三条</w:t>
      </w:r>
      <w:r>
        <w:rPr>
          <w:rFonts w:hint="eastAsia" w:ascii="宋体" w:hAnsi="宋体" w:eastAsia="宋体" w:cs="宋体"/>
          <w:color w:val="000000"/>
          <w:kern w:val="0"/>
          <w:sz w:val="24"/>
          <w:shd w:val="clear" w:color="auto" w:fill="FFFFFF"/>
        </w:rPr>
        <w:t>　境外并购资产评估业务实施通常分为三个阶段，分别为境内前期准备阶段、境外现场核查阶段和境内后期工作阶段。</w:t>
      </w:r>
    </w:p>
    <w:p w14:paraId="2B67A572">
      <w:pPr>
        <w:spacing w:line="560" w:lineRule="exac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第十四条</w:t>
      </w:r>
      <w:r>
        <w:rPr>
          <w:rFonts w:hint="eastAsia" w:ascii="宋体" w:hAnsi="宋体" w:eastAsia="宋体" w:cs="宋体"/>
          <w:color w:val="000000"/>
          <w:kern w:val="0"/>
          <w:sz w:val="24"/>
          <w:shd w:val="clear" w:color="auto" w:fill="FFFFFF"/>
        </w:rPr>
        <w:t>　资产评估专业人员在境内前期准备阶段涉及的工作通常包括：</w:t>
      </w:r>
    </w:p>
    <w:p w14:paraId="6DC05497">
      <w:pPr>
        <w:spacing w:line="560" w:lineRule="exac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（一）组建资产评估业务团队，资产评估业务团队可以分为境外团队和境内团队。在境外团队实施境外现场核查时，境内团队主要协助境外团队整理、分析资产评估资料。</w:t>
      </w:r>
    </w:p>
    <w:p w14:paraId="75D1C05F">
      <w:pPr>
        <w:spacing w:line="560" w:lineRule="exac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与委托人或者其他相关当事人协商办理签证事宜。委托人或者其他相关当事人应当协助资产评估专业人员办理标的资产所在国家或者地区的合法有效签证，通常是指商务签证或者工作签证等。资产评估专业人员应当提醒委托人或者其他相关当事人如果未能办理合法有效签证，可能会导致无法或者不能完全实施核查验证程序。</w:t>
      </w:r>
    </w:p>
    <w:p w14:paraId="3CC55F38">
      <w:pPr>
        <w:spacing w:line="560" w:lineRule="exac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与委托人或者其他相关当事人充分沟通后，编制详细、可行的资产评估计划。资产评估计划中的境外现场核查阶段需要委托人或者相关当事人配合的事项可以分别采用中文和外文编写。编制资产评估计划需要合理考虑标的资产管理制度和工作制度，以及所在国家或者地区的社会文化环境。</w:t>
      </w:r>
    </w:p>
    <w:p w14:paraId="6EEC68AE">
      <w:pPr>
        <w:spacing w:line="560" w:lineRule="exac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（四）收集整理标的资产所在国家或者地区、行业和市场的资产评估相关资料。例如，可以通过商务部编制的《对外投资合作国别（地区）指南》、各国家或者地区政府门户网站等渠道收集整理相关资料。</w:t>
      </w:r>
    </w:p>
    <w:p w14:paraId="5211A4B3">
      <w:pPr>
        <w:spacing w:line="560" w:lineRule="exac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分析整理委托人或者其他相关当事人提供的标的资产相关资料，特别关注尽职调查报告中标的资产的法律、资产、业务、财务、税务、人力和技术等信息。资产评估专业人员可以基于已经获取的资料，初步构建评估模型。</w:t>
      </w:r>
    </w:p>
    <w:p w14:paraId="112B42D5">
      <w:pPr>
        <w:spacing w:line="560" w:lineRule="exac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（六）分别用中文和外文编制资产评估资料清单、访谈提纲、现场重点核查事宜清单等，其中访谈通常包括面谈、电话、视频、问卷或者电子邮件等方式。</w:t>
      </w:r>
    </w:p>
    <w:p w14:paraId="36E504DF">
      <w:pPr>
        <w:spacing w:line="560" w:lineRule="exac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（七）如果资产评估工作涉及利用专家工作及相关报告，需要明确专家工作范围和工作内容。</w:t>
      </w:r>
    </w:p>
    <w:p w14:paraId="3A410D4B">
      <w:pPr>
        <w:spacing w:line="560" w:lineRule="exac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（八）与参与境外并购的其他中介机构商议协作方式。</w:t>
      </w:r>
    </w:p>
    <w:p w14:paraId="01CB8F34">
      <w:pPr>
        <w:spacing w:line="560" w:lineRule="exac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第十五条</w:t>
      </w:r>
      <w:r>
        <w:rPr>
          <w:rFonts w:hint="eastAsia" w:ascii="宋体" w:hAnsi="宋体" w:eastAsia="宋体" w:cs="宋体"/>
          <w:color w:val="000000"/>
          <w:kern w:val="0"/>
          <w:sz w:val="24"/>
          <w:shd w:val="clear" w:color="auto" w:fill="FFFFFF"/>
        </w:rPr>
        <w:t>　资产评估专业人员在境外现场核查阶段涉及的工作通常包括：</w:t>
      </w:r>
    </w:p>
    <w:p w14:paraId="3BBE814D">
      <w:pPr>
        <w:pStyle w:val="9"/>
        <w:spacing w:line="560" w:lineRule="exact"/>
        <w:ind w:firstLine="480" w:firstLineChars="200"/>
        <w:rPr>
          <w:rFonts w:ascii="宋体" w:hAnsi="宋体" w:cs="宋体"/>
          <w:color w:val="000000"/>
          <w:kern w:val="0"/>
          <w:shd w:val="clear" w:color="auto" w:fill="FFFFFF"/>
        </w:rPr>
      </w:pPr>
      <w:r>
        <w:rPr>
          <w:rFonts w:hint="eastAsia" w:ascii="宋体" w:hAnsi="宋体" w:cs="宋体"/>
          <w:color w:val="000000"/>
          <w:kern w:val="0"/>
          <w:shd w:val="clear" w:color="auto" w:fill="FFFFFF"/>
        </w:rPr>
        <w:t>（一）与委托人或者其他相关当事人明确并落实资产评估计划，以及明确日常汇报、协调、反馈等工作沟通机制，落实责任人和责任部门。</w:t>
      </w:r>
    </w:p>
    <w:p w14:paraId="2E4FB8C3">
      <w:pPr>
        <w:spacing w:line="560" w:lineRule="exac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（二）核实标的资产相关情况、获取并收集资产评估相关资料、执行资产评估核查验证程序。</w:t>
      </w:r>
    </w:p>
    <w:p w14:paraId="2511DCAE">
      <w:pPr>
        <w:spacing w:line="560" w:lineRule="exac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（三）实施并完善访谈工作，因口语沟通、思维文化差异导致面谈、电话、视频等访谈方式无法有效进行时，可以采用问卷或者电子邮件等访谈方式。</w:t>
      </w:r>
    </w:p>
    <w:p w14:paraId="08065AF4">
      <w:pPr>
        <w:spacing w:line="560" w:lineRule="exac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（四）与专家就其工作及相关报告进行充分沟通，并核实其工作的合理性、有效性、独立性和保密性。</w:t>
      </w:r>
    </w:p>
    <w:p w14:paraId="0968FB5A">
      <w:pPr>
        <w:spacing w:line="560" w:lineRule="exac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（五）在不影响独立性的前提下，与其他中介机构协作开展境外现场核查验证工作，并就涉及资产评估相关事项与其他中介机构进行充分沟通核实。</w:t>
      </w:r>
    </w:p>
    <w:p w14:paraId="1748275B">
      <w:pPr>
        <w:spacing w:line="560" w:lineRule="exac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六）与委托人或者其他相关当事人就资产评估资料和其他重要资料的真实性、完整性、合法性进行确认。如果资产评估资料是以电子邮件或者网络数据库方式提供的，可以采用对电子邮件收发存记录文档或者网络数据库资料检索目录文档以签字或者盖章的方式进行确认。</w:t>
      </w:r>
    </w:p>
    <w:p w14:paraId="741DEC0D">
      <w:pPr>
        <w:spacing w:line="560" w:lineRule="exac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（七）与委托人和其他相关当事人明确后续资产评估工作事项和工作沟通机制，落实责任人和责任部门。</w:t>
      </w:r>
    </w:p>
    <w:p w14:paraId="6A053B05">
      <w:pPr>
        <w:spacing w:line="560" w:lineRule="exac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第十六条</w:t>
      </w:r>
      <w:r>
        <w:rPr>
          <w:rFonts w:hint="eastAsia" w:ascii="宋体" w:hAnsi="宋体" w:eastAsia="宋体" w:cs="宋体"/>
          <w:color w:val="000000"/>
          <w:kern w:val="0"/>
          <w:sz w:val="24"/>
          <w:shd w:val="clear" w:color="auto" w:fill="FFFFFF"/>
        </w:rPr>
        <w:t>　资产评估专业人员在境内后期工作阶段涉及的工作通常包括：</w:t>
      </w:r>
    </w:p>
    <w:p w14:paraId="07F21181">
      <w:pPr>
        <w:spacing w:line="560" w:lineRule="exac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（一）与委托人和其他相关当事人落实需要补充的资产评估资料、待明确的重要事项等资产评估工作事项。</w:t>
      </w:r>
    </w:p>
    <w:p w14:paraId="49937D2E">
      <w:pPr>
        <w:spacing w:line="560" w:lineRule="exac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（二）合理分析专家工作及相关报告。</w:t>
      </w:r>
    </w:p>
    <w:p w14:paraId="4A1CD105">
      <w:pPr>
        <w:spacing w:line="560" w:lineRule="exac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（三）在委托人或者其他相关当事人的协调下，与其他中介机构分享专业意见和初步工作成果。</w:t>
      </w:r>
    </w:p>
    <w:p w14:paraId="1D04E74E">
      <w:pPr>
        <w:spacing w:line="560" w:lineRule="exac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（四）合理使用评估假设，评定、估算形成评估结论，编制资产评估报告。</w:t>
      </w:r>
    </w:p>
    <w:p w14:paraId="26309D8A">
      <w:pPr>
        <w:spacing w:line="560" w:lineRule="exac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（五）与委托人或者委托人同意的其他相关当事人就资产评估报告有关内容进行沟通。</w:t>
      </w:r>
    </w:p>
    <w:p w14:paraId="07EF19FF">
      <w:pPr>
        <w:spacing w:line="560" w:lineRule="exac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第十七条</w:t>
      </w:r>
      <w:r>
        <w:rPr>
          <w:rFonts w:hint="eastAsia" w:ascii="宋体" w:hAnsi="宋体" w:eastAsia="宋体" w:cs="宋体"/>
          <w:color w:val="000000"/>
          <w:kern w:val="0"/>
          <w:sz w:val="24"/>
          <w:shd w:val="clear" w:color="auto" w:fill="FFFFFF"/>
        </w:rPr>
        <w:t>　资产评估专业人员利用境外资产评估专业机构或者资产评估专业人员工作及相关报告时，除应当遵守《资产评估执业准则——利用专家工作及相关报告》外，还可以关注下列事项：</w:t>
      </w:r>
    </w:p>
    <w:p w14:paraId="74B67EE3">
      <w:pPr>
        <w:spacing w:line="560" w:lineRule="exac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（一）境外资产评估专业机构或者资产评估专业人员出具的专业报告通常包括油气矿资产、不动产、特殊专业设备、船舶、航空器、农牧林资产、无形资产、特许经营权等单项资产评估报告。</w:t>
      </w:r>
    </w:p>
    <w:p w14:paraId="3D25635E">
      <w:pPr>
        <w:spacing w:line="560" w:lineRule="exac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（二）境外资产评估专业机构及其资产评估专业人员所属行业管理机构，行业会员构成、管理方式、行业准则、行业声望等。</w:t>
      </w:r>
    </w:p>
    <w:p w14:paraId="3BD6AE2E">
      <w:pPr>
        <w:spacing w:line="560" w:lineRule="exac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（三）资产评估专业人员与境外资产评估专业机构及其资产评估专业人员进行沟通，在充分核实其专业工作及专业报告的基础上，可以采用适当的复核程序对其专业报告结论进行复核。</w:t>
      </w:r>
    </w:p>
    <w:p w14:paraId="31C64A52">
      <w:pPr>
        <w:spacing w:line="560" w:lineRule="exac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拟引用境外资产评估专业机构及其资产评估专业人员出具的单项资产评估报告时，资产评估专业人员应当关注单项资产评估报告的性质、评估目的、评估基准日、评估对象、评估范围、价值类型、评估依据、评估方法、评估程序实施过程、参数选取、假设前提、特别事项说明、使用限制、评估结论和使用有效期等是否满足资产评估报告的引用要求，并同时关注上述事项与资产评估准则的差异，判断其对评估结论的影响。</w:t>
      </w:r>
    </w:p>
    <w:p w14:paraId="494D673B">
      <w:pPr>
        <w:spacing w:line="560" w:lineRule="exac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如果拟引用的单项资产评估报告部分事项与引用要求不完全一致，例如，评估目的、评估对象、评估范围、价值类型、评估基准日等事项存在不完全一致情形，资产评估专业人员需要在合理分析或者调整基础上，判断其是否满足引用要求及其对评估结论的影响。</w:t>
      </w:r>
    </w:p>
    <w:p w14:paraId="27904717">
      <w:pPr>
        <w:spacing w:line="560" w:lineRule="exac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第十八条</w:t>
      </w:r>
      <w:r>
        <w:rPr>
          <w:rFonts w:hint="eastAsia" w:ascii="宋体" w:hAnsi="宋体" w:eastAsia="宋体" w:cs="宋体"/>
          <w:color w:val="000000"/>
          <w:kern w:val="0"/>
          <w:sz w:val="24"/>
          <w:shd w:val="clear" w:color="auto" w:fill="FFFFFF"/>
        </w:rPr>
        <w:t>　资产评估专业人员利用委托人或者其他相关当事人提供的财务尽职调查报告、审计报告和会计准则差异鉴证报告时，通常关注标的资产采用的会计准则与审计采用的会计准则的差异，以及会计准则转换对评估结论的影响。</w:t>
      </w:r>
    </w:p>
    <w:p w14:paraId="15344A33">
      <w:pPr>
        <w:pStyle w:val="63"/>
        <w:spacing w:line="560" w:lineRule="exact"/>
        <w:ind w:firstLine="480"/>
        <w:rPr>
          <w:rFonts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rPr>
        <w:t>在委托人或者其他相关当事人的协调下，做好与审计机构及其审计专业人员的沟通，协作完成核查验证工作，合理利用审计专业报告。</w:t>
      </w:r>
    </w:p>
    <w:p w14:paraId="43FDF846">
      <w:pPr>
        <w:pStyle w:val="63"/>
        <w:spacing w:line="560" w:lineRule="exact"/>
        <w:ind w:firstLine="480"/>
        <w:rPr>
          <w:rFonts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rPr>
        <w:t>委托人或者其他相关当事人无法提供评估基准日的前述专业报告时，资产评估专业人员可以利用标的资产未经审计的评估基准日财务报告、历年审计报告或者财务报告等，但是应当关注上述报告的财务核算口径及其差异等，必要时可以利用专家协助判断，并在资产评估报告中进行信息披露和风险提示。</w:t>
      </w:r>
    </w:p>
    <w:p w14:paraId="46DF9356">
      <w:pPr>
        <w:spacing w:line="560" w:lineRule="exac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第十九条</w:t>
      </w:r>
      <w:r>
        <w:rPr>
          <w:rFonts w:hint="eastAsia" w:ascii="宋体" w:hAnsi="宋体" w:eastAsia="宋体" w:cs="宋体"/>
          <w:color w:val="000000"/>
          <w:kern w:val="0"/>
          <w:sz w:val="24"/>
          <w:shd w:val="clear" w:color="auto" w:fill="FFFFFF"/>
        </w:rPr>
        <w:t>　资产评估专业人员对委托人和其他相关当事人提供的资产评估对象法律权属证明资料进行核查验证时，除应当遵守《资产评估对象法律权属指导意见》外，还可以关注下列事项：</w:t>
      </w:r>
    </w:p>
    <w:p w14:paraId="558063EC">
      <w:pPr>
        <w:spacing w:line="560" w:lineRule="exac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（一）标的资产所在国家或者地区相关法律、行政法规对资产评估对象法律权属认定的通常形式，包括产权证书、购买合同及凭证、不动产登记资料、契据登记资料、律师专业意见书等。</w:t>
      </w:r>
    </w:p>
    <w:p w14:paraId="56A0470F">
      <w:pPr>
        <w:spacing w:line="560" w:lineRule="exac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（二）境外资产评估对象法律权属证明资料的核查验证方式通常包括核对原件与复印件的一致性、查询相关政府部门等发布的公开信息资料、查询资产评估对象历史交易记录资料、查询资产评估对象税务资料等。</w:t>
      </w:r>
    </w:p>
    <w:p w14:paraId="0B16E5F7">
      <w:pPr>
        <w:spacing w:line="560" w:lineRule="exac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（三）对于境外资产评估对象法律权属事项，通常可以在委托人或者其他相关当事人的协调下，向律师事务所等相关机构咨询并且获取专业意见，专业意见通常包括法律尽职调查报告、法律意见书等。</w:t>
      </w:r>
    </w:p>
    <w:p w14:paraId="391C2A53">
      <w:pPr>
        <w:spacing w:line="560" w:lineRule="exac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（四）对于因受所在国家或者地区相关法律、行政法规限制导致资产评估对象存在法律权属限制的情况，资产评估专业人员应当予以关注，并分析其对评估结论的影响。</w:t>
      </w:r>
    </w:p>
    <w:p w14:paraId="0524F354">
      <w:pPr>
        <w:spacing w:line="560" w:lineRule="exac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第二十条</w:t>
      </w:r>
      <w:r>
        <w:rPr>
          <w:rFonts w:hint="eastAsia" w:ascii="宋体" w:hAnsi="宋体" w:eastAsia="宋体" w:cs="宋体"/>
          <w:color w:val="000000"/>
          <w:kern w:val="0"/>
          <w:sz w:val="24"/>
          <w:shd w:val="clear" w:color="auto" w:fill="FFFFFF"/>
        </w:rPr>
        <w:t>　资产评估专业人员因境外法律法规规定、客观条件限制，无法或者不能完全履行资产评估基本程序，经采取弥补措施，未对评估结论产生重大影响时，资产评估专业人员可以继续开展业务，但是应当在工作底稿中进行说明，分析其对评估结论的影响程度，并在资产评估报告中进行披露。执行境外并购资产评估业务主要难点在于境外现场核查验证程序受到较大限制，资产评估专业人员通常可以采取的弥补措施包括：</w:t>
      </w:r>
    </w:p>
    <w:p w14:paraId="58FE47C0">
      <w:pPr>
        <w:spacing w:line="560" w:lineRule="exac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（一）加强各中介机构沟通协作，充分发挥各中介机构境外分支、合作机构的跨境布局优势，在不影响独立性的前提下，合理利用其他各中介机构的核查验证工作成果。</w:t>
      </w:r>
    </w:p>
    <w:p w14:paraId="4AF5296C">
      <w:pPr>
        <w:spacing w:line="560" w:lineRule="exac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（二）了解并客观评价标的资产内控制度及其执行情况，并通过标的资产的信息化管理、规范化管理、生产运营管理和维修保养管理等信息资料进行间接性核查验证。</w:t>
      </w:r>
    </w:p>
    <w:p w14:paraId="440FF0CD">
      <w:pPr>
        <w:spacing w:line="560" w:lineRule="exac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（三）明确标的资产的核心组织成员、核心资产和核心业务，根据重要程度确定抽样核查验证范围，制定切实可行的境外现场核查计划。</w:t>
      </w:r>
    </w:p>
    <w:p w14:paraId="7431543F">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（四）利用电子邮件、网络视频、远程技术等方式替代现场核查验证。例如，利用电子邮件进行问询、利用网络视频进行盘点和访谈、利用卫星定位核查船舶和航空器、利用远程监控软件核查机器设备状况等。</w:t>
      </w:r>
    </w:p>
    <w:p w14:paraId="62A18586">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利用政府部门、行业或者第三方机构等出具的信息资料进行核查验证。例如，利用政府不动产登记资料和契据登记资料核查不动产相关信息，利用行业监管机构或者第三方检验机构出具的近期或者定期检验报告核查船舶、航空器、车辆和机器设备状况等。</w:t>
      </w:r>
    </w:p>
    <w:p w14:paraId="6608F1F2">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（六）其他合理、有效的弥补措施。</w:t>
      </w:r>
    </w:p>
    <w:p w14:paraId="40F26F8E">
      <w:pPr>
        <w:spacing w:line="560" w:lineRule="exac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第二十一条</w:t>
      </w:r>
      <w:r>
        <w:rPr>
          <w:rFonts w:hint="eastAsia" w:ascii="宋体" w:hAnsi="宋体" w:eastAsia="宋体" w:cs="宋体"/>
          <w:color w:val="000000"/>
          <w:kern w:val="0"/>
          <w:sz w:val="24"/>
          <w:shd w:val="clear" w:color="auto" w:fill="FFFFFF"/>
        </w:rPr>
        <w:t>　资产评估专业人员应当在评定、估算形成评估结论后，编制初步资产评估报告，并且对初步资产评估报告进行内部审核。资产评估专业人员可以与委托人或者委托人同意的其他相关当事人就资产评估报告有关内容进行沟通，对沟通情况进行独立分析，决定是否对资产评估报告进行调整。</w:t>
      </w:r>
    </w:p>
    <w:p w14:paraId="523CAC11">
      <w:pPr>
        <w:spacing w:line="560" w:lineRule="exac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资产评估报告应当以文字和数字形式表述评估结论，并明确评估结论的使用有效期。评估结论通常是确定的数值。经与委托人沟通，评估结论可以是区间值或者其他形式的专业意见。境外并购资产评估业务涉及企业国有资产评估行为，评估结论为区间值的，应当在区间之内确定一个最大可能值，并说明确定依据。</w:t>
      </w:r>
    </w:p>
    <w:p w14:paraId="1030F0C2">
      <w:pPr>
        <w:spacing w:line="560" w:lineRule="exac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评估结论以外币为计量币种时，还应当列示以人民币为计量币种的评估结论，并注明外币在评估基准日与人民币的汇率。汇率通常采用外币与人民币汇率的中间价。</w:t>
      </w:r>
    </w:p>
    <w:p w14:paraId="4A13ACAE">
      <w:pPr>
        <w:spacing w:line="560" w:lineRule="exac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第二十二条</w:t>
      </w:r>
      <w:r>
        <w:rPr>
          <w:rFonts w:hint="eastAsia" w:ascii="宋体" w:hAnsi="宋体" w:eastAsia="宋体" w:cs="宋体"/>
          <w:color w:val="000000"/>
          <w:kern w:val="0"/>
          <w:sz w:val="24"/>
          <w:shd w:val="clear" w:color="auto" w:fill="FFFFFF"/>
        </w:rPr>
        <w:t>　资产评估专业人员编制工作底稿时，除应当遵守《资产评估执业准则——资产评估档案》外，还可以执行下列工作：</w:t>
      </w:r>
    </w:p>
    <w:p w14:paraId="05EC8761">
      <w:pPr>
        <w:spacing w:line="560" w:lineRule="exac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（一）外文资产评估资料中重要内容需要以中文翻译内容记录在工作底稿内的，资产评估专业人员可以要求委托人或者其他相关当事人对该重要内容的中文翻译内容进行确认，并保证其准确性。</w:t>
      </w:r>
    </w:p>
    <w:p w14:paraId="34D29812">
      <w:pPr>
        <w:spacing w:line="560" w:lineRule="exac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（二）外语翻译人员协助翻译的外文资料，资产评估专业人员需要在工作底稿中记录外语翻译人员协助工作情况。</w:t>
      </w:r>
    </w:p>
    <w:p w14:paraId="702A8704">
      <w:pPr>
        <w:spacing w:line="560" w:lineRule="exac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委托人或者其他相关当事人以电子文档形式提供的资产评估资料存在使用期限、使用权限等限制情况的，资产评估专业人员需要及时将重要电子文档转换成纸质文档，可以要求委托人或者其他相关当事人对资料使用限制情况进行相关说明。</w:t>
      </w:r>
    </w:p>
    <w:p w14:paraId="1586E1FF">
      <w:pPr>
        <w:spacing w:line="560" w:lineRule="exac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（四）委托人或者其他相关当事人以电子邮件或者网络数据库方式提供资产评估相关资料的，资产评估专业人员可以编制电子邮件收发存记录文档和网络数据库资料检索目录文档。</w:t>
      </w:r>
    </w:p>
    <w:p w14:paraId="7BA0808A">
      <w:pPr>
        <w:spacing w:line="560" w:lineRule="exac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（五）以视频、语音、图像等方式取得的电子数据类底稿，资产评估机构及其资产评估专业人员应当加强保存管理工作，保证工作底稿安全、可追溯。</w:t>
      </w:r>
    </w:p>
    <w:p w14:paraId="2E541C76">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第四章　评估方法</w:t>
      </w:r>
    </w:p>
    <w:p w14:paraId="2430D6E5">
      <w:pPr>
        <w:spacing w:line="560" w:lineRule="exac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第二十三条</w:t>
      </w:r>
      <w:r>
        <w:rPr>
          <w:rFonts w:hint="eastAsia" w:ascii="宋体" w:hAnsi="宋体" w:eastAsia="宋体" w:cs="宋体"/>
          <w:color w:val="000000"/>
          <w:kern w:val="0"/>
          <w:sz w:val="24"/>
          <w:shd w:val="clear" w:color="auto" w:fill="FFFFFF"/>
        </w:rPr>
        <w:t>　资产评估专业人员应当根据评估目的、评估对象、价值类型、资料收集情况，以及境外并购监管审查要求、标的资产所处行业特点、标的资产及其各组织成员所在国家或者地区的市场经济状况、评估资料和数据的充分性和可靠性等情况，分析收益法、市场法、成本法三种基本方法的适用性。</w:t>
      </w:r>
    </w:p>
    <w:p w14:paraId="249BB3F7">
      <w:pPr>
        <w:spacing w:line="560" w:lineRule="exac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第二十四条</w:t>
      </w:r>
      <w:r>
        <w:rPr>
          <w:rFonts w:hint="eastAsia" w:ascii="宋体" w:hAnsi="宋体" w:eastAsia="宋体" w:cs="宋体"/>
          <w:color w:val="000000"/>
          <w:kern w:val="0"/>
          <w:sz w:val="24"/>
          <w:shd w:val="clear" w:color="auto" w:fill="FFFFFF"/>
        </w:rPr>
        <w:t>　对于适合采用不同评估方法进行境外并购资产评估的，资产评估专业人员应当采用两种以上评估方法进行评估。</w:t>
      </w:r>
    </w:p>
    <w:p w14:paraId="610D3CF5">
      <w:pPr>
        <w:spacing w:line="560" w:lineRule="exac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未采用两种以上评估方法进行评估的，资产评估报告应当披露其他基本评估方法不适用的原因或者所受的操作限制。</w:t>
      </w:r>
    </w:p>
    <w:p w14:paraId="29D86B46">
      <w:pPr>
        <w:spacing w:line="560" w:lineRule="exac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第二十五条</w:t>
      </w:r>
      <w:r>
        <w:rPr>
          <w:rFonts w:hint="eastAsia" w:ascii="宋体" w:hAnsi="宋体" w:eastAsia="宋体" w:cs="宋体"/>
          <w:color w:val="000000"/>
          <w:kern w:val="0"/>
          <w:sz w:val="24"/>
          <w:shd w:val="clear" w:color="auto" w:fill="FFFFFF"/>
        </w:rPr>
        <w:t>　资产评估专业人员通常需要结合境外并购标的资产的历史经营情况、未来收益可预测情况、所在国家或者地区的市场经济状况、获取评估资料和数据的充分性和可靠性等情况，恰当考虑收益法的适用性。</w:t>
      </w:r>
    </w:p>
    <w:p w14:paraId="2308B5DC">
      <w:pPr>
        <w:spacing w:line="560" w:lineRule="exac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第二十六条</w:t>
      </w:r>
      <w:r>
        <w:rPr>
          <w:rFonts w:hint="eastAsia" w:ascii="宋体" w:hAnsi="宋体" w:eastAsia="宋体" w:cs="宋体"/>
          <w:color w:val="000000"/>
          <w:kern w:val="0"/>
          <w:sz w:val="24"/>
          <w:shd w:val="clear" w:color="auto" w:fill="FFFFFF"/>
        </w:rPr>
        <w:t>　采用收益法进行境外并购资产评估时，除应当遵守《资产评估执业准则——企业价值》等相关资产评估执业准则外，可以重点关注下列事项：</w:t>
      </w:r>
    </w:p>
    <w:p w14:paraId="56192C8C">
      <w:pPr>
        <w:spacing w:line="560" w:lineRule="exac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（一）确定收益期限时，关注标的资产及其组织成员所在国家或者地区相关法律、行政法规对企业经营期限的限制情况，以及并购方案中对经营期限的相关约定情况等。</w:t>
      </w:r>
    </w:p>
    <w:p w14:paraId="191B56F8">
      <w:pPr>
        <w:spacing w:line="560" w:lineRule="exac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（二）不同会计准则对收益预测的影响，包括收入确认政策、存货和成本核算政策、折旧摊销政策、资产减值政策、税务会计政策等。</w:t>
      </w:r>
    </w:p>
    <w:p w14:paraId="5089E6D7">
      <w:pPr>
        <w:spacing w:line="560" w:lineRule="exac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对标的资产及其组织成员可以采用单体报表口径进行收益预测，也可以采用合并报表口径进行收益预测。如果采用合并报表口径进行收益预测，标的资产及其组织成员采用不同会计准则时，通常需要按照同一会计准则进行调整。</w:t>
      </w:r>
    </w:p>
    <w:p w14:paraId="04C7D31C">
      <w:pPr>
        <w:spacing w:line="560" w:lineRule="exac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（四）标的资产为跨国企业时，关注标的资产及其组织成员之间的组织架构、分工协作、转移定价和国际税收筹划等事项的现状和可持续性，必要时可以利用专业税务师或者税务机构的工作及相关报告。</w:t>
      </w:r>
    </w:p>
    <w:p w14:paraId="1B4A05D6">
      <w:pPr>
        <w:spacing w:line="560" w:lineRule="exac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（五）预测人工成本及相关费用时，关注标的资产及其组织成员所在国家或者地区相关法律、行政法规、劳工政策、社会保障制度、工会制度、管理制度、股权激励政策等对收益预测的影响。</w:t>
      </w:r>
    </w:p>
    <w:p w14:paraId="24C48E73">
      <w:pPr>
        <w:spacing w:line="560" w:lineRule="exac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六）预测各项税务费用时，关注标的资产及其组织成员所在国家或者地区的税率、纳税调整事项、减免税政策、税费计缴方式等情况的影响，结合税务尽职调查报告及其他中介机构专业工作，合理识别标的资产各项税赋，必要时可以利用专业税务师或者税务机构的工作及相关报告。</w:t>
      </w:r>
    </w:p>
    <w:p w14:paraId="6CC69CBF">
      <w:pPr>
        <w:spacing w:line="560" w:lineRule="exac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七）标的资产及其组织成员适用不同所得税政策时，既可以采用单体口径预测所得税费用，也可以采用合并口径预测所得税费用。采用合并口径进行预测时，需要综合分析及判断税收政策、转移定价、国际税收筹划的影响及其可持续性。经合理分析后，可以采用与收益预测口径一致的历史综合所得税税率预测所得税费用，也可以按照各组织成员的收入、息税前利润或者现金流比重等指标进行合理加权后确定综合所得税税率，预测所得税费用。</w:t>
      </w:r>
    </w:p>
    <w:p w14:paraId="53749BFB">
      <w:pPr>
        <w:spacing w:line="560" w:lineRule="exac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八）折现率通常可以采用资本资产定价模型（CAPM）、加权平均资本成本（WACC）或者风险累加法等方法计算确定。采用资本资产定价模型（CAPM）和加权平均资本成本（WACC）计算折现率时，所涉及的相关参数可以通过下列几种途径确定：</w:t>
      </w:r>
    </w:p>
    <w:p w14:paraId="7591EACE">
      <w:pPr>
        <w:spacing w:line="560" w:lineRule="exac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1.确定折现率中的无风险利率、市场风险溢价时，如果标的资产及其组织成员分布在不同国家或者地区，经合理分析后，可以采用标的资产注册地或者总部、核心组织成员、核心资产、核心业务所在国家或者地区的相关参数，或者按照各组织成员的收入、息税前利润或者现金流比重等指标进行合理加权后确定。</w:t>
      </w:r>
    </w:p>
    <w:p w14:paraId="26EDFECD">
      <w:pPr>
        <w:spacing w:line="560" w:lineRule="exac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2.市场风险溢价的确定途径通常包括利用标的资产所在国家或者地区证券市场指数的历史风险溢价数据计算、采用其他成熟资本市场风险溢价调整方法、以及引用相关专家学者或者专业机构研究发布的数据。</w:t>
      </w:r>
    </w:p>
    <w:p w14:paraId="562A1251">
      <w:pPr>
        <w:spacing w:line="560" w:lineRule="exac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确定折现率中的贝塔系数、目标资本结构等相关参数时，可比上市公司可以选择与标的资产或者其核心组织成员、核心资产和核心业务所在国家或者地区资本市场发展状况相同或者相近的资本市场中的可比上市公司，并关注其与市场风险溢价的匹配性。</w:t>
      </w:r>
    </w:p>
    <w:p w14:paraId="2D27EDC9">
      <w:pPr>
        <w:spacing w:line="560" w:lineRule="exac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第二十七条</w:t>
      </w:r>
      <w:r>
        <w:rPr>
          <w:rFonts w:hint="eastAsia" w:ascii="宋体" w:hAnsi="宋体" w:eastAsia="宋体" w:cs="宋体"/>
          <w:color w:val="000000"/>
          <w:kern w:val="0"/>
          <w:sz w:val="24"/>
          <w:shd w:val="clear" w:color="auto" w:fill="FFFFFF"/>
        </w:rPr>
        <w:t>　资产评估专业人员通常需要根据所获取可比企业经营和财务数据的充分性和可靠性，以及可收集到的可比上市公司或者可比交易案例数量，结合境外并购标的资产所在国家或者地区的市场经济状况，恰当考虑市场法的适用性。</w:t>
      </w:r>
    </w:p>
    <w:p w14:paraId="521EAAA7">
      <w:pPr>
        <w:spacing w:line="560" w:lineRule="exac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第二十八条</w:t>
      </w:r>
      <w:r>
        <w:rPr>
          <w:rFonts w:hint="eastAsia" w:ascii="宋体" w:hAnsi="宋体" w:eastAsia="宋体" w:cs="宋体"/>
          <w:color w:val="000000"/>
          <w:kern w:val="0"/>
          <w:sz w:val="24"/>
          <w:shd w:val="clear" w:color="auto" w:fill="FFFFFF"/>
        </w:rPr>
        <w:t>　采用市场法进行境外并购资产评估时，可以重点关注下列事项：</w:t>
      </w:r>
    </w:p>
    <w:p w14:paraId="589A242E">
      <w:pPr>
        <w:spacing w:line="560" w:lineRule="exac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（一）可以选择与标的资产或者其核心组织成员、核心资产和核心业务所在国家或者地区资本市场发展状况相同或者相近的资本市场中的可比上市公司或者可比交易案例。</w:t>
      </w:r>
    </w:p>
    <w:p w14:paraId="7F77BDEC">
      <w:pPr>
        <w:spacing w:line="560" w:lineRule="exac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（二）可比上市公司或者可比交易案例所在国家或者地区的政治、经济、技术、社会文化等环境差异对市场法评估测算结果的影响。例如，可以采用主权信用评级对不同国家或者地区的环境差异进行调整。</w:t>
      </w:r>
    </w:p>
    <w:p w14:paraId="3ADF5612">
      <w:pPr>
        <w:spacing w:line="560" w:lineRule="exac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（三）不同会计准则对市场法评估测算结果的影响，必要时可以将标的资产、可比上市公司或者可比交易案例的财务数据按照同一会计准则进行适当调整。</w:t>
      </w:r>
    </w:p>
    <w:p w14:paraId="000DF511">
      <w:pPr>
        <w:spacing w:line="560" w:lineRule="exac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（四）可比上市公司或者可比交易案例的记账本位币汇率波动、会计期间差异等对市场法评估测算结果的影响。</w:t>
      </w:r>
    </w:p>
    <w:p w14:paraId="21A0B105">
      <w:pPr>
        <w:spacing w:line="560" w:lineRule="exac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（五）确定缺乏流动性折扣、控制权溢价和缺乏控制权折价时，尽可能地采用标的资产或者其核心组织成员、核心资产和核心业务所在国家或者地区资本市场相关数据。</w:t>
      </w:r>
    </w:p>
    <w:p w14:paraId="43E98F96">
      <w:pPr>
        <w:spacing w:line="560" w:lineRule="exac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第二十九条</w:t>
      </w:r>
      <w:r>
        <w:rPr>
          <w:rFonts w:hint="eastAsia" w:ascii="宋体" w:hAnsi="宋体" w:eastAsia="宋体" w:cs="宋体"/>
          <w:color w:val="000000"/>
          <w:kern w:val="0"/>
          <w:sz w:val="24"/>
          <w:shd w:val="clear" w:color="auto" w:fill="FFFFFF"/>
        </w:rPr>
        <w:t>　资产评估专业人员采用成本法对境外并购标的资产进行评估时，通常需要根据会计政策、企业经营等情况，要求标的资产对资产负债表表内及表外的各项资产、负债进行识别。</w:t>
      </w:r>
    </w:p>
    <w:p w14:paraId="19A23BFD">
      <w:pPr>
        <w:spacing w:line="560" w:lineRule="exac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资产评估专业人员应当知晓并非每项资产和负债都可以被识别并单独评估。识别出的表外资产与负债应当纳入评估申报文件，并要求委托人或者其指定的相关当事人确认评估范围。当存在对评估对象价值有重大影响且难以识别和评估的资产或者负债时，应当考虑成本法的适用性。</w:t>
      </w:r>
    </w:p>
    <w:p w14:paraId="5827F95E">
      <w:pPr>
        <w:spacing w:line="560" w:lineRule="exac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第三十条</w:t>
      </w:r>
      <w:r>
        <w:rPr>
          <w:rFonts w:hint="eastAsia" w:ascii="宋体" w:hAnsi="宋体" w:eastAsia="宋体" w:cs="宋体"/>
          <w:color w:val="000000"/>
          <w:kern w:val="0"/>
          <w:sz w:val="24"/>
          <w:shd w:val="clear" w:color="auto" w:fill="FFFFFF"/>
        </w:rPr>
        <w:t>　采用成本法进行境外并购资产评估时，可以重点关注下列事项：</w:t>
      </w:r>
    </w:p>
    <w:p w14:paraId="06C917B6">
      <w:pPr>
        <w:spacing w:line="560" w:lineRule="exac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根据标的资产及其各组织成员所在国家或者地区的市场经济状况、评估资料和市场信息数据的充分性和可靠性等情况，采用恰当、合理、有效的具体评估方法对各项资产和负债进行评估。例如，对无法直接获取重置成本的资产采用价格指数调整方式进行评估，对缺乏房地产交易信息的不动产采用收益法进行评估等。</w:t>
      </w:r>
    </w:p>
    <w:p w14:paraId="6A1F8964">
      <w:pPr>
        <w:spacing w:line="560" w:lineRule="exac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（二）当资产评估专业人员不熟悉或者无法有效获取相关资产的市场信息资料或者渠道时，在不影响独立性的情况下，可以要求委托人或者其他相关当事人提供相应协助。</w:t>
      </w:r>
    </w:p>
    <w:p w14:paraId="65AC73E9">
      <w:pPr>
        <w:spacing w:line="560" w:lineRule="exac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（三）会计准则差异导致资产和负债账面价值出现差异时，关注各项资产和负债账面价值的合理性。</w:t>
      </w:r>
    </w:p>
    <w:p w14:paraId="55BE1FC2">
      <w:pPr>
        <w:spacing w:line="560" w:lineRule="exac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（四）如果标的资产所在国家或者地区存在较高通货膨胀风险或者其记账本位币存在较大汇率波动时，关注采用历史成本计量的各项资产和负债账面价值的公允性。</w:t>
      </w:r>
    </w:p>
    <w:p w14:paraId="23EA20A0">
      <w:pPr>
        <w:spacing w:line="560" w:lineRule="exac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不同国家或者地区采用的行业标准差异对相关资产评估价值的影响。例如，油气矿资源储量标准、不动产测量规范、建筑物及设备耐用年限标准、建筑物及设备设计建造标准、机动车报废标准、行业环保安全标准、废弃物回收处置标准等。</w:t>
      </w:r>
    </w:p>
    <w:p w14:paraId="6C8C0E64">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第五章　资产评估报告及披露要求</w:t>
      </w:r>
    </w:p>
    <w:p w14:paraId="345D0B2D">
      <w:pPr>
        <w:spacing w:line="560" w:lineRule="exact"/>
        <w:ind w:firstLine="361" w:firstLineChars="15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第三十一条</w:t>
      </w:r>
      <w:r>
        <w:rPr>
          <w:rFonts w:hint="eastAsia" w:ascii="宋体" w:hAnsi="宋体" w:eastAsia="宋体" w:cs="宋体"/>
          <w:color w:val="000000"/>
          <w:kern w:val="0"/>
          <w:sz w:val="24"/>
          <w:shd w:val="clear" w:color="auto" w:fill="FFFFFF"/>
        </w:rPr>
        <w:t>　资产评估专业人员应当在履行必要的资产评估程序后，编制出具资产评估报告，并进行恰当披露，使委托人或者其他资产评估报告使用人能够正确理解资产评估报告内容，正确使用资产评估报告的评估结论。</w:t>
      </w:r>
    </w:p>
    <w:p w14:paraId="298F40DF">
      <w:pPr>
        <w:spacing w:line="560" w:lineRule="exact"/>
        <w:ind w:firstLine="361" w:firstLineChars="15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第三十二条</w:t>
      </w:r>
      <w:r>
        <w:rPr>
          <w:rFonts w:hint="eastAsia" w:ascii="宋体" w:hAnsi="宋体" w:eastAsia="宋体" w:cs="宋体"/>
          <w:color w:val="000000"/>
          <w:kern w:val="0"/>
          <w:sz w:val="24"/>
          <w:shd w:val="clear" w:color="auto" w:fill="FFFFFF"/>
        </w:rPr>
        <w:t>　境外并购资产评估报告应当使用中文撰写。同时出具中外文资产评估报告的，中外文资产评估报告存在不一致时，以中文资产评估报告为准。</w:t>
      </w:r>
    </w:p>
    <w:p w14:paraId="3D263047">
      <w:pPr>
        <w:spacing w:line="560" w:lineRule="exac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境外并购资产评估报告中的数字表达方式可以采用标的资产所在国家或者地区通常的数字表达习惯。例如，元、千元、百万元等单位。</w:t>
      </w:r>
    </w:p>
    <w:p w14:paraId="25A0D012">
      <w:pPr>
        <w:spacing w:line="560" w:lineRule="exac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境外并购资产评估报告中相关计量单位为标的资产所在国家或者地区特有的、非标准的、非通用的计量单位的，资产评估报告应当以标准的、通用的计量单位确定相关数据，并注明计量单位换算方式。如果计量单位为特定行业的专用计量单位，还应当注明专用计量单位的名词释义。</w:t>
      </w:r>
    </w:p>
    <w:p w14:paraId="54E3941D">
      <w:pPr>
        <w:spacing w:line="560" w:lineRule="exac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境外并购资产评估报告中相关日期为标的资产所在国家或者地区特有纪年方式的，应当转换成公历纪年方式。</w:t>
      </w:r>
    </w:p>
    <w:p w14:paraId="7DC87E7E">
      <w:pPr>
        <w:spacing w:line="560" w:lineRule="exac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第三十三条</w:t>
      </w:r>
      <w:r>
        <w:rPr>
          <w:rFonts w:hint="eastAsia" w:ascii="宋体" w:hAnsi="宋体" w:eastAsia="宋体" w:cs="宋体"/>
          <w:color w:val="000000"/>
          <w:kern w:val="0"/>
          <w:sz w:val="24"/>
          <w:shd w:val="clear" w:color="auto" w:fill="FFFFFF"/>
        </w:rPr>
        <w:t>　资产评估专业人员通常在评定估算阶段，对资产评估的前提和基础进行假设，在编写资产评估报告披露评估假设时，除应当遵守《资产评估执业准则——资产评估报告》等相关资产评估执业准则外，需要结合境外并购资产评估业务实际情况，合理考虑并披露下列假设：</w:t>
      </w:r>
    </w:p>
    <w:p w14:paraId="478D425F">
      <w:pPr>
        <w:spacing w:line="560" w:lineRule="exac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（一）假设标的资产及其各组织成员所在国家或者地区现行的政治、经济、社会文化等环境不发生重大变化。</w:t>
      </w:r>
    </w:p>
    <w:p w14:paraId="2921AA21">
      <w:pPr>
        <w:spacing w:line="560" w:lineRule="exac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（二）假设标的资产及其各组织成员所在国家或者地区现行的财政政策、金融政策、税收政策、产业政策、劳工政策、社会福利政策等不发生重大变化。</w:t>
      </w:r>
    </w:p>
    <w:p w14:paraId="7789C103">
      <w:pPr>
        <w:spacing w:line="560" w:lineRule="exac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（三）如果标的资产及其各组织成员使用的外币的汇率稳定、汇率风险管理充分且具有可持续性，可以假设标的资产及其各组织成员使用的各外币汇率保持不变。</w:t>
      </w:r>
    </w:p>
    <w:p w14:paraId="733F5252">
      <w:pPr>
        <w:spacing w:line="560" w:lineRule="exac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（四）如果标的资产及其各组织成员之间的分工协作方式稳定且具有可持续性，可以假设标的资产及其各组织成员之间的分工协作方式不发生重大变化。</w:t>
      </w:r>
    </w:p>
    <w:p w14:paraId="74E6EBF5">
      <w:pPr>
        <w:spacing w:line="560" w:lineRule="exac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（五）如果境外并购资产评估的价值类型为投资价值，资产评估专业人员需要根据投资并购方案确定相应合理的评估假设。</w:t>
      </w:r>
    </w:p>
    <w:p w14:paraId="42B0F181">
      <w:pPr>
        <w:spacing w:line="560" w:lineRule="exac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（六）其他需要假设的重要事项。</w:t>
      </w:r>
    </w:p>
    <w:p w14:paraId="29D63387">
      <w:pPr>
        <w:spacing w:line="560" w:lineRule="exac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第三十四条</w:t>
      </w:r>
      <w:r>
        <w:rPr>
          <w:rFonts w:hint="eastAsia" w:ascii="宋体" w:hAnsi="宋体" w:eastAsia="宋体" w:cs="宋体"/>
          <w:color w:val="000000"/>
          <w:kern w:val="0"/>
          <w:sz w:val="24"/>
          <w:shd w:val="clear" w:color="auto" w:fill="FFFFFF"/>
        </w:rPr>
        <w:t>　资产评估专业人员编写境外并购资产评估报告时，除应当遵守《资产评估执业准则——资产评估报告》等相关资产评估执业准则外，需要结合境外并购资产评估业务实际情况，并结合对评估结论的影响程度，合理考虑下列披露事项：</w:t>
      </w:r>
    </w:p>
    <w:p w14:paraId="01D34A32">
      <w:pPr>
        <w:spacing w:line="560" w:lineRule="exac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（一）标的资产及其各组织成员所在国家或者地区特殊的国际及国内政治形势、财政政策、金融政策、税收政策、产业政策、劳工政策、社会保障制度、社会文化差异、突发公共安全事件等重要事项。</w:t>
      </w:r>
    </w:p>
    <w:p w14:paraId="0B2087E0">
      <w:pPr>
        <w:spacing w:line="560" w:lineRule="exac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（二）标的资产及其各组织成员的组织架构、核心组织成员、核心资产、核心业务、分工协作方式、国际税收筹划方案等。</w:t>
      </w:r>
    </w:p>
    <w:p w14:paraId="37803156">
      <w:pPr>
        <w:spacing w:line="560" w:lineRule="exac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（三）标的资产及其各组织成员所采用的会计准则，以及评估测算所采用的会计准则。</w:t>
      </w:r>
    </w:p>
    <w:p w14:paraId="7E98F868">
      <w:pPr>
        <w:spacing w:line="560" w:lineRule="exac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（四）律师事务所等相关机构出具的资产评估对象法律权属专业意见。</w:t>
      </w:r>
    </w:p>
    <w:p w14:paraId="3BEFFE65">
      <w:pPr>
        <w:spacing w:line="560" w:lineRule="exac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（五）因受所在国家或者地区相关法律、行政法规限制导致资产评估对象存在法律权属限制的情况。</w:t>
      </w:r>
    </w:p>
    <w:p w14:paraId="6FBE0D0C">
      <w:pPr>
        <w:spacing w:line="560" w:lineRule="exac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（六）资产评估程序受限情况，采取的弥补措施以及对评估结论影响的情况。</w:t>
      </w:r>
    </w:p>
    <w:p w14:paraId="63DE2AE6">
      <w:pPr>
        <w:spacing w:line="560" w:lineRule="exac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七）利用专家工作及相关报告情况，特别是引用境外资产评估专业机构及其资产评估专业人员出具的单项资产评估报告的情况。引用的单项资产评估报告相关事项与资产评估准则存在差异或者部分事项与引用要求不完全一致时，需要披露对差异或者不一致事项的相关分析或者调整过程。</w:t>
      </w:r>
    </w:p>
    <w:p w14:paraId="71408C9A">
      <w:pPr>
        <w:spacing w:line="560" w:lineRule="exac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八）标的资产及其各组织成员所在国家或者地区处于较高的、不稳定的政治风险、金融风险，可能导致标的资产及其各组织成员的经营环境发生重大变化，且其无法采取有效措施规避风险时，资产评估报告中需要进行风险提示。</w:t>
      </w:r>
    </w:p>
    <w:p w14:paraId="4C0C4F30">
      <w:pPr>
        <w:spacing w:line="560" w:lineRule="exac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九）如果标的资产及其各组织成员使用的外币存在汇率波动较大、汇率风险管理不充分的情况，资产评估专业人员需要对汇率风险进行合理分析，必要时可以利用专业外汇分析师或者外汇分析机构的工作及相关报告。资产评估报告中需要进行汇率风险提示，必要时就汇率波动进行敏感性分析说明。</w:t>
      </w:r>
    </w:p>
    <w:p w14:paraId="75E685BC">
      <w:pPr>
        <w:spacing w:line="560" w:lineRule="exac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（十）其他需要披露的重要事项。</w:t>
      </w:r>
    </w:p>
    <w:p w14:paraId="0DF4ABD8">
      <w:pPr>
        <w:spacing w:line="560" w:lineRule="exac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第三十五条</w:t>
      </w:r>
      <w:r>
        <w:rPr>
          <w:rFonts w:hint="eastAsia" w:ascii="宋体" w:hAnsi="宋体" w:eastAsia="宋体" w:cs="宋体"/>
          <w:color w:val="000000"/>
          <w:kern w:val="0"/>
          <w:sz w:val="24"/>
          <w:shd w:val="clear" w:color="auto" w:fill="FFFFFF"/>
        </w:rPr>
        <w:t>　资产评估专业人员编写境外并购资产评估报告时，除应当遵守《资产评估执业准则——资产评估报告》外，境外并购资产评估报告的使用限制可以增加下列内容：</w:t>
      </w:r>
    </w:p>
    <w:p w14:paraId="31474864">
      <w:pPr>
        <w:spacing w:line="560" w:lineRule="exac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（一）委托人或者其他资产评估报告使用人应当依据中国相关法律、行政法规规定和资产评估报告载明的使用范围使用资产评估报告。</w:t>
      </w:r>
    </w:p>
    <w:p w14:paraId="409A85CA">
      <w:pPr>
        <w:spacing w:line="560" w:lineRule="exac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（二）其他需要限制的重要事项。</w:t>
      </w:r>
    </w:p>
    <w:p w14:paraId="46D92331">
      <w:pPr>
        <w:spacing w:line="560" w:lineRule="exact"/>
        <w:ind w:firstLine="480" w:firstLineChars="200"/>
        <w:rPr>
          <w:rFonts w:ascii="宋体" w:hAnsi="宋体" w:eastAsia="宋体" w:cs="宋体"/>
          <w:color w:val="000000"/>
          <w:kern w:val="0"/>
          <w:sz w:val="24"/>
          <w:shd w:val="clear" w:color="auto" w:fill="FFFFFF"/>
        </w:rPr>
      </w:pPr>
    </w:p>
    <w:p w14:paraId="48023CE3">
      <w:pPr>
        <w:spacing w:line="560" w:lineRule="exac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附：1.境外并购涉及的中国相关法规和文件</w:t>
      </w:r>
    </w:p>
    <w:p w14:paraId="56F83229">
      <w:pPr>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2.境外并购涉及的部分国家相关投资主管部门、法规和文件</w:t>
      </w:r>
    </w:p>
    <w:p w14:paraId="655D174C">
      <w:pPr>
        <w:spacing w:line="560" w:lineRule="exact"/>
        <w:ind w:firstLine="960" w:firstLineChars="4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3.境外并购资产评估资料相关查询网站</w:t>
      </w:r>
    </w:p>
    <w:p w14:paraId="22796ECE">
      <w:pPr>
        <w:spacing w:line="560" w:lineRule="exact"/>
        <w:ind w:firstLine="480" w:firstLineChars="200"/>
        <w:rPr>
          <w:rFonts w:ascii="宋体" w:hAnsi="宋体" w:eastAsia="宋体" w:cs="宋体"/>
          <w:color w:val="000000"/>
          <w:kern w:val="0"/>
          <w:sz w:val="24"/>
          <w:shd w:val="clear" w:color="auto" w:fill="FFFFFF"/>
        </w:rPr>
      </w:pPr>
    </w:p>
    <w:p w14:paraId="0A5B15EA">
      <w:pPr>
        <w:widowControl/>
        <w:spacing w:line="560" w:lineRule="exact"/>
        <w:jc w:val="left"/>
        <w:rPr>
          <w:rFonts w:ascii="宋体" w:hAnsi="宋体" w:eastAsia="宋体" w:cs="宋体"/>
          <w:sz w:val="24"/>
        </w:rPr>
      </w:pPr>
      <w:r>
        <w:rPr>
          <w:rFonts w:hint="eastAsia" w:ascii="宋体" w:hAnsi="宋体" w:eastAsia="宋体" w:cs="宋体"/>
          <w:color w:val="000000"/>
          <w:kern w:val="0"/>
          <w:sz w:val="24"/>
          <w:shd w:val="clear" w:color="auto" w:fill="FFFFFF"/>
        </w:rPr>
        <w:br w:type="page"/>
      </w:r>
      <w:r>
        <w:rPr>
          <w:rFonts w:hint="eastAsia" w:ascii="宋体" w:hAnsi="宋体" w:eastAsia="宋体" w:cs="宋体"/>
          <w:sz w:val="24"/>
        </w:rPr>
        <w:t>附1</w:t>
      </w:r>
    </w:p>
    <w:p w14:paraId="438E8A1E">
      <w:pPr>
        <w:spacing w:line="560" w:lineRule="exact"/>
        <w:jc w:val="center"/>
        <w:rPr>
          <w:rFonts w:ascii="宋体" w:hAnsi="宋体" w:eastAsia="宋体" w:cs="宋体"/>
          <w:b/>
          <w:bCs/>
          <w:sz w:val="32"/>
          <w:szCs w:val="32"/>
        </w:rPr>
      </w:pPr>
      <w:r>
        <w:rPr>
          <w:rFonts w:hint="eastAsia" w:ascii="宋体" w:hAnsi="宋体" w:eastAsia="宋体" w:cs="宋体"/>
          <w:b/>
          <w:bCs/>
          <w:sz w:val="32"/>
          <w:szCs w:val="32"/>
        </w:rPr>
        <w:t>境外并购涉及的中国相关法规和文件</w:t>
      </w:r>
    </w:p>
    <w:p w14:paraId="47187611">
      <w:pPr>
        <w:spacing w:line="560" w:lineRule="exact"/>
        <w:ind w:firstLine="640" w:firstLineChars="200"/>
        <w:jc w:val="center"/>
        <w:rPr>
          <w:rFonts w:ascii="仿宋_GB2312" w:hAnsi="仿宋" w:eastAsia="仿宋_GB2312" w:cs="仿宋"/>
          <w:sz w:val="32"/>
          <w:szCs w:val="32"/>
        </w:rPr>
      </w:pP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8"/>
        <w:gridCol w:w="4122"/>
        <w:gridCol w:w="2676"/>
      </w:tblGrid>
      <w:tr w14:paraId="7BC7D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008" w:type="pct"/>
            <w:vAlign w:val="center"/>
          </w:tcPr>
          <w:p w14:paraId="7366F65A">
            <w:pPr>
              <w:spacing w:line="300" w:lineRule="auto"/>
              <w:jc w:val="center"/>
              <w:rPr>
                <w:rFonts w:ascii="仿宋_GB2312" w:hAnsi="仿宋" w:eastAsia="仿宋_GB2312" w:cs="仿宋"/>
                <w:b/>
                <w:bCs/>
                <w:color w:val="000000"/>
                <w:kern w:val="0"/>
                <w:szCs w:val="21"/>
              </w:rPr>
            </w:pPr>
            <w:r>
              <w:rPr>
                <w:rFonts w:hint="eastAsia" w:ascii="仿宋_GB2312" w:hAnsi="仿宋" w:eastAsia="仿宋_GB2312" w:cs="仿宋"/>
                <w:b/>
                <w:bCs/>
                <w:color w:val="000000"/>
                <w:kern w:val="0"/>
                <w:szCs w:val="21"/>
              </w:rPr>
              <w:t>发文单位</w:t>
            </w:r>
          </w:p>
        </w:tc>
        <w:tc>
          <w:tcPr>
            <w:tcW w:w="2420" w:type="pct"/>
            <w:vAlign w:val="center"/>
          </w:tcPr>
          <w:p w14:paraId="7A60F6E3">
            <w:pPr>
              <w:spacing w:line="300" w:lineRule="auto"/>
              <w:jc w:val="center"/>
              <w:rPr>
                <w:rFonts w:ascii="仿宋_GB2312" w:hAnsi="仿宋" w:eastAsia="仿宋_GB2312" w:cs="仿宋"/>
                <w:b/>
                <w:bCs/>
                <w:color w:val="000000"/>
                <w:kern w:val="0"/>
                <w:szCs w:val="21"/>
              </w:rPr>
            </w:pPr>
            <w:r>
              <w:rPr>
                <w:rFonts w:hint="eastAsia" w:ascii="仿宋_GB2312" w:hAnsi="仿宋" w:eastAsia="仿宋_GB2312" w:cs="仿宋"/>
                <w:b/>
                <w:bCs/>
                <w:color w:val="000000"/>
                <w:kern w:val="0"/>
                <w:szCs w:val="21"/>
              </w:rPr>
              <w:t>法规和文件</w:t>
            </w:r>
          </w:p>
        </w:tc>
        <w:tc>
          <w:tcPr>
            <w:tcW w:w="1571" w:type="pct"/>
            <w:vAlign w:val="center"/>
          </w:tcPr>
          <w:p w14:paraId="5F7DFDB5">
            <w:pPr>
              <w:spacing w:line="300" w:lineRule="auto"/>
              <w:jc w:val="center"/>
              <w:rPr>
                <w:rFonts w:ascii="仿宋_GB2312" w:hAnsi="仿宋" w:eastAsia="仿宋_GB2312" w:cs="仿宋"/>
                <w:b/>
                <w:bCs/>
                <w:color w:val="000000"/>
                <w:kern w:val="0"/>
                <w:szCs w:val="21"/>
              </w:rPr>
            </w:pPr>
            <w:r>
              <w:rPr>
                <w:rFonts w:hint="eastAsia" w:ascii="仿宋_GB2312" w:hAnsi="仿宋" w:eastAsia="仿宋_GB2312" w:cs="仿宋"/>
                <w:b/>
                <w:bCs/>
                <w:color w:val="000000"/>
                <w:kern w:val="0"/>
                <w:szCs w:val="21"/>
              </w:rPr>
              <w:t>发布文号及时间</w:t>
            </w:r>
          </w:p>
        </w:tc>
      </w:tr>
      <w:tr w14:paraId="4858A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8" w:type="pct"/>
            <w:vAlign w:val="center"/>
          </w:tcPr>
          <w:p w14:paraId="49D2B447">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国务院</w:t>
            </w:r>
          </w:p>
        </w:tc>
        <w:tc>
          <w:tcPr>
            <w:tcW w:w="2420" w:type="pct"/>
            <w:vAlign w:val="center"/>
          </w:tcPr>
          <w:p w14:paraId="268EA128">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《中华人民共和国外汇管理条例》</w:t>
            </w:r>
          </w:p>
        </w:tc>
        <w:tc>
          <w:tcPr>
            <w:tcW w:w="1571" w:type="pct"/>
            <w:vAlign w:val="center"/>
          </w:tcPr>
          <w:p w14:paraId="35DF7272">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国务院令第532号（2008年）</w:t>
            </w:r>
          </w:p>
        </w:tc>
      </w:tr>
      <w:tr w14:paraId="0837F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8" w:type="pct"/>
            <w:vAlign w:val="center"/>
          </w:tcPr>
          <w:p w14:paraId="3636B6C6">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发展改革委</w:t>
            </w:r>
          </w:p>
        </w:tc>
        <w:tc>
          <w:tcPr>
            <w:tcW w:w="2420" w:type="pct"/>
            <w:vAlign w:val="center"/>
          </w:tcPr>
          <w:p w14:paraId="03383CDE">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《企业境外投资管理办法》</w:t>
            </w:r>
          </w:p>
        </w:tc>
        <w:tc>
          <w:tcPr>
            <w:tcW w:w="1571" w:type="pct"/>
            <w:vAlign w:val="center"/>
          </w:tcPr>
          <w:p w14:paraId="01E356E3">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国家发展和改革委员会令第11号（2017年）</w:t>
            </w:r>
          </w:p>
        </w:tc>
      </w:tr>
      <w:tr w14:paraId="6D05A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8" w:type="pct"/>
            <w:vAlign w:val="center"/>
          </w:tcPr>
          <w:p w14:paraId="3F68F902">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发展改革委</w:t>
            </w:r>
          </w:p>
        </w:tc>
        <w:tc>
          <w:tcPr>
            <w:tcW w:w="2420" w:type="pct"/>
            <w:vAlign w:val="center"/>
          </w:tcPr>
          <w:p w14:paraId="539DD449">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《境外投资敏感行业目录（2018年版）》</w:t>
            </w:r>
          </w:p>
        </w:tc>
        <w:tc>
          <w:tcPr>
            <w:tcW w:w="1571" w:type="pct"/>
            <w:vAlign w:val="center"/>
          </w:tcPr>
          <w:p w14:paraId="4F1920B2">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发改外资〔2018〕251号</w:t>
            </w:r>
          </w:p>
        </w:tc>
      </w:tr>
      <w:tr w14:paraId="23693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8" w:type="pct"/>
            <w:vAlign w:val="center"/>
          </w:tcPr>
          <w:p w14:paraId="7886F3A7">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财政部</w:t>
            </w:r>
          </w:p>
        </w:tc>
        <w:tc>
          <w:tcPr>
            <w:tcW w:w="2420" w:type="pct"/>
            <w:vAlign w:val="center"/>
          </w:tcPr>
          <w:p w14:paraId="2C4BAB84">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《国有企业境外投资财务管理办法》</w:t>
            </w:r>
          </w:p>
        </w:tc>
        <w:tc>
          <w:tcPr>
            <w:tcW w:w="1571" w:type="pct"/>
            <w:vAlign w:val="center"/>
          </w:tcPr>
          <w:p w14:paraId="5E1C1A5B">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财资〔2017〕24号</w:t>
            </w:r>
          </w:p>
        </w:tc>
      </w:tr>
      <w:tr w14:paraId="68653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8" w:type="pct"/>
            <w:vAlign w:val="center"/>
          </w:tcPr>
          <w:p w14:paraId="18331770">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商务部、外交部</w:t>
            </w:r>
          </w:p>
        </w:tc>
        <w:tc>
          <w:tcPr>
            <w:tcW w:w="2420" w:type="pct"/>
            <w:vAlign w:val="center"/>
          </w:tcPr>
          <w:p w14:paraId="56DBE862">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《对外投资国别产业导向目录（一）》</w:t>
            </w:r>
          </w:p>
        </w:tc>
        <w:tc>
          <w:tcPr>
            <w:tcW w:w="1571" w:type="pct"/>
            <w:vAlign w:val="center"/>
          </w:tcPr>
          <w:p w14:paraId="0EB7F8BC">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商合发〔2004〕294号</w:t>
            </w:r>
          </w:p>
        </w:tc>
      </w:tr>
      <w:tr w14:paraId="231ED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8" w:type="pct"/>
            <w:vAlign w:val="center"/>
          </w:tcPr>
          <w:p w14:paraId="3AF4907E">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商务部、外交部</w:t>
            </w:r>
          </w:p>
        </w:tc>
        <w:tc>
          <w:tcPr>
            <w:tcW w:w="2420" w:type="pct"/>
            <w:vAlign w:val="center"/>
          </w:tcPr>
          <w:p w14:paraId="07E59228">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《对外投资国别产业导向目录（二）》</w:t>
            </w:r>
          </w:p>
        </w:tc>
        <w:tc>
          <w:tcPr>
            <w:tcW w:w="1571" w:type="pct"/>
            <w:vAlign w:val="center"/>
          </w:tcPr>
          <w:p w14:paraId="284128A1">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商合发〔2005〕151号</w:t>
            </w:r>
          </w:p>
        </w:tc>
      </w:tr>
      <w:tr w14:paraId="21F49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8" w:type="pct"/>
            <w:vAlign w:val="center"/>
          </w:tcPr>
          <w:p w14:paraId="448E8D18">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商务部、外交部、发展改革委</w:t>
            </w:r>
          </w:p>
        </w:tc>
        <w:tc>
          <w:tcPr>
            <w:tcW w:w="2420" w:type="pct"/>
            <w:vAlign w:val="center"/>
          </w:tcPr>
          <w:p w14:paraId="29DD4620">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《对外投资国别产业导向目录（三）》</w:t>
            </w:r>
          </w:p>
        </w:tc>
        <w:tc>
          <w:tcPr>
            <w:tcW w:w="1571" w:type="pct"/>
            <w:vAlign w:val="center"/>
          </w:tcPr>
          <w:p w14:paraId="45EFAB6E">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商合发〔2007〕29号</w:t>
            </w:r>
          </w:p>
        </w:tc>
      </w:tr>
      <w:tr w14:paraId="44FDF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8" w:type="pct"/>
            <w:vAlign w:val="center"/>
          </w:tcPr>
          <w:p w14:paraId="2EE28433">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商务部、外交部、发展改革委</w:t>
            </w:r>
          </w:p>
        </w:tc>
        <w:tc>
          <w:tcPr>
            <w:tcW w:w="2420" w:type="pct"/>
            <w:vAlign w:val="center"/>
          </w:tcPr>
          <w:p w14:paraId="076ACA8A">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《对外投资国别产业指引（2011版）》</w:t>
            </w:r>
          </w:p>
        </w:tc>
        <w:tc>
          <w:tcPr>
            <w:tcW w:w="1571" w:type="pct"/>
            <w:vAlign w:val="center"/>
          </w:tcPr>
          <w:p w14:paraId="63F9E946">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商合函〔2011〕767号</w:t>
            </w:r>
          </w:p>
        </w:tc>
      </w:tr>
      <w:tr w14:paraId="4D0C2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8" w:type="pct"/>
            <w:vAlign w:val="center"/>
          </w:tcPr>
          <w:p w14:paraId="57355024">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商务部</w:t>
            </w:r>
          </w:p>
        </w:tc>
        <w:tc>
          <w:tcPr>
            <w:tcW w:w="2420" w:type="pct"/>
            <w:vAlign w:val="center"/>
          </w:tcPr>
          <w:p w14:paraId="5598467A">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《境外投资管理办法》</w:t>
            </w:r>
          </w:p>
        </w:tc>
        <w:tc>
          <w:tcPr>
            <w:tcW w:w="1571" w:type="pct"/>
            <w:vAlign w:val="center"/>
          </w:tcPr>
          <w:p w14:paraId="511A6774">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商务部令第3号（2014年）</w:t>
            </w:r>
          </w:p>
        </w:tc>
      </w:tr>
      <w:tr w14:paraId="71469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8" w:type="pct"/>
            <w:vAlign w:val="center"/>
          </w:tcPr>
          <w:p w14:paraId="0ED6A0D2">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国资委</w:t>
            </w:r>
          </w:p>
        </w:tc>
        <w:tc>
          <w:tcPr>
            <w:tcW w:w="2420" w:type="pct"/>
            <w:vAlign w:val="center"/>
          </w:tcPr>
          <w:p w14:paraId="6D4D7EC0">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《中央企业境外投资监督管理办法》</w:t>
            </w:r>
          </w:p>
        </w:tc>
        <w:tc>
          <w:tcPr>
            <w:tcW w:w="1571" w:type="pct"/>
            <w:vAlign w:val="center"/>
          </w:tcPr>
          <w:p w14:paraId="645618DB">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国资委令第35号（2017年）</w:t>
            </w:r>
          </w:p>
        </w:tc>
      </w:tr>
      <w:tr w14:paraId="03995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8" w:type="pct"/>
            <w:vAlign w:val="center"/>
          </w:tcPr>
          <w:p w14:paraId="2697F723">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外汇局</w:t>
            </w:r>
          </w:p>
        </w:tc>
        <w:tc>
          <w:tcPr>
            <w:tcW w:w="2420" w:type="pct"/>
            <w:vAlign w:val="center"/>
          </w:tcPr>
          <w:p w14:paraId="721F4DA6">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《境内机构境外直接投资外汇管理规定》</w:t>
            </w:r>
          </w:p>
        </w:tc>
        <w:tc>
          <w:tcPr>
            <w:tcW w:w="1571" w:type="pct"/>
            <w:vAlign w:val="center"/>
          </w:tcPr>
          <w:p w14:paraId="35A38F6F">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汇发〔2009〕30号</w:t>
            </w:r>
          </w:p>
        </w:tc>
      </w:tr>
    </w:tbl>
    <w:p w14:paraId="5015AC73">
      <w:pPr>
        <w:spacing w:line="620" w:lineRule="atLeast"/>
        <w:ind w:firstLine="630" w:firstLineChars="300"/>
        <w:rPr>
          <w:rFonts w:ascii="仿宋_GB2312" w:hAnsi="仿宋" w:eastAsia="仿宋_GB2312" w:cs="仿宋"/>
        </w:rPr>
      </w:pPr>
    </w:p>
    <w:p w14:paraId="50A39A36">
      <w:pPr>
        <w:spacing w:line="620" w:lineRule="atLeast"/>
        <w:ind w:firstLine="643" w:firstLineChars="200"/>
        <w:jc w:val="left"/>
        <w:rPr>
          <w:rFonts w:ascii="仿宋" w:hAnsi="仿宋" w:eastAsia="仿宋" w:cs="仿宋"/>
          <w:b/>
          <w:bCs/>
          <w:sz w:val="32"/>
          <w:szCs w:val="32"/>
        </w:rPr>
      </w:pPr>
    </w:p>
    <w:p w14:paraId="61FDB859">
      <w:pPr>
        <w:widowControl/>
        <w:spacing w:line="560" w:lineRule="exact"/>
        <w:jc w:val="left"/>
        <w:rPr>
          <w:rFonts w:ascii="宋体" w:hAnsi="宋体" w:eastAsia="宋体" w:cs="宋体"/>
          <w:b/>
          <w:bCs/>
          <w:sz w:val="24"/>
        </w:rPr>
      </w:pPr>
      <w:r>
        <w:rPr>
          <w:rFonts w:ascii="仿宋_GB2312" w:hAnsi="仿宋" w:eastAsia="仿宋_GB2312" w:cs="仿宋"/>
          <w:sz w:val="32"/>
          <w:szCs w:val="32"/>
        </w:rPr>
        <w:br w:type="page"/>
      </w:r>
      <w:r>
        <w:rPr>
          <w:rFonts w:hint="eastAsia" w:ascii="宋体" w:hAnsi="宋体" w:eastAsia="宋体" w:cs="宋体"/>
          <w:sz w:val="24"/>
        </w:rPr>
        <w:t>附2</w:t>
      </w:r>
    </w:p>
    <w:p w14:paraId="426C247E">
      <w:pPr>
        <w:spacing w:line="560" w:lineRule="exact"/>
        <w:jc w:val="center"/>
        <w:rPr>
          <w:rFonts w:ascii="宋体" w:hAnsi="宋体" w:eastAsia="宋体" w:cs="宋体"/>
          <w:b/>
          <w:bCs/>
          <w:sz w:val="32"/>
          <w:szCs w:val="32"/>
        </w:rPr>
      </w:pPr>
      <w:r>
        <w:rPr>
          <w:rFonts w:hint="eastAsia" w:ascii="宋体" w:hAnsi="宋体" w:eastAsia="宋体" w:cs="宋体"/>
          <w:b/>
          <w:bCs/>
          <w:sz w:val="32"/>
          <w:szCs w:val="32"/>
        </w:rPr>
        <w:t>境外并购涉及的部分国家相关</w:t>
      </w:r>
    </w:p>
    <w:p w14:paraId="408DF170">
      <w:pPr>
        <w:spacing w:line="560" w:lineRule="exact"/>
        <w:jc w:val="center"/>
        <w:rPr>
          <w:rFonts w:ascii="宋体" w:hAnsi="宋体" w:eastAsia="宋体" w:cs="宋体"/>
          <w:b/>
          <w:bCs/>
          <w:sz w:val="32"/>
          <w:szCs w:val="32"/>
        </w:rPr>
      </w:pPr>
      <w:r>
        <w:rPr>
          <w:rFonts w:hint="eastAsia" w:ascii="宋体" w:hAnsi="宋体" w:eastAsia="宋体" w:cs="宋体"/>
          <w:b/>
          <w:bCs/>
          <w:sz w:val="32"/>
          <w:szCs w:val="32"/>
        </w:rPr>
        <w:t>投资主管部门、法规和文件</w:t>
      </w:r>
    </w:p>
    <w:p w14:paraId="4C985F27">
      <w:pPr>
        <w:spacing w:line="560" w:lineRule="exact"/>
        <w:ind w:firstLine="420" w:firstLineChars="200"/>
        <w:jc w:val="left"/>
        <w:rPr>
          <w:rFonts w:ascii="仿宋_GB2312" w:hAnsi="仿宋" w:eastAsia="仿宋_GB2312" w:cs="仿宋"/>
        </w:rPr>
      </w:pP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2"/>
        <w:gridCol w:w="2488"/>
        <w:gridCol w:w="4716"/>
      </w:tblGrid>
      <w:tr w14:paraId="2D32F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770" w:type="pct"/>
            <w:vAlign w:val="center"/>
          </w:tcPr>
          <w:p w14:paraId="587AEA8C">
            <w:pPr>
              <w:spacing w:line="300" w:lineRule="auto"/>
              <w:jc w:val="center"/>
              <w:rPr>
                <w:rFonts w:ascii="仿宋_GB2312" w:hAnsi="仿宋" w:eastAsia="仿宋_GB2312" w:cs="仿宋"/>
                <w:b/>
                <w:bCs/>
                <w:color w:val="000000"/>
                <w:kern w:val="0"/>
                <w:szCs w:val="21"/>
              </w:rPr>
            </w:pPr>
            <w:r>
              <w:rPr>
                <w:rFonts w:hint="eastAsia" w:ascii="仿宋_GB2312" w:hAnsi="仿宋" w:eastAsia="仿宋_GB2312" w:cs="仿宋"/>
                <w:b/>
                <w:bCs/>
                <w:color w:val="000000"/>
                <w:kern w:val="0"/>
                <w:szCs w:val="21"/>
              </w:rPr>
              <w:t>国家</w:t>
            </w:r>
          </w:p>
        </w:tc>
        <w:tc>
          <w:tcPr>
            <w:tcW w:w="1461" w:type="pct"/>
            <w:vAlign w:val="center"/>
          </w:tcPr>
          <w:p w14:paraId="73672508">
            <w:pPr>
              <w:spacing w:line="300" w:lineRule="auto"/>
              <w:jc w:val="center"/>
              <w:rPr>
                <w:rFonts w:ascii="仿宋_GB2312" w:hAnsi="仿宋" w:eastAsia="仿宋_GB2312" w:cs="仿宋"/>
                <w:b/>
                <w:bCs/>
                <w:color w:val="000000"/>
                <w:kern w:val="0"/>
                <w:szCs w:val="21"/>
              </w:rPr>
            </w:pPr>
            <w:r>
              <w:rPr>
                <w:rFonts w:hint="eastAsia" w:ascii="仿宋_GB2312" w:hAnsi="仿宋" w:eastAsia="仿宋_GB2312" w:cs="仿宋"/>
                <w:b/>
                <w:bCs/>
                <w:color w:val="000000"/>
                <w:kern w:val="0"/>
                <w:szCs w:val="21"/>
              </w:rPr>
              <w:t>相关投资主管部门</w:t>
            </w:r>
          </w:p>
        </w:tc>
        <w:tc>
          <w:tcPr>
            <w:tcW w:w="2768" w:type="pct"/>
            <w:vAlign w:val="center"/>
          </w:tcPr>
          <w:p w14:paraId="5290D2F9">
            <w:pPr>
              <w:spacing w:line="300" w:lineRule="auto"/>
              <w:jc w:val="center"/>
              <w:rPr>
                <w:rFonts w:ascii="仿宋_GB2312" w:hAnsi="仿宋" w:eastAsia="仿宋_GB2312" w:cs="仿宋"/>
                <w:b/>
                <w:bCs/>
                <w:color w:val="000000"/>
                <w:kern w:val="0"/>
                <w:szCs w:val="21"/>
              </w:rPr>
            </w:pPr>
            <w:r>
              <w:rPr>
                <w:rFonts w:hint="eastAsia" w:ascii="仿宋_GB2312" w:hAnsi="仿宋" w:eastAsia="仿宋_GB2312" w:cs="仿宋"/>
                <w:b/>
                <w:bCs/>
                <w:color w:val="000000"/>
                <w:kern w:val="0"/>
                <w:szCs w:val="21"/>
              </w:rPr>
              <w:t>法规和文件</w:t>
            </w:r>
          </w:p>
        </w:tc>
      </w:tr>
      <w:tr w14:paraId="4CB04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0" w:type="pct"/>
            <w:vAlign w:val="center"/>
          </w:tcPr>
          <w:p w14:paraId="7E0B26F0">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美国</w:t>
            </w:r>
          </w:p>
        </w:tc>
        <w:tc>
          <w:tcPr>
            <w:tcW w:w="1461" w:type="pct"/>
            <w:vAlign w:val="center"/>
          </w:tcPr>
          <w:p w14:paraId="12F482B2">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商务部、外国投资委员会（CFIUS）</w:t>
            </w:r>
          </w:p>
        </w:tc>
        <w:tc>
          <w:tcPr>
            <w:tcW w:w="2768" w:type="pct"/>
            <w:vAlign w:val="center"/>
          </w:tcPr>
          <w:p w14:paraId="3C788487">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《哈特斯科特罗迪诺反垄断改进法》（1976年）、《综合贸易与竞争法案》（1988年）、《外国投资与国家安全法案》（2007年）、《外国投资风险审查现代化法案》（2018年）</w:t>
            </w:r>
          </w:p>
        </w:tc>
      </w:tr>
      <w:tr w14:paraId="0E03B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0" w:type="pct"/>
            <w:vAlign w:val="center"/>
          </w:tcPr>
          <w:p w14:paraId="3A1EE2B3">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加拿大</w:t>
            </w:r>
          </w:p>
        </w:tc>
        <w:tc>
          <w:tcPr>
            <w:tcW w:w="1461" w:type="pct"/>
            <w:vAlign w:val="center"/>
          </w:tcPr>
          <w:p w14:paraId="42FD5AB8">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全球事务部、创新科学与经济发展部、遗产部、投资署</w:t>
            </w:r>
          </w:p>
        </w:tc>
        <w:tc>
          <w:tcPr>
            <w:tcW w:w="2768" w:type="pct"/>
            <w:vAlign w:val="center"/>
          </w:tcPr>
          <w:p w14:paraId="7497B7B0">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《加拿大投资法》（1985年）、《加拿大商标和反不正当竞争法》（1985年）、《关于投资的国家安全审查条例》（2000年）</w:t>
            </w:r>
          </w:p>
        </w:tc>
      </w:tr>
      <w:tr w14:paraId="644A3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0" w:type="pct"/>
            <w:vAlign w:val="center"/>
          </w:tcPr>
          <w:p w14:paraId="61EEAC75">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英国</w:t>
            </w:r>
          </w:p>
        </w:tc>
        <w:tc>
          <w:tcPr>
            <w:tcW w:w="1461" w:type="pct"/>
            <w:vAlign w:val="center"/>
          </w:tcPr>
          <w:p w14:paraId="2A2189D3">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国际贸易部贸易投资总司、竞争与市场管理局</w:t>
            </w:r>
          </w:p>
        </w:tc>
        <w:tc>
          <w:tcPr>
            <w:tcW w:w="2768" w:type="pct"/>
            <w:vAlign w:val="center"/>
          </w:tcPr>
          <w:p w14:paraId="5500D2DE">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《企业法》（2002年）及相关修正案、《收购守则》（2002年）、《国家安全与投资白皮书》（2018年）</w:t>
            </w:r>
          </w:p>
        </w:tc>
      </w:tr>
      <w:tr w14:paraId="3657F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0" w:type="pct"/>
            <w:vAlign w:val="center"/>
          </w:tcPr>
          <w:p w14:paraId="78F768E9">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德国</w:t>
            </w:r>
          </w:p>
        </w:tc>
        <w:tc>
          <w:tcPr>
            <w:tcW w:w="1461" w:type="pct"/>
            <w:vAlign w:val="center"/>
          </w:tcPr>
          <w:p w14:paraId="1C633AC8">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联邦经济与技术部、联邦经济和能源部</w:t>
            </w:r>
          </w:p>
        </w:tc>
        <w:tc>
          <w:tcPr>
            <w:tcW w:w="2768" w:type="pct"/>
            <w:vAlign w:val="center"/>
          </w:tcPr>
          <w:p w14:paraId="2B74951B">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《对外经济法》（1961年）及相关修正案、《对外经济条例》（2020年）</w:t>
            </w:r>
          </w:p>
        </w:tc>
      </w:tr>
      <w:tr w14:paraId="73FA0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0" w:type="pct"/>
            <w:vAlign w:val="center"/>
          </w:tcPr>
          <w:p w14:paraId="728614CF">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法国</w:t>
            </w:r>
          </w:p>
        </w:tc>
        <w:tc>
          <w:tcPr>
            <w:tcW w:w="1461" w:type="pct"/>
            <w:vAlign w:val="center"/>
          </w:tcPr>
          <w:p w14:paraId="1AD982CE">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商务投资署</w:t>
            </w:r>
          </w:p>
        </w:tc>
        <w:tc>
          <w:tcPr>
            <w:tcW w:w="2768" w:type="pct"/>
            <w:vAlign w:val="center"/>
          </w:tcPr>
          <w:p w14:paraId="57D8FC0B">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《66-1008号法令》（1966年）、《96-117号法令》（1996年）、《2000-1223号法令》（2000年）</w:t>
            </w:r>
          </w:p>
        </w:tc>
      </w:tr>
      <w:tr w14:paraId="594AB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0" w:type="pct"/>
            <w:vAlign w:val="center"/>
          </w:tcPr>
          <w:p w14:paraId="454CFD55">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俄罗斯</w:t>
            </w:r>
          </w:p>
        </w:tc>
        <w:tc>
          <w:tcPr>
            <w:tcW w:w="1461" w:type="pct"/>
            <w:vAlign w:val="center"/>
          </w:tcPr>
          <w:p w14:paraId="1E64DA6C">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联邦政府外国投资者监管委员会、联邦反垄断署</w:t>
            </w:r>
          </w:p>
        </w:tc>
        <w:tc>
          <w:tcPr>
            <w:tcW w:w="2768" w:type="pct"/>
            <w:vAlign w:val="center"/>
          </w:tcPr>
          <w:p w14:paraId="2EA8177A">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《俄罗斯联邦外国投资法》（2011年）、《战略领域外国投资法》（2008年）、《俄罗斯联邦反垄断法》（1990年）</w:t>
            </w:r>
          </w:p>
        </w:tc>
      </w:tr>
      <w:tr w14:paraId="33670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0" w:type="pct"/>
            <w:vAlign w:val="center"/>
          </w:tcPr>
          <w:p w14:paraId="36136F7F">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意大利</w:t>
            </w:r>
          </w:p>
        </w:tc>
        <w:tc>
          <w:tcPr>
            <w:tcW w:w="1461" w:type="pct"/>
            <w:vAlign w:val="center"/>
          </w:tcPr>
          <w:p w14:paraId="7E2CDBBA">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经济发展部、投资发展署、竞争和市场局</w:t>
            </w:r>
          </w:p>
        </w:tc>
        <w:tc>
          <w:tcPr>
            <w:tcW w:w="2768" w:type="pct"/>
            <w:vAlign w:val="center"/>
          </w:tcPr>
          <w:p w14:paraId="64A7DA6D">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《竞争和公平交易法》（2013年）、《意大利目的地法令》（2014年）</w:t>
            </w:r>
          </w:p>
        </w:tc>
      </w:tr>
      <w:tr w14:paraId="49CAF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0" w:type="pct"/>
            <w:vAlign w:val="center"/>
          </w:tcPr>
          <w:p w14:paraId="4B3474FD">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巴西</w:t>
            </w:r>
          </w:p>
        </w:tc>
        <w:tc>
          <w:tcPr>
            <w:tcW w:w="1461" w:type="pct"/>
            <w:vAlign w:val="center"/>
          </w:tcPr>
          <w:p w14:paraId="58B54B5A">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经济部下属投资伙伴计划秘书处、出口与投资促进局、外贸委员会执行秘书处下属直接投资服务机构</w:t>
            </w:r>
          </w:p>
        </w:tc>
        <w:tc>
          <w:tcPr>
            <w:tcW w:w="2768" w:type="pct"/>
            <w:vAlign w:val="center"/>
          </w:tcPr>
          <w:p w14:paraId="14752A89">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《外国资本法》（1962年）及相关修正案、《外资管理法施行细则》（1965年）、《反垄断法》（2011年）、《促进公私合营法案-投资伙伴计划》（2016年）</w:t>
            </w:r>
          </w:p>
        </w:tc>
      </w:tr>
      <w:tr w14:paraId="7F75F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0" w:type="pct"/>
            <w:vAlign w:val="center"/>
          </w:tcPr>
          <w:p w14:paraId="48B39811">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澳大利亚</w:t>
            </w:r>
          </w:p>
        </w:tc>
        <w:tc>
          <w:tcPr>
            <w:tcW w:w="1461" w:type="pct"/>
            <w:vAlign w:val="center"/>
          </w:tcPr>
          <w:p w14:paraId="6F857771">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外国投资审查委员会</w:t>
            </w:r>
          </w:p>
        </w:tc>
        <w:tc>
          <w:tcPr>
            <w:tcW w:w="2768" w:type="pct"/>
            <w:vAlign w:val="center"/>
          </w:tcPr>
          <w:p w14:paraId="37ACC360">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外国收购与接管法》（1975年）及相关修正案、《金融产业（持股）法》（1998年）、《农业领域外国投资政策声明》（2012年）、《外国收购与接管条例》（2015年）、《外国收购与接管费用征收法》（2015年）、《外国收购与接管费用征收条例》（2015年）</w:t>
            </w:r>
          </w:p>
        </w:tc>
      </w:tr>
      <w:tr w14:paraId="0353D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0" w:type="pct"/>
            <w:vAlign w:val="center"/>
          </w:tcPr>
          <w:p w14:paraId="4701D608">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新西兰</w:t>
            </w:r>
          </w:p>
        </w:tc>
        <w:tc>
          <w:tcPr>
            <w:tcW w:w="1461" w:type="pct"/>
            <w:vAlign w:val="center"/>
          </w:tcPr>
          <w:p w14:paraId="3C0250C6">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贸发局、海外投资办公室</w:t>
            </w:r>
          </w:p>
        </w:tc>
        <w:tc>
          <w:tcPr>
            <w:tcW w:w="2768" w:type="pct"/>
            <w:vAlign w:val="center"/>
          </w:tcPr>
          <w:p w14:paraId="29404250">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《收购法典》（2000年）、《收购法典批准规则》（2000年）、《海外投资法案》（2005年）及相关修正案</w:t>
            </w:r>
          </w:p>
        </w:tc>
      </w:tr>
      <w:tr w14:paraId="17D99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0" w:type="pct"/>
            <w:vAlign w:val="center"/>
          </w:tcPr>
          <w:p w14:paraId="3CCDF8F8">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日本</w:t>
            </w:r>
          </w:p>
        </w:tc>
        <w:tc>
          <w:tcPr>
            <w:tcW w:w="1461" w:type="pct"/>
            <w:vAlign w:val="center"/>
          </w:tcPr>
          <w:p w14:paraId="0E100FF3">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大藏省、经济产业省、日本贸易振兴机构、外资审议会</w:t>
            </w:r>
          </w:p>
        </w:tc>
        <w:tc>
          <w:tcPr>
            <w:tcW w:w="2768" w:type="pct"/>
            <w:vAlign w:val="center"/>
          </w:tcPr>
          <w:p w14:paraId="05D8387D">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《外汇及外贸管理法》（1980年）及相关修正案</w:t>
            </w:r>
          </w:p>
        </w:tc>
      </w:tr>
      <w:tr w14:paraId="1F1F5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0" w:type="pct"/>
            <w:vAlign w:val="center"/>
          </w:tcPr>
          <w:p w14:paraId="44D4C40F">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韩国</w:t>
            </w:r>
          </w:p>
        </w:tc>
        <w:tc>
          <w:tcPr>
            <w:tcW w:w="1461" w:type="pct"/>
            <w:vAlign w:val="center"/>
          </w:tcPr>
          <w:p w14:paraId="3E8161DD">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产业通商资源部、大韩贸易投资振兴公社、外国人投资事务委员会</w:t>
            </w:r>
          </w:p>
        </w:tc>
        <w:tc>
          <w:tcPr>
            <w:tcW w:w="2768" w:type="pct"/>
            <w:vAlign w:val="center"/>
          </w:tcPr>
          <w:p w14:paraId="364D48BD">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《外国人投资促进法》（2007年）及其施行令、《外国人投资综合公告》（2020年）</w:t>
            </w:r>
          </w:p>
        </w:tc>
      </w:tr>
      <w:tr w14:paraId="188DA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0" w:type="pct"/>
            <w:vAlign w:val="center"/>
          </w:tcPr>
          <w:p w14:paraId="6326DEE4">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新加坡</w:t>
            </w:r>
          </w:p>
        </w:tc>
        <w:tc>
          <w:tcPr>
            <w:tcW w:w="1461" w:type="pct"/>
            <w:vAlign w:val="center"/>
          </w:tcPr>
          <w:p w14:paraId="6F01C0D7">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经济发展局</w:t>
            </w:r>
          </w:p>
        </w:tc>
        <w:tc>
          <w:tcPr>
            <w:tcW w:w="2768" w:type="pct"/>
            <w:vAlign w:val="center"/>
          </w:tcPr>
          <w:p w14:paraId="04A89E19">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《合同法》（1965年）及相关修正案、《公司法》（1994年）及其附属法规</w:t>
            </w:r>
          </w:p>
        </w:tc>
      </w:tr>
      <w:tr w14:paraId="5D9C9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0" w:type="pct"/>
            <w:vAlign w:val="center"/>
          </w:tcPr>
          <w:p w14:paraId="655BF20B">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印度</w:t>
            </w:r>
          </w:p>
        </w:tc>
        <w:tc>
          <w:tcPr>
            <w:tcW w:w="1461" w:type="pct"/>
            <w:vAlign w:val="center"/>
          </w:tcPr>
          <w:p w14:paraId="1D2F9142">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商工部下属工业和内贸促进局、投资署、中央银行、财政部、竞争委员会、内阁经济委员会</w:t>
            </w:r>
          </w:p>
        </w:tc>
        <w:tc>
          <w:tcPr>
            <w:tcW w:w="2768" w:type="pct"/>
            <w:vAlign w:val="center"/>
          </w:tcPr>
          <w:p w14:paraId="668797D1">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《竞争法》（2002年）及相关修正案、《印度竞争法委员会（关于合并的交易步骤）实施细则》（2019年）</w:t>
            </w:r>
          </w:p>
        </w:tc>
      </w:tr>
      <w:tr w14:paraId="58EE1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0" w:type="pct"/>
            <w:vAlign w:val="center"/>
          </w:tcPr>
          <w:p w14:paraId="62620A7D">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越南</w:t>
            </w:r>
          </w:p>
        </w:tc>
        <w:tc>
          <w:tcPr>
            <w:tcW w:w="1461" w:type="pct"/>
            <w:vAlign w:val="center"/>
          </w:tcPr>
          <w:p w14:paraId="75471EB6">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计划投资部</w:t>
            </w:r>
          </w:p>
        </w:tc>
        <w:tc>
          <w:tcPr>
            <w:tcW w:w="2768" w:type="pct"/>
            <w:vAlign w:val="center"/>
          </w:tcPr>
          <w:p w14:paraId="4A1CD8DE">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《投资法》（2020年）</w:t>
            </w:r>
          </w:p>
        </w:tc>
      </w:tr>
      <w:tr w14:paraId="067A7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0" w:type="pct"/>
            <w:vAlign w:val="center"/>
          </w:tcPr>
          <w:p w14:paraId="38FEB5CE">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柬埔寨</w:t>
            </w:r>
          </w:p>
        </w:tc>
        <w:tc>
          <w:tcPr>
            <w:tcW w:w="1461" w:type="pct"/>
            <w:vAlign w:val="center"/>
          </w:tcPr>
          <w:p w14:paraId="58D4DE8A">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发展理事会、内阁办公厅</w:t>
            </w:r>
          </w:p>
        </w:tc>
        <w:tc>
          <w:tcPr>
            <w:tcW w:w="2768" w:type="pct"/>
            <w:vAlign w:val="center"/>
          </w:tcPr>
          <w:p w14:paraId="139061F2">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《投资法》（1994年）及相关修正案、《投资法修正法实施细则》（2005年）、《矿产勘探和工业开采执照管理条例》（2016年）</w:t>
            </w:r>
          </w:p>
        </w:tc>
      </w:tr>
      <w:tr w14:paraId="4E21A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0" w:type="pct"/>
            <w:vAlign w:val="center"/>
          </w:tcPr>
          <w:p w14:paraId="6595E0E3">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印度尼西亚</w:t>
            </w:r>
          </w:p>
        </w:tc>
        <w:tc>
          <w:tcPr>
            <w:tcW w:w="1461" w:type="pct"/>
            <w:vAlign w:val="center"/>
          </w:tcPr>
          <w:p w14:paraId="19AB570B">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投资协调委员会、财政部、能矿部</w:t>
            </w:r>
          </w:p>
        </w:tc>
        <w:tc>
          <w:tcPr>
            <w:tcW w:w="2768" w:type="pct"/>
            <w:vAlign w:val="center"/>
          </w:tcPr>
          <w:p w14:paraId="44BA9D47">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投资法》（2007年）、《关于有条件的封闭式和开放式投资行业的标准与条件的第76号总统决定》（2007年）、《关于有条件的封闭式和开放式行业名单的第77号总统决定》（2007年）、《矿产和煤炭法》（2009年）、《禁止类、限制类投资产业目录》（2016年）</w:t>
            </w:r>
          </w:p>
        </w:tc>
      </w:tr>
      <w:tr w14:paraId="3CA87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0" w:type="pct"/>
            <w:vAlign w:val="center"/>
          </w:tcPr>
          <w:p w14:paraId="7449C80C">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巴基斯坦</w:t>
            </w:r>
          </w:p>
        </w:tc>
        <w:tc>
          <w:tcPr>
            <w:tcW w:w="1461" w:type="pct"/>
            <w:vAlign w:val="center"/>
          </w:tcPr>
          <w:p w14:paraId="4305757C">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投资委员会</w:t>
            </w:r>
          </w:p>
        </w:tc>
        <w:tc>
          <w:tcPr>
            <w:tcW w:w="2768" w:type="pct"/>
            <w:vAlign w:val="center"/>
          </w:tcPr>
          <w:p w14:paraId="1E083978">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外汇管制法》（1947年）、《外国私人投资（促进与保护）法案》（1976年）、《经济改革促进和保护法案》（1992年）、《投资委员会法令》（2001年）、《竞争（并购控制）条例》（2007年）、《竞争法》（2010年）、《公司法案》（2017年）</w:t>
            </w:r>
          </w:p>
        </w:tc>
      </w:tr>
      <w:tr w14:paraId="23B37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0" w:type="pct"/>
            <w:vAlign w:val="center"/>
          </w:tcPr>
          <w:p w14:paraId="68BEFA58">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沙特阿拉伯</w:t>
            </w:r>
          </w:p>
        </w:tc>
        <w:tc>
          <w:tcPr>
            <w:tcW w:w="1461" w:type="pct"/>
            <w:vAlign w:val="center"/>
          </w:tcPr>
          <w:p w14:paraId="5D7A3185">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最高经济委员会、商业投资部、货币局、资本市场局、竞争监管局</w:t>
            </w:r>
          </w:p>
        </w:tc>
        <w:tc>
          <w:tcPr>
            <w:tcW w:w="2768" w:type="pct"/>
            <w:vAlign w:val="center"/>
          </w:tcPr>
          <w:p w14:paraId="5B35E8CF">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《并购规则》（2007年）、《公司法》（2016年）、《竞争与政府采购法》（2019年）</w:t>
            </w:r>
          </w:p>
        </w:tc>
      </w:tr>
      <w:tr w14:paraId="5CCE7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0" w:type="pct"/>
            <w:vAlign w:val="center"/>
          </w:tcPr>
          <w:p w14:paraId="770D95A5">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土耳其</w:t>
            </w:r>
          </w:p>
        </w:tc>
        <w:tc>
          <w:tcPr>
            <w:tcW w:w="1461" w:type="pct"/>
            <w:vAlign w:val="center"/>
          </w:tcPr>
          <w:p w14:paraId="104213C6">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贸易部</w:t>
            </w:r>
          </w:p>
        </w:tc>
        <w:tc>
          <w:tcPr>
            <w:tcW w:w="2768" w:type="pct"/>
            <w:vAlign w:val="center"/>
          </w:tcPr>
          <w:p w14:paraId="3751294B">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《外国直接投资法》（第4875号）、《鼓励投资和就业法》（第5084号）、《新土耳其商法典》（第6102号）、《土耳其商法典的效力与实施法》（第6103号）</w:t>
            </w:r>
          </w:p>
        </w:tc>
      </w:tr>
      <w:tr w14:paraId="7920C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0" w:type="pct"/>
            <w:vAlign w:val="center"/>
          </w:tcPr>
          <w:p w14:paraId="349400D2">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哈萨克斯坦</w:t>
            </w:r>
          </w:p>
        </w:tc>
        <w:tc>
          <w:tcPr>
            <w:tcW w:w="1461" w:type="pct"/>
            <w:vAlign w:val="center"/>
          </w:tcPr>
          <w:p w14:paraId="34DEE588">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阿斯塔纳国际金融中心管理局</w:t>
            </w:r>
          </w:p>
        </w:tc>
        <w:tc>
          <w:tcPr>
            <w:tcW w:w="2768" w:type="pct"/>
            <w:vAlign w:val="center"/>
          </w:tcPr>
          <w:p w14:paraId="503B9639">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《投资法》（2003年）、《矿产法》（2005年）、《反垄断法》（2008年）、《哈萨克斯坦地下资源及地下资源利用法》（2010年）、《企业经营法典》（2015年）</w:t>
            </w:r>
          </w:p>
        </w:tc>
      </w:tr>
      <w:tr w14:paraId="1EDC2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0" w:type="pct"/>
            <w:vAlign w:val="center"/>
          </w:tcPr>
          <w:p w14:paraId="06AABDB4">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蒙古</w:t>
            </w:r>
          </w:p>
        </w:tc>
        <w:tc>
          <w:tcPr>
            <w:tcW w:w="1461" w:type="pct"/>
            <w:vAlign w:val="center"/>
          </w:tcPr>
          <w:p w14:paraId="4844A2D0">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外国投资局、公平竞争与消费者权益保护局</w:t>
            </w:r>
          </w:p>
        </w:tc>
        <w:tc>
          <w:tcPr>
            <w:tcW w:w="2768" w:type="pct"/>
            <w:vAlign w:val="center"/>
          </w:tcPr>
          <w:p w14:paraId="4511D0FA">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《竞争法》（2010年）、《投资法》（2013年）</w:t>
            </w:r>
          </w:p>
        </w:tc>
      </w:tr>
      <w:tr w14:paraId="3A668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0" w:type="pct"/>
            <w:vAlign w:val="center"/>
          </w:tcPr>
          <w:p w14:paraId="6CC85F1B">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以色列</w:t>
            </w:r>
          </w:p>
        </w:tc>
        <w:tc>
          <w:tcPr>
            <w:tcW w:w="1461" w:type="pct"/>
            <w:vAlign w:val="center"/>
          </w:tcPr>
          <w:p w14:paraId="6014083E">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经济部、投资促进中心、外商投资咨询委员会、反垄断局</w:t>
            </w:r>
          </w:p>
        </w:tc>
        <w:tc>
          <w:tcPr>
            <w:tcW w:w="2768" w:type="pct"/>
            <w:vAlign w:val="center"/>
          </w:tcPr>
          <w:p w14:paraId="4507B220">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《贸易实践限制法》（1988年）、《公司条令》（2000年）</w:t>
            </w:r>
          </w:p>
        </w:tc>
      </w:tr>
      <w:tr w14:paraId="2EA07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0" w:type="pct"/>
            <w:vAlign w:val="center"/>
          </w:tcPr>
          <w:p w14:paraId="39688106">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肯尼亚</w:t>
            </w:r>
          </w:p>
        </w:tc>
        <w:tc>
          <w:tcPr>
            <w:tcW w:w="1461" w:type="pct"/>
            <w:vAlign w:val="center"/>
          </w:tcPr>
          <w:p w14:paraId="27C9D00C">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贸易部下属投资促进局、国家投资委员会、竞争管理局</w:t>
            </w:r>
          </w:p>
        </w:tc>
        <w:tc>
          <w:tcPr>
            <w:tcW w:w="2768" w:type="pct"/>
            <w:vAlign w:val="center"/>
          </w:tcPr>
          <w:p w14:paraId="45CCDE69">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《外国投资保护法》（1964年）及相关修正案、《投资促进法》（2005年）、《竞争法》（2010年）、《矿业法》（2016年）、《矿业（国家参与）条例》（2017年）</w:t>
            </w:r>
          </w:p>
        </w:tc>
      </w:tr>
      <w:tr w14:paraId="17845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0" w:type="pct"/>
            <w:vAlign w:val="center"/>
          </w:tcPr>
          <w:p w14:paraId="53314EAC">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南非</w:t>
            </w:r>
          </w:p>
        </w:tc>
        <w:tc>
          <w:tcPr>
            <w:tcW w:w="1461" w:type="pct"/>
            <w:vAlign w:val="center"/>
          </w:tcPr>
          <w:p w14:paraId="09325A40">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贸易工业和竞争部、省级投资促进局</w:t>
            </w:r>
          </w:p>
        </w:tc>
        <w:tc>
          <w:tcPr>
            <w:tcW w:w="2768" w:type="pct"/>
            <w:vAlign w:val="center"/>
          </w:tcPr>
          <w:p w14:paraId="4BFAAA23">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《竞争法》（1998年）及相关修正案、《投资促进与保护法案》（2013年）</w:t>
            </w:r>
          </w:p>
        </w:tc>
      </w:tr>
      <w:tr w14:paraId="70C6D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0" w:type="pct"/>
            <w:vAlign w:val="center"/>
          </w:tcPr>
          <w:p w14:paraId="745D9AE4">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埃及</w:t>
            </w:r>
          </w:p>
        </w:tc>
        <w:tc>
          <w:tcPr>
            <w:tcW w:w="1461" w:type="pct"/>
            <w:vAlign w:val="center"/>
          </w:tcPr>
          <w:p w14:paraId="67873A24">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投资最高委员会、投资与自由区管理总局、工业发展局、苏伊士运河经济区管理局、保护竞争和防止垄断行为局、东南非共同市场竞争委员会</w:t>
            </w:r>
          </w:p>
        </w:tc>
        <w:tc>
          <w:tcPr>
            <w:tcW w:w="2768" w:type="pct"/>
            <w:vAlign w:val="center"/>
          </w:tcPr>
          <w:p w14:paraId="2B179291">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公司法》（1981年）及实施细则和相关修正案、《资本市场法》（1995年）及实施细则、《经济特区法》（2002年）及实施细则和相关修正案、《保护竞争和防止垄断行为法》（2005年）、《投资法》（2017年）、《工业许可法》（2017年）、《苏伊士运河特别经济区法律框架》（2016年）</w:t>
            </w:r>
          </w:p>
        </w:tc>
      </w:tr>
    </w:tbl>
    <w:p w14:paraId="099449BF">
      <w:pPr>
        <w:spacing w:line="620" w:lineRule="atLeast"/>
        <w:ind w:firstLine="640" w:firstLineChars="200"/>
        <w:rPr>
          <w:rFonts w:ascii="仿宋" w:hAnsi="仿宋" w:eastAsia="仿宋" w:cs="仿宋"/>
          <w:sz w:val="32"/>
          <w:szCs w:val="32"/>
        </w:rPr>
      </w:pPr>
    </w:p>
    <w:p w14:paraId="53228FC7">
      <w:pPr>
        <w:spacing w:line="620" w:lineRule="atLeast"/>
        <w:ind w:firstLine="640" w:firstLineChars="200"/>
        <w:rPr>
          <w:rFonts w:ascii="仿宋" w:hAnsi="仿宋" w:eastAsia="仿宋" w:cs="仿宋"/>
          <w:sz w:val="32"/>
          <w:szCs w:val="32"/>
        </w:rPr>
      </w:pPr>
    </w:p>
    <w:p w14:paraId="5AD14700">
      <w:pPr>
        <w:spacing w:line="620" w:lineRule="atLeast"/>
        <w:ind w:firstLine="640" w:firstLineChars="200"/>
        <w:rPr>
          <w:rFonts w:ascii="仿宋" w:hAnsi="仿宋" w:eastAsia="仿宋" w:cs="仿宋"/>
          <w:sz w:val="32"/>
          <w:szCs w:val="32"/>
        </w:rPr>
      </w:pPr>
    </w:p>
    <w:p w14:paraId="66CE017B">
      <w:pPr>
        <w:spacing w:line="620" w:lineRule="atLeast"/>
        <w:ind w:firstLine="640" w:firstLineChars="200"/>
        <w:rPr>
          <w:rFonts w:ascii="仿宋" w:hAnsi="仿宋" w:eastAsia="仿宋" w:cs="仿宋"/>
          <w:sz w:val="32"/>
          <w:szCs w:val="32"/>
        </w:rPr>
      </w:pPr>
    </w:p>
    <w:p w14:paraId="4CF8EC98">
      <w:pPr>
        <w:spacing w:line="620" w:lineRule="atLeast"/>
        <w:ind w:firstLine="640" w:firstLineChars="200"/>
        <w:rPr>
          <w:rFonts w:ascii="仿宋" w:hAnsi="仿宋" w:eastAsia="仿宋" w:cs="仿宋"/>
          <w:sz w:val="32"/>
          <w:szCs w:val="32"/>
        </w:rPr>
      </w:pPr>
    </w:p>
    <w:p w14:paraId="3C6B7269">
      <w:pPr>
        <w:spacing w:line="620" w:lineRule="atLeast"/>
        <w:ind w:firstLine="640" w:firstLineChars="200"/>
        <w:rPr>
          <w:rFonts w:ascii="仿宋" w:hAnsi="仿宋" w:eastAsia="仿宋" w:cs="仿宋"/>
          <w:sz w:val="32"/>
          <w:szCs w:val="32"/>
        </w:rPr>
      </w:pPr>
    </w:p>
    <w:p w14:paraId="76E16044">
      <w:pPr>
        <w:spacing w:line="620" w:lineRule="atLeast"/>
        <w:ind w:firstLine="640" w:firstLineChars="200"/>
        <w:rPr>
          <w:rFonts w:ascii="仿宋" w:hAnsi="仿宋" w:eastAsia="仿宋" w:cs="仿宋"/>
          <w:sz w:val="32"/>
          <w:szCs w:val="32"/>
        </w:rPr>
      </w:pPr>
    </w:p>
    <w:p w14:paraId="5CF01A39">
      <w:pPr>
        <w:spacing w:line="620" w:lineRule="atLeast"/>
        <w:ind w:firstLine="640" w:firstLineChars="200"/>
        <w:rPr>
          <w:rFonts w:ascii="仿宋" w:hAnsi="仿宋" w:eastAsia="仿宋" w:cs="仿宋"/>
          <w:sz w:val="32"/>
          <w:szCs w:val="32"/>
        </w:rPr>
      </w:pPr>
    </w:p>
    <w:p w14:paraId="053C0A77">
      <w:pPr>
        <w:widowControl/>
        <w:spacing w:line="560" w:lineRule="exact"/>
        <w:jc w:val="left"/>
        <w:rPr>
          <w:rFonts w:ascii="宋体" w:hAnsi="宋体" w:eastAsia="宋体" w:cs="宋体"/>
          <w:sz w:val="24"/>
        </w:rPr>
      </w:pPr>
      <w:r>
        <w:rPr>
          <w:rFonts w:ascii="仿宋_GB2312" w:hAnsi="仿宋" w:eastAsia="仿宋_GB2312" w:cs="仿宋"/>
          <w:sz w:val="32"/>
          <w:szCs w:val="32"/>
        </w:rPr>
        <w:br w:type="page"/>
      </w:r>
      <w:r>
        <w:rPr>
          <w:rFonts w:hint="eastAsia" w:ascii="宋体" w:hAnsi="宋体" w:eastAsia="宋体" w:cs="宋体"/>
          <w:sz w:val="24"/>
        </w:rPr>
        <w:t>附3</w:t>
      </w:r>
    </w:p>
    <w:p w14:paraId="4B18566F">
      <w:pPr>
        <w:spacing w:line="560" w:lineRule="exact"/>
        <w:jc w:val="center"/>
        <w:rPr>
          <w:rFonts w:ascii="宋体" w:hAnsi="宋体" w:eastAsia="宋体" w:cs="宋体"/>
          <w:sz w:val="32"/>
          <w:szCs w:val="32"/>
        </w:rPr>
      </w:pPr>
      <w:r>
        <w:rPr>
          <w:rFonts w:hint="eastAsia" w:ascii="宋体" w:hAnsi="宋体" w:eastAsia="宋体" w:cs="宋体"/>
          <w:sz w:val="32"/>
          <w:szCs w:val="32"/>
        </w:rPr>
        <w:t>境外并购资产评估资料相关查询网站</w:t>
      </w:r>
    </w:p>
    <w:p w14:paraId="76AD38AC">
      <w:pPr>
        <w:spacing w:line="560" w:lineRule="exact"/>
        <w:ind w:firstLine="640" w:firstLineChars="200"/>
        <w:jc w:val="center"/>
        <w:rPr>
          <w:rFonts w:ascii="仿宋_GB2312" w:hAnsi="仿宋" w:eastAsia="仿宋_GB2312" w:cs="仿宋"/>
          <w:sz w:val="32"/>
          <w:szCs w:val="32"/>
        </w:rPr>
      </w:pP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8"/>
        <w:gridCol w:w="3595"/>
        <w:gridCol w:w="3803"/>
      </w:tblGrid>
      <w:tr w14:paraId="18C63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656" w:type="pct"/>
            <w:vAlign w:val="center"/>
          </w:tcPr>
          <w:p w14:paraId="1BE7E707">
            <w:pPr>
              <w:spacing w:line="300" w:lineRule="auto"/>
              <w:jc w:val="center"/>
              <w:rPr>
                <w:rFonts w:ascii="仿宋_GB2312" w:hAnsi="仿宋" w:eastAsia="仿宋_GB2312" w:cs="仿宋"/>
                <w:b/>
                <w:bCs/>
                <w:color w:val="000000"/>
                <w:kern w:val="0"/>
                <w:szCs w:val="21"/>
              </w:rPr>
            </w:pPr>
            <w:r>
              <w:rPr>
                <w:rFonts w:hint="eastAsia" w:ascii="仿宋_GB2312" w:hAnsi="仿宋" w:eastAsia="仿宋_GB2312" w:cs="仿宋"/>
                <w:b/>
                <w:bCs/>
                <w:color w:val="000000"/>
                <w:kern w:val="0"/>
                <w:szCs w:val="21"/>
              </w:rPr>
              <w:t>类型</w:t>
            </w:r>
          </w:p>
        </w:tc>
        <w:tc>
          <w:tcPr>
            <w:tcW w:w="2111" w:type="pct"/>
            <w:vAlign w:val="center"/>
          </w:tcPr>
          <w:p w14:paraId="121564C9">
            <w:pPr>
              <w:spacing w:line="300" w:lineRule="auto"/>
              <w:jc w:val="center"/>
              <w:rPr>
                <w:rFonts w:ascii="仿宋_GB2312" w:hAnsi="仿宋" w:eastAsia="仿宋_GB2312" w:cs="仿宋"/>
                <w:b/>
                <w:bCs/>
                <w:color w:val="000000"/>
                <w:kern w:val="0"/>
                <w:szCs w:val="21"/>
              </w:rPr>
            </w:pPr>
            <w:r>
              <w:rPr>
                <w:rFonts w:hint="eastAsia" w:ascii="仿宋_GB2312" w:hAnsi="仿宋" w:eastAsia="仿宋_GB2312" w:cs="仿宋"/>
                <w:b/>
                <w:bCs/>
                <w:color w:val="000000"/>
                <w:kern w:val="0"/>
                <w:szCs w:val="21"/>
              </w:rPr>
              <w:t>网站名称</w:t>
            </w:r>
          </w:p>
        </w:tc>
        <w:tc>
          <w:tcPr>
            <w:tcW w:w="2233" w:type="pct"/>
            <w:vAlign w:val="center"/>
          </w:tcPr>
          <w:p w14:paraId="4761D241">
            <w:pPr>
              <w:spacing w:line="300" w:lineRule="auto"/>
              <w:jc w:val="center"/>
              <w:rPr>
                <w:rFonts w:ascii="仿宋_GB2312" w:hAnsi="仿宋" w:eastAsia="仿宋_GB2312" w:cs="仿宋"/>
                <w:b/>
                <w:bCs/>
                <w:color w:val="000000"/>
                <w:kern w:val="0"/>
                <w:szCs w:val="21"/>
              </w:rPr>
            </w:pPr>
            <w:r>
              <w:rPr>
                <w:rFonts w:hint="eastAsia" w:ascii="仿宋_GB2312" w:hAnsi="仿宋" w:eastAsia="仿宋_GB2312" w:cs="仿宋"/>
                <w:b/>
                <w:bCs/>
                <w:color w:val="000000"/>
                <w:kern w:val="0"/>
                <w:szCs w:val="21"/>
              </w:rPr>
              <w:t>网址</w:t>
            </w:r>
          </w:p>
        </w:tc>
      </w:tr>
      <w:tr w14:paraId="689AF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6" w:type="pct"/>
            <w:vAlign w:val="center"/>
          </w:tcPr>
          <w:p w14:paraId="3D3A00C8">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政府部门</w:t>
            </w:r>
          </w:p>
        </w:tc>
        <w:tc>
          <w:tcPr>
            <w:tcW w:w="2111" w:type="pct"/>
            <w:vAlign w:val="center"/>
          </w:tcPr>
          <w:p w14:paraId="045254EA">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商务部“走出去”公共服务网络平台</w:t>
            </w:r>
          </w:p>
        </w:tc>
        <w:tc>
          <w:tcPr>
            <w:tcW w:w="2233" w:type="pct"/>
            <w:vAlign w:val="center"/>
          </w:tcPr>
          <w:p w14:paraId="234B494E">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http://fec.mofcom.gov.cn/</w:t>
            </w:r>
          </w:p>
        </w:tc>
      </w:tr>
      <w:tr w14:paraId="20600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6" w:type="pct"/>
            <w:vAlign w:val="center"/>
          </w:tcPr>
          <w:p w14:paraId="7873E2BE">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政府部门</w:t>
            </w:r>
          </w:p>
        </w:tc>
        <w:tc>
          <w:tcPr>
            <w:tcW w:w="2111" w:type="pct"/>
            <w:vAlign w:val="center"/>
          </w:tcPr>
          <w:p w14:paraId="793FFC79">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商务部对外投资合作国别（地区）指南网站</w:t>
            </w:r>
          </w:p>
        </w:tc>
        <w:tc>
          <w:tcPr>
            <w:tcW w:w="2233" w:type="pct"/>
            <w:vAlign w:val="center"/>
          </w:tcPr>
          <w:p w14:paraId="4000D80B">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http://fec.mofcom.gov.cn/article/gbdqzn/</w:t>
            </w:r>
          </w:p>
        </w:tc>
      </w:tr>
      <w:tr w14:paraId="2F974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6" w:type="pct"/>
            <w:vAlign w:val="center"/>
          </w:tcPr>
          <w:p w14:paraId="12B054EE">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政府部门</w:t>
            </w:r>
          </w:p>
        </w:tc>
        <w:tc>
          <w:tcPr>
            <w:tcW w:w="2111" w:type="pct"/>
            <w:vAlign w:val="center"/>
          </w:tcPr>
          <w:p w14:paraId="74818493">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国家统计局网站提供的各国家及地区的统计经济部门网站链接</w:t>
            </w:r>
          </w:p>
        </w:tc>
        <w:tc>
          <w:tcPr>
            <w:tcW w:w="2233" w:type="pct"/>
            <w:vAlign w:val="center"/>
          </w:tcPr>
          <w:p w14:paraId="45F4E33E">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http://www.stats.gov.cn/tjgz/wzlj/gwtjw/</w:t>
            </w:r>
          </w:p>
        </w:tc>
      </w:tr>
      <w:tr w14:paraId="27C5C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6" w:type="pct"/>
            <w:vAlign w:val="center"/>
          </w:tcPr>
          <w:p w14:paraId="391675E2">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政府部门</w:t>
            </w:r>
          </w:p>
        </w:tc>
        <w:tc>
          <w:tcPr>
            <w:tcW w:w="2111" w:type="pct"/>
            <w:vAlign w:val="center"/>
          </w:tcPr>
          <w:p w14:paraId="21BB9887">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美国政府门户网站</w:t>
            </w:r>
          </w:p>
        </w:tc>
        <w:tc>
          <w:tcPr>
            <w:tcW w:w="2233" w:type="pct"/>
            <w:vAlign w:val="center"/>
          </w:tcPr>
          <w:p w14:paraId="3CF27839">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https://www.usa.gov/</w:t>
            </w:r>
          </w:p>
        </w:tc>
      </w:tr>
      <w:tr w14:paraId="072C9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6" w:type="pct"/>
            <w:vAlign w:val="center"/>
          </w:tcPr>
          <w:p w14:paraId="72DE8602">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政府部门</w:t>
            </w:r>
          </w:p>
        </w:tc>
        <w:tc>
          <w:tcPr>
            <w:tcW w:w="2111" w:type="pct"/>
            <w:vAlign w:val="center"/>
          </w:tcPr>
          <w:p w14:paraId="144E9CE6">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加拿大政府门户网站</w:t>
            </w:r>
          </w:p>
        </w:tc>
        <w:tc>
          <w:tcPr>
            <w:tcW w:w="2233" w:type="pct"/>
            <w:vAlign w:val="center"/>
          </w:tcPr>
          <w:p w14:paraId="75668B6F">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https://www.canada.ca/</w:t>
            </w:r>
          </w:p>
        </w:tc>
      </w:tr>
      <w:tr w14:paraId="7BAE1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6" w:type="pct"/>
            <w:vAlign w:val="center"/>
          </w:tcPr>
          <w:p w14:paraId="0C34ADF4">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政府部门</w:t>
            </w:r>
          </w:p>
        </w:tc>
        <w:tc>
          <w:tcPr>
            <w:tcW w:w="2111" w:type="pct"/>
            <w:vAlign w:val="center"/>
          </w:tcPr>
          <w:p w14:paraId="6004D285">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英国政府门户网站</w:t>
            </w:r>
          </w:p>
        </w:tc>
        <w:tc>
          <w:tcPr>
            <w:tcW w:w="2233" w:type="pct"/>
            <w:vAlign w:val="center"/>
          </w:tcPr>
          <w:p w14:paraId="0BB07DE2">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https://www.gov.uk/</w:t>
            </w:r>
          </w:p>
        </w:tc>
      </w:tr>
      <w:tr w14:paraId="313AE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6" w:type="pct"/>
            <w:vAlign w:val="center"/>
          </w:tcPr>
          <w:p w14:paraId="4268E696">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政府部门</w:t>
            </w:r>
          </w:p>
        </w:tc>
        <w:tc>
          <w:tcPr>
            <w:tcW w:w="2111" w:type="pct"/>
            <w:vAlign w:val="center"/>
          </w:tcPr>
          <w:p w14:paraId="611EDB5F">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德国政府门户网站</w:t>
            </w:r>
          </w:p>
        </w:tc>
        <w:tc>
          <w:tcPr>
            <w:tcW w:w="2233" w:type="pct"/>
            <w:vAlign w:val="center"/>
          </w:tcPr>
          <w:p w14:paraId="57B4BBE9">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https://www.bundesregierung.de/</w:t>
            </w:r>
          </w:p>
        </w:tc>
      </w:tr>
      <w:tr w14:paraId="43F8C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6" w:type="pct"/>
            <w:vAlign w:val="center"/>
          </w:tcPr>
          <w:p w14:paraId="7A945242">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政府部门</w:t>
            </w:r>
          </w:p>
        </w:tc>
        <w:tc>
          <w:tcPr>
            <w:tcW w:w="2111" w:type="pct"/>
            <w:vAlign w:val="center"/>
          </w:tcPr>
          <w:p w14:paraId="10015D13">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法国政府门户网站</w:t>
            </w:r>
          </w:p>
        </w:tc>
        <w:tc>
          <w:tcPr>
            <w:tcW w:w="2233" w:type="pct"/>
            <w:vAlign w:val="center"/>
          </w:tcPr>
          <w:p w14:paraId="3EEA5657">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https://www.service-public.fr/</w:t>
            </w:r>
          </w:p>
        </w:tc>
      </w:tr>
      <w:tr w14:paraId="57E05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6" w:type="pct"/>
            <w:vAlign w:val="center"/>
          </w:tcPr>
          <w:p w14:paraId="7EEFB0FE">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政府部门</w:t>
            </w:r>
          </w:p>
        </w:tc>
        <w:tc>
          <w:tcPr>
            <w:tcW w:w="2111" w:type="pct"/>
            <w:vAlign w:val="center"/>
          </w:tcPr>
          <w:p w14:paraId="4D3D166C">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俄罗斯政府门户网站</w:t>
            </w:r>
          </w:p>
        </w:tc>
        <w:tc>
          <w:tcPr>
            <w:tcW w:w="2233" w:type="pct"/>
            <w:vAlign w:val="center"/>
          </w:tcPr>
          <w:p w14:paraId="4427DC82">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http://www.gov.ru/</w:t>
            </w:r>
          </w:p>
        </w:tc>
      </w:tr>
      <w:tr w14:paraId="25395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6" w:type="pct"/>
            <w:vAlign w:val="center"/>
          </w:tcPr>
          <w:p w14:paraId="0ED1475B">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政府部门</w:t>
            </w:r>
          </w:p>
        </w:tc>
        <w:tc>
          <w:tcPr>
            <w:tcW w:w="2111" w:type="pct"/>
            <w:vAlign w:val="center"/>
          </w:tcPr>
          <w:p w14:paraId="79BAB906">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意大利政府门户网站</w:t>
            </w:r>
          </w:p>
        </w:tc>
        <w:tc>
          <w:tcPr>
            <w:tcW w:w="2233" w:type="pct"/>
            <w:vAlign w:val="center"/>
          </w:tcPr>
          <w:p w14:paraId="559E67F3">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http://www.governo.it/</w:t>
            </w:r>
          </w:p>
        </w:tc>
      </w:tr>
      <w:tr w14:paraId="5F6D2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6" w:type="pct"/>
            <w:vAlign w:val="center"/>
          </w:tcPr>
          <w:p w14:paraId="128C84D6">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政府部门</w:t>
            </w:r>
          </w:p>
        </w:tc>
        <w:tc>
          <w:tcPr>
            <w:tcW w:w="2111" w:type="pct"/>
            <w:vAlign w:val="center"/>
          </w:tcPr>
          <w:p w14:paraId="09CE1640">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巴西政府门户网站</w:t>
            </w:r>
          </w:p>
        </w:tc>
        <w:tc>
          <w:tcPr>
            <w:tcW w:w="2233" w:type="pct"/>
            <w:vAlign w:val="center"/>
          </w:tcPr>
          <w:p w14:paraId="35A82AEF">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http://www.brazil.gov.br/</w:t>
            </w:r>
          </w:p>
        </w:tc>
      </w:tr>
      <w:tr w14:paraId="2274B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6" w:type="pct"/>
            <w:vAlign w:val="center"/>
          </w:tcPr>
          <w:p w14:paraId="536A3CED">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政府部门</w:t>
            </w:r>
          </w:p>
        </w:tc>
        <w:tc>
          <w:tcPr>
            <w:tcW w:w="2111" w:type="pct"/>
            <w:vAlign w:val="center"/>
          </w:tcPr>
          <w:p w14:paraId="4F8793C8">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澳大利亚政府门户网站</w:t>
            </w:r>
          </w:p>
        </w:tc>
        <w:tc>
          <w:tcPr>
            <w:tcW w:w="2233" w:type="pct"/>
            <w:vAlign w:val="center"/>
          </w:tcPr>
          <w:p w14:paraId="555D1CB0">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http://www.gov.au/</w:t>
            </w:r>
          </w:p>
        </w:tc>
      </w:tr>
      <w:tr w14:paraId="7B3B0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6" w:type="pct"/>
            <w:vAlign w:val="center"/>
          </w:tcPr>
          <w:p w14:paraId="2ABD74FA">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政府部门</w:t>
            </w:r>
          </w:p>
        </w:tc>
        <w:tc>
          <w:tcPr>
            <w:tcW w:w="2111" w:type="pct"/>
            <w:vAlign w:val="center"/>
          </w:tcPr>
          <w:p w14:paraId="3E045540">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新西兰政府门户网站</w:t>
            </w:r>
          </w:p>
        </w:tc>
        <w:tc>
          <w:tcPr>
            <w:tcW w:w="2233" w:type="pct"/>
            <w:vAlign w:val="center"/>
          </w:tcPr>
          <w:p w14:paraId="6454CB38">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http://www.govt.nz/</w:t>
            </w:r>
          </w:p>
        </w:tc>
      </w:tr>
      <w:tr w14:paraId="10921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6" w:type="pct"/>
            <w:vAlign w:val="center"/>
          </w:tcPr>
          <w:p w14:paraId="14929333">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政府部门</w:t>
            </w:r>
          </w:p>
        </w:tc>
        <w:tc>
          <w:tcPr>
            <w:tcW w:w="2111" w:type="pct"/>
            <w:vAlign w:val="center"/>
          </w:tcPr>
          <w:p w14:paraId="7C5B7D68">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日本政府门户网站</w:t>
            </w:r>
          </w:p>
        </w:tc>
        <w:tc>
          <w:tcPr>
            <w:tcW w:w="2233" w:type="pct"/>
            <w:vAlign w:val="center"/>
          </w:tcPr>
          <w:p w14:paraId="3A3562B3">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https://www.japan.go.jp/</w:t>
            </w:r>
          </w:p>
        </w:tc>
      </w:tr>
      <w:tr w14:paraId="16A93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6" w:type="pct"/>
            <w:vAlign w:val="center"/>
          </w:tcPr>
          <w:p w14:paraId="1C987508">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政府部门</w:t>
            </w:r>
          </w:p>
        </w:tc>
        <w:tc>
          <w:tcPr>
            <w:tcW w:w="2111" w:type="pct"/>
            <w:vAlign w:val="center"/>
          </w:tcPr>
          <w:p w14:paraId="6686CE56">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韩国政府门户网站</w:t>
            </w:r>
          </w:p>
        </w:tc>
        <w:tc>
          <w:tcPr>
            <w:tcW w:w="2233" w:type="pct"/>
            <w:vAlign w:val="center"/>
          </w:tcPr>
          <w:p w14:paraId="3725EB5A">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http://www.service.go.kr/</w:t>
            </w:r>
          </w:p>
        </w:tc>
      </w:tr>
      <w:tr w14:paraId="5D507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6" w:type="pct"/>
            <w:vAlign w:val="center"/>
          </w:tcPr>
          <w:p w14:paraId="54DBCB18">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政府部门</w:t>
            </w:r>
          </w:p>
        </w:tc>
        <w:tc>
          <w:tcPr>
            <w:tcW w:w="2111" w:type="pct"/>
            <w:vAlign w:val="center"/>
          </w:tcPr>
          <w:p w14:paraId="05C37353">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新加坡政府门户网站</w:t>
            </w:r>
          </w:p>
        </w:tc>
        <w:tc>
          <w:tcPr>
            <w:tcW w:w="2233" w:type="pct"/>
            <w:vAlign w:val="center"/>
          </w:tcPr>
          <w:p w14:paraId="067F25B9">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https://www.gov.sg/</w:t>
            </w:r>
          </w:p>
        </w:tc>
      </w:tr>
      <w:tr w14:paraId="3A8BE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6" w:type="pct"/>
            <w:vAlign w:val="center"/>
          </w:tcPr>
          <w:p w14:paraId="214C5506">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政府部门</w:t>
            </w:r>
          </w:p>
        </w:tc>
        <w:tc>
          <w:tcPr>
            <w:tcW w:w="2111" w:type="pct"/>
            <w:vAlign w:val="center"/>
          </w:tcPr>
          <w:p w14:paraId="3FD9F2C4">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印度政府门户网站</w:t>
            </w:r>
          </w:p>
        </w:tc>
        <w:tc>
          <w:tcPr>
            <w:tcW w:w="2233" w:type="pct"/>
            <w:vAlign w:val="center"/>
          </w:tcPr>
          <w:p w14:paraId="045E09D1">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https://www.india.gov.in/</w:t>
            </w:r>
          </w:p>
        </w:tc>
      </w:tr>
      <w:tr w14:paraId="78E9D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6" w:type="pct"/>
            <w:vAlign w:val="center"/>
          </w:tcPr>
          <w:p w14:paraId="2D57FAB0">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政府部门</w:t>
            </w:r>
          </w:p>
        </w:tc>
        <w:tc>
          <w:tcPr>
            <w:tcW w:w="2111" w:type="pct"/>
            <w:vAlign w:val="center"/>
          </w:tcPr>
          <w:p w14:paraId="72286582">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越南政府门户网站</w:t>
            </w:r>
          </w:p>
        </w:tc>
        <w:tc>
          <w:tcPr>
            <w:tcW w:w="2233" w:type="pct"/>
            <w:vAlign w:val="center"/>
          </w:tcPr>
          <w:p w14:paraId="46D056EB">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https://baochinhphu.vn/</w:t>
            </w:r>
          </w:p>
        </w:tc>
      </w:tr>
      <w:tr w14:paraId="22A32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6" w:type="pct"/>
            <w:vAlign w:val="center"/>
          </w:tcPr>
          <w:p w14:paraId="3E856018">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政府部门</w:t>
            </w:r>
          </w:p>
        </w:tc>
        <w:tc>
          <w:tcPr>
            <w:tcW w:w="2111" w:type="pct"/>
            <w:vAlign w:val="center"/>
          </w:tcPr>
          <w:p w14:paraId="05EF2E66">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柬埔寨政府门户网站</w:t>
            </w:r>
          </w:p>
        </w:tc>
        <w:tc>
          <w:tcPr>
            <w:tcW w:w="2233" w:type="pct"/>
            <w:vAlign w:val="center"/>
          </w:tcPr>
          <w:p w14:paraId="2469C854">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https://www.mfaic.gov.kh/</w:t>
            </w:r>
          </w:p>
        </w:tc>
      </w:tr>
      <w:tr w14:paraId="25DC6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6" w:type="pct"/>
            <w:vAlign w:val="center"/>
          </w:tcPr>
          <w:p w14:paraId="6577BA99">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政府部门</w:t>
            </w:r>
          </w:p>
        </w:tc>
        <w:tc>
          <w:tcPr>
            <w:tcW w:w="2111" w:type="pct"/>
            <w:vAlign w:val="center"/>
          </w:tcPr>
          <w:p w14:paraId="525FBDDA">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印度尼西亚政府门户网站</w:t>
            </w:r>
          </w:p>
        </w:tc>
        <w:tc>
          <w:tcPr>
            <w:tcW w:w="2233" w:type="pct"/>
            <w:vAlign w:val="center"/>
          </w:tcPr>
          <w:p w14:paraId="73F1F4BE">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https://www.indonesia.go.id/</w:t>
            </w:r>
          </w:p>
        </w:tc>
      </w:tr>
      <w:tr w14:paraId="68DE9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6" w:type="pct"/>
            <w:vAlign w:val="center"/>
          </w:tcPr>
          <w:p w14:paraId="48F5D69C">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政府部门</w:t>
            </w:r>
          </w:p>
        </w:tc>
        <w:tc>
          <w:tcPr>
            <w:tcW w:w="2111" w:type="pct"/>
            <w:vAlign w:val="center"/>
          </w:tcPr>
          <w:p w14:paraId="1F175051">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巴基斯坦政府门户网站</w:t>
            </w:r>
          </w:p>
        </w:tc>
        <w:tc>
          <w:tcPr>
            <w:tcW w:w="2233" w:type="pct"/>
            <w:vAlign w:val="center"/>
          </w:tcPr>
          <w:p w14:paraId="7B00C811">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https://pakistan.gov.pk/</w:t>
            </w:r>
          </w:p>
        </w:tc>
      </w:tr>
      <w:tr w14:paraId="7DA09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6" w:type="pct"/>
            <w:vAlign w:val="center"/>
          </w:tcPr>
          <w:p w14:paraId="6DF3E246">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政府部门</w:t>
            </w:r>
          </w:p>
        </w:tc>
        <w:tc>
          <w:tcPr>
            <w:tcW w:w="2111" w:type="pct"/>
            <w:vAlign w:val="center"/>
          </w:tcPr>
          <w:p w14:paraId="0010329E">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沙特阿拉伯政府门户网站</w:t>
            </w:r>
          </w:p>
        </w:tc>
        <w:tc>
          <w:tcPr>
            <w:tcW w:w="2233" w:type="pct"/>
            <w:vAlign w:val="center"/>
          </w:tcPr>
          <w:p w14:paraId="0457BD28">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https://www.saudi.gov.sa/</w:t>
            </w:r>
          </w:p>
        </w:tc>
      </w:tr>
      <w:tr w14:paraId="48F3B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6" w:type="pct"/>
            <w:vAlign w:val="center"/>
          </w:tcPr>
          <w:p w14:paraId="77542F7C">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政府部门</w:t>
            </w:r>
          </w:p>
        </w:tc>
        <w:tc>
          <w:tcPr>
            <w:tcW w:w="2111" w:type="pct"/>
            <w:vAlign w:val="center"/>
          </w:tcPr>
          <w:p w14:paraId="2A8A390E">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土耳其政府门户网站</w:t>
            </w:r>
          </w:p>
        </w:tc>
        <w:tc>
          <w:tcPr>
            <w:tcW w:w="2233" w:type="pct"/>
            <w:vAlign w:val="center"/>
          </w:tcPr>
          <w:p w14:paraId="6DE46D04">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https://www.tccb.gov.tr/</w:t>
            </w:r>
          </w:p>
        </w:tc>
      </w:tr>
      <w:tr w14:paraId="37AAE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6" w:type="pct"/>
            <w:vAlign w:val="center"/>
          </w:tcPr>
          <w:p w14:paraId="45BAC1E7">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政府部门</w:t>
            </w:r>
          </w:p>
        </w:tc>
        <w:tc>
          <w:tcPr>
            <w:tcW w:w="2111" w:type="pct"/>
            <w:vAlign w:val="center"/>
          </w:tcPr>
          <w:p w14:paraId="2627CDFE">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哈萨克斯坦政府门户网站</w:t>
            </w:r>
          </w:p>
        </w:tc>
        <w:tc>
          <w:tcPr>
            <w:tcW w:w="2233" w:type="pct"/>
            <w:vAlign w:val="center"/>
          </w:tcPr>
          <w:p w14:paraId="726C8200">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http://www.goverment.kz/</w:t>
            </w:r>
          </w:p>
        </w:tc>
      </w:tr>
      <w:tr w14:paraId="7B0ED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6" w:type="pct"/>
            <w:vAlign w:val="center"/>
          </w:tcPr>
          <w:p w14:paraId="66AAF80C">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政府部门</w:t>
            </w:r>
          </w:p>
        </w:tc>
        <w:tc>
          <w:tcPr>
            <w:tcW w:w="2111" w:type="pct"/>
            <w:vAlign w:val="center"/>
          </w:tcPr>
          <w:p w14:paraId="08C2F031">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蒙古政府门户网站</w:t>
            </w:r>
          </w:p>
        </w:tc>
        <w:tc>
          <w:tcPr>
            <w:tcW w:w="2233" w:type="pct"/>
            <w:vAlign w:val="center"/>
          </w:tcPr>
          <w:p w14:paraId="40912659">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https://zasag.mn/</w:t>
            </w:r>
          </w:p>
        </w:tc>
      </w:tr>
      <w:tr w14:paraId="29FBB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6" w:type="pct"/>
            <w:vAlign w:val="center"/>
          </w:tcPr>
          <w:p w14:paraId="70FDB57B">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政府部门</w:t>
            </w:r>
          </w:p>
        </w:tc>
        <w:tc>
          <w:tcPr>
            <w:tcW w:w="2111" w:type="pct"/>
            <w:vAlign w:val="center"/>
          </w:tcPr>
          <w:p w14:paraId="31B516D6">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以色列政府门户网站</w:t>
            </w:r>
          </w:p>
        </w:tc>
        <w:tc>
          <w:tcPr>
            <w:tcW w:w="2233" w:type="pct"/>
            <w:vAlign w:val="center"/>
          </w:tcPr>
          <w:p w14:paraId="79AA5143">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https://www.gov.il/</w:t>
            </w:r>
          </w:p>
        </w:tc>
      </w:tr>
      <w:tr w14:paraId="4F809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6" w:type="pct"/>
            <w:vAlign w:val="center"/>
          </w:tcPr>
          <w:p w14:paraId="7AD2B8DE">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政府部门</w:t>
            </w:r>
          </w:p>
        </w:tc>
        <w:tc>
          <w:tcPr>
            <w:tcW w:w="2111" w:type="pct"/>
            <w:vAlign w:val="center"/>
          </w:tcPr>
          <w:p w14:paraId="6E34AAF9">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肯尼亚政府门户网站</w:t>
            </w:r>
          </w:p>
        </w:tc>
        <w:tc>
          <w:tcPr>
            <w:tcW w:w="2233" w:type="pct"/>
            <w:vAlign w:val="center"/>
          </w:tcPr>
          <w:p w14:paraId="395DC2D4">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https://www.mygov.go.ke/</w:t>
            </w:r>
          </w:p>
        </w:tc>
      </w:tr>
      <w:tr w14:paraId="76CD2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6" w:type="pct"/>
            <w:vAlign w:val="center"/>
          </w:tcPr>
          <w:p w14:paraId="0338852C">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政府部门</w:t>
            </w:r>
          </w:p>
        </w:tc>
        <w:tc>
          <w:tcPr>
            <w:tcW w:w="2111" w:type="pct"/>
            <w:vAlign w:val="center"/>
          </w:tcPr>
          <w:p w14:paraId="5333B6C8">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南非政府门户网站</w:t>
            </w:r>
          </w:p>
        </w:tc>
        <w:tc>
          <w:tcPr>
            <w:tcW w:w="2233" w:type="pct"/>
            <w:vAlign w:val="center"/>
          </w:tcPr>
          <w:p w14:paraId="37346F99">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https://www.gov.za/</w:t>
            </w:r>
          </w:p>
        </w:tc>
      </w:tr>
      <w:tr w14:paraId="1404A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6" w:type="pct"/>
            <w:vAlign w:val="center"/>
          </w:tcPr>
          <w:p w14:paraId="3285B8CB">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政府部门</w:t>
            </w:r>
          </w:p>
        </w:tc>
        <w:tc>
          <w:tcPr>
            <w:tcW w:w="2111" w:type="pct"/>
            <w:vAlign w:val="center"/>
          </w:tcPr>
          <w:p w14:paraId="6265E42E">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埃及政府门户网站</w:t>
            </w:r>
          </w:p>
        </w:tc>
        <w:tc>
          <w:tcPr>
            <w:tcW w:w="2233" w:type="pct"/>
            <w:vAlign w:val="center"/>
          </w:tcPr>
          <w:p w14:paraId="773E1590">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https://www.egypt.gov.eg/</w:t>
            </w:r>
          </w:p>
        </w:tc>
      </w:tr>
      <w:tr w14:paraId="593F5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6" w:type="pct"/>
            <w:vAlign w:val="center"/>
          </w:tcPr>
          <w:p w14:paraId="10BF33E9">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国际组织</w:t>
            </w:r>
          </w:p>
        </w:tc>
        <w:tc>
          <w:tcPr>
            <w:tcW w:w="2111" w:type="pct"/>
            <w:vAlign w:val="center"/>
          </w:tcPr>
          <w:p w14:paraId="18CB3DC7">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联合国门户网站</w:t>
            </w:r>
          </w:p>
        </w:tc>
        <w:tc>
          <w:tcPr>
            <w:tcW w:w="2233" w:type="pct"/>
            <w:vAlign w:val="center"/>
          </w:tcPr>
          <w:p w14:paraId="0EDBCEFA">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https://www.un.org/</w:t>
            </w:r>
          </w:p>
        </w:tc>
      </w:tr>
      <w:tr w14:paraId="64F0E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6" w:type="pct"/>
            <w:vAlign w:val="center"/>
          </w:tcPr>
          <w:p w14:paraId="258F7633">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国际组织</w:t>
            </w:r>
          </w:p>
        </w:tc>
        <w:tc>
          <w:tcPr>
            <w:tcW w:w="2111" w:type="pct"/>
            <w:vAlign w:val="center"/>
          </w:tcPr>
          <w:p w14:paraId="65B40032">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联合国经济及社会理事会</w:t>
            </w:r>
          </w:p>
        </w:tc>
        <w:tc>
          <w:tcPr>
            <w:tcW w:w="2233" w:type="pct"/>
            <w:vAlign w:val="center"/>
          </w:tcPr>
          <w:p w14:paraId="487EDA79">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http://www.un.org/zh/ecosoc/</w:t>
            </w:r>
          </w:p>
        </w:tc>
      </w:tr>
      <w:tr w14:paraId="7C366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6" w:type="pct"/>
            <w:vAlign w:val="center"/>
          </w:tcPr>
          <w:p w14:paraId="7BD8261C">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国际组织</w:t>
            </w:r>
          </w:p>
        </w:tc>
        <w:tc>
          <w:tcPr>
            <w:tcW w:w="2111" w:type="pct"/>
            <w:vAlign w:val="center"/>
          </w:tcPr>
          <w:p w14:paraId="4D7515C0">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联合国贸易和发展会议</w:t>
            </w:r>
          </w:p>
        </w:tc>
        <w:tc>
          <w:tcPr>
            <w:tcW w:w="2233" w:type="pct"/>
            <w:vAlign w:val="center"/>
          </w:tcPr>
          <w:p w14:paraId="79EF4D2D">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https://unctad.org/</w:t>
            </w:r>
          </w:p>
        </w:tc>
      </w:tr>
      <w:tr w14:paraId="2EFF6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6" w:type="pct"/>
            <w:vAlign w:val="center"/>
          </w:tcPr>
          <w:p w14:paraId="2E4A60B6">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国际组织</w:t>
            </w:r>
          </w:p>
        </w:tc>
        <w:tc>
          <w:tcPr>
            <w:tcW w:w="2111" w:type="pct"/>
            <w:vAlign w:val="center"/>
          </w:tcPr>
          <w:p w14:paraId="4B287600">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世界贸易组织</w:t>
            </w:r>
          </w:p>
        </w:tc>
        <w:tc>
          <w:tcPr>
            <w:tcW w:w="2233" w:type="pct"/>
            <w:vAlign w:val="center"/>
          </w:tcPr>
          <w:p w14:paraId="4D5D9DD1">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http://www.wto.org/</w:t>
            </w:r>
          </w:p>
        </w:tc>
      </w:tr>
      <w:tr w14:paraId="0BBD9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6" w:type="pct"/>
            <w:vAlign w:val="center"/>
          </w:tcPr>
          <w:p w14:paraId="6B56895B">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国际组织</w:t>
            </w:r>
          </w:p>
        </w:tc>
        <w:tc>
          <w:tcPr>
            <w:tcW w:w="2111" w:type="pct"/>
            <w:vAlign w:val="center"/>
          </w:tcPr>
          <w:p w14:paraId="675B0FAD">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国际货币基金组织</w:t>
            </w:r>
          </w:p>
        </w:tc>
        <w:tc>
          <w:tcPr>
            <w:tcW w:w="2233" w:type="pct"/>
            <w:vAlign w:val="center"/>
          </w:tcPr>
          <w:p w14:paraId="68E1989F">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https://www.imf.org/</w:t>
            </w:r>
          </w:p>
        </w:tc>
      </w:tr>
      <w:tr w14:paraId="7BF17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6" w:type="pct"/>
            <w:vAlign w:val="center"/>
          </w:tcPr>
          <w:p w14:paraId="10385E86">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国际组织</w:t>
            </w:r>
          </w:p>
        </w:tc>
        <w:tc>
          <w:tcPr>
            <w:tcW w:w="2111" w:type="pct"/>
            <w:vAlign w:val="center"/>
          </w:tcPr>
          <w:p w14:paraId="0B59A30F">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经济合作与发展组织</w:t>
            </w:r>
          </w:p>
        </w:tc>
        <w:tc>
          <w:tcPr>
            <w:tcW w:w="2233" w:type="pct"/>
            <w:vAlign w:val="center"/>
          </w:tcPr>
          <w:p w14:paraId="415B1030">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http://www.oecdchina.org/</w:t>
            </w:r>
          </w:p>
        </w:tc>
      </w:tr>
      <w:tr w14:paraId="07CB5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6" w:type="pct"/>
            <w:vAlign w:val="center"/>
          </w:tcPr>
          <w:p w14:paraId="0BF93D48">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国际组织</w:t>
            </w:r>
          </w:p>
        </w:tc>
        <w:tc>
          <w:tcPr>
            <w:tcW w:w="2111" w:type="pct"/>
            <w:vAlign w:val="center"/>
          </w:tcPr>
          <w:p w14:paraId="725D39F9">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欧洲联盟门户网站</w:t>
            </w:r>
          </w:p>
        </w:tc>
        <w:tc>
          <w:tcPr>
            <w:tcW w:w="2233" w:type="pct"/>
            <w:vAlign w:val="center"/>
          </w:tcPr>
          <w:p w14:paraId="48C89B7C">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http://europa.eu/</w:t>
            </w:r>
          </w:p>
        </w:tc>
      </w:tr>
      <w:tr w14:paraId="4C803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6" w:type="pct"/>
            <w:vAlign w:val="center"/>
          </w:tcPr>
          <w:p w14:paraId="613C8FE4">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国际组织</w:t>
            </w:r>
          </w:p>
        </w:tc>
        <w:tc>
          <w:tcPr>
            <w:tcW w:w="2111" w:type="pct"/>
            <w:vAlign w:val="center"/>
          </w:tcPr>
          <w:p w14:paraId="6CE05090">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欧洲联盟统计数据库</w:t>
            </w:r>
          </w:p>
        </w:tc>
        <w:tc>
          <w:tcPr>
            <w:tcW w:w="2233" w:type="pct"/>
            <w:vAlign w:val="center"/>
          </w:tcPr>
          <w:p w14:paraId="3BFD83CA">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https://ec.europa.eu/eurostat/</w:t>
            </w:r>
          </w:p>
        </w:tc>
      </w:tr>
      <w:tr w14:paraId="79FA8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6" w:type="pct"/>
            <w:vAlign w:val="center"/>
          </w:tcPr>
          <w:p w14:paraId="6D1C1C50">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国际组织</w:t>
            </w:r>
          </w:p>
        </w:tc>
        <w:tc>
          <w:tcPr>
            <w:tcW w:w="2111" w:type="pct"/>
            <w:vAlign w:val="center"/>
          </w:tcPr>
          <w:p w14:paraId="621E368B">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东南亚国家联盟门户网站</w:t>
            </w:r>
          </w:p>
        </w:tc>
        <w:tc>
          <w:tcPr>
            <w:tcW w:w="2233" w:type="pct"/>
            <w:vAlign w:val="center"/>
          </w:tcPr>
          <w:p w14:paraId="20460A78">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https://asean.org/</w:t>
            </w:r>
          </w:p>
        </w:tc>
      </w:tr>
      <w:tr w14:paraId="5FC88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6" w:type="pct"/>
            <w:vAlign w:val="center"/>
          </w:tcPr>
          <w:p w14:paraId="04364EBE">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国际组织</w:t>
            </w:r>
          </w:p>
        </w:tc>
        <w:tc>
          <w:tcPr>
            <w:tcW w:w="2111" w:type="pct"/>
            <w:vAlign w:val="center"/>
          </w:tcPr>
          <w:p w14:paraId="056EC605">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阿拉伯国家联盟门户网站</w:t>
            </w:r>
          </w:p>
        </w:tc>
        <w:tc>
          <w:tcPr>
            <w:tcW w:w="2233" w:type="pct"/>
            <w:vAlign w:val="center"/>
          </w:tcPr>
          <w:p w14:paraId="640611DC">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http://www.arableagueonline.org/</w:t>
            </w:r>
          </w:p>
        </w:tc>
      </w:tr>
      <w:tr w14:paraId="359C5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6" w:type="pct"/>
            <w:vAlign w:val="center"/>
          </w:tcPr>
          <w:p w14:paraId="6C844B19">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国际组织</w:t>
            </w:r>
          </w:p>
        </w:tc>
        <w:tc>
          <w:tcPr>
            <w:tcW w:w="2111" w:type="pct"/>
            <w:vAlign w:val="center"/>
          </w:tcPr>
          <w:p w14:paraId="62171B2A">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非洲联盟门户网站</w:t>
            </w:r>
          </w:p>
        </w:tc>
        <w:tc>
          <w:tcPr>
            <w:tcW w:w="2233" w:type="pct"/>
            <w:vAlign w:val="center"/>
          </w:tcPr>
          <w:p w14:paraId="59BCBD57">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https://au.int/</w:t>
            </w:r>
          </w:p>
        </w:tc>
      </w:tr>
      <w:tr w14:paraId="5A4CE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6" w:type="pct"/>
            <w:vAlign w:val="center"/>
          </w:tcPr>
          <w:p w14:paraId="04EC4A72">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国际组织</w:t>
            </w:r>
          </w:p>
        </w:tc>
        <w:tc>
          <w:tcPr>
            <w:tcW w:w="2111" w:type="pct"/>
            <w:vAlign w:val="center"/>
          </w:tcPr>
          <w:p w14:paraId="75FF3317">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美洲国家组织门户网站</w:t>
            </w:r>
          </w:p>
        </w:tc>
        <w:tc>
          <w:tcPr>
            <w:tcW w:w="2233" w:type="pct"/>
            <w:vAlign w:val="center"/>
          </w:tcPr>
          <w:p w14:paraId="0CBFB09F">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http://www.oas.org/</w:t>
            </w:r>
          </w:p>
        </w:tc>
      </w:tr>
      <w:tr w14:paraId="58D4E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6" w:type="pct"/>
            <w:vAlign w:val="center"/>
          </w:tcPr>
          <w:p w14:paraId="29E50C0E">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国际组织</w:t>
            </w:r>
          </w:p>
        </w:tc>
        <w:tc>
          <w:tcPr>
            <w:tcW w:w="2111" w:type="pct"/>
            <w:vAlign w:val="center"/>
          </w:tcPr>
          <w:p w14:paraId="3ED70925">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世界银行</w:t>
            </w:r>
          </w:p>
        </w:tc>
        <w:tc>
          <w:tcPr>
            <w:tcW w:w="2233" w:type="pct"/>
            <w:vAlign w:val="center"/>
          </w:tcPr>
          <w:p w14:paraId="4F8B8DFA">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http://www.worldbank.org.cn/</w:t>
            </w:r>
          </w:p>
        </w:tc>
      </w:tr>
      <w:tr w14:paraId="131D4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6" w:type="pct"/>
            <w:vAlign w:val="center"/>
          </w:tcPr>
          <w:p w14:paraId="66518797">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国际组织</w:t>
            </w:r>
          </w:p>
        </w:tc>
        <w:tc>
          <w:tcPr>
            <w:tcW w:w="2111" w:type="pct"/>
            <w:vAlign w:val="center"/>
          </w:tcPr>
          <w:p w14:paraId="37114874">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亚洲开发银行</w:t>
            </w:r>
          </w:p>
        </w:tc>
        <w:tc>
          <w:tcPr>
            <w:tcW w:w="2233" w:type="pct"/>
            <w:vAlign w:val="center"/>
          </w:tcPr>
          <w:p w14:paraId="208E2D35">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http://www.adb.org/zh/main</w:t>
            </w:r>
          </w:p>
        </w:tc>
      </w:tr>
      <w:tr w14:paraId="2146C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6" w:type="pct"/>
            <w:vAlign w:val="center"/>
          </w:tcPr>
          <w:p w14:paraId="54577908">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国际组织</w:t>
            </w:r>
          </w:p>
        </w:tc>
        <w:tc>
          <w:tcPr>
            <w:tcW w:w="2111" w:type="pct"/>
            <w:vAlign w:val="center"/>
          </w:tcPr>
          <w:p w14:paraId="7166D484">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亚洲基础设施投资银行</w:t>
            </w:r>
          </w:p>
        </w:tc>
        <w:tc>
          <w:tcPr>
            <w:tcW w:w="2233" w:type="pct"/>
            <w:vAlign w:val="center"/>
          </w:tcPr>
          <w:p w14:paraId="48F9CA57">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https://www.aiib.org/</w:t>
            </w:r>
          </w:p>
        </w:tc>
      </w:tr>
      <w:tr w14:paraId="1F3ED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6" w:type="pct"/>
            <w:vAlign w:val="center"/>
          </w:tcPr>
          <w:p w14:paraId="0AA5A8C5">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国际组织</w:t>
            </w:r>
          </w:p>
        </w:tc>
        <w:tc>
          <w:tcPr>
            <w:tcW w:w="2111" w:type="pct"/>
            <w:vAlign w:val="center"/>
          </w:tcPr>
          <w:p w14:paraId="218A9F89">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非洲开发银行</w:t>
            </w:r>
          </w:p>
        </w:tc>
        <w:tc>
          <w:tcPr>
            <w:tcW w:w="2233" w:type="pct"/>
            <w:vAlign w:val="center"/>
          </w:tcPr>
          <w:p w14:paraId="5D4E2302">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http://www.afdb.org/</w:t>
            </w:r>
          </w:p>
        </w:tc>
      </w:tr>
      <w:tr w14:paraId="7BB1A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6" w:type="pct"/>
            <w:vAlign w:val="center"/>
          </w:tcPr>
          <w:p w14:paraId="1CCE59D5">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国际组织</w:t>
            </w:r>
          </w:p>
        </w:tc>
        <w:tc>
          <w:tcPr>
            <w:tcW w:w="2111" w:type="pct"/>
            <w:vAlign w:val="center"/>
          </w:tcPr>
          <w:p w14:paraId="097D4FF0">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国际清算银行</w:t>
            </w:r>
          </w:p>
        </w:tc>
        <w:tc>
          <w:tcPr>
            <w:tcW w:w="2233" w:type="pct"/>
            <w:vAlign w:val="center"/>
          </w:tcPr>
          <w:p w14:paraId="53041231">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http://www.bis.org/</w:t>
            </w:r>
          </w:p>
        </w:tc>
      </w:tr>
      <w:tr w14:paraId="64E48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6" w:type="pct"/>
            <w:vAlign w:val="center"/>
          </w:tcPr>
          <w:p w14:paraId="4245D7FA">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国际组织</w:t>
            </w:r>
          </w:p>
        </w:tc>
        <w:tc>
          <w:tcPr>
            <w:tcW w:w="2111" w:type="pct"/>
            <w:vAlign w:val="center"/>
          </w:tcPr>
          <w:p w14:paraId="1FCFB544">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欧洲中央银行</w:t>
            </w:r>
          </w:p>
        </w:tc>
        <w:tc>
          <w:tcPr>
            <w:tcW w:w="2233" w:type="pct"/>
            <w:vAlign w:val="center"/>
          </w:tcPr>
          <w:p w14:paraId="1C5C6B65">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http://www.ecb.europa.eu/</w:t>
            </w:r>
          </w:p>
        </w:tc>
      </w:tr>
      <w:tr w14:paraId="61182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6" w:type="pct"/>
            <w:vAlign w:val="center"/>
          </w:tcPr>
          <w:p w14:paraId="5132E4F5">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金融机构</w:t>
            </w:r>
          </w:p>
        </w:tc>
        <w:tc>
          <w:tcPr>
            <w:tcW w:w="2111" w:type="pct"/>
            <w:vAlign w:val="center"/>
          </w:tcPr>
          <w:p w14:paraId="1CD4ACBC">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美国联邦储备系统</w:t>
            </w:r>
          </w:p>
        </w:tc>
        <w:tc>
          <w:tcPr>
            <w:tcW w:w="2233" w:type="pct"/>
            <w:vAlign w:val="center"/>
          </w:tcPr>
          <w:p w14:paraId="7CA1A26C">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https://www.federalreserve.gov/</w:t>
            </w:r>
          </w:p>
        </w:tc>
      </w:tr>
      <w:tr w14:paraId="40535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6" w:type="pct"/>
            <w:vAlign w:val="center"/>
          </w:tcPr>
          <w:p w14:paraId="3102A633">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金融机构</w:t>
            </w:r>
          </w:p>
        </w:tc>
        <w:tc>
          <w:tcPr>
            <w:tcW w:w="2111" w:type="pct"/>
            <w:vAlign w:val="center"/>
          </w:tcPr>
          <w:p w14:paraId="454043AB">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英格兰银行</w:t>
            </w:r>
          </w:p>
        </w:tc>
        <w:tc>
          <w:tcPr>
            <w:tcW w:w="2233" w:type="pct"/>
            <w:vAlign w:val="center"/>
          </w:tcPr>
          <w:p w14:paraId="6ED9DDBE">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http://www.bankofengland.co.uk/</w:t>
            </w:r>
          </w:p>
        </w:tc>
      </w:tr>
      <w:tr w14:paraId="2A2F9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6" w:type="pct"/>
            <w:vAlign w:val="center"/>
          </w:tcPr>
          <w:p w14:paraId="4FB7EE1A">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金融机构</w:t>
            </w:r>
          </w:p>
        </w:tc>
        <w:tc>
          <w:tcPr>
            <w:tcW w:w="2111" w:type="pct"/>
            <w:vAlign w:val="center"/>
          </w:tcPr>
          <w:p w14:paraId="64E3BA7B">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德意志银行</w:t>
            </w:r>
          </w:p>
        </w:tc>
        <w:tc>
          <w:tcPr>
            <w:tcW w:w="2233" w:type="pct"/>
            <w:vAlign w:val="center"/>
          </w:tcPr>
          <w:p w14:paraId="6CA785DE">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https://www.db.com/</w:t>
            </w:r>
          </w:p>
        </w:tc>
      </w:tr>
      <w:tr w14:paraId="59DC2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6" w:type="pct"/>
            <w:vAlign w:val="center"/>
          </w:tcPr>
          <w:p w14:paraId="09266AB5">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金融机构</w:t>
            </w:r>
          </w:p>
        </w:tc>
        <w:tc>
          <w:tcPr>
            <w:tcW w:w="2111" w:type="pct"/>
            <w:vAlign w:val="center"/>
          </w:tcPr>
          <w:p w14:paraId="70163D15">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法兰西银行</w:t>
            </w:r>
          </w:p>
        </w:tc>
        <w:tc>
          <w:tcPr>
            <w:tcW w:w="2233" w:type="pct"/>
            <w:vAlign w:val="center"/>
          </w:tcPr>
          <w:p w14:paraId="7D8AA3D4">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http://www.banque-france.fr/</w:t>
            </w:r>
          </w:p>
        </w:tc>
      </w:tr>
      <w:tr w14:paraId="61FE4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6" w:type="pct"/>
            <w:vAlign w:val="center"/>
          </w:tcPr>
          <w:p w14:paraId="1B2F0924">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金融机构</w:t>
            </w:r>
          </w:p>
        </w:tc>
        <w:tc>
          <w:tcPr>
            <w:tcW w:w="2111" w:type="pct"/>
            <w:vAlign w:val="center"/>
          </w:tcPr>
          <w:p w14:paraId="11830E46">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瑞银集团</w:t>
            </w:r>
          </w:p>
        </w:tc>
        <w:tc>
          <w:tcPr>
            <w:tcW w:w="2233" w:type="pct"/>
            <w:vAlign w:val="center"/>
          </w:tcPr>
          <w:p w14:paraId="63225C3B">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http://www.ubs.com/</w:t>
            </w:r>
          </w:p>
        </w:tc>
      </w:tr>
      <w:tr w14:paraId="48C1C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6" w:type="pct"/>
            <w:vAlign w:val="center"/>
          </w:tcPr>
          <w:p w14:paraId="3D06CC24">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金融机构</w:t>
            </w:r>
          </w:p>
        </w:tc>
        <w:tc>
          <w:tcPr>
            <w:tcW w:w="2111" w:type="pct"/>
            <w:vAlign w:val="center"/>
          </w:tcPr>
          <w:p w14:paraId="71FAC94C">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日本银行</w:t>
            </w:r>
          </w:p>
        </w:tc>
        <w:tc>
          <w:tcPr>
            <w:tcW w:w="2233" w:type="pct"/>
            <w:vAlign w:val="center"/>
          </w:tcPr>
          <w:p w14:paraId="38E008EA">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https://www.boj.or.jp/</w:t>
            </w:r>
          </w:p>
        </w:tc>
      </w:tr>
      <w:tr w14:paraId="584C4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6" w:type="pct"/>
            <w:vAlign w:val="center"/>
          </w:tcPr>
          <w:p w14:paraId="08EC7C06">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金融机构</w:t>
            </w:r>
          </w:p>
        </w:tc>
        <w:tc>
          <w:tcPr>
            <w:tcW w:w="2111" w:type="pct"/>
            <w:vAlign w:val="center"/>
          </w:tcPr>
          <w:p w14:paraId="3FAFFC8B">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澳新银行</w:t>
            </w:r>
          </w:p>
        </w:tc>
        <w:tc>
          <w:tcPr>
            <w:tcW w:w="2233" w:type="pct"/>
            <w:vAlign w:val="center"/>
          </w:tcPr>
          <w:p w14:paraId="66930E81">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http://www.anz.com/</w:t>
            </w:r>
          </w:p>
        </w:tc>
      </w:tr>
      <w:tr w14:paraId="0BCCC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6" w:type="pct"/>
            <w:vAlign w:val="center"/>
          </w:tcPr>
          <w:p w14:paraId="01CCCDC6">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投资机构</w:t>
            </w:r>
          </w:p>
        </w:tc>
        <w:tc>
          <w:tcPr>
            <w:tcW w:w="2111" w:type="pct"/>
            <w:vAlign w:val="center"/>
          </w:tcPr>
          <w:p w14:paraId="3D38452C">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高盛</w:t>
            </w:r>
          </w:p>
        </w:tc>
        <w:tc>
          <w:tcPr>
            <w:tcW w:w="2233" w:type="pct"/>
            <w:vAlign w:val="center"/>
          </w:tcPr>
          <w:p w14:paraId="4D60BE70">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https://www.goldmansachs.com/</w:t>
            </w:r>
          </w:p>
        </w:tc>
      </w:tr>
      <w:tr w14:paraId="5E95E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6" w:type="pct"/>
            <w:vAlign w:val="center"/>
          </w:tcPr>
          <w:p w14:paraId="083E655A">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投资机构</w:t>
            </w:r>
          </w:p>
        </w:tc>
        <w:tc>
          <w:tcPr>
            <w:tcW w:w="2111" w:type="pct"/>
            <w:vAlign w:val="center"/>
          </w:tcPr>
          <w:p w14:paraId="71F988B2">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摩根士丹利</w:t>
            </w:r>
          </w:p>
        </w:tc>
        <w:tc>
          <w:tcPr>
            <w:tcW w:w="2233" w:type="pct"/>
            <w:vAlign w:val="center"/>
          </w:tcPr>
          <w:p w14:paraId="246B6499">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http://www.morganstanley.com/</w:t>
            </w:r>
          </w:p>
        </w:tc>
      </w:tr>
      <w:tr w14:paraId="72FE6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6" w:type="pct"/>
            <w:vAlign w:val="center"/>
          </w:tcPr>
          <w:p w14:paraId="179AC22C">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投资机构</w:t>
            </w:r>
          </w:p>
        </w:tc>
        <w:tc>
          <w:tcPr>
            <w:tcW w:w="2111" w:type="pct"/>
            <w:vAlign w:val="center"/>
          </w:tcPr>
          <w:p w14:paraId="5D6B47CD">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摩根大通</w:t>
            </w:r>
          </w:p>
        </w:tc>
        <w:tc>
          <w:tcPr>
            <w:tcW w:w="2233" w:type="pct"/>
            <w:vAlign w:val="center"/>
          </w:tcPr>
          <w:p w14:paraId="25737E4B">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https://www.jpmorganchase.com/</w:t>
            </w:r>
          </w:p>
        </w:tc>
      </w:tr>
      <w:tr w14:paraId="62337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6" w:type="pct"/>
            <w:vAlign w:val="center"/>
          </w:tcPr>
          <w:p w14:paraId="2940DECF">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投资机构</w:t>
            </w:r>
          </w:p>
        </w:tc>
        <w:tc>
          <w:tcPr>
            <w:tcW w:w="2111" w:type="pct"/>
            <w:vAlign w:val="center"/>
          </w:tcPr>
          <w:p w14:paraId="4C1B2E77">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美林证券</w:t>
            </w:r>
          </w:p>
        </w:tc>
        <w:tc>
          <w:tcPr>
            <w:tcW w:w="2233" w:type="pct"/>
            <w:vAlign w:val="center"/>
          </w:tcPr>
          <w:p w14:paraId="5AC43231">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https://www.ml.com/</w:t>
            </w:r>
          </w:p>
        </w:tc>
      </w:tr>
      <w:tr w14:paraId="2F700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6" w:type="pct"/>
            <w:vAlign w:val="center"/>
          </w:tcPr>
          <w:p w14:paraId="07E0C7BB">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交易市场</w:t>
            </w:r>
          </w:p>
        </w:tc>
        <w:tc>
          <w:tcPr>
            <w:tcW w:w="2111" w:type="pct"/>
            <w:vAlign w:val="center"/>
          </w:tcPr>
          <w:p w14:paraId="4892720C">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纽约证券交易所</w:t>
            </w:r>
          </w:p>
        </w:tc>
        <w:tc>
          <w:tcPr>
            <w:tcW w:w="2233" w:type="pct"/>
            <w:vAlign w:val="center"/>
          </w:tcPr>
          <w:p w14:paraId="1F49C54B">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https://www.nyse.com/</w:t>
            </w:r>
          </w:p>
        </w:tc>
      </w:tr>
      <w:tr w14:paraId="1C6DC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6" w:type="pct"/>
            <w:vAlign w:val="center"/>
          </w:tcPr>
          <w:p w14:paraId="03DF4F2C">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交易市场</w:t>
            </w:r>
          </w:p>
        </w:tc>
        <w:tc>
          <w:tcPr>
            <w:tcW w:w="2111" w:type="pct"/>
            <w:vAlign w:val="center"/>
          </w:tcPr>
          <w:p w14:paraId="74BEE4D0">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纳斯达克</w:t>
            </w:r>
          </w:p>
        </w:tc>
        <w:tc>
          <w:tcPr>
            <w:tcW w:w="2233" w:type="pct"/>
            <w:vAlign w:val="center"/>
          </w:tcPr>
          <w:p w14:paraId="1E828D29">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https://www.nasdaq.com/</w:t>
            </w:r>
          </w:p>
        </w:tc>
      </w:tr>
      <w:tr w14:paraId="1324A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6" w:type="pct"/>
            <w:vAlign w:val="center"/>
          </w:tcPr>
          <w:p w14:paraId="073CB413">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交易市场</w:t>
            </w:r>
          </w:p>
        </w:tc>
        <w:tc>
          <w:tcPr>
            <w:tcW w:w="2111" w:type="pct"/>
            <w:vAlign w:val="center"/>
          </w:tcPr>
          <w:p w14:paraId="1E009005">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伦敦证券交易所</w:t>
            </w:r>
          </w:p>
        </w:tc>
        <w:tc>
          <w:tcPr>
            <w:tcW w:w="2233" w:type="pct"/>
            <w:vAlign w:val="center"/>
          </w:tcPr>
          <w:p w14:paraId="228FDE76">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https://www.londonstockexchange.com/</w:t>
            </w:r>
          </w:p>
        </w:tc>
      </w:tr>
      <w:tr w14:paraId="719F8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6" w:type="pct"/>
            <w:vAlign w:val="center"/>
          </w:tcPr>
          <w:p w14:paraId="3170AEC0">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交易市场</w:t>
            </w:r>
          </w:p>
        </w:tc>
        <w:tc>
          <w:tcPr>
            <w:tcW w:w="2111" w:type="pct"/>
            <w:vAlign w:val="center"/>
          </w:tcPr>
          <w:p w14:paraId="4F192D71">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法兰克福证券交易所</w:t>
            </w:r>
          </w:p>
        </w:tc>
        <w:tc>
          <w:tcPr>
            <w:tcW w:w="2233" w:type="pct"/>
            <w:vAlign w:val="center"/>
          </w:tcPr>
          <w:p w14:paraId="52213985">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https://www.boerse-frankfurt.de/</w:t>
            </w:r>
          </w:p>
        </w:tc>
      </w:tr>
      <w:tr w14:paraId="36C72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6" w:type="pct"/>
            <w:vAlign w:val="center"/>
          </w:tcPr>
          <w:p w14:paraId="38ACC180">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交易市场</w:t>
            </w:r>
          </w:p>
        </w:tc>
        <w:tc>
          <w:tcPr>
            <w:tcW w:w="2111" w:type="pct"/>
            <w:vAlign w:val="center"/>
          </w:tcPr>
          <w:p w14:paraId="1A785CFD">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东京证券交易所</w:t>
            </w:r>
          </w:p>
        </w:tc>
        <w:tc>
          <w:tcPr>
            <w:tcW w:w="2233" w:type="pct"/>
            <w:vAlign w:val="center"/>
          </w:tcPr>
          <w:p w14:paraId="4C50C028">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https://www.jpx.co.jp/</w:t>
            </w:r>
          </w:p>
        </w:tc>
      </w:tr>
      <w:tr w14:paraId="4FD2F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6" w:type="pct"/>
            <w:vAlign w:val="center"/>
          </w:tcPr>
          <w:p w14:paraId="40376DCD">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交易市场</w:t>
            </w:r>
          </w:p>
        </w:tc>
        <w:tc>
          <w:tcPr>
            <w:tcW w:w="2111" w:type="pct"/>
            <w:vAlign w:val="center"/>
          </w:tcPr>
          <w:p w14:paraId="7F567B95">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中国国际船舶交易网</w:t>
            </w:r>
          </w:p>
        </w:tc>
        <w:tc>
          <w:tcPr>
            <w:tcW w:w="2233" w:type="pct"/>
            <w:vAlign w:val="center"/>
          </w:tcPr>
          <w:p w14:paraId="4A0CB2E1">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https://www.eshiptrading.com.cn/</w:t>
            </w:r>
          </w:p>
        </w:tc>
      </w:tr>
      <w:tr w14:paraId="4AB56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6" w:type="pct"/>
            <w:vAlign w:val="center"/>
          </w:tcPr>
          <w:p w14:paraId="1C662B75">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交易市场</w:t>
            </w:r>
          </w:p>
        </w:tc>
        <w:tc>
          <w:tcPr>
            <w:tcW w:w="2111" w:type="pct"/>
            <w:vAlign w:val="center"/>
          </w:tcPr>
          <w:p w14:paraId="16F5B5C2">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全球船舶估值网</w:t>
            </w:r>
          </w:p>
        </w:tc>
        <w:tc>
          <w:tcPr>
            <w:tcW w:w="2233" w:type="pct"/>
            <w:vAlign w:val="center"/>
          </w:tcPr>
          <w:p w14:paraId="4DB68C0A">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https://www.vesselsvalue.com/</w:t>
            </w:r>
          </w:p>
        </w:tc>
      </w:tr>
      <w:tr w14:paraId="42534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6" w:type="pct"/>
            <w:vAlign w:val="center"/>
          </w:tcPr>
          <w:p w14:paraId="282C7C87">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交易市场</w:t>
            </w:r>
          </w:p>
        </w:tc>
        <w:tc>
          <w:tcPr>
            <w:tcW w:w="2111" w:type="pct"/>
            <w:vAlign w:val="center"/>
          </w:tcPr>
          <w:p w14:paraId="77A3BFC1">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Aircraft24飞机交易网</w:t>
            </w:r>
          </w:p>
        </w:tc>
        <w:tc>
          <w:tcPr>
            <w:tcW w:w="2233" w:type="pct"/>
            <w:vAlign w:val="center"/>
          </w:tcPr>
          <w:p w14:paraId="0E48BCFD">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https://www.aircraft24.com/</w:t>
            </w:r>
          </w:p>
        </w:tc>
      </w:tr>
      <w:tr w14:paraId="09DB5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6" w:type="pct"/>
            <w:vAlign w:val="center"/>
          </w:tcPr>
          <w:p w14:paraId="41F0B4A0">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交易市场</w:t>
            </w:r>
          </w:p>
        </w:tc>
        <w:tc>
          <w:tcPr>
            <w:tcW w:w="2111" w:type="pct"/>
            <w:vAlign w:val="center"/>
          </w:tcPr>
          <w:p w14:paraId="351911E4">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Controller飞机交易网</w:t>
            </w:r>
          </w:p>
        </w:tc>
        <w:tc>
          <w:tcPr>
            <w:tcW w:w="2233" w:type="pct"/>
            <w:vAlign w:val="center"/>
          </w:tcPr>
          <w:p w14:paraId="5BC3B107">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https://www.controller.com/</w:t>
            </w:r>
          </w:p>
        </w:tc>
      </w:tr>
      <w:tr w14:paraId="11973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6" w:type="pct"/>
            <w:vAlign w:val="center"/>
          </w:tcPr>
          <w:p w14:paraId="3754D840">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交易市场</w:t>
            </w:r>
          </w:p>
        </w:tc>
        <w:tc>
          <w:tcPr>
            <w:tcW w:w="2111" w:type="pct"/>
            <w:vAlign w:val="center"/>
          </w:tcPr>
          <w:p w14:paraId="240F0ECB">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Whatcar英国汽车市场信息网</w:t>
            </w:r>
          </w:p>
        </w:tc>
        <w:tc>
          <w:tcPr>
            <w:tcW w:w="2233" w:type="pct"/>
            <w:vAlign w:val="center"/>
          </w:tcPr>
          <w:p w14:paraId="034EB3A4">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https://www.whatcar.com/</w:t>
            </w:r>
          </w:p>
        </w:tc>
      </w:tr>
      <w:tr w14:paraId="4E86A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6" w:type="pct"/>
            <w:vAlign w:val="center"/>
          </w:tcPr>
          <w:p w14:paraId="1A8721C7">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交易市场</w:t>
            </w:r>
          </w:p>
        </w:tc>
        <w:tc>
          <w:tcPr>
            <w:tcW w:w="2111" w:type="pct"/>
            <w:vAlign w:val="center"/>
          </w:tcPr>
          <w:p w14:paraId="5D35B56E">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Cars美国汽车市场信息网</w:t>
            </w:r>
          </w:p>
        </w:tc>
        <w:tc>
          <w:tcPr>
            <w:tcW w:w="2233" w:type="pct"/>
            <w:vAlign w:val="center"/>
          </w:tcPr>
          <w:p w14:paraId="65AFE993">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https://www.cars.com/</w:t>
            </w:r>
          </w:p>
        </w:tc>
      </w:tr>
      <w:tr w14:paraId="33902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6" w:type="pct"/>
            <w:vAlign w:val="center"/>
          </w:tcPr>
          <w:p w14:paraId="3164D536">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交易市场</w:t>
            </w:r>
          </w:p>
        </w:tc>
        <w:tc>
          <w:tcPr>
            <w:tcW w:w="2111" w:type="pct"/>
            <w:vAlign w:val="center"/>
          </w:tcPr>
          <w:p w14:paraId="4996AB2F">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AutoTrader美国汽车市场信息网</w:t>
            </w:r>
          </w:p>
        </w:tc>
        <w:tc>
          <w:tcPr>
            <w:tcW w:w="2233" w:type="pct"/>
            <w:vAlign w:val="center"/>
          </w:tcPr>
          <w:p w14:paraId="723AB56E">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http://www.autotrader.com/</w:t>
            </w:r>
          </w:p>
        </w:tc>
      </w:tr>
      <w:tr w14:paraId="08A28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6" w:type="pct"/>
            <w:vAlign w:val="center"/>
          </w:tcPr>
          <w:p w14:paraId="2900CD52">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交易市场</w:t>
            </w:r>
          </w:p>
        </w:tc>
        <w:tc>
          <w:tcPr>
            <w:tcW w:w="2111" w:type="pct"/>
            <w:vAlign w:val="center"/>
          </w:tcPr>
          <w:p w14:paraId="2D5621DE">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Mobile德国汽车市场信息网</w:t>
            </w:r>
          </w:p>
        </w:tc>
        <w:tc>
          <w:tcPr>
            <w:tcW w:w="2233" w:type="pct"/>
            <w:vAlign w:val="center"/>
          </w:tcPr>
          <w:p w14:paraId="1FC94C5D">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https://www.mobile.de/</w:t>
            </w:r>
          </w:p>
        </w:tc>
      </w:tr>
      <w:tr w14:paraId="494F4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6" w:type="pct"/>
            <w:vAlign w:val="center"/>
          </w:tcPr>
          <w:p w14:paraId="4DBDC9DE">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交易市场</w:t>
            </w:r>
          </w:p>
        </w:tc>
        <w:tc>
          <w:tcPr>
            <w:tcW w:w="2111" w:type="pct"/>
            <w:vAlign w:val="center"/>
          </w:tcPr>
          <w:p w14:paraId="561D2A3E">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Autoscout24欧洲汽车市场信息网</w:t>
            </w:r>
          </w:p>
        </w:tc>
        <w:tc>
          <w:tcPr>
            <w:tcW w:w="2233" w:type="pct"/>
            <w:vAlign w:val="center"/>
          </w:tcPr>
          <w:p w14:paraId="0E3961F1">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https://www.autoscout24.com/</w:t>
            </w:r>
          </w:p>
        </w:tc>
      </w:tr>
      <w:tr w14:paraId="075A5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6" w:type="pct"/>
            <w:vAlign w:val="center"/>
          </w:tcPr>
          <w:p w14:paraId="0D8A379E">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交易市场</w:t>
            </w:r>
          </w:p>
        </w:tc>
        <w:tc>
          <w:tcPr>
            <w:tcW w:w="2111" w:type="pct"/>
            <w:vAlign w:val="center"/>
          </w:tcPr>
          <w:p w14:paraId="308969A0">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Goo-net日本汽车市场信息网</w:t>
            </w:r>
          </w:p>
        </w:tc>
        <w:tc>
          <w:tcPr>
            <w:tcW w:w="2233" w:type="pct"/>
            <w:vAlign w:val="center"/>
          </w:tcPr>
          <w:p w14:paraId="094043D0">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http://goo-net.com</w:t>
            </w:r>
          </w:p>
        </w:tc>
      </w:tr>
      <w:tr w14:paraId="6EFDD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6" w:type="pct"/>
            <w:vAlign w:val="center"/>
          </w:tcPr>
          <w:p w14:paraId="6D2D3E51">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交易市场</w:t>
            </w:r>
          </w:p>
        </w:tc>
        <w:tc>
          <w:tcPr>
            <w:tcW w:w="2111" w:type="pct"/>
            <w:vAlign w:val="center"/>
          </w:tcPr>
          <w:p w14:paraId="2D62AA84">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雅虎汽车市场信息网</w:t>
            </w:r>
          </w:p>
        </w:tc>
        <w:tc>
          <w:tcPr>
            <w:tcW w:w="2233" w:type="pct"/>
            <w:vAlign w:val="center"/>
          </w:tcPr>
          <w:p w14:paraId="277D5B7E">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https://autos.yahoo.com/</w:t>
            </w:r>
          </w:p>
        </w:tc>
      </w:tr>
      <w:tr w14:paraId="3FE55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6" w:type="pct"/>
            <w:vAlign w:val="center"/>
          </w:tcPr>
          <w:p w14:paraId="29D5C82F">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交易市场</w:t>
            </w:r>
          </w:p>
        </w:tc>
        <w:tc>
          <w:tcPr>
            <w:tcW w:w="2111" w:type="pct"/>
            <w:vAlign w:val="center"/>
          </w:tcPr>
          <w:p w14:paraId="0F97C43E">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Kakaku日本商品价格信息网</w:t>
            </w:r>
          </w:p>
        </w:tc>
        <w:tc>
          <w:tcPr>
            <w:tcW w:w="2233" w:type="pct"/>
            <w:vAlign w:val="center"/>
          </w:tcPr>
          <w:p w14:paraId="54501B3D">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https://kakaku.com/</w:t>
            </w:r>
          </w:p>
        </w:tc>
      </w:tr>
      <w:tr w14:paraId="172F3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6" w:type="pct"/>
            <w:vAlign w:val="center"/>
          </w:tcPr>
          <w:p w14:paraId="16BD14C9">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交易市场</w:t>
            </w:r>
          </w:p>
        </w:tc>
        <w:tc>
          <w:tcPr>
            <w:tcW w:w="2111" w:type="pct"/>
            <w:vAlign w:val="center"/>
          </w:tcPr>
          <w:p w14:paraId="5D4CE367">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Zillow美国不动产信息网</w:t>
            </w:r>
          </w:p>
        </w:tc>
        <w:tc>
          <w:tcPr>
            <w:tcW w:w="2233" w:type="pct"/>
            <w:vAlign w:val="center"/>
          </w:tcPr>
          <w:p w14:paraId="38139595">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https://www.zillow.com/</w:t>
            </w:r>
          </w:p>
        </w:tc>
      </w:tr>
      <w:tr w14:paraId="5D6DA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6" w:type="pct"/>
            <w:vAlign w:val="center"/>
          </w:tcPr>
          <w:p w14:paraId="7907D40E">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交易市场</w:t>
            </w:r>
          </w:p>
        </w:tc>
        <w:tc>
          <w:tcPr>
            <w:tcW w:w="2111" w:type="pct"/>
            <w:vAlign w:val="center"/>
          </w:tcPr>
          <w:p w14:paraId="3933A967">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Trulia美国不动产信息网</w:t>
            </w:r>
          </w:p>
        </w:tc>
        <w:tc>
          <w:tcPr>
            <w:tcW w:w="2233" w:type="pct"/>
            <w:vAlign w:val="center"/>
          </w:tcPr>
          <w:p w14:paraId="3F089152">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https://www.trulia.com/</w:t>
            </w:r>
          </w:p>
        </w:tc>
      </w:tr>
      <w:tr w14:paraId="29B64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6" w:type="pct"/>
            <w:vAlign w:val="center"/>
          </w:tcPr>
          <w:p w14:paraId="5AD654BA">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交易市场</w:t>
            </w:r>
          </w:p>
        </w:tc>
        <w:tc>
          <w:tcPr>
            <w:tcW w:w="2111" w:type="pct"/>
            <w:vAlign w:val="center"/>
          </w:tcPr>
          <w:p w14:paraId="5D934990">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日本房地产导航网</w:t>
            </w:r>
          </w:p>
        </w:tc>
        <w:tc>
          <w:tcPr>
            <w:tcW w:w="2233" w:type="pct"/>
            <w:vAlign w:val="center"/>
          </w:tcPr>
          <w:p w14:paraId="25767355">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https://www.misawa-mrd.com/</w:t>
            </w:r>
          </w:p>
        </w:tc>
      </w:tr>
      <w:tr w14:paraId="35640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6" w:type="pct"/>
            <w:vAlign w:val="center"/>
          </w:tcPr>
          <w:p w14:paraId="188C3DAD">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交易市场</w:t>
            </w:r>
          </w:p>
        </w:tc>
        <w:tc>
          <w:tcPr>
            <w:tcW w:w="2111" w:type="pct"/>
            <w:vAlign w:val="center"/>
          </w:tcPr>
          <w:p w14:paraId="7180F418">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Naver韩国不动产信息网</w:t>
            </w:r>
          </w:p>
        </w:tc>
        <w:tc>
          <w:tcPr>
            <w:tcW w:w="2233" w:type="pct"/>
            <w:vAlign w:val="center"/>
          </w:tcPr>
          <w:p w14:paraId="52151FD6">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https://new.land.naver.com</w:t>
            </w:r>
          </w:p>
        </w:tc>
      </w:tr>
      <w:tr w14:paraId="5351E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6" w:type="pct"/>
            <w:vAlign w:val="center"/>
          </w:tcPr>
          <w:p w14:paraId="2842F23B">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院校学者</w:t>
            </w:r>
          </w:p>
        </w:tc>
        <w:tc>
          <w:tcPr>
            <w:tcW w:w="2111" w:type="pct"/>
            <w:vAlign w:val="center"/>
          </w:tcPr>
          <w:p w14:paraId="5F7DF73C">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牛津经济研究数据库</w:t>
            </w:r>
          </w:p>
        </w:tc>
        <w:tc>
          <w:tcPr>
            <w:tcW w:w="2233" w:type="pct"/>
            <w:vAlign w:val="center"/>
          </w:tcPr>
          <w:p w14:paraId="43A1CF56">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https://www.oxfordeconomics.com/</w:t>
            </w:r>
          </w:p>
        </w:tc>
      </w:tr>
      <w:tr w14:paraId="17B30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6" w:type="pct"/>
            <w:vAlign w:val="center"/>
          </w:tcPr>
          <w:p w14:paraId="3240B11A">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院校学者</w:t>
            </w:r>
          </w:p>
        </w:tc>
        <w:tc>
          <w:tcPr>
            <w:tcW w:w="2111" w:type="pct"/>
            <w:vAlign w:val="center"/>
          </w:tcPr>
          <w:p w14:paraId="63D35C56">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美国加州大学经济研究数据库</w:t>
            </w:r>
          </w:p>
        </w:tc>
        <w:tc>
          <w:tcPr>
            <w:tcW w:w="2233" w:type="pct"/>
            <w:vAlign w:val="center"/>
          </w:tcPr>
          <w:p w14:paraId="2F5210D8">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https://escholarship.org/uc/cega</w:t>
            </w:r>
          </w:p>
        </w:tc>
      </w:tr>
      <w:tr w14:paraId="52117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6" w:type="pct"/>
            <w:vAlign w:val="center"/>
          </w:tcPr>
          <w:p w14:paraId="34FB561A">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院校学者</w:t>
            </w:r>
          </w:p>
        </w:tc>
        <w:tc>
          <w:tcPr>
            <w:tcW w:w="2111" w:type="pct"/>
            <w:vAlign w:val="center"/>
          </w:tcPr>
          <w:p w14:paraId="56A9FAF9">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沃顿学院经济研究数据库：</w:t>
            </w:r>
          </w:p>
        </w:tc>
        <w:tc>
          <w:tcPr>
            <w:tcW w:w="2233" w:type="pct"/>
            <w:vAlign w:val="center"/>
          </w:tcPr>
          <w:p w14:paraId="3EED92D1">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https://bepp.wharton.upenn.edu/research/research-listing/</w:t>
            </w:r>
          </w:p>
        </w:tc>
      </w:tr>
      <w:tr w14:paraId="16D59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6" w:type="pct"/>
            <w:vAlign w:val="center"/>
          </w:tcPr>
          <w:p w14:paraId="353F9FE2">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院校学者</w:t>
            </w:r>
          </w:p>
        </w:tc>
        <w:tc>
          <w:tcPr>
            <w:tcW w:w="2111" w:type="pct"/>
            <w:vAlign w:val="center"/>
          </w:tcPr>
          <w:p w14:paraId="38BC4461">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哈佛商学院宏观经济学资源网</w:t>
            </w:r>
          </w:p>
        </w:tc>
        <w:tc>
          <w:tcPr>
            <w:tcW w:w="2233" w:type="pct"/>
            <w:vAlign w:val="center"/>
          </w:tcPr>
          <w:p w14:paraId="1A899A16">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https://www.hbs.edu./units/bgie/internet/</w:t>
            </w:r>
          </w:p>
        </w:tc>
      </w:tr>
      <w:tr w14:paraId="3720F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6" w:type="pct"/>
            <w:vAlign w:val="center"/>
          </w:tcPr>
          <w:p w14:paraId="2756ACF1">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院校学者</w:t>
            </w:r>
          </w:p>
        </w:tc>
        <w:tc>
          <w:tcPr>
            <w:tcW w:w="2111" w:type="pct"/>
            <w:vAlign w:val="center"/>
          </w:tcPr>
          <w:p w14:paraId="64CB3EA4">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达摩达兰研究数据库</w:t>
            </w:r>
          </w:p>
        </w:tc>
        <w:tc>
          <w:tcPr>
            <w:tcW w:w="2233" w:type="pct"/>
            <w:vAlign w:val="center"/>
          </w:tcPr>
          <w:p w14:paraId="58845D59">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http://pages.stern.nyu.edu/~adamodar/</w:t>
            </w:r>
          </w:p>
        </w:tc>
      </w:tr>
      <w:tr w14:paraId="37296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6" w:type="pct"/>
            <w:vAlign w:val="center"/>
          </w:tcPr>
          <w:p w14:paraId="703A760B">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专业机构</w:t>
            </w:r>
          </w:p>
        </w:tc>
        <w:tc>
          <w:tcPr>
            <w:tcW w:w="2111" w:type="pct"/>
            <w:vAlign w:val="center"/>
          </w:tcPr>
          <w:p w14:paraId="39986838">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全球经济指标数据库</w:t>
            </w:r>
          </w:p>
        </w:tc>
        <w:tc>
          <w:tcPr>
            <w:tcW w:w="2233" w:type="pct"/>
            <w:vAlign w:val="center"/>
          </w:tcPr>
          <w:p w14:paraId="3B62529A">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http://www.principalglobalindicators.org/</w:t>
            </w:r>
          </w:p>
        </w:tc>
      </w:tr>
      <w:tr w14:paraId="58A3F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6" w:type="pct"/>
            <w:vAlign w:val="center"/>
          </w:tcPr>
          <w:p w14:paraId="6F04E569">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专业机构</w:t>
            </w:r>
          </w:p>
        </w:tc>
        <w:tc>
          <w:tcPr>
            <w:tcW w:w="2111" w:type="pct"/>
            <w:vAlign w:val="center"/>
          </w:tcPr>
          <w:p w14:paraId="2080DBCB">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全球统计信息数据库</w:t>
            </w:r>
          </w:p>
        </w:tc>
        <w:tc>
          <w:tcPr>
            <w:tcW w:w="2233" w:type="pct"/>
            <w:vAlign w:val="center"/>
          </w:tcPr>
          <w:p w14:paraId="5AC9797D">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http://data.un.org/</w:t>
            </w:r>
          </w:p>
        </w:tc>
      </w:tr>
      <w:tr w14:paraId="3B542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6" w:type="pct"/>
            <w:vAlign w:val="center"/>
          </w:tcPr>
          <w:p w14:paraId="02D94C45">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专业机构</w:t>
            </w:r>
          </w:p>
        </w:tc>
        <w:tc>
          <w:tcPr>
            <w:tcW w:w="2111" w:type="pct"/>
            <w:vAlign w:val="center"/>
          </w:tcPr>
          <w:p w14:paraId="2F31C9DE">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全球商业经济数据库</w:t>
            </w:r>
          </w:p>
        </w:tc>
        <w:tc>
          <w:tcPr>
            <w:tcW w:w="2233" w:type="pct"/>
            <w:vAlign w:val="center"/>
          </w:tcPr>
          <w:p w14:paraId="4E55F566">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https://www.statista.com/</w:t>
            </w:r>
          </w:p>
        </w:tc>
      </w:tr>
      <w:tr w14:paraId="2E54E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6" w:type="pct"/>
            <w:vAlign w:val="center"/>
          </w:tcPr>
          <w:p w14:paraId="65829B06">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专业机构</w:t>
            </w:r>
          </w:p>
        </w:tc>
        <w:tc>
          <w:tcPr>
            <w:tcW w:w="2111" w:type="pct"/>
            <w:vAlign w:val="center"/>
          </w:tcPr>
          <w:p w14:paraId="2D823BEF">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美国经济杂志</w:t>
            </w:r>
          </w:p>
        </w:tc>
        <w:tc>
          <w:tcPr>
            <w:tcW w:w="2233" w:type="pct"/>
            <w:vAlign w:val="center"/>
          </w:tcPr>
          <w:p w14:paraId="639BE426">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https://www.aeaweb.org/journals/mac</w:t>
            </w:r>
          </w:p>
        </w:tc>
      </w:tr>
      <w:tr w14:paraId="60415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6" w:type="pct"/>
            <w:vAlign w:val="center"/>
          </w:tcPr>
          <w:p w14:paraId="380952B4">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专业机构</w:t>
            </w:r>
          </w:p>
        </w:tc>
        <w:tc>
          <w:tcPr>
            <w:tcW w:w="2111" w:type="pct"/>
            <w:vAlign w:val="center"/>
          </w:tcPr>
          <w:p w14:paraId="4E0E7811">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英为财情信息网</w:t>
            </w:r>
          </w:p>
        </w:tc>
        <w:tc>
          <w:tcPr>
            <w:tcW w:w="2233" w:type="pct"/>
            <w:vAlign w:val="center"/>
          </w:tcPr>
          <w:p w14:paraId="203EF61A">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https://cn.investing.com/</w:t>
            </w:r>
          </w:p>
        </w:tc>
      </w:tr>
      <w:tr w14:paraId="119B4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6" w:type="pct"/>
            <w:vAlign w:val="center"/>
          </w:tcPr>
          <w:p w14:paraId="1CDE88C6">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专业机构</w:t>
            </w:r>
          </w:p>
        </w:tc>
        <w:tc>
          <w:tcPr>
            <w:tcW w:w="2111" w:type="pct"/>
            <w:vAlign w:val="center"/>
          </w:tcPr>
          <w:p w14:paraId="3BEDE1B6">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彭博资讯信息网</w:t>
            </w:r>
          </w:p>
        </w:tc>
        <w:tc>
          <w:tcPr>
            <w:tcW w:w="2233" w:type="pct"/>
            <w:vAlign w:val="center"/>
          </w:tcPr>
          <w:p w14:paraId="5C85574F">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http://www.bloomberg.com/</w:t>
            </w:r>
          </w:p>
        </w:tc>
      </w:tr>
      <w:tr w14:paraId="3104D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6" w:type="pct"/>
            <w:vAlign w:val="center"/>
          </w:tcPr>
          <w:p w14:paraId="08275FD7">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专业机构</w:t>
            </w:r>
          </w:p>
        </w:tc>
        <w:tc>
          <w:tcPr>
            <w:tcW w:w="2111" w:type="pct"/>
            <w:vAlign w:val="center"/>
          </w:tcPr>
          <w:p w14:paraId="61C0B89B">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财经聚焦信息网</w:t>
            </w:r>
          </w:p>
        </w:tc>
        <w:tc>
          <w:tcPr>
            <w:tcW w:w="2233" w:type="pct"/>
            <w:vAlign w:val="center"/>
          </w:tcPr>
          <w:p w14:paraId="29EA26A3">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https://www.focus-economics.com/</w:t>
            </w:r>
          </w:p>
        </w:tc>
      </w:tr>
      <w:tr w14:paraId="40111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6" w:type="pct"/>
            <w:vAlign w:val="center"/>
          </w:tcPr>
          <w:p w14:paraId="37EC37CF">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专业机构</w:t>
            </w:r>
          </w:p>
        </w:tc>
        <w:tc>
          <w:tcPr>
            <w:tcW w:w="2111" w:type="pct"/>
            <w:vAlign w:val="center"/>
          </w:tcPr>
          <w:p w14:paraId="3F61D5C1">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S&amp;P核心金融数据库</w:t>
            </w:r>
          </w:p>
        </w:tc>
        <w:tc>
          <w:tcPr>
            <w:tcW w:w="2233" w:type="pct"/>
            <w:vAlign w:val="center"/>
          </w:tcPr>
          <w:p w14:paraId="699610FE">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https://www.capitaliq.com/</w:t>
            </w:r>
          </w:p>
        </w:tc>
      </w:tr>
      <w:tr w14:paraId="056B6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6" w:type="pct"/>
            <w:vAlign w:val="center"/>
          </w:tcPr>
          <w:p w14:paraId="4BC13211">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专业机构</w:t>
            </w:r>
          </w:p>
        </w:tc>
        <w:tc>
          <w:tcPr>
            <w:tcW w:w="2111" w:type="pct"/>
            <w:vAlign w:val="center"/>
          </w:tcPr>
          <w:p w14:paraId="12FEC505">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并购市场资讯有限公司（Mergermarket）并购交易数据库</w:t>
            </w:r>
          </w:p>
        </w:tc>
        <w:tc>
          <w:tcPr>
            <w:tcW w:w="2233" w:type="pct"/>
            <w:vAlign w:val="center"/>
          </w:tcPr>
          <w:p w14:paraId="705D5A0D">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https://www.mergermarket.com/</w:t>
            </w:r>
          </w:p>
        </w:tc>
      </w:tr>
      <w:tr w14:paraId="75B10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6" w:type="pct"/>
            <w:vAlign w:val="center"/>
          </w:tcPr>
          <w:p w14:paraId="00D4292A">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专业机构</w:t>
            </w:r>
          </w:p>
        </w:tc>
        <w:tc>
          <w:tcPr>
            <w:tcW w:w="2111" w:type="pct"/>
            <w:vAlign w:val="center"/>
          </w:tcPr>
          <w:p w14:paraId="083D8520">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全球新兴市场商业资讯数据库</w:t>
            </w:r>
          </w:p>
        </w:tc>
        <w:tc>
          <w:tcPr>
            <w:tcW w:w="2233" w:type="pct"/>
            <w:vAlign w:val="center"/>
          </w:tcPr>
          <w:p w14:paraId="22414ED1">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https://www.emis.com/</w:t>
            </w:r>
          </w:p>
        </w:tc>
      </w:tr>
      <w:tr w14:paraId="3D395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6" w:type="pct"/>
            <w:vAlign w:val="center"/>
          </w:tcPr>
          <w:p w14:paraId="1A939C10">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专业机构</w:t>
            </w:r>
          </w:p>
        </w:tc>
        <w:tc>
          <w:tcPr>
            <w:tcW w:w="2111" w:type="pct"/>
            <w:vAlign w:val="center"/>
          </w:tcPr>
          <w:p w14:paraId="02523601">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道琼斯全球性新闻及商业数据库</w:t>
            </w:r>
          </w:p>
        </w:tc>
        <w:tc>
          <w:tcPr>
            <w:tcW w:w="2233" w:type="pct"/>
            <w:vAlign w:val="center"/>
          </w:tcPr>
          <w:p w14:paraId="63F4017C">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https://www.factiva.com/</w:t>
            </w:r>
          </w:p>
        </w:tc>
      </w:tr>
      <w:tr w14:paraId="299E6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6" w:type="pct"/>
            <w:vAlign w:val="center"/>
          </w:tcPr>
          <w:p w14:paraId="525855CB">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专业机构</w:t>
            </w:r>
          </w:p>
        </w:tc>
        <w:tc>
          <w:tcPr>
            <w:tcW w:w="2111" w:type="pct"/>
            <w:vAlign w:val="center"/>
          </w:tcPr>
          <w:p w14:paraId="35B84B51">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邓白氏全球商业资料库</w:t>
            </w:r>
          </w:p>
        </w:tc>
        <w:tc>
          <w:tcPr>
            <w:tcW w:w="2233" w:type="pct"/>
            <w:vAlign w:val="center"/>
          </w:tcPr>
          <w:p w14:paraId="6C6D3E74">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https://www.dnbchina.com/</w:t>
            </w:r>
          </w:p>
        </w:tc>
      </w:tr>
      <w:tr w14:paraId="3EF46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6" w:type="pct"/>
            <w:vAlign w:val="center"/>
          </w:tcPr>
          <w:p w14:paraId="19540046">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专业机构</w:t>
            </w:r>
          </w:p>
        </w:tc>
        <w:tc>
          <w:tcPr>
            <w:tcW w:w="2111" w:type="pct"/>
            <w:vAlign w:val="center"/>
          </w:tcPr>
          <w:p w14:paraId="5ECE0CB9">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Ideas经济文献数据库</w:t>
            </w:r>
          </w:p>
        </w:tc>
        <w:tc>
          <w:tcPr>
            <w:tcW w:w="2233" w:type="pct"/>
            <w:vAlign w:val="center"/>
          </w:tcPr>
          <w:p w14:paraId="31E3BAAC">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https://ideas.repec.org/</w:t>
            </w:r>
          </w:p>
        </w:tc>
      </w:tr>
      <w:tr w14:paraId="4E798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6" w:type="pct"/>
            <w:vAlign w:val="center"/>
          </w:tcPr>
          <w:p w14:paraId="06D350E3">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专业机构</w:t>
            </w:r>
          </w:p>
        </w:tc>
        <w:tc>
          <w:tcPr>
            <w:tcW w:w="2111" w:type="pct"/>
            <w:vAlign w:val="center"/>
          </w:tcPr>
          <w:p w14:paraId="7A874550">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IBIS全球行业市场研究报告</w:t>
            </w:r>
          </w:p>
        </w:tc>
        <w:tc>
          <w:tcPr>
            <w:tcW w:w="2233" w:type="pct"/>
            <w:vAlign w:val="center"/>
          </w:tcPr>
          <w:p w14:paraId="219D907B">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https://www.ibisworld.com/</w:t>
            </w:r>
          </w:p>
        </w:tc>
      </w:tr>
      <w:tr w14:paraId="18AE8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6" w:type="pct"/>
            <w:vAlign w:val="center"/>
          </w:tcPr>
          <w:p w14:paraId="2BB37CB5">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专业机构</w:t>
            </w:r>
          </w:p>
        </w:tc>
        <w:tc>
          <w:tcPr>
            <w:tcW w:w="2111" w:type="pct"/>
            <w:vAlign w:val="center"/>
          </w:tcPr>
          <w:p w14:paraId="3D92D902">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普华永道研究报告</w:t>
            </w:r>
          </w:p>
        </w:tc>
        <w:tc>
          <w:tcPr>
            <w:tcW w:w="2233" w:type="pct"/>
            <w:vAlign w:val="center"/>
          </w:tcPr>
          <w:p w14:paraId="27F12038">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https://www.pwc.com/</w:t>
            </w:r>
          </w:p>
        </w:tc>
      </w:tr>
      <w:tr w14:paraId="06873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6" w:type="pct"/>
            <w:vAlign w:val="center"/>
          </w:tcPr>
          <w:p w14:paraId="2F980A1E">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专业机构</w:t>
            </w:r>
          </w:p>
        </w:tc>
        <w:tc>
          <w:tcPr>
            <w:tcW w:w="2111" w:type="pct"/>
            <w:vAlign w:val="center"/>
          </w:tcPr>
          <w:p w14:paraId="7A78C189">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德勤研究报告</w:t>
            </w:r>
          </w:p>
        </w:tc>
        <w:tc>
          <w:tcPr>
            <w:tcW w:w="2233" w:type="pct"/>
            <w:vAlign w:val="center"/>
          </w:tcPr>
          <w:p w14:paraId="18812A3A">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https://www2.deloitte.com/</w:t>
            </w:r>
          </w:p>
        </w:tc>
      </w:tr>
      <w:tr w14:paraId="15130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6" w:type="pct"/>
            <w:vAlign w:val="center"/>
          </w:tcPr>
          <w:p w14:paraId="48D33901">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专业机构</w:t>
            </w:r>
          </w:p>
        </w:tc>
        <w:tc>
          <w:tcPr>
            <w:tcW w:w="2111" w:type="pct"/>
            <w:vAlign w:val="center"/>
          </w:tcPr>
          <w:p w14:paraId="7E854A70">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安永研究报告</w:t>
            </w:r>
          </w:p>
        </w:tc>
        <w:tc>
          <w:tcPr>
            <w:tcW w:w="2233" w:type="pct"/>
            <w:vAlign w:val="center"/>
          </w:tcPr>
          <w:p w14:paraId="62660415">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https://www.ey.com/</w:t>
            </w:r>
          </w:p>
        </w:tc>
      </w:tr>
      <w:tr w14:paraId="354B1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6" w:type="pct"/>
            <w:vAlign w:val="center"/>
          </w:tcPr>
          <w:p w14:paraId="4B114BE8">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专业机构</w:t>
            </w:r>
          </w:p>
        </w:tc>
        <w:tc>
          <w:tcPr>
            <w:tcW w:w="2111" w:type="pct"/>
            <w:vAlign w:val="center"/>
          </w:tcPr>
          <w:p w14:paraId="1F77EE5E">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毕马威研究报告</w:t>
            </w:r>
          </w:p>
        </w:tc>
        <w:tc>
          <w:tcPr>
            <w:tcW w:w="2233" w:type="pct"/>
            <w:vAlign w:val="center"/>
          </w:tcPr>
          <w:p w14:paraId="21A992B9">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https://home.kpmg/</w:t>
            </w:r>
          </w:p>
        </w:tc>
      </w:tr>
      <w:tr w14:paraId="312C5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6" w:type="pct"/>
            <w:vAlign w:val="center"/>
          </w:tcPr>
          <w:p w14:paraId="4294EEB0">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专业机构</w:t>
            </w:r>
          </w:p>
        </w:tc>
        <w:tc>
          <w:tcPr>
            <w:tcW w:w="2111" w:type="pct"/>
            <w:vAlign w:val="center"/>
          </w:tcPr>
          <w:p w14:paraId="700C744A">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惠誉国际研究报告</w:t>
            </w:r>
          </w:p>
        </w:tc>
        <w:tc>
          <w:tcPr>
            <w:tcW w:w="2233" w:type="pct"/>
            <w:vAlign w:val="center"/>
          </w:tcPr>
          <w:p w14:paraId="6F02F555">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https://www.fitchratings.com/</w:t>
            </w:r>
          </w:p>
        </w:tc>
      </w:tr>
      <w:tr w14:paraId="2A717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6" w:type="pct"/>
            <w:vAlign w:val="center"/>
          </w:tcPr>
          <w:p w14:paraId="4F878066">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专业机构</w:t>
            </w:r>
          </w:p>
        </w:tc>
        <w:tc>
          <w:tcPr>
            <w:tcW w:w="2111" w:type="pct"/>
            <w:vAlign w:val="center"/>
          </w:tcPr>
          <w:p w14:paraId="0942406E">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标准普尔研究报告</w:t>
            </w:r>
          </w:p>
        </w:tc>
        <w:tc>
          <w:tcPr>
            <w:tcW w:w="2233" w:type="pct"/>
            <w:vAlign w:val="center"/>
          </w:tcPr>
          <w:p w14:paraId="1EF8253B">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https://www.standardandpoors.com/</w:t>
            </w:r>
          </w:p>
        </w:tc>
      </w:tr>
      <w:tr w14:paraId="6E5D6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6" w:type="pct"/>
            <w:vAlign w:val="center"/>
          </w:tcPr>
          <w:p w14:paraId="1DB1622A">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专业机构</w:t>
            </w:r>
          </w:p>
        </w:tc>
        <w:tc>
          <w:tcPr>
            <w:tcW w:w="2111" w:type="pct"/>
            <w:vAlign w:val="center"/>
          </w:tcPr>
          <w:p w14:paraId="280B3B54">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穆迪研究报告</w:t>
            </w:r>
          </w:p>
        </w:tc>
        <w:tc>
          <w:tcPr>
            <w:tcW w:w="2233" w:type="pct"/>
            <w:vAlign w:val="center"/>
          </w:tcPr>
          <w:p w14:paraId="6D0CFE1E">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https://www.moodys.com/</w:t>
            </w:r>
          </w:p>
        </w:tc>
      </w:tr>
      <w:tr w14:paraId="33728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6" w:type="pct"/>
            <w:vAlign w:val="center"/>
          </w:tcPr>
          <w:p w14:paraId="035B86F3">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专业机构</w:t>
            </w:r>
          </w:p>
        </w:tc>
        <w:tc>
          <w:tcPr>
            <w:tcW w:w="2111" w:type="pct"/>
            <w:vAlign w:val="center"/>
          </w:tcPr>
          <w:p w14:paraId="7EA1D35E">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世界知识产权查询系统</w:t>
            </w:r>
          </w:p>
        </w:tc>
        <w:tc>
          <w:tcPr>
            <w:tcW w:w="2233" w:type="pct"/>
            <w:vAlign w:val="center"/>
          </w:tcPr>
          <w:p w14:paraId="56F33516">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https://www.wipo.int/</w:t>
            </w:r>
          </w:p>
        </w:tc>
      </w:tr>
      <w:tr w14:paraId="10961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6" w:type="pct"/>
            <w:vAlign w:val="center"/>
          </w:tcPr>
          <w:p w14:paraId="666DCB8A">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专业机构</w:t>
            </w:r>
          </w:p>
        </w:tc>
        <w:tc>
          <w:tcPr>
            <w:tcW w:w="2111" w:type="pct"/>
            <w:vAlign w:val="center"/>
          </w:tcPr>
          <w:p w14:paraId="1448E0BA">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美国知识产权查询系统</w:t>
            </w:r>
          </w:p>
        </w:tc>
        <w:tc>
          <w:tcPr>
            <w:tcW w:w="2233" w:type="pct"/>
            <w:vAlign w:val="center"/>
          </w:tcPr>
          <w:p w14:paraId="771CFB04">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https://www.uspto.gov/</w:t>
            </w:r>
          </w:p>
        </w:tc>
      </w:tr>
      <w:tr w14:paraId="578F7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6" w:type="pct"/>
            <w:vAlign w:val="center"/>
          </w:tcPr>
          <w:p w14:paraId="653DF30D">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专业机构</w:t>
            </w:r>
          </w:p>
        </w:tc>
        <w:tc>
          <w:tcPr>
            <w:tcW w:w="2111" w:type="pct"/>
            <w:vAlign w:val="center"/>
          </w:tcPr>
          <w:p w14:paraId="7B8356AE">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欧盟知识产权查询系统</w:t>
            </w:r>
          </w:p>
        </w:tc>
        <w:tc>
          <w:tcPr>
            <w:tcW w:w="2233" w:type="pct"/>
            <w:vAlign w:val="center"/>
          </w:tcPr>
          <w:p w14:paraId="5FDE4BD1">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https://euipo.europa.eu/ohimportal/en/</w:t>
            </w:r>
          </w:p>
        </w:tc>
      </w:tr>
      <w:tr w14:paraId="52734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6" w:type="pct"/>
            <w:vAlign w:val="center"/>
          </w:tcPr>
          <w:p w14:paraId="2862C939">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行业协会</w:t>
            </w:r>
          </w:p>
        </w:tc>
        <w:tc>
          <w:tcPr>
            <w:tcW w:w="2111" w:type="pct"/>
            <w:vAlign w:val="center"/>
          </w:tcPr>
          <w:p w14:paraId="27097774">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国际设施管理协会</w:t>
            </w:r>
          </w:p>
        </w:tc>
        <w:tc>
          <w:tcPr>
            <w:tcW w:w="2233" w:type="pct"/>
            <w:vAlign w:val="center"/>
          </w:tcPr>
          <w:p w14:paraId="01ED7169">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https://www.ifma.org/</w:t>
            </w:r>
          </w:p>
        </w:tc>
      </w:tr>
      <w:tr w14:paraId="3B663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6" w:type="pct"/>
            <w:vAlign w:val="center"/>
          </w:tcPr>
          <w:p w14:paraId="43652055">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行业协会</w:t>
            </w:r>
          </w:p>
        </w:tc>
        <w:tc>
          <w:tcPr>
            <w:tcW w:w="2111" w:type="pct"/>
            <w:vAlign w:val="center"/>
          </w:tcPr>
          <w:p w14:paraId="646B5DE6">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美国全国期货协会</w:t>
            </w:r>
          </w:p>
        </w:tc>
        <w:tc>
          <w:tcPr>
            <w:tcW w:w="2233" w:type="pct"/>
            <w:vAlign w:val="center"/>
          </w:tcPr>
          <w:p w14:paraId="0A5B70F7">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https://www.nfa.futures.org/</w:t>
            </w:r>
          </w:p>
        </w:tc>
      </w:tr>
      <w:tr w14:paraId="36EC5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6" w:type="pct"/>
            <w:vAlign w:val="center"/>
          </w:tcPr>
          <w:p w14:paraId="66F5B4B6">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行业协会</w:t>
            </w:r>
          </w:p>
        </w:tc>
        <w:tc>
          <w:tcPr>
            <w:tcW w:w="2111" w:type="pct"/>
            <w:vAlign w:val="center"/>
          </w:tcPr>
          <w:p w14:paraId="2E6B12B4">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美国土木工程师协会</w:t>
            </w:r>
          </w:p>
        </w:tc>
        <w:tc>
          <w:tcPr>
            <w:tcW w:w="2233" w:type="pct"/>
            <w:vAlign w:val="center"/>
          </w:tcPr>
          <w:p w14:paraId="4781C716">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https://ascelibrary.org/</w:t>
            </w:r>
          </w:p>
        </w:tc>
      </w:tr>
      <w:tr w14:paraId="756F7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6" w:type="pct"/>
            <w:vAlign w:val="center"/>
          </w:tcPr>
          <w:p w14:paraId="5D6C7713">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行业协会</w:t>
            </w:r>
          </w:p>
        </w:tc>
        <w:tc>
          <w:tcPr>
            <w:tcW w:w="2111" w:type="pct"/>
            <w:vAlign w:val="center"/>
          </w:tcPr>
          <w:p w14:paraId="0C0A9FA5">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美国机械工程师协会</w:t>
            </w:r>
          </w:p>
        </w:tc>
        <w:tc>
          <w:tcPr>
            <w:tcW w:w="2233" w:type="pct"/>
            <w:vAlign w:val="center"/>
          </w:tcPr>
          <w:p w14:paraId="1D7524E8">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https://www.asme.org/</w:t>
            </w:r>
          </w:p>
        </w:tc>
      </w:tr>
      <w:tr w14:paraId="16963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6" w:type="pct"/>
            <w:vAlign w:val="center"/>
          </w:tcPr>
          <w:p w14:paraId="5E8CFD3F">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行业协会</w:t>
            </w:r>
          </w:p>
        </w:tc>
        <w:tc>
          <w:tcPr>
            <w:tcW w:w="2111" w:type="pct"/>
            <w:vAlign w:val="center"/>
          </w:tcPr>
          <w:p w14:paraId="2AEE4E7F">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美国谷物协会</w:t>
            </w:r>
          </w:p>
        </w:tc>
        <w:tc>
          <w:tcPr>
            <w:tcW w:w="2233" w:type="pct"/>
            <w:vAlign w:val="center"/>
          </w:tcPr>
          <w:p w14:paraId="4DB61FE0">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https://grains.org/</w:t>
            </w:r>
          </w:p>
        </w:tc>
      </w:tr>
      <w:tr w14:paraId="1FA42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6" w:type="pct"/>
            <w:vAlign w:val="center"/>
          </w:tcPr>
          <w:p w14:paraId="16D442BC">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行业协会</w:t>
            </w:r>
          </w:p>
        </w:tc>
        <w:tc>
          <w:tcPr>
            <w:tcW w:w="2111" w:type="pct"/>
            <w:vAlign w:val="center"/>
          </w:tcPr>
          <w:p w14:paraId="3ED7F651">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美国船级社</w:t>
            </w:r>
          </w:p>
        </w:tc>
        <w:tc>
          <w:tcPr>
            <w:tcW w:w="2233" w:type="pct"/>
            <w:vAlign w:val="center"/>
          </w:tcPr>
          <w:p w14:paraId="0B1D6112">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https://ww2.eagle.org/</w:t>
            </w:r>
          </w:p>
        </w:tc>
      </w:tr>
      <w:tr w14:paraId="2F711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6" w:type="pct"/>
            <w:vAlign w:val="center"/>
          </w:tcPr>
          <w:p w14:paraId="304B10D2">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行业协会</w:t>
            </w:r>
          </w:p>
        </w:tc>
        <w:tc>
          <w:tcPr>
            <w:tcW w:w="2111" w:type="pct"/>
            <w:vAlign w:val="center"/>
          </w:tcPr>
          <w:p w14:paraId="75A38AB4">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英国劳氏船级社</w:t>
            </w:r>
          </w:p>
        </w:tc>
        <w:tc>
          <w:tcPr>
            <w:tcW w:w="2233" w:type="pct"/>
            <w:vAlign w:val="center"/>
          </w:tcPr>
          <w:p w14:paraId="03066644">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https://www.lr.org/</w:t>
            </w:r>
          </w:p>
        </w:tc>
      </w:tr>
      <w:tr w14:paraId="18884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6" w:type="pct"/>
            <w:vAlign w:val="center"/>
          </w:tcPr>
          <w:p w14:paraId="65ED42C0">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行业协会</w:t>
            </w:r>
          </w:p>
        </w:tc>
        <w:tc>
          <w:tcPr>
            <w:tcW w:w="2111" w:type="pct"/>
            <w:vAlign w:val="center"/>
          </w:tcPr>
          <w:p w14:paraId="277BF921">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德国标准化协会</w:t>
            </w:r>
          </w:p>
        </w:tc>
        <w:tc>
          <w:tcPr>
            <w:tcW w:w="2233" w:type="pct"/>
            <w:vAlign w:val="center"/>
          </w:tcPr>
          <w:p w14:paraId="60CA920D">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https://www.din.de/</w:t>
            </w:r>
          </w:p>
        </w:tc>
      </w:tr>
      <w:tr w14:paraId="2E90F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6" w:type="pct"/>
            <w:vAlign w:val="center"/>
          </w:tcPr>
          <w:p w14:paraId="4131AE8D">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行业协会</w:t>
            </w:r>
          </w:p>
        </w:tc>
        <w:tc>
          <w:tcPr>
            <w:tcW w:w="2111" w:type="pct"/>
            <w:vAlign w:val="center"/>
          </w:tcPr>
          <w:p w14:paraId="3FB8265D">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澳大利亚矿业协会</w:t>
            </w:r>
          </w:p>
        </w:tc>
        <w:tc>
          <w:tcPr>
            <w:tcW w:w="2233" w:type="pct"/>
            <w:vAlign w:val="center"/>
          </w:tcPr>
          <w:p w14:paraId="3EF78B22">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https://minerals.org.au/</w:t>
            </w:r>
          </w:p>
        </w:tc>
      </w:tr>
      <w:tr w14:paraId="418A8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6" w:type="pct"/>
            <w:vAlign w:val="center"/>
          </w:tcPr>
          <w:p w14:paraId="22D717A8">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行业协会</w:t>
            </w:r>
          </w:p>
        </w:tc>
        <w:tc>
          <w:tcPr>
            <w:tcW w:w="2111" w:type="pct"/>
            <w:vAlign w:val="center"/>
          </w:tcPr>
          <w:p w14:paraId="6A29FF26">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澳大利亚国家农民联合会</w:t>
            </w:r>
          </w:p>
        </w:tc>
        <w:tc>
          <w:tcPr>
            <w:tcW w:w="2233" w:type="pct"/>
            <w:vAlign w:val="center"/>
          </w:tcPr>
          <w:p w14:paraId="4D33426D">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https://nff.org.au/</w:t>
            </w:r>
          </w:p>
        </w:tc>
      </w:tr>
      <w:tr w14:paraId="1F01E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6" w:type="pct"/>
            <w:vAlign w:val="center"/>
          </w:tcPr>
          <w:p w14:paraId="6B3A4790">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行业协会</w:t>
            </w:r>
          </w:p>
        </w:tc>
        <w:tc>
          <w:tcPr>
            <w:tcW w:w="2111" w:type="pct"/>
            <w:vAlign w:val="center"/>
          </w:tcPr>
          <w:p w14:paraId="21C6C085">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新西兰农场林业协会</w:t>
            </w:r>
          </w:p>
        </w:tc>
        <w:tc>
          <w:tcPr>
            <w:tcW w:w="2233" w:type="pct"/>
            <w:vAlign w:val="center"/>
          </w:tcPr>
          <w:p w14:paraId="426ECE2C">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https://www.nzffa.org.nz/</w:t>
            </w:r>
          </w:p>
        </w:tc>
      </w:tr>
      <w:tr w14:paraId="41AD4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6" w:type="pct"/>
            <w:vAlign w:val="center"/>
          </w:tcPr>
          <w:p w14:paraId="0D899019">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行业协会</w:t>
            </w:r>
          </w:p>
        </w:tc>
        <w:tc>
          <w:tcPr>
            <w:tcW w:w="2111" w:type="pct"/>
            <w:vAlign w:val="center"/>
          </w:tcPr>
          <w:p w14:paraId="47E4EB0F">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日本产业协会</w:t>
            </w:r>
          </w:p>
        </w:tc>
        <w:tc>
          <w:tcPr>
            <w:tcW w:w="2233" w:type="pct"/>
            <w:vAlign w:val="center"/>
          </w:tcPr>
          <w:p w14:paraId="6BE309E1">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http://www.nissankyo.or.jp/</w:t>
            </w:r>
          </w:p>
        </w:tc>
      </w:tr>
      <w:tr w14:paraId="55C24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6" w:type="pct"/>
            <w:vAlign w:val="center"/>
          </w:tcPr>
          <w:p w14:paraId="5C8858E6">
            <w:pPr>
              <w:jc w:val="center"/>
              <w:rPr>
                <w:rFonts w:ascii="仿宋_GB2312" w:hAnsi="仿宋" w:eastAsia="仿宋_GB2312" w:cs="仿宋"/>
                <w:color w:val="000000"/>
                <w:kern w:val="0"/>
                <w:szCs w:val="21"/>
              </w:rPr>
            </w:pPr>
            <w:r>
              <w:rPr>
                <w:rFonts w:hint="eastAsia" w:ascii="仿宋_GB2312" w:hAnsi="仿宋" w:eastAsia="仿宋_GB2312" w:cs="仿宋"/>
                <w:color w:val="000000"/>
                <w:kern w:val="0"/>
                <w:szCs w:val="21"/>
              </w:rPr>
              <w:t>行业协会</w:t>
            </w:r>
          </w:p>
        </w:tc>
        <w:tc>
          <w:tcPr>
            <w:tcW w:w="2111" w:type="pct"/>
            <w:vAlign w:val="center"/>
          </w:tcPr>
          <w:p w14:paraId="73ADC8A2">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韩国鉴定研究院</w:t>
            </w:r>
          </w:p>
        </w:tc>
        <w:tc>
          <w:tcPr>
            <w:tcW w:w="2233" w:type="pct"/>
            <w:vAlign w:val="center"/>
          </w:tcPr>
          <w:p w14:paraId="0600AFC7">
            <w:pPr>
              <w:jc w:val="left"/>
              <w:rPr>
                <w:rFonts w:ascii="仿宋_GB2312" w:hAnsi="仿宋" w:eastAsia="仿宋_GB2312" w:cs="仿宋"/>
                <w:color w:val="000000"/>
                <w:kern w:val="0"/>
                <w:szCs w:val="21"/>
              </w:rPr>
            </w:pPr>
            <w:r>
              <w:rPr>
                <w:rFonts w:hint="eastAsia" w:ascii="仿宋_GB2312" w:hAnsi="仿宋" w:eastAsia="仿宋_GB2312" w:cs="仿宋"/>
                <w:color w:val="000000"/>
                <w:kern w:val="0"/>
                <w:szCs w:val="21"/>
              </w:rPr>
              <w:t>http://www.reb.or.kr/kab/home/main/main.jsp</w:t>
            </w:r>
          </w:p>
        </w:tc>
      </w:tr>
    </w:tbl>
    <w:p w14:paraId="2B27D2B9">
      <w:pPr>
        <w:rPr>
          <w:rFonts w:ascii="仿宋_GB2312" w:hAnsi="仿宋" w:eastAsia="仿宋_GB2312" w:cs="仿宋"/>
          <w:sz w:val="32"/>
          <w:szCs w:val="32"/>
        </w:rPr>
      </w:pPr>
      <w:r>
        <w:rPr>
          <w:rFonts w:ascii="仿宋_GB2312" w:hAnsi="仿宋" w:eastAsia="仿宋_GB2312" w:cs="仿宋"/>
          <w:sz w:val="32"/>
          <w:szCs w:val="32"/>
        </w:rPr>
        <w:br w:type="page"/>
      </w:r>
    </w:p>
    <w:p w14:paraId="76C9E24C">
      <w:pPr>
        <w:pStyle w:val="5"/>
        <w:spacing w:line="440" w:lineRule="atLeast"/>
        <w:jc w:val="center"/>
        <w:rPr>
          <w:rFonts w:ascii="宋体" w:hAnsi="宋体" w:eastAsia="宋体" w:cs="宋体"/>
        </w:rPr>
      </w:pPr>
      <w:bookmarkStart w:id="245" w:name="_Toc28677"/>
      <w:r>
        <w:rPr>
          <w:rFonts w:hint="eastAsia" w:ascii="宋体" w:hAnsi="宋体" w:eastAsia="宋体" w:cs="宋体"/>
        </w:rPr>
        <w:t>资产评估专家指引第14号——科创企业资产评估</w:t>
      </w:r>
      <w:bookmarkEnd w:id="245"/>
    </w:p>
    <w:p w14:paraId="4410157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本专家指引是一种专家建议。资产评估机构执行资产评估业务，可以参照本专家指引。中国资产评估协会将根据业务发展，对本专家指引进行更新。</w:t>
      </w:r>
    </w:p>
    <w:p w14:paraId="14E71033">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第一章　引言</w:t>
      </w:r>
    </w:p>
    <w:p w14:paraId="49581EE3">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第一条　</w:t>
      </w:r>
      <w:r>
        <w:rPr>
          <w:rFonts w:hint="eastAsia" w:ascii="宋体" w:hAnsi="宋体" w:eastAsia="宋体" w:cs="宋体"/>
          <w:color w:val="000000"/>
          <w:kern w:val="0"/>
          <w:sz w:val="24"/>
          <w:shd w:val="clear" w:color="auto" w:fill="FFFFFF"/>
        </w:rPr>
        <w:t>为指导资产评估机构及其资产评估专业人员执行科创企业资产评估业务，中国资产评估协会组织制定了本专家指引。</w:t>
      </w:r>
    </w:p>
    <w:p w14:paraId="7469786A">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第二条</w:t>
      </w:r>
      <w:r>
        <w:rPr>
          <w:rFonts w:hint="eastAsia" w:ascii="宋体" w:hAnsi="宋体" w:eastAsia="宋体" w:cs="宋体"/>
          <w:color w:val="000000"/>
          <w:kern w:val="0"/>
          <w:sz w:val="24"/>
          <w:shd w:val="clear" w:color="auto" w:fill="FFFFFF"/>
        </w:rPr>
        <w:t>　本专家指引所称科创企业，是指研究方向面向世界科技前沿、面向经济主战场、面向国家重大需求、面向人民生命健康，主要服务于国家科技创新战略、突破关键核心技术，科技创新能力突出、科技成果转化能力突出、行业地位突出、市场认可度高的科技创新企业。行业范围主要包括新一代信息技术、生物医药、高端装备、新材料、新能源、节能环保等高新技术产业和战略性新兴产业。</w:t>
      </w:r>
    </w:p>
    <w:p w14:paraId="7E3480E3">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第三条</w:t>
      </w:r>
      <w:r>
        <w:rPr>
          <w:rFonts w:hint="eastAsia" w:ascii="宋体" w:hAnsi="宋体" w:eastAsia="宋体" w:cs="宋体"/>
          <w:color w:val="000000"/>
          <w:kern w:val="0"/>
          <w:sz w:val="24"/>
          <w:shd w:val="clear" w:color="auto" w:fill="FFFFFF"/>
        </w:rPr>
        <w:t>　本专家指引所称科创企业资产评估，是指资产评估机构及其资产评估专业人员遵守相关法律、行政法规和资产评估准则，根据委托对评估基准日特定目的下的科创企业整体价值、科创企业股东全部权益价值或者部分权益价值，或者科创企业持有现金流量产生单元或者资产组（资产组组合）价值等进行评定和估算，并出具资产评估报告的专业服务行为。</w:t>
      </w:r>
    </w:p>
    <w:p w14:paraId="7BB1A296">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第四条</w:t>
      </w:r>
      <w:r>
        <w:rPr>
          <w:rFonts w:hint="eastAsia" w:ascii="宋体" w:hAnsi="宋体" w:eastAsia="宋体" w:cs="宋体"/>
          <w:color w:val="000000"/>
          <w:kern w:val="0"/>
          <w:sz w:val="24"/>
          <w:shd w:val="clear" w:color="auto" w:fill="FFFFFF"/>
        </w:rPr>
        <w:t>　本专家指引适用于资产评估机接受委托，为科创企业股权融资、股东权益出售、公司股份制改造、预计市值估算、财务报告目的涉及的资产评估业务，以及其他事项提供资产评估服务的情形。</w:t>
      </w:r>
    </w:p>
    <w:p w14:paraId="03445F56">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第五条</w:t>
      </w:r>
      <w:r>
        <w:rPr>
          <w:rFonts w:hint="eastAsia" w:ascii="宋体" w:hAnsi="宋体" w:eastAsia="宋体" w:cs="宋体"/>
          <w:color w:val="000000"/>
          <w:kern w:val="0"/>
          <w:sz w:val="24"/>
          <w:shd w:val="clear" w:color="auto" w:fill="FFFFFF"/>
        </w:rPr>
        <w:t>　本专家指引也可以作为资产评估机构接受委托，针对</w:t>
      </w:r>
      <w:r>
        <w:rPr>
          <w:rFonts w:hint="eastAsia" w:ascii="宋体" w:hAnsi="宋体" w:eastAsia="宋体" w:cs="宋体"/>
          <w:bCs/>
          <w:color w:val="000000"/>
          <w:kern w:val="0"/>
          <w:sz w:val="24"/>
          <w:shd w:val="clear" w:color="auto" w:fill="FFFFFF"/>
        </w:rPr>
        <w:t>第四条</w:t>
      </w:r>
      <w:r>
        <w:rPr>
          <w:rFonts w:hint="eastAsia" w:ascii="宋体" w:hAnsi="宋体" w:eastAsia="宋体" w:cs="宋体"/>
          <w:color w:val="000000"/>
          <w:kern w:val="0"/>
          <w:sz w:val="24"/>
          <w:shd w:val="clear" w:color="auto" w:fill="FFFFFF"/>
        </w:rPr>
        <w:t>所述的经济行为出具咨询类报告等其他形式的专业文件，或者提供其他专业服务的参考。</w:t>
      </w:r>
    </w:p>
    <w:p w14:paraId="26F4CBF4">
      <w:pPr>
        <w:shd w:val="clear" w:color="auto" w:fill="FFFFFF"/>
        <w:spacing w:line="440" w:lineRule="atLeast"/>
        <w:jc w:val="center"/>
        <w:rPr>
          <w:rFonts w:ascii="黑体" w:hAnsi="黑体" w:eastAsia="黑体" w:cs="黑体"/>
          <w:bCs/>
          <w:color w:val="000000"/>
          <w:kern w:val="0"/>
          <w:sz w:val="28"/>
          <w:szCs w:val="28"/>
          <w:shd w:val="clear" w:color="auto" w:fill="FFFFFF"/>
        </w:rPr>
      </w:pPr>
      <w:bookmarkStart w:id="246" w:name="_Hlk89765991"/>
      <w:r>
        <w:rPr>
          <w:rFonts w:hint="eastAsia" w:ascii="黑体" w:hAnsi="黑体" w:eastAsia="黑体" w:cs="黑体"/>
          <w:bCs/>
          <w:color w:val="000000"/>
          <w:kern w:val="0"/>
          <w:sz w:val="28"/>
          <w:szCs w:val="28"/>
          <w:shd w:val="clear" w:color="auto" w:fill="FFFFFF"/>
        </w:rPr>
        <w:t>第二章　评估目的、评估对象和价值类型</w:t>
      </w:r>
    </w:p>
    <w:p w14:paraId="0F92F935">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第六条</w:t>
      </w:r>
      <w:r>
        <w:rPr>
          <w:rFonts w:hint="eastAsia" w:ascii="宋体" w:hAnsi="宋体" w:eastAsia="宋体" w:cs="宋体"/>
          <w:color w:val="000000"/>
          <w:kern w:val="0"/>
          <w:sz w:val="24"/>
          <w:shd w:val="clear" w:color="auto" w:fill="FFFFFF"/>
        </w:rPr>
        <w:t>　资产评估机构受理科创企业资产评估业务前，需要与委托人充分沟通资产评估委托事项和资产评估报告使用需求，明确评估业务基本事项，并在业务委托合同中予以反映</w:t>
      </w:r>
      <w:bookmarkEnd w:id="246"/>
      <w:r>
        <w:rPr>
          <w:rFonts w:hint="eastAsia" w:ascii="宋体" w:hAnsi="宋体" w:eastAsia="宋体" w:cs="宋体"/>
          <w:color w:val="000000"/>
          <w:kern w:val="0"/>
          <w:sz w:val="24"/>
          <w:shd w:val="clear" w:color="auto" w:fill="FFFFFF"/>
        </w:rPr>
        <w:t>。</w:t>
      </w:r>
    </w:p>
    <w:p w14:paraId="7C1DD35C">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第七条</w:t>
      </w:r>
      <w:r>
        <w:rPr>
          <w:rFonts w:hint="eastAsia" w:ascii="宋体" w:hAnsi="宋体" w:eastAsia="宋体" w:cs="宋体"/>
          <w:color w:val="000000"/>
          <w:kern w:val="0"/>
          <w:sz w:val="24"/>
          <w:shd w:val="clear" w:color="auto" w:fill="FFFFFF"/>
        </w:rPr>
        <w:t>　常见的资产评估委托事项、资产评估报告使用需求及其对应的评估目的和评估对象通常包括：</w:t>
      </w:r>
    </w:p>
    <w:p w14:paraId="6A128AC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（一）非上市类权益融资以及权益出售。</w:t>
      </w:r>
    </w:p>
    <w:p w14:paraId="643C17A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科创企业在非公开市场通过权益增发、权益出售等方式引入投资者，资产评估机构接受委托，提供科创企业权益价值的专业意见，评估对象通常为科创企业股东全部权益价值或者股东部分权益价值。股东权益通常为优先股、普通股或者受限股等。</w:t>
      </w:r>
    </w:p>
    <w:p w14:paraId="6E081D6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（二）公司股份制改造。</w:t>
      </w:r>
    </w:p>
    <w:p w14:paraId="3D53198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科创企业进行股份制改造，整体变更为股份有限公司，资产评估机构接受委托，以科创企业评估基准日资产负债表为基础，评估科创企业表内以及可识别的表外各项资产、负债价值，评估对象通常为企业股东全部权益价值。</w:t>
      </w:r>
    </w:p>
    <w:p w14:paraId="07A7467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（三）预计市值估算。</w:t>
      </w:r>
    </w:p>
    <w:p w14:paraId="1EB109E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科创企业在科创板上市时需要估算预计市值，资产评估机构可以接受委托，提供科创企业预计市值的专业意见。评估对象通常为科创企业股票公开发行后按照总股本乘以发行价格计算出来的发行人股票名义总价值。</w:t>
      </w:r>
    </w:p>
    <w:p w14:paraId="4D324DE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（四）财务报告需求。</w:t>
      </w:r>
    </w:p>
    <w:p w14:paraId="7C25714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结合企业会计准则相关规定，常见的科创企业财务报告相关资产评估需求包括：</w:t>
      </w:r>
    </w:p>
    <w:p w14:paraId="5BB7F31E">
      <w:pPr>
        <w:shd w:val="clear" w:color="auto" w:fill="FFFFFF"/>
        <w:spacing w:line="440" w:lineRule="atLeast"/>
        <w:ind w:firstLine="480" w:firstLineChars="200"/>
        <w:rPr>
          <w:rFonts w:ascii="宋体" w:hAnsi="宋体" w:eastAsia="宋体" w:cs="宋体"/>
          <w:bCs/>
          <w:color w:val="000000"/>
          <w:kern w:val="0"/>
          <w:sz w:val="24"/>
          <w:shd w:val="clear" w:color="auto" w:fill="FFFFFF"/>
        </w:rPr>
      </w:pPr>
      <w:r>
        <w:rPr>
          <w:rFonts w:hint="eastAsia" w:ascii="宋体" w:hAnsi="宋体" w:eastAsia="宋体" w:cs="宋体"/>
          <w:color w:val="000000"/>
          <w:kern w:val="0"/>
          <w:sz w:val="24"/>
          <w:shd w:val="clear" w:color="auto" w:fill="FFFFFF"/>
        </w:rPr>
        <w:t>企业持有的科创企业权益，按照《企业会计准则</w:t>
      </w:r>
      <w:r>
        <w:rPr>
          <w:rFonts w:hint="eastAsia" w:ascii="宋体" w:hAnsi="宋体" w:eastAsia="宋体" w:cs="宋体"/>
          <w:bCs/>
          <w:color w:val="000000"/>
          <w:kern w:val="0"/>
          <w:sz w:val="24"/>
          <w:shd w:val="clear" w:color="auto" w:fill="FFFFFF"/>
        </w:rPr>
        <w:t>第22号——金融工具确认和计量》，被分类为以公允价值计量且其变动计入当期损益的金融资产，或者被指定为以公允价值计量且其变动计入其他综合收益的金融资产，需要在资产负债表日进行公允价值估算和计量。资产评估机构接受委托，提供公允价值专业意见，评估对象通常为科创企业股东部分权益价值。</w:t>
      </w:r>
    </w:p>
    <w:p w14:paraId="22BC2168">
      <w:pPr>
        <w:shd w:val="clear" w:color="auto" w:fill="FFFFFF"/>
        <w:spacing w:line="440" w:lineRule="atLeast"/>
        <w:ind w:firstLine="480" w:firstLineChars="200"/>
        <w:rPr>
          <w:rFonts w:ascii="宋体" w:hAnsi="宋体" w:eastAsia="宋体" w:cs="宋体"/>
          <w:bCs/>
          <w:color w:val="000000"/>
          <w:kern w:val="0"/>
          <w:sz w:val="24"/>
          <w:shd w:val="clear" w:color="auto" w:fill="FFFFFF"/>
        </w:rPr>
      </w:pPr>
      <w:r>
        <w:rPr>
          <w:rFonts w:hint="eastAsia" w:ascii="宋体" w:hAnsi="宋体" w:eastAsia="宋体" w:cs="宋体"/>
          <w:bCs/>
          <w:color w:val="000000"/>
          <w:kern w:val="0"/>
          <w:sz w:val="24"/>
          <w:shd w:val="clear" w:color="auto" w:fill="FFFFFF"/>
        </w:rPr>
        <w:t>企业通过非同一控制下并购取得的科创企业资产、负债或者权益，按照《企业会计准则第20号——企业合并》相关要求需要对被购买方各项可辨认资产、负债以及或有负债的公允价值进行估算。资产评估机构接受委托，提供与被购买方在并购中可辨认资产、负债以及或有负债公允价值的专业意见，评估对象通常为科创企业持有的可辨认资产、负债以及或有负债。</w:t>
      </w:r>
    </w:p>
    <w:p w14:paraId="18668AAF">
      <w:pPr>
        <w:shd w:val="clear" w:color="auto" w:fill="FFFFFF"/>
        <w:spacing w:line="440" w:lineRule="atLeast"/>
        <w:ind w:firstLine="480" w:firstLineChars="200"/>
        <w:rPr>
          <w:rFonts w:ascii="宋体" w:hAnsi="宋体" w:eastAsia="宋体" w:cs="宋体"/>
          <w:bCs/>
          <w:color w:val="000000"/>
          <w:kern w:val="0"/>
          <w:sz w:val="24"/>
          <w:shd w:val="clear" w:color="auto" w:fill="FFFFFF"/>
        </w:rPr>
      </w:pPr>
      <w:r>
        <w:rPr>
          <w:rFonts w:hint="eastAsia" w:ascii="宋体" w:hAnsi="宋体" w:eastAsia="宋体" w:cs="宋体"/>
          <w:bCs/>
          <w:color w:val="000000"/>
          <w:kern w:val="0"/>
          <w:sz w:val="24"/>
          <w:shd w:val="clear" w:color="auto" w:fill="FFFFFF"/>
        </w:rPr>
        <w:t>企业通过并购取得的科创企业股权按照《企业会计准则第2号——长期股权投资》被确认为长期股权投资的，以及企业通过并购取得科创企业股权并按照《企业会计准则第20号——企业合并》确认了合并报表商誉的，应当按照《企业会计准则第8号——资产减值》要求，在存在减值迹象时对长期股权投资进行减值测试，至少每年对商誉进行减值测试。资产评估机构接受委托，提供与资产减值测试相关的可收回金额的专业意见，评估对象通常为被投资的科创企业或者被购买的持有的现金流量产生单元或者资产组或者资产组组合价值。</w:t>
      </w:r>
    </w:p>
    <w:p w14:paraId="76D11E74">
      <w:pPr>
        <w:shd w:val="clear" w:color="auto" w:fill="FFFFFF"/>
        <w:spacing w:line="440" w:lineRule="atLeast"/>
        <w:ind w:firstLine="480" w:firstLineChars="200"/>
        <w:rPr>
          <w:rFonts w:ascii="宋体" w:hAnsi="宋体" w:eastAsia="宋体" w:cs="宋体"/>
          <w:bCs/>
          <w:color w:val="000000"/>
          <w:kern w:val="0"/>
          <w:sz w:val="24"/>
          <w:shd w:val="clear" w:color="auto" w:fill="FFFFFF"/>
        </w:rPr>
      </w:pPr>
      <w:r>
        <w:rPr>
          <w:rFonts w:hint="eastAsia" w:ascii="宋体" w:hAnsi="宋体" w:eastAsia="宋体" w:cs="宋体"/>
          <w:bCs/>
          <w:color w:val="000000"/>
          <w:kern w:val="0"/>
          <w:sz w:val="24"/>
          <w:shd w:val="clear" w:color="auto" w:fill="FFFFFF"/>
        </w:rPr>
        <w:t>科创企业通过对管理层或者核心员工进行股权激励，按照《企业会计准则第11号——股份支付》，属于以权益结算的股份支付的，需要确定授予日相应权益工具的公允价值；属于以现金结算的股份支付的，需要确定授予日以及在等待期内的每个资产负债表日承担的以权益工具为基础的负债的公允价值。资产评估机构接受委托，提供与股份支付相关的权益工具公允价值的专业意见，评估对象通常为科创企业股东全部权益价值或者股东部分权益价值等。</w:t>
      </w:r>
    </w:p>
    <w:p w14:paraId="2E8DA242">
      <w:pPr>
        <w:shd w:val="clear" w:color="auto" w:fill="FFFFFF"/>
        <w:spacing w:line="440" w:lineRule="atLeast"/>
        <w:ind w:firstLine="480" w:firstLineChars="200"/>
        <w:rPr>
          <w:rFonts w:ascii="宋体" w:hAnsi="宋体" w:eastAsia="宋体" w:cs="宋体"/>
          <w:bCs/>
          <w:color w:val="000000"/>
          <w:kern w:val="0"/>
          <w:sz w:val="24"/>
          <w:shd w:val="clear" w:color="auto" w:fill="FFFFFF"/>
        </w:rPr>
      </w:pPr>
      <w:r>
        <w:rPr>
          <w:rFonts w:hint="eastAsia" w:ascii="宋体" w:hAnsi="宋体" w:eastAsia="宋体" w:cs="宋体"/>
          <w:bCs/>
          <w:color w:val="000000"/>
          <w:kern w:val="0"/>
          <w:sz w:val="24"/>
          <w:shd w:val="clear" w:color="auto" w:fill="FFFFFF"/>
        </w:rPr>
        <w:t>（五）其他委托事项或者需求。</w:t>
      </w:r>
    </w:p>
    <w:p w14:paraId="54B9750A">
      <w:pPr>
        <w:shd w:val="clear" w:color="auto" w:fill="FFFFFF"/>
        <w:spacing w:line="440" w:lineRule="atLeast"/>
        <w:ind w:firstLine="480" w:firstLineChars="200"/>
        <w:rPr>
          <w:rFonts w:ascii="宋体" w:hAnsi="宋体" w:eastAsia="宋体" w:cs="宋体"/>
          <w:bCs/>
          <w:color w:val="000000"/>
          <w:kern w:val="0"/>
          <w:sz w:val="24"/>
          <w:shd w:val="clear" w:color="auto" w:fill="FFFFFF"/>
        </w:rPr>
      </w:pPr>
      <w:r>
        <w:rPr>
          <w:rFonts w:hint="eastAsia" w:ascii="宋体" w:hAnsi="宋体" w:eastAsia="宋体" w:cs="宋体"/>
          <w:bCs/>
          <w:color w:val="000000"/>
          <w:kern w:val="0"/>
          <w:sz w:val="24"/>
          <w:shd w:val="clear" w:color="auto" w:fill="FFFFFF"/>
        </w:rPr>
        <w:t>科创企业股东以其持有的科创企业股权进行质押融资、抵债，以及科创企业债转股等其他评估需求，评估对象通常为科创企业的股东全部权益价值或者股东部分权益价值。</w:t>
      </w:r>
    </w:p>
    <w:p w14:paraId="7CDCAE4B">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第八条</w:t>
      </w:r>
      <w:r>
        <w:rPr>
          <w:rFonts w:hint="eastAsia" w:ascii="宋体" w:hAnsi="宋体" w:eastAsia="宋体" w:cs="宋体"/>
          <w:color w:val="000000"/>
          <w:kern w:val="0"/>
          <w:sz w:val="24"/>
          <w:shd w:val="clear" w:color="auto" w:fill="FFFFFF"/>
        </w:rPr>
        <w:t>　资产评估专业人员应当结合资产评估委托事项或者资产评估报告使用需求对应的评估目的和评估对象，确定相应的价值类型。常见的价值类型包括市场价值和市场价值以外的其他价值类型。</w:t>
      </w:r>
    </w:p>
    <w:p w14:paraId="43A31D0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科创企业资产评估适用的市场价值以外的其他价值类型通常包括投资价值、在用价值、清算价值、残余价值、公允价值、可收回金额等。</w:t>
      </w:r>
    </w:p>
    <w:p w14:paraId="15D384E2">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第九条</w:t>
      </w:r>
      <w:r>
        <w:rPr>
          <w:rFonts w:hint="eastAsia" w:ascii="宋体" w:hAnsi="宋体" w:eastAsia="宋体" w:cs="宋体"/>
          <w:color w:val="000000"/>
          <w:kern w:val="0"/>
          <w:sz w:val="24"/>
          <w:shd w:val="clear" w:color="auto" w:fill="FFFFFF"/>
        </w:rPr>
        <w:t>　本专家指引针对科创企业涉及非上市类股东权益融资、股东权益出售、公司股份制改造、预计市值估算、财务报告等评估目的，并且评估对象为股东权益价值的情形进行具体阐述。</w:t>
      </w:r>
    </w:p>
    <w:p w14:paraId="62D4066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对于其他评估目的，或者评估对象不是股东权益的情形，也可以结合具体情况，在适用的前提下参考本专家指引开展资产评估。</w:t>
      </w:r>
    </w:p>
    <w:p w14:paraId="00731213">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第三章　评估方法和关注要点</w:t>
      </w:r>
    </w:p>
    <w:p w14:paraId="1011F4D2">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第十条</w:t>
      </w:r>
      <w:r>
        <w:rPr>
          <w:rFonts w:hint="eastAsia" w:ascii="宋体" w:hAnsi="宋体" w:eastAsia="宋体" w:cs="宋体"/>
          <w:color w:val="000000"/>
          <w:kern w:val="0"/>
          <w:sz w:val="24"/>
          <w:shd w:val="clear" w:color="auto" w:fill="FFFFFF"/>
        </w:rPr>
        <w:t>　科创企业资产评估的方法通常包括市场法、收益法、成本法（资产基础法）三种基本方法及其衍生方法。</w:t>
      </w:r>
    </w:p>
    <w:p w14:paraId="01DEE6AC">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第十一条</w:t>
      </w:r>
      <w:r>
        <w:rPr>
          <w:rFonts w:hint="eastAsia" w:ascii="宋体" w:hAnsi="宋体" w:eastAsia="宋体" w:cs="宋体"/>
          <w:color w:val="000000"/>
          <w:kern w:val="0"/>
          <w:sz w:val="24"/>
          <w:shd w:val="clear" w:color="auto" w:fill="FFFFFF"/>
        </w:rPr>
        <w:t>　执行科创企业资产评估业务，资产评估专业人员需要根据评估对象、评估目的、价值类型、评估假设、资料收集情况、数据来源以及科创企业所处的发展阶段、科创企业所处行业等，分析上述三种基本方法的适用性，选择评估方法。</w:t>
      </w:r>
    </w:p>
    <w:p w14:paraId="34135D0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满足采用不同评估方法的条件时，资产评估专业人员应当选择两种或者两种以上评估方法，通过综合分析形成合理评估结论。当评估对象仅满足一种评估方法的适用条件时，可以只采用一种评估方法进行评估。</w:t>
      </w:r>
    </w:p>
    <w:p w14:paraId="4B80603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资产评估专业人员在执业过程中可以结合评估对象特点，合理、灵活采用本专家指引所述或者其他适用的评估方法。</w:t>
      </w:r>
    </w:p>
    <w:p w14:paraId="21A29370">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第十二条</w:t>
      </w:r>
      <w:r>
        <w:rPr>
          <w:rFonts w:hint="eastAsia" w:ascii="宋体" w:hAnsi="宋体" w:eastAsia="宋体" w:cs="宋体"/>
          <w:color w:val="000000"/>
          <w:kern w:val="0"/>
          <w:sz w:val="24"/>
          <w:shd w:val="clear" w:color="auto" w:fill="FFFFFF"/>
        </w:rPr>
        <w:t>　采用市场法对科创企业价值进行评估，资产评估专业人员应当结合科创企业特点，关注所处细分行业、业务结构、经营模式、企业规模、资产配置和使用情况、企业所处经营阶段、成长性、经营风险、财务风险等因素，充分分析评估方法的适用性，恰当选择可比企业。</w:t>
      </w:r>
    </w:p>
    <w:p w14:paraId="0942437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可比企业通常包括公开市场上正常交易的上市公司以及非公开市场上正常交易的非上市公司。在采用某些特定方法的情形下，例如，</w:t>
      </w:r>
      <w:bookmarkStart w:id="247" w:name="_Hlk86258580"/>
      <w:r>
        <w:rPr>
          <w:rFonts w:hint="eastAsia" w:ascii="宋体" w:hAnsi="宋体" w:eastAsia="宋体" w:cs="宋体"/>
          <w:color w:val="000000"/>
          <w:kern w:val="0"/>
          <w:sz w:val="24"/>
          <w:shd w:val="clear" w:color="auto" w:fill="FFFFFF"/>
        </w:rPr>
        <w:t>采用</w:t>
      </w:r>
      <w:bookmarkEnd w:id="247"/>
      <w:r>
        <w:rPr>
          <w:rFonts w:hint="eastAsia" w:ascii="宋体" w:hAnsi="宋体" w:eastAsia="宋体" w:cs="宋体"/>
          <w:color w:val="000000"/>
          <w:kern w:val="0"/>
          <w:sz w:val="24"/>
          <w:shd w:val="clear" w:color="auto" w:fill="FFFFFF"/>
        </w:rPr>
        <w:t>估值扩张倍数法（VM指数法），即参考评估对象前次股权融资的投后估值，以及评估基准日与前次股权融资之间的间隔月数、融资背景、规模以及股权性质，确定评估对象于评估基准日价值的方法，被评估单位自身也可以作为可比企业。</w:t>
      </w:r>
    </w:p>
    <w:p w14:paraId="182B1E1A">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第十三条</w:t>
      </w:r>
      <w:r>
        <w:rPr>
          <w:rFonts w:hint="eastAsia" w:ascii="宋体" w:hAnsi="宋体" w:eastAsia="宋体" w:cs="宋体"/>
          <w:color w:val="000000"/>
          <w:kern w:val="0"/>
          <w:sz w:val="24"/>
          <w:shd w:val="clear" w:color="auto" w:fill="FFFFFF"/>
        </w:rPr>
        <w:t>　采用市场法对科创企业价值进行评估，资产评估专业人员应当结合科创企业所处的发展阶段、市场参与者普遍认同的评估考量因素、相关参数的可获得性和准确性，充分分析评估方法的适用性，恰当选用价值比率。</w:t>
      </w:r>
    </w:p>
    <w:p w14:paraId="0C81689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价值比率通常包括盈利比率、资产比率、收入比率和其他特定比率。如果财务指标确实难以准确反映被评估单位价值，在切实可行的情况下，可以采用非财务指标作为价值比率的估算基础。例如，互联网信息技术企业涉及的累计注册用户数、新增注册用户数、月均活跃用户数、充值消费数据；生物医药企业涉及的已实现产业化的药品数量、已上市药品新适应症的拓展、已上市药品国际化注册进度等。资产评估专业人员应当关注采用非财务指标作为价值比率的适用条件以及假设前提，判断非财务指标的使用是否会导致对评估结论产生重大影响，分析该价值比率评估结论的可靠性。</w:t>
      </w:r>
    </w:p>
    <w:p w14:paraId="3F057B56">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第十四条</w:t>
      </w:r>
      <w:r>
        <w:rPr>
          <w:rFonts w:hint="eastAsia" w:ascii="宋体" w:hAnsi="宋体" w:eastAsia="宋体" w:cs="宋体"/>
          <w:color w:val="000000"/>
          <w:kern w:val="0"/>
          <w:sz w:val="24"/>
          <w:shd w:val="clear" w:color="auto" w:fill="FFFFFF"/>
        </w:rPr>
        <w:t>　估算和采用价值比率，资产评估专业人员应当分别关注价值比率采用时被评估单位与可比企业或者可比案例中各自的总资产、总负债、净资产、市值、总收入、净利润或者其他非财务指标等各项参数在其反映的企业规模、资本结构、业务结构、财务信息口径、企业会计期间等方面的一致性。</w:t>
      </w:r>
    </w:p>
    <w:p w14:paraId="4AACF1EA">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第十五条</w:t>
      </w:r>
      <w:r>
        <w:rPr>
          <w:rFonts w:hint="eastAsia" w:ascii="宋体" w:hAnsi="宋体" w:eastAsia="宋体" w:cs="宋体"/>
          <w:color w:val="000000"/>
          <w:kern w:val="0"/>
          <w:sz w:val="24"/>
          <w:shd w:val="clear" w:color="auto" w:fill="FFFFFF"/>
        </w:rPr>
        <w:t>　市盈率（PE），即股东权益价值与净利润的比率，或者每股市价与每股收益的比率，通常适用于周期性波动较小或者盈利较为稳定的企业。</w:t>
      </w:r>
    </w:p>
    <w:p w14:paraId="7DFE0C5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对周期性波动大或者利润为负值的企业进行评估，资产评估专业人员应当关注采用市盈率作为价值比率的适用性。在切实可行的情况下，可以考虑采用周期调整市盈率（CAPE）。</w:t>
      </w:r>
    </w:p>
    <w:p w14:paraId="3C4C2C5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如果选择的各可比企业在资本结构、税收政策、会计准则、会计政策或者会计估计等方面存在差异，资产评估专业人员应当关注采用市盈率作为价值比率的合理性，是否会导致对测算结果产生重大影响，分析该价值比率的适用性或者测算结果的可靠性。如果仍须采用该价值比率，则应当采用适当方式进行价值比率调整或者降低采用该价值比率得到的测算结果在评估结论中的权重。</w:t>
      </w:r>
    </w:p>
    <w:p w14:paraId="5ADECA57">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第十六条</w:t>
      </w:r>
      <w:r>
        <w:rPr>
          <w:rFonts w:hint="eastAsia" w:ascii="宋体" w:hAnsi="宋体" w:eastAsia="宋体" w:cs="宋体"/>
          <w:color w:val="000000"/>
          <w:kern w:val="0"/>
          <w:sz w:val="24"/>
          <w:shd w:val="clear" w:color="auto" w:fill="FFFFFF"/>
        </w:rPr>
        <w:t>　企业价值与息税折旧及摊销前利润比率（EV/EBITDA），通常适用于因资本结构、税收政策、会计准则、会计政策以及会计估计差异变化导致净利润波动明显或者净利润较低，但是具备相对可观且稳定的息税及折旧与摊销前利润的企业。</w:t>
      </w:r>
    </w:p>
    <w:p w14:paraId="35F2EA5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对息税折旧及摊销前利润较低或者周期性波动较大的企业进行资产评估，资产评估专业人员应当关注采用企业价值与息税折旧及摊销前利润比率作为价值比率的适用性。</w:t>
      </w:r>
    </w:p>
    <w:p w14:paraId="275D82B9">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如果被评估单位与可比企业在税收政策等方面存在差异，资产评估专业人员应当在评估权益价值时采用适当方式进行调整或者降低采用该价值比率得到的测算结果在评估结论中的权重。</w:t>
      </w:r>
    </w:p>
    <w:p w14:paraId="5E42DDA2">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第十七条</w:t>
      </w:r>
      <w:r>
        <w:rPr>
          <w:rFonts w:hint="eastAsia" w:ascii="宋体" w:hAnsi="宋体" w:eastAsia="宋体" w:cs="宋体"/>
          <w:color w:val="000000"/>
          <w:kern w:val="0"/>
          <w:sz w:val="24"/>
          <w:shd w:val="clear" w:color="auto" w:fill="FFFFFF"/>
        </w:rPr>
        <w:t>　市净率（PB），即每股市价与每股净资产的比率，通常适用于固定资产规模较大或者金融资产占比较高的企业，对于周期性波动明显或者盈利较低的企业也具有一定的适用性。</w:t>
      </w:r>
    </w:p>
    <w:p w14:paraId="4A943E9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如果选择的各可比企业在资本结构、税收政策、会计准则、会计政策或者会计估计等方面存在差异，资产评估专业人员应当关注采用市净率作为价值比率是否会对测算结果产生重大影响，分析该价值比率的适用性或者测算结果的可靠性。如果仍须采用该价值比率，则应当采用适当方式进行调整或者降低采用该价值比率得到的测算结果在评估结论中的权重。</w:t>
      </w:r>
    </w:p>
    <w:p w14:paraId="256A4CE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如果被评估单位与可比企业存在较为明显的规模差异，资产评估专业人员应当在评估权益价值时采用适当方式进行调整或者降低采用该价值比率得到的测算结果在评估结论中的权重。</w:t>
      </w:r>
    </w:p>
    <w:p w14:paraId="47C090A1">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第十八条</w:t>
      </w:r>
      <w:r>
        <w:rPr>
          <w:rFonts w:hint="eastAsia" w:ascii="宋体" w:hAnsi="宋体" w:eastAsia="宋体" w:cs="宋体"/>
          <w:color w:val="000000"/>
          <w:kern w:val="0"/>
          <w:sz w:val="24"/>
          <w:shd w:val="clear" w:color="auto" w:fill="FFFFFF"/>
        </w:rPr>
        <w:t>　市销率（PS），即股东权益价值与营业收入的比率，或者每股市价与每股营业收入的比率，通常适用于已经实现营业收入但是利润较低或者利润为负值的企业。</w:t>
      </w:r>
    </w:p>
    <w:p w14:paraId="11B2B40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如果被评估单位与可比企业存在较为明显的资本结构等方面的差异，资产评估专业人员可以在评估权益价值时采用企业价值与营业收入比率（EV/S），以降低可比企业与被评估单位因资本结构等方面存在差异而产生的影响，或者降低采用市销率（PS）得到的测算结果在评估结论中的权重。</w:t>
      </w:r>
    </w:p>
    <w:p w14:paraId="05459C7F">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第十九条</w:t>
      </w:r>
      <w:r>
        <w:rPr>
          <w:rFonts w:hint="eastAsia" w:ascii="宋体" w:hAnsi="宋体" w:eastAsia="宋体" w:cs="宋体"/>
          <w:color w:val="000000"/>
          <w:kern w:val="0"/>
          <w:sz w:val="24"/>
          <w:shd w:val="clear" w:color="auto" w:fill="FFFFFF"/>
        </w:rPr>
        <w:t>　市盈率相对盈利增长比率（PEG），即市盈率除以净利润增长率后的比率，通常适用于具备一定盈利基础且成长较快的企业。</w:t>
      </w:r>
    </w:p>
    <w:p w14:paraId="4C87CE9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对周期性波动明显、利润为负值以及短期盈利增速较高或者盈利增速波动较为明显的科创企业价值进行评估，资产评估专业人员应当关注采用市盈率相对盈利增长比率（PEG）作为价值比率的适用性。</w:t>
      </w:r>
    </w:p>
    <w:p w14:paraId="6727048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如果选择的各可比企业在资本结构、税收政策、会计准则、会计政策或者会计估计等方面差异较为明显，资产评估专业人员应当关注采用市盈率相对盈利增长比率作为价值比率是否会对测算结果产生重大影响，分析该价值比率的适用性或者测算结果的可靠性。如果仍须采用该价值比率，则应当采用适当方式进行调整或者降低采用该价值比率得到的测算结果在评估结论中的权重。</w:t>
      </w:r>
    </w:p>
    <w:p w14:paraId="275EC52C">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第二十条</w:t>
      </w:r>
      <w:r>
        <w:rPr>
          <w:rFonts w:hint="eastAsia" w:ascii="宋体" w:hAnsi="宋体" w:eastAsia="宋体" w:cs="宋体"/>
          <w:color w:val="000000"/>
          <w:kern w:val="0"/>
          <w:sz w:val="24"/>
          <w:shd w:val="clear" w:color="auto" w:fill="FFFFFF"/>
        </w:rPr>
        <w:t>　采用盈利比率、资产比率、收入比率之外的其他特定比率时，应当采用能够准确、恰当反映被评估单位价值的关键性财务指标或者非财务指标。在采用非财务指标进行资产评估时，需要关注科创企业所处细分行业、业务结构、经营模式、企业规模、资产配置和使用情况、企业所处经营阶段、成长性、经营风险、财务风险、市场风险、研发人员、研发能力、研发效率、研发成功率、企业技术储备等影响企业价值的关键因素。</w:t>
      </w:r>
    </w:p>
    <w:p w14:paraId="09B20C03">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第二十一条</w:t>
      </w:r>
      <w:r>
        <w:rPr>
          <w:rFonts w:hint="eastAsia" w:ascii="宋体" w:hAnsi="宋体" w:eastAsia="宋体" w:cs="宋体"/>
          <w:color w:val="000000"/>
          <w:kern w:val="0"/>
          <w:sz w:val="24"/>
          <w:shd w:val="clear" w:color="auto" w:fill="FFFFFF"/>
        </w:rPr>
        <w:t>　采用收益法对科创企业价值进行评估，资产评估专业人员应当结合科创企业特点，关注企业所处经营阶段、企业历史经营业绩、经营成长性以及不确定性等因素，充分分析评估方法的适用性，恰当选择具体方法。</w:t>
      </w:r>
    </w:p>
    <w:p w14:paraId="32D7DD2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收益法评估中常用的具体方法包括股利折现法、现金流量折现法、情景分析法、风险调整现金流量折现法等。</w:t>
      </w:r>
    </w:p>
    <w:p w14:paraId="2D26A517">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资产评估专业人员在确定科创企业收益法折现率时，应当对所处细分行业、经营阶段、业务成长性、经营风险、财务风险、市场风险、研发风险等影响折现率的关键参数进行分析，合理调整折现率。资产评估专业人员采用情景分析法和风险调整现金流量折现法进行评估时，应当注意同一风险不应当在折现率和现金流量中重复考虑。</w:t>
      </w:r>
    </w:p>
    <w:p w14:paraId="7068B686">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第二十二条</w:t>
      </w:r>
      <w:r>
        <w:rPr>
          <w:rFonts w:hint="eastAsia" w:ascii="宋体" w:hAnsi="宋体" w:eastAsia="宋体" w:cs="宋体"/>
          <w:color w:val="000000"/>
          <w:kern w:val="0"/>
          <w:sz w:val="24"/>
          <w:shd w:val="clear" w:color="auto" w:fill="FFFFFF"/>
        </w:rPr>
        <w:t>　资产评估专业人员需要结合科创企业所处经营阶段，分析其能否实现相对确定的稳定现金流量，达到实现稳定现金流量状态所需要的时间以及其他投入情况，合理确定实现稳定现金流量的期间、规模以及不确定性，恰当使用现金流量折现法。</w:t>
      </w:r>
    </w:p>
    <w:p w14:paraId="53885350">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第二十三条</w:t>
      </w:r>
      <w:r>
        <w:rPr>
          <w:rFonts w:hint="eastAsia" w:ascii="宋体" w:hAnsi="宋体" w:eastAsia="宋体" w:cs="宋体"/>
          <w:color w:val="000000"/>
          <w:kern w:val="0"/>
          <w:sz w:val="24"/>
          <w:shd w:val="clear" w:color="auto" w:fill="FFFFFF"/>
        </w:rPr>
        <w:t>　对于尚不能确定单一稳定现金流量的科创企业，资产评估专业人员需要要求科创企业结合其所处经营阶段，选取影响其未来经营的若干关键因素，合理构建未来经营情景并赋予相应的情景概率，根据获得的多种情景下的现金流量，结合相应的不确定性，恰当使用情景分析法。</w:t>
      </w:r>
    </w:p>
    <w:p w14:paraId="7BD9884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资产评估专业人员采用情景分析法时应当关注所分析的情景是否涵盖了所有可以观察并且可以量化的情景，情景分析法通常包含对基础情景的评估、对新情景的评估，在采用情景分析法时资产评估专业人员需要对两个以上的情景加以分析，包括市场需求现状和增长情况、竞争状况、行业发展趋势等对市场供求产生影响的因素。根据分析结论对各个情景分配不同的概率，计算各个情景下的加权平均价值。</w:t>
      </w:r>
    </w:p>
    <w:p w14:paraId="1928292D">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第二十四条</w:t>
      </w:r>
      <w:r>
        <w:rPr>
          <w:rFonts w:hint="eastAsia" w:ascii="宋体" w:hAnsi="宋体" w:eastAsia="宋体" w:cs="宋体"/>
          <w:color w:val="000000"/>
          <w:kern w:val="0"/>
          <w:sz w:val="24"/>
          <w:shd w:val="clear" w:color="auto" w:fill="FFFFFF"/>
        </w:rPr>
        <w:t>　对于尚不能确定单一稳定现金流量的科创企业，如果在其不同阶段的风险特征存在差异，资产评估专业人员可以要求科创企业结合其所处经营阶段，合理构建处于不同时间节点或者发展阶段的业务的未来经营情景并赋予相应的情景概率，获得风险调整后现金流量，结合相应的不确定性，恰当使用风险调整现金流量折现法。</w:t>
      </w:r>
    </w:p>
    <w:p w14:paraId="77F5CB88">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第二十五条</w:t>
      </w:r>
      <w:r>
        <w:rPr>
          <w:rFonts w:hint="eastAsia" w:ascii="宋体" w:hAnsi="宋体" w:eastAsia="宋体" w:cs="宋体"/>
          <w:color w:val="000000"/>
          <w:kern w:val="0"/>
          <w:sz w:val="24"/>
          <w:shd w:val="clear" w:color="auto" w:fill="FFFFFF"/>
        </w:rPr>
        <w:t>　采用资产基础法对科创企业价值进行评估，资产评估专业人员应当结合科创企业特点，根据会计政策、企业经营等情况，考虑资产基础法的适用性，并且合理关注被评估单位资产、负债情况，对资产负债表内以及表外资产、负债进行充分识别。</w:t>
      </w:r>
    </w:p>
    <w:p w14:paraId="6B966F8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资产评估专业人员应当知晓，并非每项资产和负债都可以识别并用适当的方法单独评估。当存在对评估对象价值有重大影响且难以识别和评估的资产或者负债时，应当在评估报告中予以披露，并考虑采用该方法得出结果作为评估结论的合理性。</w:t>
      </w:r>
    </w:p>
    <w:p w14:paraId="1CE40F38">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第二十六条</w:t>
      </w:r>
      <w:r>
        <w:rPr>
          <w:rFonts w:hint="eastAsia" w:ascii="宋体" w:hAnsi="宋体" w:eastAsia="宋体" w:cs="宋体"/>
          <w:color w:val="000000"/>
          <w:kern w:val="0"/>
          <w:sz w:val="24"/>
          <w:shd w:val="clear" w:color="auto" w:fill="FFFFFF"/>
        </w:rPr>
        <w:t>　资产评估专业人员对科创企业的无形资产评估应当谨慎采用资产基础法。在特殊情况下需要采用资产基础法时，应当合理关注科创企业的无形资产，特别是表外无形资产，充分分析无形资产的作用，合理确定无形资产的价值，同时应当关注宏观经济政策、行业政策、经营条件、生产能力、市场状况、产品生命周期等各项因素对无形资产效能发挥的制约，关注其对无形资产价值产生的影响。</w:t>
      </w:r>
    </w:p>
    <w:p w14:paraId="74EE8F4E">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第二十七条</w:t>
      </w:r>
      <w:r>
        <w:rPr>
          <w:rFonts w:hint="eastAsia" w:ascii="宋体" w:hAnsi="宋体" w:eastAsia="宋体" w:cs="宋体"/>
          <w:color w:val="000000"/>
          <w:kern w:val="0"/>
          <w:sz w:val="24"/>
          <w:shd w:val="clear" w:color="auto" w:fill="FFFFFF"/>
        </w:rPr>
        <w:t>　结合科创企业的经营特点和发展阶段特征，资产评估专业人员可以考虑采用实物期权定价法、分部加总法（SOTP）等其他衍生方法进行评估。</w:t>
      </w:r>
    </w:p>
    <w:p w14:paraId="4C145EFF">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第二十八条</w:t>
      </w:r>
      <w:r>
        <w:rPr>
          <w:rFonts w:hint="eastAsia" w:ascii="宋体" w:hAnsi="宋体" w:eastAsia="宋体" w:cs="宋体"/>
          <w:color w:val="000000"/>
          <w:kern w:val="0"/>
          <w:sz w:val="24"/>
          <w:shd w:val="clear" w:color="auto" w:fill="FFFFFF"/>
        </w:rPr>
        <w:t>　资产评估专业人员采用实物期权定价法对科创企业价值进行评估，应当履行识别期权类别、判断条件、估计参数、估算价值四个基本步骤，目前常用于评估实物期权的方法主要包括布莱克-舒尔斯模型（Black-Scholes　Model）和二叉树模型（Binomial　Tree　Model）。</w:t>
      </w:r>
    </w:p>
    <w:p w14:paraId="0D01E0CD">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第二十九条</w:t>
      </w:r>
      <w:r>
        <w:rPr>
          <w:rFonts w:hint="eastAsia" w:ascii="宋体" w:hAnsi="宋体" w:eastAsia="宋体" w:cs="宋体"/>
          <w:color w:val="000000"/>
          <w:kern w:val="0"/>
          <w:sz w:val="24"/>
          <w:shd w:val="clear" w:color="auto" w:fill="FFFFFF"/>
        </w:rPr>
        <w:t>　对于多元化经营的科创企业，其业务包括不同的行业类型、商业模式、发展阶段，资产评估专业人员可以采用分部加总法（SOTP）对各个业务单元分别进行评估。</w:t>
      </w:r>
    </w:p>
    <w:p w14:paraId="779D6CB8">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资产评估专业人员应当对各个业务单元形成的测算结果进行综合分析，形成合理评估结论。当采用多种评估方法对业务单元进行测算时，应当对采用各种方法评估形成的测算结果进行分析比较，形成合理评估结论。</w:t>
      </w:r>
    </w:p>
    <w:p w14:paraId="3B1146C8">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第三十条</w:t>
      </w:r>
      <w:r>
        <w:rPr>
          <w:rFonts w:hint="eastAsia" w:ascii="宋体" w:hAnsi="宋体" w:eastAsia="宋体" w:cs="宋体"/>
          <w:color w:val="000000"/>
          <w:kern w:val="0"/>
          <w:sz w:val="24"/>
          <w:shd w:val="clear" w:color="auto" w:fill="FFFFFF"/>
        </w:rPr>
        <w:t>　资产评估专业人员需要结合所采用评估方法、相关评估假设以及评估参数的设定，分析得到的测算结果与评估目的下的评估对象是否存在定价时间、定价环境、定价基准等方面的差异，恰当考虑控制权调整、流动性调整、交易时间调整、大宗交易调整等调整事项，合理确定测算结果。</w:t>
      </w:r>
    </w:p>
    <w:p w14:paraId="29D1DF3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资产评估专业人员应当知悉，对科创企业预计市值进行评估时，评估对象价值是模拟科创企业股票发行上市后的价值，应当对假设上市后的股权流动性溢价进行恰当考虑，合理确定测算结果。</w:t>
      </w:r>
    </w:p>
    <w:p w14:paraId="1AD84DB7">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第三十一条</w:t>
      </w:r>
      <w:r>
        <w:rPr>
          <w:rFonts w:hint="eastAsia" w:ascii="宋体" w:hAnsi="宋体" w:eastAsia="宋体" w:cs="宋体"/>
          <w:color w:val="000000"/>
          <w:kern w:val="0"/>
          <w:sz w:val="24"/>
          <w:shd w:val="clear" w:color="auto" w:fill="FFFFFF"/>
        </w:rPr>
        <w:t>　资产评估专业人员对科创企业普通股权益价值进行评估时，需要关注被评估单位是否存在优先股、永续债、员工期权、可转换债券等其他权益工具，并合理考虑上述权益工具的价值对普通股权益价值的影响。</w:t>
      </w:r>
    </w:p>
    <w:p w14:paraId="34BF0CB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对于优先股价值的评估，资产评估专业人员需要关注优先股的种类，通常包括累计优先股和非累计优先股、参加分配优先股和不参加分配优先股、可转换优先股和不可转换优先股、可赎回优先股和不可赎回优先股等，还应当关注优先股股息支付政策、投资回报方式、价值回收途径以及期限限制等因素。</w:t>
      </w:r>
    </w:p>
    <w:p w14:paraId="660CCC8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对于永续债价值的评估，资产评估专业人员需要关注永续债发行企业的主体资质、债券期限、税收政策等，还应当关注首个重新定价周期、利率调升幅度、利息递延、提前赎回等条款因素以及永续债发行企业提前赎回或者续期带来的再投资风险和利率波动风险等。</w:t>
      </w:r>
    </w:p>
    <w:p w14:paraId="1A44D941">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对于可转债价值的评估，由于可转债所包含的期权特性，可以采用期权定价模型进行估算。通常，可转换债的价值等于普通债权的价值加转换为股权的期权价值减赎回期权的价值。</w:t>
      </w:r>
    </w:p>
    <w:p w14:paraId="2F626594">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第三十二条</w:t>
      </w:r>
      <w:r>
        <w:rPr>
          <w:rFonts w:hint="eastAsia" w:ascii="宋体" w:hAnsi="宋体" w:eastAsia="宋体" w:cs="宋体"/>
          <w:color w:val="000000"/>
          <w:kern w:val="0"/>
          <w:sz w:val="24"/>
          <w:shd w:val="clear" w:color="auto" w:fill="FFFFFF"/>
        </w:rPr>
        <w:t>　资产评估专业人员对科创企业普通股权益价值进行评估时，需要关注被评估单位普通股是否包含表决权差异安排，并合理考虑表决权差异导致的控制权溢价对股东权益价值的影响。</w:t>
      </w:r>
    </w:p>
    <w:p w14:paraId="09EF0680">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第三十三条</w:t>
      </w:r>
      <w:r>
        <w:rPr>
          <w:rFonts w:hint="eastAsia" w:ascii="宋体" w:hAnsi="宋体" w:eastAsia="宋体" w:cs="宋体"/>
          <w:color w:val="000000"/>
          <w:kern w:val="0"/>
          <w:sz w:val="24"/>
          <w:shd w:val="clear" w:color="auto" w:fill="FFFFFF"/>
        </w:rPr>
        <w:t>　资产评估专业人员需要关注科创企业是否存在显著影响其价值的或有事项，例如科创企业在历史交易等事项中形成的预计负债、或有负债、或有资产等，并合理考虑或有事项对评估对象价值的影响。</w:t>
      </w:r>
    </w:p>
    <w:p w14:paraId="6CA567BC">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第四章　科创企业核查验证关注要点</w:t>
      </w:r>
    </w:p>
    <w:p w14:paraId="23263421">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第三十四条</w:t>
      </w:r>
      <w:r>
        <w:rPr>
          <w:rFonts w:hint="eastAsia" w:ascii="宋体" w:hAnsi="宋体" w:eastAsia="宋体" w:cs="宋体"/>
          <w:color w:val="000000"/>
          <w:kern w:val="0"/>
          <w:sz w:val="24"/>
          <w:shd w:val="clear" w:color="auto" w:fill="FFFFFF"/>
        </w:rPr>
        <w:t>　资产评估专业人员需要关注科创企业高研发投入、高增长性、高经营风险的特性，在评估现场调查和收集整理评估资料时，需要对企业与科创属性相关的资产、业务、项目以及人员情况重点核查。</w:t>
      </w:r>
    </w:p>
    <w:p w14:paraId="6F57DF83">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第三十五条</w:t>
      </w:r>
      <w:r>
        <w:rPr>
          <w:rFonts w:hint="eastAsia" w:ascii="宋体" w:hAnsi="宋体" w:eastAsia="宋体" w:cs="宋体"/>
          <w:color w:val="000000"/>
          <w:kern w:val="0"/>
          <w:sz w:val="24"/>
          <w:shd w:val="clear" w:color="auto" w:fill="FFFFFF"/>
        </w:rPr>
        <w:t>　对于科创企业研发能力的核查，资产评估专业人员需要关注企业近年来研发投入规模、研发投入占收入比重、国家有关部门对特定行业研发投入要求、研发人员占企业总员工数比重、核心研发人员的科研和工作履历，以及劳动合同签订情况、历史研发成果、所获奖励情况、持有专利等知识产权情况，同时需要关注企业内部研发体系、研发流程以及研发管理制度，分析判断企业研发项目与企业产品规划契合度。</w:t>
      </w:r>
    </w:p>
    <w:p w14:paraId="6A5866C9">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第三十六条</w:t>
      </w:r>
      <w:r>
        <w:rPr>
          <w:rFonts w:hint="eastAsia" w:ascii="宋体" w:hAnsi="宋体" w:eastAsia="宋体" w:cs="宋体"/>
          <w:color w:val="000000"/>
          <w:kern w:val="0"/>
          <w:sz w:val="24"/>
          <w:shd w:val="clear" w:color="auto" w:fill="FFFFFF"/>
        </w:rPr>
        <w:t>　资产评估专业人员对拥有知识产权类无形资产的科创企业价值进行评估时，需要关注科创企业无形资产性质、取得和使用状态、权属等法律文件、无形资产与企业主营业务收入贡献程度之间的比重等事项。</w:t>
      </w:r>
    </w:p>
    <w:p w14:paraId="669135BF">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第三十七条</w:t>
      </w:r>
      <w:r>
        <w:rPr>
          <w:rFonts w:hint="eastAsia" w:ascii="宋体" w:hAnsi="宋体" w:eastAsia="宋体" w:cs="宋体"/>
          <w:color w:val="000000"/>
          <w:kern w:val="0"/>
          <w:sz w:val="24"/>
          <w:shd w:val="clear" w:color="auto" w:fill="FFFFFF"/>
        </w:rPr>
        <w:t>　对超出资产评估专业人员胜任能力的核查验证事项，例如，对科创企业技术先进性、技术成熟度以及未来技术成果所具备的经济效益的核查。资产评估机构可以委托或者要求委托人委托专业机构出具专业报告作为评估依据。</w:t>
      </w:r>
    </w:p>
    <w:p w14:paraId="56A930EF">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第五章　科创企业发展阶段和关注要点</w:t>
      </w:r>
    </w:p>
    <w:p w14:paraId="45812088">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第三十八条</w:t>
      </w:r>
      <w:r>
        <w:rPr>
          <w:rFonts w:hint="eastAsia" w:ascii="宋体" w:hAnsi="宋体" w:eastAsia="宋体" w:cs="宋体"/>
          <w:color w:val="000000"/>
          <w:kern w:val="0"/>
          <w:sz w:val="24"/>
          <w:shd w:val="clear" w:color="auto" w:fill="FFFFFF"/>
        </w:rPr>
        <w:t>　企业的完整生命周期通常包括初创阶段、成长阶段、成熟阶段以及衰退阶段。资产评估专业人员需要关注科创企业所处的发展阶段，采用与其发展阶段特征相匹配的评估方法、评估假设以及评估参数。</w:t>
      </w:r>
    </w:p>
    <w:p w14:paraId="2A9CA773">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第三十九条</w:t>
      </w:r>
      <w:r>
        <w:rPr>
          <w:rFonts w:hint="eastAsia" w:ascii="宋体" w:hAnsi="宋体" w:eastAsia="宋体" w:cs="宋体"/>
          <w:color w:val="000000"/>
          <w:kern w:val="0"/>
          <w:sz w:val="24"/>
          <w:shd w:val="clear" w:color="auto" w:fill="FFFFFF"/>
        </w:rPr>
        <w:t>　资产评估专业人员需要知晓，处于初创阶段的科创企业，经营历史有限，收入较低甚至未实现收入，业绩波动频繁而且可能处于亏损状态，尚未形成清晰的盈利模式，财务指标无法客观反映企业的价值，通常可以采用用户数量、市场空间、市场占有率、流量、研发投入等非财务指标衡量企业价值，可以采用历史交易法、可比交易法、实物期权法等进行评估。</w:t>
      </w:r>
    </w:p>
    <w:p w14:paraId="165B192C">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第四十条</w:t>
      </w:r>
      <w:r>
        <w:rPr>
          <w:rFonts w:hint="eastAsia" w:ascii="宋体" w:hAnsi="宋体" w:eastAsia="宋体" w:cs="宋体"/>
          <w:color w:val="000000"/>
          <w:kern w:val="0"/>
          <w:sz w:val="24"/>
          <w:shd w:val="clear" w:color="auto" w:fill="FFFFFF"/>
        </w:rPr>
        <w:t>　资产评估专业人员需要知晓，处于成长阶段的科创企业随着其研发的产品或者技术逐渐得到市场认可，快速成长并扭亏为盈，经营逐渐稳定，盈利模式逐渐清晰，可以利用相对稳定、可以预测的财务指标进行评估，存在较多可比企业或者可比交易案例时，评估方法通常为市场法。当科创企业尚未达到盈亏平衡点时，可以采用收入比率（PS、EV/S）、现金流比率（P/FCF、EV/FCF、EV/EBITDA）等，当科创企业跨越盈亏平衡线，并仍保持较高的增速时，除了可以采用前述价值比率外，还可以采用市盈率相对盈利增长比率（PEG）。</w:t>
      </w:r>
    </w:p>
    <w:p w14:paraId="0A250712">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第四十一条</w:t>
      </w:r>
      <w:r>
        <w:rPr>
          <w:rFonts w:hint="eastAsia" w:ascii="宋体" w:hAnsi="宋体" w:eastAsia="宋体" w:cs="宋体"/>
          <w:color w:val="000000"/>
          <w:kern w:val="0"/>
          <w:sz w:val="24"/>
          <w:shd w:val="clear" w:color="auto" w:fill="FFFFFF"/>
        </w:rPr>
        <w:t>　资产评估专业人员需要知晓，当科创企业进入成熟阶段，其资产规模已经趋于稳定，形成了完整的产品结构并稳定地进入市场销售，有一定的市场占有率，市场竞争能力提升，拥有长期、稳定的经营历史。这一阶段企业面临的主要风险为市场竞争以及技术风险，相对于成长阶段，通常抵抗风险能力有所增强。成熟期科创企业的产品营收、现金流量和利润趋于稳定，相对于成长阶段，通常具有更为稳定的指标可以与同行业进行对比，市盈率成为市场法中最常用的价值比率。此外，现金流折现模型也同样适用于成熟期的科创企业。长期稳定分红的科创企业还可以采用股利贴现模型（DDM）。</w:t>
      </w:r>
    </w:p>
    <w:p w14:paraId="72F3790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对于存在多种业务板块的科创企业，还可以采用分部加总法（SOTP）对不同业务板块分别评估并加总得到企业整体测算结果。</w:t>
      </w:r>
    </w:p>
    <w:p w14:paraId="5E2CC19E">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第四十二条</w:t>
      </w:r>
      <w:r>
        <w:rPr>
          <w:rFonts w:hint="eastAsia" w:ascii="宋体" w:hAnsi="宋体" w:eastAsia="宋体" w:cs="宋体"/>
          <w:color w:val="000000"/>
          <w:kern w:val="0"/>
          <w:sz w:val="24"/>
          <w:shd w:val="clear" w:color="auto" w:fill="FFFFFF"/>
        </w:rPr>
        <w:t>　对于处于衰退阶段的科创企业通常采用成本法进行评估。</w:t>
      </w:r>
    </w:p>
    <w:p w14:paraId="60D3F47D">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第六章　科创企业行业特征和关注要点</w:t>
      </w:r>
    </w:p>
    <w:p w14:paraId="2ADD02F8">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第四十三条</w:t>
      </w:r>
      <w:r>
        <w:rPr>
          <w:rFonts w:hint="eastAsia" w:ascii="宋体" w:hAnsi="宋体" w:eastAsia="宋体" w:cs="宋体"/>
          <w:color w:val="000000"/>
          <w:kern w:val="0"/>
          <w:sz w:val="24"/>
          <w:shd w:val="clear" w:color="auto" w:fill="FFFFFF"/>
        </w:rPr>
        <w:t>　资产评估专业人员需要关注科创企业所属的行业领域，采用与行业特征相匹配的评估方法、评估假设以及评估参数。</w:t>
      </w:r>
    </w:p>
    <w:p w14:paraId="2F939BD2">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第四十四条</w:t>
      </w:r>
      <w:r>
        <w:rPr>
          <w:rFonts w:hint="eastAsia" w:ascii="宋体" w:hAnsi="宋体" w:eastAsia="宋体" w:cs="宋体"/>
          <w:color w:val="000000"/>
          <w:kern w:val="0"/>
          <w:sz w:val="24"/>
          <w:shd w:val="clear" w:color="auto" w:fill="FFFFFF"/>
        </w:rPr>
        <w:t>　新一代信息技术行业，主要包括半导体和集成电路、电子信息、下一代信息网络、人工智能、大数据、云计算、新兴软件、互联网、物联网和智能硬件等领域。</w:t>
      </w:r>
    </w:p>
    <w:p w14:paraId="4115B1C9">
      <w:pPr>
        <w:shd w:val="clear" w:color="auto" w:fill="FFFFFF"/>
        <w:spacing w:line="440" w:lineRule="atLeast"/>
        <w:ind w:firstLine="480" w:firstLineChars="200"/>
        <w:rPr>
          <w:rFonts w:ascii="宋体" w:hAnsi="宋体" w:eastAsia="宋体" w:cs="宋体"/>
          <w:color w:val="000000"/>
          <w:kern w:val="0"/>
          <w:sz w:val="24"/>
          <w:shd w:val="clear" w:color="auto" w:fill="FFFFFF"/>
        </w:rPr>
      </w:pPr>
      <w:bookmarkStart w:id="248" w:name="_Hlk88426564"/>
      <w:r>
        <w:rPr>
          <w:rFonts w:hint="eastAsia" w:ascii="宋体" w:hAnsi="宋体" w:eastAsia="宋体" w:cs="宋体"/>
          <w:color w:val="000000"/>
          <w:kern w:val="0"/>
          <w:sz w:val="24"/>
          <w:shd w:val="clear" w:color="auto" w:fill="FFFFFF"/>
        </w:rPr>
        <w:t>新一代信息技术行业在初创期重组事项频繁、投入较高而且通常处于亏损状态，可以采用修正经济增加值模型（REVA）进行评估，也可以结合行业和企业特点，使用其他适用的价值比率，采用市场法进行评估。</w:t>
      </w:r>
      <w:bookmarkEnd w:id="248"/>
    </w:p>
    <w:p w14:paraId="6ECFAF1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随着企业研发的产品或者技术逐渐得到市场认可，经营状况逐步进入稳定阶段，盈利模式逐渐清晰，可以使用收入比率（PS、EV/S）、现金流比率（P/FCF、EV/FCF、EV/EBITDA）等价值比率，采用市场法进行评估。</w:t>
      </w:r>
    </w:p>
    <w:p w14:paraId="4C9CAD4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企业进入成熟期后，可以结合企业经营状况、成长性以及风险特征，采用成熟期科创企业适用的方法进行评估。</w:t>
      </w:r>
    </w:p>
    <w:p w14:paraId="2DAAB8B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对于新一代信息技术行业，在选择评估方法时，除需要关注科创企业所处发展阶段外，还需要关注评估对象的资产状况和经营特点。例如，在新一代信息技术行业中存在集成电路制造等固定资产占比较高的企业，特别是在公司经营状况出现明显波动时，也可以考虑采用市净率作为市场法的价值比率进行评估。</w:t>
      </w:r>
    </w:p>
    <w:p w14:paraId="706EF082">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第四十五条</w:t>
      </w:r>
      <w:r>
        <w:rPr>
          <w:rFonts w:hint="eastAsia" w:ascii="宋体" w:hAnsi="宋体" w:eastAsia="宋体" w:cs="宋体"/>
          <w:color w:val="000000"/>
          <w:kern w:val="0"/>
          <w:sz w:val="24"/>
          <w:shd w:val="clear" w:color="auto" w:fill="FFFFFF"/>
        </w:rPr>
        <w:t>　生物医药行业，主要包括高端化学药、生物制品以及委托研发高端医疗设备与器械以及相关服务等细分领域。其中，医疗器械行业涉及到医药、机械、电子、塑料等多个行业，是一个多学科交叉、知识密集、资金密集的高技术产业，其产品技术含量较高，利润较高，进入门槛较高，行业壁垒较高。化学药是缓解、预防和诊断疾病，并且具有调节机体功能的化合物的统称。生物药是指运用生物学、医学、生物化学等学科的研究成果，综合利用物理学、化学、生物化学、生物技术和药学等学科的原理和方法，利用生物体、生物组织、细胞、体液等制造的一类用于预防、治疗和诊断的制品。委托研发（CRO）是接受药厂或者生物科技公司委托进行研究服务，提供新药以及医疗器械开发时所需要的非临床与临床试验、数据分析、法规咨询等专业服务。</w:t>
      </w:r>
    </w:p>
    <w:p w14:paraId="1DB2FA42">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对于医疗器械行业，需要根据企业的不同发展阶段采用不同的评估方法，通常采用收益法以及市场法进行评估。对于发展初期的公司通常采用收益法，或者以收入、市场份额为价值比率的市场法进行评估，对于发展中后期的公司可采用成熟期科创企业适用的方法进行评估。</w:t>
      </w:r>
    </w:p>
    <w:p w14:paraId="5C142E0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对于化学药、生物药业态中处于早期阶段的企业，由于其产品大多并未上市销售，利润通常为负数，但是预期销售额会根据其研发管线进入上市阶段而进入快速增长阶段，可以采用针对其研发管线的风险调整现金流折现法（rNPV）以及概率调整的情景假设分析法（probability-adjusted　scenario　analysis）进行评估。其中，风险调整现金流折现法考虑的因素通常包含临床成功率、可以治疗患者数、药品渗透率、治疗费用以及依从性等。当企业进入成熟阶段具有稳定的收入、利润后，可以采用成熟期科创企业适用的方法进行评估。</w:t>
      </w:r>
    </w:p>
    <w:p w14:paraId="17D2E56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对于委托研发行业，需要根据不同的业务模式确定相应的评估方法。传统模式的委托研发企业现金流量较为稳定，主要收入为服务费，可以采用收益法、市场法进行评估；具备项目计划的委托研发企业，其收入与项目成功率关联度高，可以采用风险调整现金流折现法（rNPV）进行评估；风险共担模式的委托研发企业，即通过自身技术换取对应产品上市后销售分成的模式，在获取较高收益的同时也承担了较高风险，其收入与药品上市后的销售收入关联度高，可以采用风险调整现金流折现法（rNPV）进行评估。</w:t>
      </w:r>
    </w:p>
    <w:p w14:paraId="5B8E6BFA">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第四十六条</w:t>
      </w:r>
      <w:r>
        <w:rPr>
          <w:rFonts w:hint="eastAsia" w:ascii="宋体" w:hAnsi="宋体" w:eastAsia="宋体" w:cs="宋体"/>
          <w:color w:val="000000"/>
          <w:kern w:val="0"/>
          <w:sz w:val="24"/>
          <w:shd w:val="clear" w:color="auto" w:fill="FFFFFF"/>
        </w:rPr>
        <w:t>　高端装备制造业，包括电子产业设备及终端和机械设备制造两个主要细分产业，除此之外还包括智能制造、航空航天、先进轨道交通、海洋工程装备以及相关服务等细分领域。</w:t>
      </w:r>
    </w:p>
    <w:p w14:paraId="1F0FA1F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电子产业设备及终端可以分为重资产型和非重资产型零组件企业。重资产型零组件企业的重要特征是持续高投入且采用先进生产线以保持技术领先，其资产量大、资金投入金额高、年折旧摊销金额高，可以采用以市净率（PB）、市盈率（PE）、企业价值与息税折旧及摊销前利润比率（EV/EBITDA）等作为价值比率的市场法进行评估。非重资产零组件企业的重要特征是企业价值受市场或者外部环境驱动因素较多，资产评估专业人员应当关注该类企业所处细分行业的行业政策、技术更新情况，可以采用以市盈率等作为价值比率的市场法进行评估。</w:t>
      </w:r>
    </w:p>
    <w:p w14:paraId="33523A8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机械设备制造业企业可以分为“成长性”企业与“周期性”企业两类。机械设备因其使用周期较长，在下游市场需求稳定的情况下机械设备制造企业业绩随着下游市场设备的更新需求产生周期性波动。机械设备制造企业的成长性主要体现为下游行业处于高速发展阶段或者设备技术具有较高的迭代率，下游产业对于设备技术更新的需求催生机械设备制造企业呈现快速成长的特点。</w:t>
      </w:r>
    </w:p>
    <w:p w14:paraId="0EF3613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对于机械设备制造企业的评估，资产评估专业人员需要关注企业所具备的上述特征，处于成长期的企业可以采用以市盈率相对盈利增长比率（PEG）、市销率（PS）、企业价值与营业收入比率（EV/S）等作为价值比率的市场法或者现金流折现法进行评估。对于业务具备周期性的机械设备制造企业可以采用以市净率（PB）作为价值比率的市场法或者重置成本法进行评估。</w:t>
      </w:r>
    </w:p>
    <w:p w14:paraId="7675656B">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第四十七条</w:t>
      </w:r>
      <w:r>
        <w:rPr>
          <w:rFonts w:hint="eastAsia" w:ascii="宋体" w:hAnsi="宋体" w:eastAsia="宋体" w:cs="宋体"/>
          <w:color w:val="000000"/>
          <w:kern w:val="0"/>
          <w:sz w:val="24"/>
          <w:shd w:val="clear" w:color="auto" w:fill="FFFFFF"/>
        </w:rPr>
        <w:t>　新材料行业，主要定位于研制具有传统材料不具备的优异性能或者某种特殊功能的新型材料企业，主要包括先进钢铁材料、先进有色金属材料、先进石化化工新材料、先进无机非金属材料、高性能复合材料、前沿新材料以及相关服务等领域。</w:t>
      </w:r>
    </w:p>
    <w:p w14:paraId="268412F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新材料科创企业多处于高速成长期，业务尚未形成规模，净利润波动较为明显，而销售收入增长趋势相对稳定，可以采用以收入比率（PS、EV/S）作为价值比率的市场法进行评估。对于处于稳定阶段的新材料科创企业，其规模、收入和利润均处于一个相对稳定的状态，可以采用成熟期科创企业适用方法进行评估。</w:t>
      </w:r>
    </w:p>
    <w:p w14:paraId="05EC209B">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新材料行业通常存在较高额度的折旧摊销，在选取市场法价值比率时，企业价值与息税折旧及摊销前利润比率因为可以避免折旧摊销的影响而更为适用，市净率也可以从成本角度出发体现企业价值。</w:t>
      </w:r>
    </w:p>
    <w:p w14:paraId="34FD23FA">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第四十八条</w:t>
      </w:r>
      <w:r>
        <w:rPr>
          <w:rFonts w:hint="eastAsia" w:ascii="宋体" w:hAnsi="宋体" w:eastAsia="宋体" w:cs="宋体"/>
          <w:color w:val="000000"/>
          <w:kern w:val="0"/>
          <w:sz w:val="24"/>
          <w:shd w:val="clear" w:color="auto" w:fill="FFFFFF"/>
        </w:rPr>
        <w:t>　新能源行业，主要包括新能源供给行业以及新能源应用行业。新能源供应行业主要包括先进核电、大型风电、高效光电光热、高效储能等企业；新能源应用行业目前主要包括新能源汽车关键零部件生产、动力电池生产以及相关技术服务等企业。</w:t>
      </w:r>
    </w:p>
    <w:p w14:paraId="452CEC15">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光热发电、储能设备以及海上风电等领域中处于初创期的企业，通常在研发和基础设施方面具有较高的投入，业绩存在波动风险而且可能处于亏损状态，财务指标难以客观反映企业价值，可以采用风险调整现金流折现法（rNPV）、估值扩张倍数法（VM指数）或者修正经济增加值模型（REVA）等方法进行评估。</w:t>
      </w:r>
    </w:p>
    <w:p w14:paraId="6ECA0F10">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处于初创期的新能源汽车行业，市场规模增长较快，但是对应的企业可能尚未实现盈利，经营和投资现金流量为负值，可以采用以市销率（PS）或者股价比销量（PSV）作为价值比率的市场法进行评估。对于未来发展过程中现金流量改善预期较为可靠的企业，也可以采用收益法进行评估。处于成长期的新能源汽车企业，资本投入已具备规模，市场规模增长较为稳定的，可以采用以市盈率（PE）、市净率（PB）、市销率（PS）、市盈率相对盈利增长比率（PEG）等作为价值比率的市场法或者收益法等进行评估。</w:t>
      </w:r>
    </w:p>
    <w:p w14:paraId="130D9ABE">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第四十九条</w:t>
      </w:r>
      <w:r>
        <w:rPr>
          <w:rFonts w:hint="eastAsia" w:ascii="宋体" w:hAnsi="宋体" w:eastAsia="宋体" w:cs="宋体"/>
          <w:color w:val="000000"/>
          <w:kern w:val="0"/>
          <w:sz w:val="24"/>
          <w:shd w:val="clear" w:color="auto" w:fill="FFFFFF"/>
        </w:rPr>
        <w:t>　节能环保行业，主要包括高效节能产品以及设备，先进环保技术装备，先进环保产品，资源循环利用关键技术装备、产品和服务产业等细分行业。</w:t>
      </w:r>
    </w:p>
    <w:p w14:paraId="2337DB4D">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节能环保型企业可以采用收益法、市场法进行评估。采用收益法时，资产评估专业人员应当关注并核查验证企业现金流量产生的合理性以及可持续性。采用以企业价值与息税折旧及摊销前利润比率（EV/EBITDA）、市盈率（PE）、市销率（PS）、市净率（PB）等作为价值比率的市场法时，资产评估专业人员应当关注可比公司与被评估单位在会计政策、财务指标等方面计算口径的一致性，企业规模、主营业务的可比性。</w:t>
      </w:r>
    </w:p>
    <w:p w14:paraId="31B0154D">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第五十条</w:t>
      </w:r>
      <w:r>
        <w:rPr>
          <w:rFonts w:hint="eastAsia" w:ascii="宋体" w:hAnsi="宋体" w:eastAsia="宋体" w:cs="宋体"/>
          <w:color w:val="000000"/>
          <w:kern w:val="0"/>
          <w:sz w:val="24"/>
          <w:shd w:val="clear" w:color="auto" w:fill="FFFFFF"/>
        </w:rPr>
        <w:t>　对于属于其他行业的科创企业，资产评估专业人员需要根据企业所处的细分行业、产业链以及其他因素，恰当选择评估方法。</w:t>
      </w:r>
    </w:p>
    <w:p w14:paraId="5CA21408">
      <w:pPr>
        <w:shd w:val="clear" w:color="auto" w:fill="FFFFFF"/>
        <w:spacing w:line="440" w:lineRule="atLeast"/>
        <w:jc w:val="center"/>
        <w:rPr>
          <w:rFonts w:ascii="黑体" w:hAnsi="黑体" w:eastAsia="黑体" w:cs="黑体"/>
          <w:bCs/>
          <w:color w:val="000000"/>
          <w:kern w:val="0"/>
          <w:sz w:val="28"/>
          <w:szCs w:val="28"/>
          <w:shd w:val="clear" w:color="auto" w:fill="FFFFFF"/>
        </w:rPr>
      </w:pPr>
      <w:r>
        <w:rPr>
          <w:rFonts w:hint="eastAsia" w:ascii="黑体" w:hAnsi="黑体" w:eastAsia="黑体" w:cs="黑体"/>
          <w:bCs/>
          <w:color w:val="000000"/>
          <w:kern w:val="0"/>
          <w:sz w:val="28"/>
          <w:szCs w:val="28"/>
          <w:shd w:val="clear" w:color="auto" w:fill="FFFFFF"/>
        </w:rPr>
        <w:t>第七章　报告披露</w:t>
      </w:r>
    </w:p>
    <w:p w14:paraId="1CACB8C3">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第五十一条</w:t>
      </w:r>
      <w:r>
        <w:rPr>
          <w:rFonts w:hint="eastAsia" w:ascii="宋体" w:hAnsi="宋体" w:eastAsia="宋体" w:cs="宋体"/>
          <w:color w:val="000000"/>
          <w:kern w:val="0"/>
          <w:sz w:val="24"/>
          <w:shd w:val="clear" w:color="auto" w:fill="FFFFFF"/>
        </w:rPr>
        <w:t>　资产评估专业人员应当知悉，科创企业价值评估结论建立在特定评估假设和前提条件的基础上，由于科创企业的研发成效、商业模式、市场进入、盈利能力、持续成长等方面通常存在较大的不确定性，评估结论在很大程度上建立在特定的评估假设和前提条件的基础上，核查验证程序通常也难以充分、全面、精准地消除导致评估结论存在不确定性的全部因素，因此，需要在资产评估报告中对特殊评估假设和前提条件、评估程序履行和评估资料核查验证的局限性、评估结论的表现形式以及相应量化分析、评估结论有效期、评估结论的使用前提和使用风险等内容进行充分披露，并且保持多个披露期间信息披露标准的一致性。</w:t>
      </w:r>
    </w:p>
    <w:p w14:paraId="5625FA3D">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第五十二条</w:t>
      </w:r>
      <w:r>
        <w:rPr>
          <w:rFonts w:hint="eastAsia" w:ascii="宋体" w:hAnsi="宋体" w:eastAsia="宋体" w:cs="宋体"/>
          <w:color w:val="000000"/>
          <w:kern w:val="0"/>
          <w:sz w:val="24"/>
          <w:shd w:val="clear" w:color="auto" w:fill="FFFFFF"/>
        </w:rPr>
        <w:t>　资产评估报告应当充分披露对评估结论构成重大影响的信息，通常包括：</w:t>
      </w:r>
    </w:p>
    <w:p w14:paraId="1705745C">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（一）重要评估假设以及前提；</w:t>
      </w:r>
    </w:p>
    <w:p w14:paraId="4337A5AF">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（二）权属瑕疵事项；</w:t>
      </w:r>
    </w:p>
    <w:p w14:paraId="7FC18B0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（三）资产评估程序履行，特别是评估资料核查验证的受限事项；</w:t>
      </w:r>
    </w:p>
    <w:p w14:paraId="641640BA">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（四）科创企业的核心技术能力，关键评估参数测算依据，逻辑计算过程、重要评估数据获取来源；</w:t>
      </w:r>
    </w:p>
    <w:p w14:paraId="420DC01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（五）评估结论涉及的压力测试以及敏感性分析信息；</w:t>
      </w:r>
    </w:p>
    <w:p w14:paraId="68B20BE4">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（六）对科创企业评估结论有重要影响的或有事项以及期后事项；</w:t>
      </w:r>
    </w:p>
    <w:p w14:paraId="641A8383">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（七）科创企业业务经营不确定性相关内外部因素分析；</w:t>
      </w:r>
    </w:p>
    <w:p w14:paraId="1CAC329E">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（八）资产评估机构、资产评估专业人员责任边界的划分或者资产评估报告使用限制的声明。</w:t>
      </w:r>
    </w:p>
    <w:p w14:paraId="44AEA4BC">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第五十三条</w:t>
      </w:r>
      <w:r>
        <w:rPr>
          <w:rFonts w:hint="eastAsia" w:ascii="宋体" w:hAnsi="宋体" w:eastAsia="宋体" w:cs="宋体"/>
          <w:color w:val="000000"/>
          <w:kern w:val="0"/>
          <w:sz w:val="24"/>
          <w:shd w:val="clear" w:color="auto" w:fill="FFFFFF"/>
        </w:rPr>
        <w:t>　根据科创企业所属细分行业、所处发展阶段的不同，评估结论可以是确定的数值，也可以是区间值，或者其他形式的专业意见。</w:t>
      </w:r>
    </w:p>
    <w:p w14:paraId="55E8C618">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第五十四条</w:t>
      </w:r>
      <w:r>
        <w:rPr>
          <w:rFonts w:hint="eastAsia" w:ascii="宋体" w:hAnsi="宋体" w:eastAsia="宋体" w:cs="宋体"/>
          <w:color w:val="000000"/>
          <w:kern w:val="0"/>
          <w:sz w:val="24"/>
          <w:shd w:val="clear" w:color="auto" w:fill="FFFFFF"/>
        </w:rPr>
        <w:t>　根据委托人、报告使用人要求，对于可能对评估结论构成重大影响的因素，资产评估专业人员可以采用压力测试、敏感性分析方法进行分析，在评估报告中予以披露并作出必要的风险提示，帮助委托人以及评估报告使用人正确理解评估结论。</w:t>
      </w:r>
    </w:p>
    <w:p w14:paraId="0CF3B522">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第五十五条</w:t>
      </w:r>
      <w:r>
        <w:rPr>
          <w:rFonts w:hint="eastAsia" w:ascii="宋体" w:hAnsi="宋体" w:eastAsia="宋体" w:cs="宋体"/>
          <w:color w:val="000000"/>
          <w:kern w:val="0"/>
          <w:sz w:val="24"/>
          <w:shd w:val="clear" w:color="auto" w:fill="FFFFFF"/>
        </w:rPr>
        <w:t>　资产评估专业人员执行科创企业资产评估业务，除了需要考虑传统的常规假设外，还需要考虑情景假设、参数假设等，例如具体的市场前景假设、产品价格假设、上市流通假设等，并在资产评估报告中进行充分披露。</w:t>
      </w:r>
    </w:p>
    <w:p w14:paraId="533D8136">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第五十六条</w:t>
      </w:r>
      <w:r>
        <w:rPr>
          <w:rFonts w:hint="eastAsia" w:ascii="宋体" w:hAnsi="宋体" w:eastAsia="宋体" w:cs="宋体"/>
          <w:color w:val="000000"/>
          <w:kern w:val="0"/>
          <w:sz w:val="24"/>
          <w:shd w:val="clear" w:color="auto" w:fill="FFFFFF"/>
        </w:rPr>
        <w:t>　资产评估专业人员需要在资产评估报告中充分披露评估工作的范围，必要时明确不属于评估工作范围的事项。</w:t>
      </w:r>
    </w:p>
    <w:p w14:paraId="475E6570">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第五十七条</w:t>
      </w:r>
      <w:r>
        <w:rPr>
          <w:rFonts w:hint="eastAsia" w:ascii="宋体" w:hAnsi="宋体" w:eastAsia="宋体" w:cs="宋体"/>
          <w:color w:val="000000"/>
          <w:kern w:val="0"/>
          <w:sz w:val="24"/>
          <w:shd w:val="clear" w:color="auto" w:fill="FFFFFF"/>
        </w:rPr>
        <w:t>　资产评估专业人员应当结合科创企业风险特征，充分披露评估结论的使用前提以及可能存在的风险。</w:t>
      </w:r>
    </w:p>
    <w:p w14:paraId="7D5720C8">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第五十八条</w:t>
      </w:r>
      <w:r>
        <w:rPr>
          <w:rFonts w:hint="eastAsia" w:ascii="宋体" w:hAnsi="宋体" w:eastAsia="宋体" w:cs="宋体"/>
          <w:color w:val="000000"/>
          <w:kern w:val="0"/>
          <w:sz w:val="24"/>
          <w:shd w:val="clear" w:color="auto" w:fill="FFFFFF"/>
        </w:rPr>
        <w:t>　资产评估专业人员应当结合科创企业的发展阶段特征、技术前沿属性，合理分析评估结论的时效性，客观确定评估结论使用有效期。</w:t>
      </w:r>
    </w:p>
    <w:p w14:paraId="25457D6F">
      <w:pPr>
        <w:shd w:val="clear" w:color="auto" w:fill="FFFFFF"/>
        <w:spacing w:line="440" w:lineRule="atLeast"/>
        <w:ind w:firstLine="482" w:firstLineChars="200"/>
        <w:rPr>
          <w:rFonts w:ascii="宋体" w:hAnsi="宋体" w:eastAsia="宋体" w:cs="宋体"/>
          <w:color w:val="000000"/>
          <w:kern w:val="0"/>
          <w:sz w:val="24"/>
          <w:shd w:val="clear" w:color="auto" w:fill="FFFFFF"/>
        </w:rPr>
      </w:pPr>
      <w:r>
        <w:rPr>
          <w:rFonts w:hint="eastAsia" w:ascii="宋体" w:hAnsi="宋体" w:eastAsia="宋体" w:cs="宋体"/>
          <w:b/>
          <w:color w:val="000000"/>
          <w:kern w:val="0"/>
          <w:sz w:val="24"/>
          <w:shd w:val="clear" w:color="auto" w:fill="FFFFFF"/>
        </w:rPr>
        <w:t>第五十九条</w:t>
      </w:r>
      <w:r>
        <w:rPr>
          <w:rFonts w:hint="eastAsia" w:ascii="宋体" w:hAnsi="宋体" w:eastAsia="宋体" w:cs="宋体"/>
          <w:color w:val="000000"/>
          <w:kern w:val="0"/>
          <w:sz w:val="24"/>
          <w:shd w:val="clear" w:color="auto" w:fill="FFFFFF"/>
        </w:rPr>
        <w:t>　资产评估专业人员需要知晓，由于科创企业的技术迭代较快、企业经营成果变动频繁，不同评估基准日下评估结论可能存在明显差异，应当考虑评估结论与评估基准日的对应性，充分识别和分析期后事项。</w:t>
      </w:r>
    </w:p>
    <w:p w14:paraId="3A235310">
      <w:pPr>
        <w:shd w:val="clear" w:color="auto" w:fill="FFFFFF"/>
        <w:spacing w:line="440" w:lineRule="atLeast"/>
        <w:ind w:firstLine="480" w:firstLineChars="200"/>
        <w:rPr>
          <w:rFonts w:ascii="宋体" w:hAnsi="宋体" w:eastAsia="宋体" w:cs="宋体"/>
          <w:color w:val="000000"/>
          <w:kern w:val="0"/>
          <w:sz w:val="24"/>
          <w:shd w:val="clear" w:color="auto" w:fill="FFFFFF"/>
        </w:rPr>
      </w:pPr>
    </w:p>
    <w:p w14:paraId="0A68A056">
      <w:pPr>
        <w:shd w:val="clear" w:color="auto" w:fill="FFFFFF"/>
        <w:spacing w:line="440" w:lineRule="atLeast"/>
        <w:ind w:firstLine="480" w:firstLineChars="200"/>
        <w:rPr>
          <w:rFonts w:ascii="宋体" w:hAnsi="宋体" w:eastAsia="宋体" w:cs="宋体"/>
          <w:color w:val="000000"/>
          <w:kern w:val="0"/>
          <w:sz w:val="24"/>
          <w:shd w:val="clear" w:color="auto" w:fill="FFFFFF"/>
        </w:rPr>
      </w:pPr>
      <w:r>
        <w:rPr>
          <w:rFonts w:hint="eastAsia" w:ascii="宋体" w:hAnsi="宋体" w:eastAsia="宋体" w:cs="宋体"/>
          <w:color w:val="000000"/>
          <w:kern w:val="0"/>
          <w:sz w:val="24"/>
          <w:shd w:val="clear" w:color="auto" w:fill="FFFFFF"/>
        </w:rPr>
        <w:t>附：部分名词释义</w:t>
      </w:r>
    </w:p>
    <w:p w14:paraId="4FD94F93">
      <w:pPr>
        <w:shd w:val="clear" w:color="auto" w:fill="FFFFFF"/>
        <w:spacing w:line="440" w:lineRule="atLeast"/>
        <w:rPr>
          <w:rFonts w:ascii="宋体" w:hAnsi="宋体" w:eastAsia="宋体" w:cs="宋体"/>
          <w:sz w:val="24"/>
        </w:rPr>
      </w:pPr>
      <w:r>
        <w:rPr>
          <w:rFonts w:hint="eastAsia" w:ascii="宋体" w:hAnsi="宋体" w:eastAsia="宋体" w:cs="宋体"/>
          <w:color w:val="000000"/>
          <w:kern w:val="0"/>
          <w:sz w:val="24"/>
          <w:shd w:val="clear" w:color="auto" w:fill="FFFFFF"/>
        </w:rPr>
        <w:br w:type="page"/>
      </w:r>
      <w:r>
        <w:rPr>
          <w:rFonts w:hint="eastAsia" w:ascii="宋体" w:hAnsi="宋体" w:eastAsia="宋体" w:cs="宋体"/>
          <w:sz w:val="24"/>
        </w:rPr>
        <w:t>附</w:t>
      </w:r>
    </w:p>
    <w:p w14:paraId="6FFE4001">
      <w:pPr>
        <w:widowControl/>
        <w:spacing w:line="560" w:lineRule="exact"/>
        <w:jc w:val="center"/>
        <w:rPr>
          <w:rFonts w:asciiTheme="minorEastAsia" w:hAnsiTheme="minorEastAsia" w:cstheme="minorEastAsia"/>
          <w:b/>
          <w:bCs/>
          <w:sz w:val="32"/>
          <w:szCs w:val="32"/>
        </w:rPr>
      </w:pPr>
      <w:r>
        <w:rPr>
          <w:rFonts w:hint="eastAsia" w:asciiTheme="minorEastAsia" w:hAnsiTheme="minorEastAsia" w:cstheme="minorEastAsia"/>
          <w:b/>
          <w:bCs/>
          <w:sz w:val="32"/>
          <w:szCs w:val="32"/>
        </w:rPr>
        <w:t>部分名词释义</w:t>
      </w:r>
    </w:p>
    <w:p w14:paraId="1170382C">
      <w:pPr>
        <w:widowControl/>
        <w:spacing w:line="560" w:lineRule="exact"/>
        <w:jc w:val="left"/>
        <w:rPr>
          <w:rFonts w:ascii="Times New Roman" w:hAnsi="Times New Roman" w:eastAsia="黑体"/>
          <w:b/>
          <w:sz w:val="32"/>
          <w:szCs w:val="32"/>
        </w:rPr>
      </w:pP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60"/>
        <w:gridCol w:w="6556"/>
      </w:tblGrid>
      <w:tr w14:paraId="39A63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1151" w:type="pct"/>
            <w:vAlign w:val="center"/>
          </w:tcPr>
          <w:p w14:paraId="154CAC16">
            <w:pPr>
              <w:snapToGrid w:val="0"/>
              <w:jc w:val="center"/>
              <w:rPr>
                <w:rFonts w:ascii="Times New Roman" w:hAnsi="Times New Roman" w:eastAsia="仿宋_GB2312"/>
                <w:b/>
                <w:bCs/>
                <w:szCs w:val="21"/>
              </w:rPr>
            </w:pPr>
            <w:r>
              <w:rPr>
                <w:rFonts w:hint="eastAsia" w:ascii="Times New Roman" w:hAnsi="Times New Roman" w:eastAsia="仿宋_GB2312"/>
                <w:b/>
                <w:bCs/>
                <w:szCs w:val="21"/>
              </w:rPr>
              <w:t>名词</w:t>
            </w:r>
          </w:p>
        </w:tc>
        <w:tc>
          <w:tcPr>
            <w:tcW w:w="3849" w:type="pct"/>
            <w:vAlign w:val="center"/>
          </w:tcPr>
          <w:p w14:paraId="5D73B333">
            <w:pPr>
              <w:snapToGrid w:val="0"/>
              <w:jc w:val="center"/>
              <w:rPr>
                <w:rFonts w:ascii="Times New Roman" w:hAnsi="Times New Roman" w:eastAsia="仿宋_GB2312"/>
                <w:b/>
                <w:bCs/>
                <w:szCs w:val="21"/>
              </w:rPr>
            </w:pPr>
            <w:r>
              <w:rPr>
                <w:rFonts w:hint="eastAsia" w:ascii="Times New Roman" w:hAnsi="Times New Roman" w:eastAsia="仿宋_GB2312"/>
                <w:b/>
                <w:bCs/>
                <w:szCs w:val="21"/>
              </w:rPr>
              <w:t>释义</w:t>
            </w:r>
          </w:p>
        </w:tc>
      </w:tr>
      <w:tr w14:paraId="2EFBE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51" w:type="pct"/>
            <w:vAlign w:val="center"/>
          </w:tcPr>
          <w:p w14:paraId="60DD00C9">
            <w:pPr>
              <w:snapToGrid w:val="0"/>
              <w:jc w:val="left"/>
              <w:rPr>
                <w:rFonts w:ascii="Times New Roman" w:hAnsi="Times New Roman" w:eastAsia="仿宋_GB2312"/>
                <w:szCs w:val="21"/>
              </w:rPr>
            </w:pPr>
            <w:r>
              <w:rPr>
                <w:rFonts w:hint="eastAsia" w:ascii="Times New Roman" w:hAnsi="Times New Roman" w:eastAsia="仿宋_GB2312"/>
                <w:szCs w:val="21"/>
              </w:rPr>
              <w:t>表决权差异安排</w:t>
            </w:r>
          </w:p>
        </w:tc>
        <w:tc>
          <w:tcPr>
            <w:tcW w:w="3849" w:type="pct"/>
            <w:vAlign w:val="center"/>
          </w:tcPr>
          <w:p w14:paraId="5981BFAA">
            <w:pPr>
              <w:snapToGrid w:val="0"/>
              <w:spacing w:line="320" w:lineRule="exact"/>
              <w:ind w:firstLine="420" w:firstLineChars="200"/>
              <w:rPr>
                <w:rFonts w:ascii="Times New Roman" w:hAnsi="Times New Roman" w:eastAsia="仿宋_GB2312"/>
                <w:szCs w:val="21"/>
              </w:rPr>
            </w:pPr>
            <w:r>
              <w:rPr>
                <w:rFonts w:hint="eastAsia" w:ascii="Times New Roman" w:hAnsi="Times New Roman" w:eastAsia="仿宋_GB2312"/>
                <w:szCs w:val="21"/>
              </w:rPr>
              <w:t>在一般规定的普通股份之外，发行拥有特别表决权的股份。每一特别表决权股份拥有的表决权数量大于每一普通股份拥有的表决权数量。除上市公司章程规定的表决权差异外，普通股份与特别表决权股份具有的其他股东权利完全相同。</w:t>
            </w:r>
          </w:p>
        </w:tc>
      </w:tr>
      <w:tr w14:paraId="50106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51" w:type="pct"/>
            <w:vAlign w:val="center"/>
          </w:tcPr>
          <w:p w14:paraId="4407BD4B">
            <w:pPr>
              <w:snapToGrid w:val="0"/>
              <w:jc w:val="left"/>
              <w:rPr>
                <w:rFonts w:ascii="Times New Roman" w:hAnsi="Times New Roman" w:eastAsia="仿宋_GB2312"/>
                <w:szCs w:val="21"/>
              </w:rPr>
            </w:pPr>
            <w:r>
              <w:rPr>
                <w:rFonts w:hint="eastAsia" w:ascii="Times New Roman" w:hAnsi="Times New Roman" w:eastAsia="仿宋_GB2312"/>
                <w:szCs w:val="21"/>
              </w:rPr>
              <w:t>布莱克</w:t>
            </w:r>
            <w:r>
              <w:rPr>
                <w:rFonts w:ascii="Times New Roman" w:hAnsi="Times New Roman" w:eastAsia="仿宋_GB2312"/>
                <w:szCs w:val="21"/>
              </w:rPr>
              <w:t>-</w:t>
            </w:r>
            <w:r>
              <w:rPr>
                <w:rFonts w:hint="eastAsia" w:ascii="Times New Roman" w:hAnsi="Times New Roman" w:eastAsia="仿宋_GB2312"/>
                <w:szCs w:val="21"/>
              </w:rPr>
              <w:t>舒尔斯模型（</w:t>
            </w:r>
            <w:r>
              <w:rPr>
                <w:rFonts w:ascii="Times New Roman" w:hAnsi="Times New Roman" w:eastAsia="仿宋_GB2312"/>
                <w:szCs w:val="21"/>
              </w:rPr>
              <w:t>Black-Scholes</w:t>
            </w:r>
            <w:r>
              <w:rPr>
                <w:rFonts w:hint="eastAsia" w:ascii="Times New Roman" w:hAnsi="Times New Roman" w:eastAsia="仿宋_GB2312"/>
                <w:szCs w:val="21"/>
              </w:rPr>
              <w:t>　</w:t>
            </w:r>
            <w:r>
              <w:rPr>
                <w:rFonts w:ascii="Times New Roman" w:hAnsi="Times New Roman" w:eastAsia="仿宋_GB2312"/>
                <w:szCs w:val="21"/>
              </w:rPr>
              <w:t>Model</w:t>
            </w:r>
            <w:r>
              <w:rPr>
                <w:rFonts w:hint="eastAsia" w:ascii="Times New Roman" w:hAnsi="Times New Roman" w:eastAsia="仿宋_GB2312"/>
                <w:szCs w:val="21"/>
              </w:rPr>
              <w:t>）</w:t>
            </w:r>
          </w:p>
        </w:tc>
        <w:tc>
          <w:tcPr>
            <w:tcW w:w="3849" w:type="pct"/>
            <w:vAlign w:val="center"/>
          </w:tcPr>
          <w:p w14:paraId="4022684D">
            <w:pPr>
              <w:snapToGrid w:val="0"/>
              <w:spacing w:line="320" w:lineRule="exact"/>
              <w:ind w:firstLine="420" w:firstLineChars="200"/>
              <w:rPr>
                <w:rFonts w:ascii="Times New Roman" w:hAnsi="Times New Roman" w:eastAsia="仿宋_GB2312"/>
                <w:i/>
                <w:szCs w:val="21"/>
              </w:rPr>
            </w:pPr>
            <w:r>
              <w:rPr>
                <w:rFonts w:hint="eastAsia" w:ascii="Times New Roman" w:hAnsi="Times New Roman" w:eastAsia="仿宋_GB2312"/>
                <w:szCs w:val="21"/>
              </w:rPr>
              <w:t>简称</w:t>
            </w:r>
            <w:r>
              <w:rPr>
                <w:rFonts w:ascii="Times New Roman" w:hAnsi="Times New Roman" w:eastAsia="仿宋_GB2312"/>
                <w:szCs w:val="21"/>
              </w:rPr>
              <w:t>BS</w:t>
            </w:r>
            <w:r>
              <w:rPr>
                <w:rFonts w:hint="eastAsia" w:ascii="Times New Roman" w:hAnsi="Times New Roman" w:eastAsia="仿宋_GB2312"/>
                <w:szCs w:val="21"/>
              </w:rPr>
              <w:t>模型，根据该模型的假设和数学推断，欧式认购期权价格的计算公式为：</w:t>
            </w:r>
            <w:r>
              <w:rPr>
                <w:rFonts w:ascii="Times New Roman" w:hAnsi="Times New Roman" w:eastAsia="仿宋_GB2312"/>
                <w:i/>
                <w:szCs w:val="21"/>
              </w:rPr>
              <w:pict>
                <v:shape id="_x0000_i1040" o:spt="75" type="#_x0000_t75" style="height:12.35pt;width:114.55pt;" filled="f" o:preferrelative="t" stroked="f" coordsize="21600,21600"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50&quot;/&gt;&lt;w:characterSpacingControl w:val=&quot;CompressPunctuation&quot;/&gt;&lt;w:documentProtection w:enforcement=&quot;off&quot;/&gt;&lt;w:punctuationKerning/&gt;&lt;w:doNotEmbedSystemFonts/&gt;&lt;w:bordersDontSurroundHeader/&gt;&lt;w:bordersDontSurroundFooter/&gt;&lt;w:defaultTabStop w:val=&quot;420&quot;/&gt;&lt;w:drawingGridHorizontalSpacing w:val=&quot;103&quot;/&gt;&lt;w:drawingGridVerticalSpacing w:val=&quot;579&quot;/&gt;&lt;w:displayHorizontalDrawingGridEvery w:val=&quot;0&quot;/&gt;&lt;w:displayVerticalDrawingGridEvery w:val=&quot;1&quot;/&gt;&lt;w:evenAndOddHeaders w:val=&quot;1&quot;/&gt;&lt;w:compat&gt;&lt;w:adjustLineHeightInTable/&gt;&lt;w:ulTrailSpace/&gt;&lt;w:doNotExpandShiftReturn/&gt;&lt;w:balanceSingleByteDoubleByteWidth/&gt;&lt;w:useFELayout/&gt;&lt;w:spaceForUL/&gt;&lt;w:wrapTextWithPunct/&gt;&lt;w:breakWrappedTables/&gt;&lt;w:useAsianBreakRules/&gt;&lt;w:dontGrowAutofit/&gt;&lt;w:useFELayout/&gt;&lt;/w:compat&gt;&lt;/w:docPr&gt;&lt;w:body&gt;&lt;wx:sect&gt;&lt;w:p&gt;&lt;m:oMathPara&gt;&lt;m:oMath&gt;&lt;m:r&gt;&lt;m:rPr&gt;&lt;m:scr m:val=&quot;roman&quot;/&gt;&lt;/m:rPr&gt;&lt;w:rPr&gt;&lt;w:rFonts w:ascii=&quot;Cambria Math&quot; w:h-ansi=&quot;Cambria Math&quot; w:hint=&quot;default&quot;/&gt;&lt;w:sz-cs w:val=&quot;21&quot;/&gt;&lt;/w:rPr&gt;&lt;m:t&gt;C=SN&lt;/m:t&gt;&lt;/m:r&gt;&lt;m:d&gt;&lt;m:dPr&gt;&lt;m:ctrlPr&gt;&lt;w:rPr&gt;&lt;w:rFonts w:ascii=&quot;Cambria Math&quot; w:h-ansi=&quot;Cambria Math&quot; w:hint=&quot;default&quot;/&gt;&lt;w:i/&gt;&lt;w:sz-cs w:val=&quot;21&quot;/&gt;&lt;/w:rPr&gt;&lt;/m:ctrlPr&gt;&lt;/m:dPr&gt;&lt;m:e&gt;&lt;m:sSub&gt;&lt;m:sSubPr&gt;&lt;m:ctrlPr&gt;&lt;w:rPr&gt;&lt;w:rFonts w:ascii=&quot;Cambria Math&quot; w:h-ansi=&quot;Cambria Math&quot; w:hint=&quot;default&quot;/&gt;&lt;w:i/&gt;&lt;w:sz-cs w:val=&quot;21&quot;/&gt;&lt;/w:rPr&gt;&lt;/m:ctrlPr&gt;&lt;/m:sSubPr&gt;&lt;m:e&gt;&lt;m:r&gt;&lt;m:rPr&gt;&lt;m:scr m:val=&quot;roman&quot;/&gt;&lt;/m:rPr&gt;&lt;w:rPr&gt;&lt;w:rFonts w:ascii=&quot;Cambria Math&quot; w:h-ansi=&quot;Cambria Math&quot; w:hint=&quot;default&quot;/&gt;&lt;w:sz-cs w:val=&quot;21&quot;/&gt;&lt;/w:rPr&gt;&lt;m:t&gt;d&lt;/m:t&gt;&lt;/m:r&gt;&lt;m:ctrlPr&gt;&lt;w:rPr&gt;&lt;w:rFonts w:ascii=&quot;Cambria Math&quot; w:h-ansi=&quot;Cambria Math&quot; w:hint=&quot;default&quot;/&gt;&lt;w:i/&gt;&lt;w:sz-cs w:val=&quot;21&quot;/&gt;&lt;/w:rPr&gt;&lt;/m:ctrlPr&gt;&lt;/m:e&gt;&lt;m:sub&gt;&lt;m:r&gt;&lt;m:rPr&gt;&lt;m:scr m:val=&quot;roman&quot;/&gt;&lt;/m:rPr&gt;&lt;w:rPr&gt;&lt;w:rFonts w:ascii=&quot;Cambria Math&quot; w:h-ansi=&quot;Cambria Math&quot; w:hint=&quot;default&quot;/&gt;&lt;w:sz-cs w:val=&quot;21&quot;/&gt;&lt;/w:rPr&gt;&lt;m:t&gt;1&lt;/m:t&gt;&lt;/m:r&gt;&lt;m:ctrlPr&gt;&lt;w:rPr&gt;&lt;w:rFonts w:ascii=&quot;Cambria Math&quot; w:h-ansi=&quot;Cambria Math&quot; w:hint=&quot;default&quot;/&gt;&lt;w:i/&gt;&lt;w:sz-cs w:val=&quot;21&quot;/&gt;&lt;/w:rPr&gt;&lt;/m:ctrlPr&gt;&lt;/m:sub&gt;&lt;/m:sSub&gt;&lt;m:ctrlPr&gt;&lt;w:rPr&gt;&lt;w:rFonts w:ascii=&quot;Cambria Math&quot; w:h-ansi=&quot;Cambria Math&quot; w:hint=&quot;default&quot;/&gt;&lt;w:i/&gt;&lt;w:sz-cs w:val=&quot;21&quot;/&gt;&lt;/w:rPr&gt;&lt;/m:ctrlPr&gt;&lt;/m:e&gt;&lt;/m:d&gt;&lt;m:r&gt;&lt;m:rPr&gt;&lt;m:scr m:val=&quot;roman&quot;/&gt;&lt;/m:rPr&gt;&lt;w:rPr&gt;&lt;w:rFonts w:ascii=&quot;Cambria Math&quot; w:h-ansi=&quot;Cambria Math&quot; w:fareast=&quot;寰蒋闆呴粦&quot; w:hint=&quot;default&quot;/&gt;&lt;w:sz-cs w:val=&quot;21&quot;/&gt;&lt;/w:rPr&gt;&lt;m:t&gt;鈭?/m:t&gt;&lt;/m:r&gt;&lt;m:sSup&gt;&lt;m:sSupPr&gt;&lt;m:ctrlPr&gt;&lt;w:rPr&gt;&lt;w:rFonts w:ascii=&quot;Cambria Math&quot; w:h-ansi=&quot;Cambria Math&quot; w:hint=&quot;default&quot;/&gt;&lt;w:i/&gt;&lt;w:sz-cs w:vcii=&quot;Camii=&quot;Camii=&quot;Camii=&quot;Camii=&quot;Camii=&quot;Camal=&quot;21&quot;/&gt;&lt;/w:rPr&gt;&lt;/m:ctrlPr&gt;&lt;/m:sSupPr&gt;&lt;m:e&gt;&lt;m:r&gt;&lt;m:rPr&gt;&lt;m:scr m:val=&quot;roman&quot;/&gt;&lt;/m:rPr&gt;&lt;w:rPr&gt;&lt;w:rFonts w:ascii=&quot;Cambria Math&quot; w:h-ansi=&quot;Cambria Math&quot; w:hint=&quot;default&quot;/&gt;&lt;w:sz-cs w:val=&quot;21&quot;/&gt;&lt;/w:rPr&gt;&lt;m:t&gt;Xe&lt;/m:t&gt;&lt;/m:r&gt;&lt;m:ctrlPr&gt;&lt;w:rPr&gt;&lt;w:rFonts w:ascii=&quot;Cambria Math&quot; w:h-ansi=&quot;Cambria Math&quot; w:hint=&quot;default&quot;/&gt;&lt;w:i/&gt;&lt;w:sz-cs w:val=&quot;21&quot;/&gt;&lt;/w:rPr&gt;&lt;/m:ctrlPr&gt;&lt;/m:e&gt;&lt;m:sup&gt;&lt;m:r&gt;&lt;m:rPr&gt;&lt;m:scr m:val=&quot;roman&quot;/&gt;&lt;/m:rPr&gt;&lt;w:rPr&gt;&lt;w:rFonts w:ascii=&quot;Cambria Math&quot; w:h-ansi=&quot;Cambria Math&quot; w:fareast=&quot;寰?&gt;&lt;泤榛?rFont&quot; w:hin w:asct=&quot;defai=&quot;Camult&quot;/&gt;&lt;w:sz-cs w:val=&quot;21&quot;/&gt;&lt;/w:rPr&gt;&lt;m:t&gt;鈭?/m:t&gt;&lt;/m:r&gt;&lt;m:r&gt;&lt;m:rPr&gt;&lt;m:scr m:val=&quot;roman&quot;/&gt;&lt;/m:rPr&gt;&lt;w:rPr&gt;&lt;w:rFonts w:ascii=&quot;Cambria Math&quot; w:h-ansi=&quot;Cambria Math&quot; w:hint=&quot;default&quot;/&gt;&lt;w:sz-cs w:val=&quot;21&quot;/&gt;&lt;/th&quot; w:w:rPr&gt;&lt;areastm:t&gt;rt&lt;/寰?&gt;&lt;m:t&gt;&lt;/m:r&gt;&lt;m:tctrlPr&gt;&lt;w:rPrc&gt;&lt;w:rFonts wam:ascii=&quot;Cambria Math&quot; w:h-ansi=&quot;Cambria Math&quot; w:hint=&quot;default&quot;/&gt;&lt;w:i/&gt;&lt;w:sz-cs w:val=&quot;21&quot;/&gt;&lt;/w:rPr&gt;&lt;/m:ctrlPr&gt;&lt;/m:sup&gt;&lt;/m:sSup&gt;&lt;m:r&gt;&lt;m:rPr&gt;&lt;m:scr m:val=&quot;roman&quot;/&gt;&lt;/m:rPr&gt;&lt;w:rPr&gt;&lt;w:rFontsw: w:ascii=&quot;Camstbria Math&quot; w:h-ansi=&quot;Cambria Math&quot; w:hint=&quot;default&quot;/&gt;&lt;w:sz-cs w:val=&quot;21&quot;/&gt;&lt;/w:rPr&gt;&lt;m:t&gt;N(&lt;/m:t&gt;&lt;/m:r&gt;&lt;m:sSub&gt;&lt;m:sSubPr&gt;&lt;m:ctrlPr&gt;&lt;w:rPr&gt;&lt;w:rFonts w:ascii=&quot;Cambria Math&quot; w:h-ansi=&quot;Cambria Math&quot; w:hint=&quot;default&quot;/&gt;&lt;w:i/&gt;&lt;w:sz-cs w:val=&quot;21&quot;/&gt;&lt;/w:rPr&gt;&lt;/m:ctrlPr&gt;&lt;/m:sSubPr&gt;&lt;m:e&gt;&lt;m:r&gt;&lt;m:rPr&gt;&lt;m:scr m:val=&quot;roman&quot;/&gt;&lt;/m:rPr&gt;&lt;w:rPr&gt;&lt;w:rFonts w:ascii=&quot;Cambria Math&quot; w:h-ansi=&quot;Cambria Math&quot; w:hint=&quot;default&quot;/&gt;&lt;w:sz-cs w:val=&quot;21&quot;/&gt;&lt;/w:rPr&gt;&lt;m:t&gt;d&lt;/m:t&gt;&lt;/m:r&gt;&lt;m:ctrlPr&gt;&lt;w:rPr&gt;&lt;w:rFonts w:ascii=&quot;Cambria Math&quot; w:h-ansi=&quot;Cambria Math&quot; w:hint=&quot;default&quot;/&gt;&lt;w:i/&gt;&lt;w:sz-cs w:val=&quot;21&quot;/&gt;&lt;/w:rPr&gt;&lt;/m:ctrlPr&gt;&lt;/m:e&gt;&lt;m:sub&gt;&lt;m:r&gt;&lt;m:rPr&gt;&lt;m:scr m:val=&quot;roman&quot;/&gt;&lt;/m:rPr&gt;&lt;w:rPr&gt;&lt;w:rFonts w:ascii=&quot;Cambria Math&quot; w:h-ansi=&quot;Cambria Math&quot; w:hint=&quot;default&quot;/&gt;&lt;w:sz-cs w:val=&quot;21&quot;/&gt;&lt;/w:rPr&gt;&lt;m:t&gt;2&lt;/m:t&gt;&lt;/m:r&gt;&lt;m:ctrlPr&gt;&lt;w:rPr&gt;&lt;w:rFonts w:ascii=&quot;Cambria Math&quot; w:h-ansi=&quot;Cambria Math&quot; w:hint=&quot;default&quot;/&gt;&lt;w:i/&gt;&lt;w:sz-cs w:val=&quot;21&quot;/&gt;&lt;/w:rPr&gt;&lt;/m:ctrlPr&gt;&lt;/m:sub&gt;&lt;/m:sSub&gt;&lt;m:r&gt;&lt;m:rPr&gt;&lt;m:scr m:val=&quot;roman&quot;/&gt;&lt;/m:rPr&gt;&lt;w:rPr&gt;&lt;w:rFonts w:ascii=&quot;Cambria Math&quot; w:h-ansi=&quot;Cambria Math&quot; w:hint=&quot;default&quot;/&gt;&lt;w:sz-cs w:val=&quot;21&quot;/&gt;&lt;/w:rPr&gt;&lt;m:t&gt;)&lt;/m:t&gt;&lt;/m:r&gt;&lt;/m:oMath&gt;&lt;/m:oMathPara&gt;&lt;/w:p&gt;&lt;/wx:sect&gt;&lt;/w:body&gt;&lt;/w:wordDocument">
                  <v:path/>
                  <v:fill on="f" focussize="0,0"/>
                  <v:stroke on="f" joinstyle="miter"/>
                  <v:imagedata r:id="rId75" o:title=""/>
                  <o:lock v:ext="edit" aspectratio="f"/>
                  <w10:wrap type="none"/>
                  <w10:anchorlock/>
                </v:shape>
              </w:pict>
            </w:r>
          </w:p>
          <w:p w14:paraId="360B5DA6">
            <w:pPr>
              <w:snapToGrid w:val="0"/>
              <w:spacing w:line="320" w:lineRule="exact"/>
              <w:ind w:firstLine="420" w:firstLineChars="200"/>
              <w:rPr>
                <w:rFonts w:ascii="Times New Roman" w:hAnsi="Times New Roman" w:eastAsia="仿宋_GB2312"/>
                <w:szCs w:val="21"/>
              </w:rPr>
            </w:pPr>
            <w:r>
              <w:rPr>
                <w:rFonts w:hint="eastAsia" w:ascii="Times New Roman" w:hAnsi="Times New Roman" w:eastAsia="仿宋_GB2312"/>
                <w:szCs w:val="21"/>
              </w:rPr>
              <w:t>式中：</w:t>
            </w:r>
          </w:p>
          <w:p w14:paraId="03B943D9">
            <w:pPr>
              <w:snapToGrid w:val="0"/>
              <w:spacing w:line="320" w:lineRule="exact"/>
              <w:ind w:left="420" w:leftChars="200" w:firstLine="420" w:firstLineChars="200"/>
              <w:rPr>
                <w:rFonts w:ascii="Times New Roman" w:hAnsi="Times New Roman" w:eastAsia="仿宋_GB2312"/>
                <w:szCs w:val="21"/>
              </w:rPr>
            </w:pPr>
            <w:r>
              <w:rPr>
                <w:rFonts w:ascii="Times New Roman" w:hAnsi="Times New Roman" w:eastAsia="仿宋_GB2312"/>
                <w:szCs w:val="21"/>
              </w:rPr>
              <w:pict>
                <v:shape id="_x0000_i1041" o:spt="75" type="#_x0000_t75" style="height:12.35pt;width:6.15pt;" filled="f" o:preferrelative="t" stroked="f" coordsize="21600,21600"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50&quot;/&gt;&lt;w:characterSpacingControl w:val=&quot;CompressPunctuation&quot;/&gt;&lt;w:documentProtection w:enforcement=&quot;off&quot;/&gt;&lt;w:punctuationKerning/&gt;&lt;w:doNotEmbedSystemFonts/&gt;&lt;w:bordersDontSurroundHeader/&gt;&lt;w:bordersDontSurroundFooter/&gt;&lt;w:defaultTabStop w:val=&quot;420&quot;/&gt;&lt;w:drawingGridHorizontalSpacing w:val=&quot;103&quot;/&gt;&lt;w:drawingGridVerticalSpacing w:val=&quot;579&quot;/&gt;&lt;w:displayHorizontalDrawingGridEvery w:val=&quot;0&quot;/&gt;&lt;w:displayVerticalDrawingGridEvery w:val=&quot;1&quot;/&gt;&lt;w:evenAndOddHeaders w:val=&quot;1&quot;/&gt;&lt;w:compat&gt;&lt;w:adjustLineHeightInTable/&gt;&lt;w:ulTrailSpace/&gt;&lt;w:doNotExpandShiftReturn/&gt;&lt;w:balanceSingleByteDoubleByteWidth/&gt;&lt;w:useFELayout/&gt;&lt;w:spaceForUL/&gt;&lt;w:wrapTextWithPunct/&gt;&lt;w:breakWrappedTables/&gt;&lt;w:useAsianBreakRules/&gt;&lt;w:dontGrowAutofit/&gt;&lt;w:useFELayout/&gt;&lt;/w:compat&gt;&lt;/w:docPr&gt;&lt;w:body&gt;&lt;wx:sect&gt;&lt;w:p&gt;&lt;m:oMathPara&gt;&lt;m:oMath&gt;&lt;m:r&gt;&lt;m:rPr&gt;&lt;m:scr m:val=&quot;roman&quot;/&gt;&lt;/m:rPr&gt;&lt;w:rPr&gt;&lt;w:rFonts w:ascii=&quot;Cambria Math&quot; w:h-ansi=&quot;Cambria Math&quot; w:hint=&quot;default&quot;/&gt;&lt;w:sz-cs w:val=&quot;21&quot;/&gt;&lt;/w:rPr&gt;&lt;m:t&gt;C&lt;/m:t&gt;&lt;/m:r&gt;&lt;/m:oMath&gt;&lt;/m:oMathPara&gt;&lt;/w:p&gt;&lt;/wx:sect&gt;&lt;/w:body&gt;&lt;/w:wordDocument">
                  <v:path/>
                  <v:fill on="f" focussize="0,0"/>
                  <v:stroke on="f" joinstyle="miter"/>
                  <v:imagedata r:id="rId76" o:title=""/>
                  <o:lock v:ext="edit" aspectratio="f"/>
                  <w10:wrap type="none"/>
                  <w10:anchorlock/>
                </v:shape>
              </w:pict>
            </w:r>
            <w:r>
              <w:rPr>
                <w:rFonts w:hint="eastAsia" w:ascii="Times New Roman" w:hAnsi="Times New Roman" w:eastAsia="仿宋_GB2312"/>
                <w:szCs w:val="21"/>
              </w:rPr>
              <w:t>——看涨期权的当前价值；</w:t>
            </w:r>
          </w:p>
          <w:p w14:paraId="1E3F6995">
            <w:pPr>
              <w:snapToGrid w:val="0"/>
              <w:spacing w:line="320" w:lineRule="exact"/>
              <w:ind w:left="420" w:leftChars="200" w:firstLine="420" w:firstLineChars="200"/>
              <w:rPr>
                <w:rFonts w:ascii="Times New Roman" w:hAnsi="Times New Roman" w:eastAsia="仿宋_GB2312"/>
                <w:szCs w:val="21"/>
              </w:rPr>
            </w:pPr>
            <w:r>
              <w:rPr>
                <w:rFonts w:ascii="Times New Roman" w:hAnsi="Times New Roman" w:eastAsia="仿宋_GB2312"/>
                <w:szCs w:val="21"/>
              </w:rPr>
              <w:pict>
                <v:shape id="_x0000_i1042" o:spt="75" type="#_x0000_t75" style="height:12.35pt;width:6.4pt;" filled="f" o:preferrelative="t" stroked="f" coordsize="21600,21600"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50&quot;/&gt;&lt;w:characterSpacingControl w:val=&quot;CompressPunctuation&quot;/&gt;&lt;w:documentProtection w:enforcement=&quot;off&quot;/&gt;&lt;w:punctuationKerning/&gt;&lt;w:doNotEmbedSystemFonts/&gt;&lt;w:bordersDontSurroundHeader/&gt;&lt;w:bordersDontSurroundFooter/&gt;&lt;w:defaultTabStop w:val=&quot;420&quot;/&gt;&lt;w:drawingGridHorizontalSpacing w:val=&quot;103&quot;/&gt;&lt;w:drawingGridVerticalSpacing w:val=&quot;579&quot;/&gt;&lt;w:displayHorizontalDrawingGridEvery w:val=&quot;0&quot;/&gt;&lt;w:displayVerticalDrawingGridEvery w:val=&quot;1&quot;/&gt;&lt;w:evenAndOddHeaders w:val=&quot;1&quot;/&gt;&lt;w:compat&gt;&lt;w:adjustLineHeightInTable/&gt;&lt;w:ulTrailSpace/&gt;&lt;w:doNotExpandShiftReturn/&gt;&lt;w:balanceSingleByteDoubleByteWidth/&gt;&lt;w:useFELayout/&gt;&lt;w:spaceForUL/&gt;&lt;w:wrapTextWithPunct/&gt;&lt;w:breakWrappedTables/&gt;&lt;w:useAsianBreakRules/&gt;&lt;w:dontGrowAutofit/&gt;&lt;w:useFELayout/&gt;&lt;/w:compat&gt;&lt;/w:docPr&gt;&lt;w:body&gt;&lt;wx:sect&gt;&lt;w:p&gt;&lt;m:oMathPara&gt;&lt;m:oMath&gt;&lt;m:r&gt;&lt;m:rPr&gt;&lt;m:scr m:val=&quot;roman&quot;/&gt;&lt;/m:rPr&gt;&lt;w:rPr&gt;&lt;w:rFonts w:ascii=&quot;Cambria Math&quot; w:h-ansi=&quot;Cambria Math&quot; w:hint=&quot;default&quot;/&gt;&lt;w:sz-cs w:val=&quot;21&quot;/&gt;&lt;/w:rPr&gt;&lt;m:t&gt;P&lt;/m:t&gt;&lt;/m:r&gt;&lt;/m:oMath&gt;&lt;/m:oMathPara&gt;&lt;/w:p&gt;&lt;/wx:sect&gt;&lt;/w:body&gt;&lt;/w:wordDocument">
                  <v:path/>
                  <v:fill on="f" focussize="0,0"/>
                  <v:stroke on="f" joinstyle="miter"/>
                  <v:imagedata r:id="rId77" o:title=""/>
                  <o:lock v:ext="edit" aspectratio="f"/>
                  <w10:wrap type="none"/>
                  <w10:anchorlock/>
                </v:shape>
              </w:pict>
            </w:r>
            <w:r>
              <w:rPr>
                <w:rFonts w:hint="eastAsia" w:ascii="Times New Roman" w:hAnsi="Times New Roman" w:eastAsia="仿宋_GB2312"/>
                <w:szCs w:val="21"/>
              </w:rPr>
              <w:t>——看跌期权的当前价值；</w:t>
            </w:r>
          </w:p>
          <w:p w14:paraId="1F0CDBD9">
            <w:pPr>
              <w:snapToGrid w:val="0"/>
              <w:spacing w:line="320" w:lineRule="exact"/>
              <w:ind w:left="420" w:leftChars="200" w:firstLine="420" w:firstLineChars="200"/>
              <w:rPr>
                <w:rFonts w:ascii="Times New Roman" w:hAnsi="Times New Roman" w:eastAsia="仿宋_GB2312"/>
                <w:szCs w:val="21"/>
              </w:rPr>
            </w:pPr>
            <w:r>
              <w:rPr>
                <w:rFonts w:ascii="Times New Roman" w:hAnsi="Times New Roman" w:eastAsia="仿宋_GB2312"/>
                <w:szCs w:val="21"/>
              </w:rPr>
              <w:pict>
                <v:shape id="_x0000_i1043" o:spt="75" type="#_x0000_t75" style="height:12.35pt;width:6.65pt;" filled="f" o:preferrelative="t" stroked="f" coordsize="21600,21600"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50&quot;/&gt;&lt;w:characterSpacingControl w:val=&quot;CompressPunctuation&quot;/&gt;&lt;w:documentProtection w:enforcement=&quot;off&quot;/&gt;&lt;w:punctuationKerning/&gt;&lt;w:doNotEmbedSystemFonts/&gt;&lt;w:bordersDontSurroundHeader/&gt;&lt;w:bordersDontSurroundFooter/&gt;&lt;w:defaultTabStop w:val=&quot;420&quot;/&gt;&lt;w:drawingGridHorizontalSpacing w:val=&quot;103&quot;/&gt;&lt;w:drawingGridVerticalSpacing w:val=&quot;579&quot;/&gt;&lt;w:displayHorizontalDrawingGridEvery w:val=&quot;0&quot;/&gt;&lt;w:displayVerticalDrawingGridEvery w:val=&quot;1&quot;/&gt;&lt;w:evenAndOddHeaders w:val=&quot;1&quot;/&gt;&lt;w:compat&gt;&lt;w:adjustLineHeightInTable/&gt;&lt;w:ulTrailSpace/&gt;&lt;w:doNotExpandShiftReturn/&gt;&lt;w:balanceSingleByteDoubleByteWidth/&gt;&lt;w:useFELayout/&gt;&lt;w:spaceForUL/&gt;&lt;w:wrapTextWithPunct/&gt;&lt;w:breakWrappedTables/&gt;&lt;w:useAsianBreakRules/&gt;&lt;w:dontGrowAutofit/&gt;&lt;w:useFELayout/&gt;&lt;/w:compat&gt;&lt;/w:docPr&gt;&lt;w:body&gt;&lt;wx:sect&gt;&lt;w:p&gt;&lt;m:oMathPara&gt;&lt;m:oMath&gt;&lt;m:r&gt;&lt;m:rPr&gt;&lt;m:scr m:val=&quot;roman&quot;/&gt;&lt;/m:rPr&gt;&lt;w:rPr&gt;&lt;w:rFonts w:ascii=&quot;Cambria Math&quot; w:h-ansi=&quot;Cambria Math&quot; w:hint=&quot;default&quot;/&gt;&lt;w:sz-cs w:val=&quot;21&quot;/&gt;&lt;/w:rPr&gt;&lt;m:t&gt;X&lt;/m:t&gt;&lt;/m:r&gt;&lt;/m:oMath&gt;&lt;/m:oMathPara&gt;&lt;/w:p&gt;&lt;/wx:sect&gt;&lt;/w:body&gt;&lt;/w:wordDocument">
                  <v:path/>
                  <v:fill on="f" focussize="0,0"/>
                  <v:stroke on="f" joinstyle="miter"/>
                  <v:imagedata r:id="rId78" o:title=""/>
                  <o:lock v:ext="edit" aspectratio="f"/>
                  <w10:wrap type="none"/>
                  <w10:anchorlock/>
                </v:shape>
              </w:pict>
            </w:r>
            <w:r>
              <w:rPr>
                <w:rFonts w:hint="eastAsia" w:ascii="Times New Roman" w:hAnsi="Times New Roman" w:eastAsia="仿宋_GB2312"/>
                <w:szCs w:val="21"/>
              </w:rPr>
              <w:t>——期权的执行价格；</w:t>
            </w:r>
          </w:p>
          <w:p w14:paraId="6F4BB7BC">
            <w:pPr>
              <w:snapToGrid w:val="0"/>
              <w:spacing w:line="320" w:lineRule="exact"/>
              <w:ind w:left="420" w:leftChars="200" w:firstLine="420" w:firstLineChars="200"/>
              <w:rPr>
                <w:rFonts w:ascii="Times New Roman" w:hAnsi="Times New Roman" w:eastAsia="仿宋_GB2312"/>
                <w:szCs w:val="21"/>
              </w:rPr>
            </w:pPr>
            <w:r>
              <w:rPr>
                <w:rFonts w:ascii="Times New Roman" w:hAnsi="Times New Roman" w:eastAsia="仿宋_GB2312"/>
                <w:szCs w:val="21"/>
              </w:rPr>
              <w:pict>
                <v:shape id="_x0000_i1044" o:spt="75" type="#_x0000_t75" style="height:12.35pt;width:5.4pt;" filled="f" o:preferrelative="t" stroked="f" coordsize="21600,21600"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50&quot;/&gt;&lt;w:characterSpacingControl w:val=&quot;CompressPunctuation&quot;/&gt;&lt;w:documentProtection w:enforcement=&quot;off&quot;/&gt;&lt;w:punctuationKerning/&gt;&lt;w:doNotEmbedSystemFonts/&gt;&lt;w:bordersDontSurroundHeader/&gt;&lt;w:bordersDontSurroundFooter/&gt;&lt;w:defaultTabStop w:val=&quot;420&quot;/&gt;&lt;w:drawingGridHorizontalSpacing w:val=&quot;103&quot;/&gt;&lt;w:drawingGridVerticalSpacing w:val=&quot;579&quot;/&gt;&lt;w:displayHorizontalDrawingGridEvery w:val=&quot;0&quot;/&gt;&lt;w:displayVerticalDrawingGridEvery w:val=&quot;1&quot;/&gt;&lt;w:evenAndOddHeaders w:val=&quot;1&quot;/&gt;&lt;w:compat&gt;&lt;w:adjustLineHeightInTable/&gt;&lt;w:ulTrailSpace/&gt;&lt;w:doNotExpandShiftReturn/&gt;&lt;w:balanceSingleByteDoubleByteWidth/&gt;&lt;w:useFELayout/&gt;&lt;w:spaceForUL/&gt;&lt;w:wrapTextWithPunct/&gt;&lt;w:breakWrappedTables/&gt;&lt;w:useAsianBreakRules/&gt;&lt;w:dontGrowAutofit/&gt;&lt;w:useFELayout/&gt;&lt;/w:compat&gt;&lt;/w:docPr&gt;&lt;w:body&gt;&lt;wx:sect&gt;&lt;w:p&gt;&lt;m:oMathPara&gt;&lt;m:oMath&gt;&lt;m:r&gt;&lt;m:rPr&gt;&lt;m:scr m:val=&quot;roman&quot;/&gt;&lt;/m:rPr&gt;&lt;w:rPr&gt;&lt;w:rFonts w:ascii=&quot;Cambria Math&quot; w:h-ansi=&quot;Cambria Math&quot; w:hint=&quot;default&quot;/&gt;&lt;w:sz-cs w:val=&quot;21&quot;/&gt;&lt;/w:rPr&gt;&lt;m:t&gt;S&lt;/m:t&gt;&lt;/m:r&gt;&lt;/m:oMath&gt;&lt;/m:oMathPara&gt;&lt;/w:p&gt;&lt;/wx:sect&gt;&lt;/w:body&gt;&lt;/w:wordDocument">
                  <v:path/>
                  <v:fill on="f" focussize="0,0"/>
                  <v:stroke on="f" joinstyle="miter"/>
                  <v:imagedata r:id="rId79" o:title=""/>
                  <o:lock v:ext="edit" aspectratio="f"/>
                  <w10:wrap type="none"/>
                  <w10:anchorlock/>
                </v:shape>
              </w:pict>
            </w:r>
            <w:r>
              <w:rPr>
                <w:rFonts w:hint="eastAsia" w:ascii="Times New Roman" w:hAnsi="Times New Roman" w:eastAsia="仿宋_GB2312"/>
                <w:szCs w:val="21"/>
              </w:rPr>
              <w:t>——标的股票的当前价格；</w:t>
            </w:r>
          </w:p>
          <w:p w14:paraId="3D39D3FD">
            <w:pPr>
              <w:snapToGrid w:val="0"/>
              <w:spacing w:line="320" w:lineRule="exact"/>
              <w:ind w:left="420" w:leftChars="200" w:firstLine="420" w:firstLineChars="200"/>
              <w:rPr>
                <w:rFonts w:ascii="Times New Roman" w:hAnsi="Times New Roman" w:eastAsia="仿宋_GB2312"/>
                <w:szCs w:val="21"/>
              </w:rPr>
            </w:pPr>
            <w:r>
              <w:rPr>
                <w:rFonts w:ascii="Times New Roman" w:hAnsi="Times New Roman" w:eastAsia="仿宋_GB2312"/>
                <w:szCs w:val="21"/>
              </w:rPr>
              <w:pict>
                <v:shape id="_x0000_i1045" o:spt="75" type="#_x0000_t75" style="height:12.35pt;width:4pt;" filled="f" o:preferrelative="t" stroked="f" coordsize="21600,21600"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50&quot;/&gt;&lt;w:characterSpacingControl w:val=&quot;CompressPunctuation&quot;/&gt;&lt;w:documentProtection w:enforcement=&quot;off&quot;/&gt;&lt;w:punctuationKerning/&gt;&lt;w:doNotEmbedSystemFonts/&gt;&lt;w:bordersDontSurroundHeader/&gt;&lt;w:bordersDontSurroundFooter/&gt;&lt;w:defaultTabStop w:val=&quot;420&quot;/&gt;&lt;w:drawingGridHorizontalSpacing w:val=&quot;103&quot;/&gt;&lt;w:drawingGridVerticalSpacing w:val=&quot;579&quot;/&gt;&lt;w:displayHorizontalDrawingGridEvery w:val=&quot;0&quot;/&gt;&lt;w:displayVerticalDrawingGridEvery w:val=&quot;1&quot;/&gt;&lt;w:evenAndOddHeaders w:val=&quot;1&quot;/&gt;&lt;w:compat&gt;&lt;w:adjustLineHeightInTable/&gt;&lt;w:ulTrailSpace/&gt;&lt;w:doNotExpandShiftReturn/&gt;&lt;w:balanceSingleByteDoubleByteWidth/&gt;&lt;w:useFELayout/&gt;&lt;w:spaceForUL/&gt;&lt;w:wrapTextWithPunct/&gt;&lt;w:breakWrappedTables/&gt;&lt;w:useAsianBreakRules/&gt;&lt;w:dontGrowAutofit/&gt;&lt;w:useFELayout/&gt;&lt;/w:compat&gt;&lt;/w:docPr&gt;&lt;w:body&gt;&lt;wx:sect&gt;&lt;w:p&gt;&lt;m:oMathPara&gt;&lt;m:oMath&gt;&lt;m:r&gt;&lt;m:rPr&gt;&lt;m:scr m:val=&quot;roman&quot;/&gt;&lt;/m:rPr&gt;&lt;w:rPr&gt;&lt;w:rFonts w:ascii=&quot;Cambria Math&quot; w:h-ansi=&quot;Cambria Math&quot; w:hint=&quot;default&quot;/&gt;&lt;w:sz-cs w:val=&quot;21&quot;/&gt;&lt;/w:rPr&gt;&lt;m:t&gt;t&lt;/m:t&gt;&lt;/m:r&gt;&lt;/m:oMath&gt;&lt;/m:oMathPara&gt;&lt;/w:p&gt;&lt;/wx:sect&gt;&lt;/w:body&gt;&lt;/w:wordDocument">
                  <v:path/>
                  <v:fill on="f" focussize="0,0"/>
                  <v:stroke on="f" joinstyle="miter"/>
                  <v:imagedata r:id="rId80" o:title=""/>
                  <o:lock v:ext="edit" aspectratio="f"/>
                  <w10:wrap type="none"/>
                  <w10:anchorlock/>
                </v:shape>
              </w:pict>
            </w:r>
            <w:r>
              <w:rPr>
                <w:rFonts w:hint="eastAsia" w:ascii="Times New Roman" w:hAnsi="Times New Roman" w:eastAsia="仿宋_GB2312"/>
                <w:szCs w:val="21"/>
              </w:rPr>
              <w:t>——期权到期日前的时间（年）；</w:t>
            </w:r>
          </w:p>
          <w:p w14:paraId="54623B6B">
            <w:pPr>
              <w:snapToGrid w:val="0"/>
              <w:spacing w:line="320" w:lineRule="exact"/>
              <w:ind w:left="420" w:leftChars="200" w:firstLine="420" w:firstLineChars="200"/>
              <w:rPr>
                <w:rFonts w:ascii="Times New Roman" w:hAnsi="Times New Roman" w:eastAsia="仿宋_GB2312"/>
                <w:szCs w:val="21"/>
              </w:rPr>
            </w:pPr>
            <w:r>
              <w:rPr>
                <w:rFonts w:ascii="Times New Roman" w:hAnsi="Times New Roman" w:eastAsia="仿宋_GB2312"/>
                <w:szCs w:val="21"/>
              </w:rPr>
              <w:pict>
                <v:shape id="_x0000_i1046" o:spt="75" type="#_x0000_t75" style="height:12.35pt;width:4.85pt;" filled="f" o:preferrelative="t" stroked="f" coordsize="21600,21600"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50&quot;/&gt;&lt;w:characterSpacingControl w:val=&quot;CompressPunctuation&quot;/&gt;&lt;w:documentProtection w:enforcement=&quot;off&quot;/&gt;&lt;w:punctuationKerning/&gt;&lt;w:doNotEmbedSystemFonts/&gt;&lt;w:bordersDontSurroundHeader/&gt;&lt;w:bordersDontSurroundFooter/&gt;&lt;w:defaultTabStop w:val=&quot;420&quot;/&gt;&lt;w:drawingGridHorizontalSpacing w:val=&quot;103&quot;/&gt;&lt;w:drawingGridVerticalSpacing w:val=&quot;579&quot;/&gt;&lt;w:displayHorizontalDrawingGridEvery w:val=&quot;0&quot;/&gt;&lt;w:displayVerticalDrawingGridEvery w:val=&quot;1&quot;/&gt;&lt;w:evenAndOddHeaders w:val=&quot;1&quot;/&gt;&lt;w:compat&gt;&lt;w:adjustLineHeightInTable/&gt;&lt;w:ulTrailSpace/&gt;&lt;w:doNotExpandShiftReturn/&gt;&lt;w:balanceSingleByteDoubleByteWidth/&gt;&lt;w:useFELayout/&gt;&lt;w:spaceForUL/&gt;&lt;w:wrapTextWithPunct/&gt;&lt;w:breakWrappedTables/&gt;&lt;w:useAsianBreakRules/&gt;&lt;w:dontGrowAutofit/&gt;&lt;w:useFELayout/&gt;&lt;/w:compat&gt;&lt;/w:docPr&gt;&lt;w:body&gt;&lt;wx:sect&gt;&lt;w:p&gt;&lt;m:oMathPara&gt;&lt;m:oMath&gt;&lt;m:r&gt;&lt;m:rPr&gt;&lt;m:scr m:val=&quot;roman&quot;/&gt;&lt;/m:rPr&gt;&lt;w:rPr&gt;&lt;w:rFonts w:ascii=&quot;Cambria Math&quot; w:h-ansi=&quot;Cambria Math&quot; w:hint=&quot;default&quot;/&gt;&lt;w:sz-cs w:val=&quot;21&quot;/&gt;&lt;/w:rPr&gt;&lt;m:t&gt;r&lt;/m:t&gt;&lt;/m:r&gt;&lt;/m:oMath&gt;&lt;/m:oMathPara&gt;&lt;/w:p&gt;&lt;/wx:sect&gt;&lt;/w:body&gt;&lt;/w:wordDocument">
                  <v:path/>
                  <v:fill on="f" focussize="0,0"/>
                  <v:stroke on="f" joinstyle="miter"/>
                  <v:imagedata r:id="rId81" o:title=""/>
                  <o:lock v:ext="edit" aspectratio="f"/>
                  <w10:wrap type="none"/>
                  <w10:anchorlock/>
                </v:shape>
              </w:pict>
            </w:r>
            <w:r>
              <w:rPr>
                <w:rFonts w:hint="eastAsia" w:ascii="Times New Roman" w:hAnsi="Times New Roman" w:eastAsia="仿宋_GB2312"/>
                <w:szCs w:val="21"/>
              </w:rPr>
              <w:t>——连续复利的年度无风险利率；</w:t>
            </w:r>
          </w:p>
          <w:p w14:paraId="6E5080B4">
            <w:pPr>
              <w:snapToGrid w:val="0"/>
              <w:spacing w:line="320" w:lineRule="exact"/>
              <w:ind w:left="420" w:leftChars="200" w:firstLine="420" w:firstLineChars="200"/>
              <w:rPr>
                <w:rFonts w:ascii="Times New Roman" w:hAnsi="Times New Roman" w:eastAsia="仿宋_GB2312"/>
                <w:szCs w:val="21"/>
              </w:rPr>
            </w:pPr>
            <w:r>
              <w:rPr>
                <w:rFonts w:ascii="Times New Roman" w:hAnsi="Times New Roman" w:eastAsia="仿宋_GB2312"/>
                <w:szCs w:val="21"/>
              </w:rPr>
              <w:pict>
                <v:shape id="_x0000_i1047" o:spt="75" type="#_x0000_t75" style="height:12.35pt;width:22.05pt;" filled="f" o:preferrelative="t" stroked="f" coordsize="21600,21600"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50&quot;/&gt;&lt;w:characterSpacingControl w:val=&quot;CompressPunctuation&quot;/&gt;&lt;w:documentProtection w:enforcement=&quot;off&quot;/&gt;&lt;w:punctuationKerning/&gt;&lt;w:doNotEmbedSystemFonts/&gt;&lt;w:bordersDontSurroundHeader/&gt;&lt;w:bordersDontSurroundFooter/&gt;&lt;w:defaultTabStop w:val=&quot;420&quot;/&gt;&lt;w:drawingGridHorizontalSpacing w:val=&quot;103&quot;/&gt;&lt;w:drawingGridVerticalSpacing w:val=&quot;579&quot;/&gt;&lt;w:displayHorizontalDrawingGridEvery w:val=&quot;0&quot;/&gt;&lt;w:displayVerticalDrawingGridEvery w:val=&quot;1&quot;/&gt;&lt;w:evenAndOddHeaders w:val=&quot;1&quot;/&gt;&lt;w:compat&gt;&lt;w:adjustLineHeightInTable/&gt;&lt;w:ulTrailSpace/&gt;&lt;w:doNotExpandShiftReturn/&gt;&lt;w:balanceSingleByteDoubleByteWidth/&gt;&lt;w:useFELayout/&gt;&lt;w:spaceForUL/&gt;&lt;w:wrapTextWithPunct/&gt;&lt;w:breakWrappedTables/&gt;&lt;w:useAsianBreakRules/&gt;&lt;w:dontGrowAutofit/&gt;&lt;w:useFELayout/&gt;&lt;/w:compat&gt;&lt;/w:docPr&gt;&lt;w:body&gt;&lt;wx:sect&gt;&lt;w:p&gt;&lt;m:oMathPara&gt;&lt;m:oMath&gt;&lt;m:r&gt;&lt;m:rPr&gt;&lt;m:scr m:val=&quot;roman&quot;/&gt;&lt;/m:rPr&gt;&lt;w:rPr&gt;&lt;w:rFonts w:ascii=&quot;Cambria Math&quot; w:h-ansi=&quot;Cambria Math&quot; w:hint=&quot;default&quot;/&gt;&lt;w:sz-cs w:val=&quot;21&quot;/&gt;&lt;/w:rPr&gt;&lt;m:t&gt;N(d)&lt;/m:t&gt;&lt;/m:r&gt;&lt;/m:oMath&gt;&lt;/m:oMathPara&gt;&lt;/w:p&gt;&lt;/wx:sect&gt;&lt;/w:body&gt;&lt;/w:wordDocument">
                  <v:path/>
                  <v:fill on="f" focussize="0,0"/>
                  <v:stroke on="f" joinstyle="miter"/>
                  <v:imagedata r:id="rId82" o:title=""/>
                  <o:lock v:ext="edit" aspectratio="f"/>
                  <w10:wrap type="none"/>
                  <w10:anchorlock/>
                </v:shape>
              </w:pict>
            </w:r>
            <w:r>
              <w:rPr>
                <w:rFonts w:hint="eastAsia" w:ascii="Times New Roman" w:hAnsi="Times New Roman" w:eastAsia="仿宋_GB2312"/>
                <w:szCs w:val="21"/>
              </w:rPr>
              <w:t>——标准正态分布中离差小于</w:t>
            </w:r>
            <w:r>
              <w:rPr>
                <w:rFonts w:ascii="Times New Roman" w:hAnsi="Times New Roman" w:eastAsia="仿宋_GB2312"/>
                <w:szCs w:val="21"/>
              </w:rPr>
              <w:pict>
                <v:shape id="_x0000_i1048" o:spt="75" type="#_x0000_t75" style="height:12.35pt;width:5.95pt;" filled="f" o:preferrelative="t" stroked="f" coordsize="21600,21600"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50&quot;/&gt;&lt;w:characterSpacingControl w:val=&quot;CompressPunctuation&quot;/&gt;&lt;w:documentProtection w:enforcement=&quot;off&quot;/&gt;&lt;w:punctuationKerning/&gt;&lt;w:doNotEmbedSystemFonts/&gt;&lt;w:bordersDontSurroundHeader/&gt;&lt;w:bordersDontSurroundFooter/&gt;&lt;w:defaultTabStop w:val=&quot;420&quot;/&gt;&lt;w:drawingGridHorizontalSpacing w:val=&quot;103&quot;/&gt;&lt;w:drawingGridVerticalSpacing w:val=&quot;579&quot;/&gt;&lt;w:displayHorizontalDrawingGridEvery w:val=&quot;0&quot;/&gt;&lt;w:displayVerticalDrawingGridEvery w:val=&quot;1&quot;/&gt;&lt;w:evenAndOddHeaders w:val=&quot;1&quot;/&gt;&lt;w:compat&gt;&lt;w:adjustLineHeightInTable/&gt;&lt;w:ulTrailSpace/&gt;&lt;w:doNotExpandShiftReturn/&gt;&lt;w:balanceSingleByteDoubleByteWidth/&gt;&lt;w:useFELayout/&gt;&lt;w:spaceForUL/&gt;&lt;w:wrapTextWithPunct/&gt;&lt;w:breakWrappedTables/&gt;&lt;w:useAsianBreakRules/&gt;&lt;w:dontGrowAutofit/&gt;&lt;w:useFELayout/&gt;&lt;/w:compat&gt;&lt;/w:docPr&gt;&lt;w:body&gt;&lt;wx:sect&gt;&lt;w:p&gt;&lt;m:oMathPara&gt;&lt;m:oMath&gt;&lt;m:r&gt;&lt;m:rPr&gt;&lt;m:scr m:val=&quot;roman&quot;/&gt;&lt;/m:rPr&gt;&lt;w:rPr&gt;&lt;w:rFonts w:ascii=&quot;Cambria Math&quot; w:h-ansi=&quot;Cambria Math&quot; w:hint=&quot;default&quot;/&gt;&lt;w:sz-cs w:val=&quot;21&quot;/&gt;&lt;/w:rPr&gt;&lt;m:t&gt;d&lt;/m:t&gt;&lt;/m:r&gt;&lt;/m:oMath&gt;&lt;/m:oMathPara&gt;&lt;/w:p&gt;&lt;/wx:sect&gt;&lt;/w:body&gt;&lt;/w:wordDocument">
                  <v:path/>
                  <v:fill on="f" focussize="0,0"/>
                  <v:stroke on="f" joinstyle="miter"/>
                  <v:imagedata r:id="rId83" o:title=""/>
                  <o:lock v:ext="edit" aspectratio="f"/>
                  <w10:wrap type="none"/>
                  <w10:anchorlock/>
                </v:shape>
              </w:pict>
            </w:r>
            <w:r>
              <w:rPr>
                <w:rFonts w:hint="eastAsia" w:ascii="Times New Roman" w:hAnsi="Times New Roman" w:eastAsia="仿宋_GB2312"/>
                <w:szCs w:val="21"/>
              </w:rPr>
              <w:t>的概率；</w:t>
            </w:r>
          </w:p>
          <w:p w14:paraId="74033262">
            <w:pPr>
              <w:snapToGrid w:val="0"/>
              <w:spacing w:line="320" w:lineRule="exact"/>
              <w:ind w:firstLine="840" w:firstLineChars="400"/>
              <w:rPr>
                <w:rFonts w:ascii="Times New Roman" w:hAnsi="Times New Roman" w:eastAsia="仿宋_GB2312"/>
                <w:szCs w:val="21"/>
              </w:rPr>
            </w:pPr>
            <w:r>
              <w:rPr>
                <w:rFonts w:ascii="Times New Roman" w:hAnsi="Times New Roman" w:eastAsia="仿宋_GB2312"/>
                <w:szCs w:val="21"/>
              </w:rPr>
              <w:pict>
                <v:shape id="_x0000_i1049" o:spt="75" type="#_x0000_t75" style="height:12.35pt;width:5.1pt;" filled="f" o:preferrelative="t" stroked="f" coordsize="21600,21600"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50&quot;/&gt;&lt;w:characterSpacingControl w:val=&quot;CompressPunctuation&quot;/&gt;&lt;w:documentProtection w:enforcement=&quot;off&quot;/&gt;&lt;w:punctuationKerning/&gt;&lt;w:doNotEmbedSystemFonts/&gt;&lt;w:bordersDontSurroundHeader/&gt;&lt;w:bordersDontSurroundFooter/&gt;&lt;w:defaultTabStop w:val=&quot;420&quot;/&gt;&lt;w:drawingGridHorizontalSpacing w:val=&quot;103&quot;/&gt;&lt;w:drawingGridVerticalSpacing w:val=&quot;579&quot;/&gt;&lt;w:displayHorizontalDrawingGridEvery w:val=&quot;0&quot;/&gt;&lt;w:displayVerticalDrawingGridEvery w:val=&quot;1&quot;/&gt;&lt;w:evenAndOddHeaders w:val=&quot;1&quot;/&gt;&lt;w:compat&gt;&lt;w:adjustLineHeightInTable/&gt;&lt;w:ulTrailSpace/&gt;&lt;w:doNotExpandShiftReturn/&gt;&lt;w:balanceSingleByteDoubleByteWidth/&gt;&lt;w:useFELayout/&gt;&lt;w:spaceForUL/&gt;&lt;w:wrapTextWithPunct/&gt;&lt;w:breakWrappedTables/&gt;&lt;w:useAsianBreakRules/&gt;&lt;w:dontGrowAutofit/&gt;&lt;w:useFELayout/&gt;&lt;/w:compat&gt;&lt;/w:docPr&gt;&lt;w:body&gt;&lt;wx:sect&gt;&lt;w:p&gt;&lt;m:oMathPara&gt;&lt;m:oMath&gt;&lt;m:r&gt;&lt;m:rPr&gt;&lt;m:scr m:val=&quot;roman&quot;/&gt;&lt;/m:rPr&gt;&lt;w:rPr&gt;&lt;w:rFonts w:ascii=&quot;Cambria Math&quot; w:h-ansi=&quot;Cambria Math&quot; w:hint=&quot;default&quot;/&gt;&lt;w:sz-cs w:val=&quot;21&quot;/&gt;&lt;/w:rPr&gt;&lt;m:t&gt;e&lt;/m:t&gt;&lt;/m:r&gt;&lt;/m:oMath&gt;&lt;/m:oMathPara&gt;&lt;/w:p&gt;&lt;/wx:sect&gt;&lt;/w:body&gt;&lt;/w:wordDocument">
                  <v:path/>
                  <v:fill on="f" focussize="0,0"/>
                  <v:stroke on="f" joinstyle="miter"/>
                  <v:imagedata r:id="rId84" o:title=""/>
                  <o:lock v:ext="edit" aspectratio="f"/>
                  <w10:wrap type="none"/>
                  <w10:anchorlock/>
                </v:shape>
              </w:pict>
            </w:r>
            <w:r>
              <w:rPr>
                <w:rFonts w:hint="eastAsia" w:ascii="Times New Roman" w:hAnsi="Times New Roman" w:eastAsia="仿宋_GB2312"/>
                <w:szCs w:val="21"/>
              </w:rPr>
              <w:t>——自然对数的底数，约等于</w:t>
            </w:r>
            <w:r>
              <w:rPr>
                <w:rFonts w:ascii="Times New Roman" w:hAnsi="Times New Roman" w:eastAsia="仿宋_GB2312"/>
                <w:szCs w:val="21"/>
              </w:rPr>
              <w:t>2.7183</w:t>
            </w:r>
            <w:r>
              <w:rPr>
                <w:rFonts w:hint="eastAsia" w:ascii="Times New Roman" w:hAnsi="Times New Roman" w:eastAsia="仿宋_GB2312"/>
                <w:szCs w:val="21"/>
              </w:rPr>
              <w:t>。</w:t>
            </w:r>
          </w:p>
        </w:tc>
      </w:tr>
      <w:tr w14:paraId="4E364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51" w:type="pct"/>
            <w:vAlign w:val="center"/>
          </w:tcPr>
          <w:p w14:paraId="5958E916">
            <w:pPr>
              <w:snapToGrid w:val="0"/>
              <w:jc w:val="left"/>
              <w:rPr>
                <w:rFonts w:ascii="Times New Roman" w:hAnsi="Times New Roman" w:eastAsia="仿宋_GB2312"/>
                <w:szCs w:val="21"/>
              </w:rPr>
            </w:pPr>
            <w:r>
              <w:rPr>
                <w:rFonts w:hint="eastAsia" w:ascii="Times New Roman" w:hAnsi="Times New Roman" w:eastAsia="仿宋_GB2312"/>
                <w:szCs w:val="21"/>
              </w:rPr>
              <w:t>二叉树模型（</w:t>
            </w:r>
            <w:r>
              <w:rPr>
                <w:rFonts w:ascii="Times New Roman" w:hAnsi="Times New Roman" w:eastAsia="仿宋_GB2312"/>
                <w:szCs w:val="21"/>
              </w:rPr>
              <w:t>Binomial</w:t>
            </w:r>
            <w:r>
              <w:rPr>
                <w:rFonts w:hint="eastAsia" w:ascii="Times New Roman" w:hAnsi="Times New Roman" w:eastAsia="仿宋_GB2312"/>
                <w:szCs w:val="21"/>
              </w:rPr>
              <w:t>　</w:t>
            </w:r>
            <w:r>
              <w:rPr>
                <w:rFonts w:ascii="Times New Roman" w:hAnsi="Times New Roman" w:eastAsia="仿宋_GB2312"/>
                <w:szCs w:val="21"/>
              </w:rPr>
              <w:t>Tree</w:t>
            </w:r>
            <w:r>
              <w:rPr>
                <w:rFonts w:hint="eastAsia" w:ascii="Times New Roman" w:hAnsi="Times New Roman" w:eastAsia="仿宋_GB2312"/>
                <w:szCs w:val="21"/>
              </w:rPr>
              <w:t>　</w:t>
            </w:r>
            <w:r>
              <w:rPr>
                <w:rFonts w:ascii="Times New Roman" w:hAnsi="Times New Roman" w:eastAsia="仿宋_GB2312"/>
                <w:szCs w:val="21"/>
              </w:rPr>
              <w:t>Model</w:t>
            </w:r>
            <w:r>
              <w:rPr>
                <w:rFonts w:hint="eastAsia" w:ascii="Times New Roman" w:hAnsi="Times New Roman" w:eastAsia="仿宋_GB2312"/>
                <w:szCs w:val="21"/>
              </w:rPr>
              <w:t>）</w:t>
            </w:r>
          </w:p>
        </w:tc>
        <w:tc>
          <w:tcPr>
            <w:tcW w:w="3849" w:type="pct"/>
            <w:vAlign w:val="center"/>
          </w:tcPr>
          <w:p w14:paraId="2DD1BF1C">
            <w:pPr>
              <w:snapToGrid w:val="0"/>
              <w:spacing w:line="320" w:lineRule="exact"/>
              <w:ind w:firstLine="420" w:firstLineChars="200"/>
              <w:rPr>
                <w:rFonts w:ascii="Times New Roman" w:hAnsi="Times New Roman" w:eastAsia="仿宋_GB2312"/>
                <w:szCs w:val="21"/>
              </w:rPr>
            </w:pPr>
            <w:r>
              <w:rPr>
                <w:rFonts w:hint="eastAsia" w:ascii="Times New Roman" w:hAnsi="Times New Roman" w:eastAsia="仿宋_GB2312"/>
                <w:szCs w:val="21"/>
              </w:rPr>
              <w:t>又称二项期权定价模型，该模型假设股价波动只有向上和向下两个方向，且假设在整个考察期内，股价每次向上（或向下）波动的概率和幅度不变。模型将考察的存续期分为若干阶段，根据股价的历史波动率模拟出标的股票价格在整个存续期内所有可能的发展路径，并对每一路径上的每一节点计算期权行权收益和用折现方法计算出期权价格。</w:t>
            </w:r>
          </w:p>
        </w:tc>
      </w:tr>
      <w:tr w14:paraId="0C1CE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51" w:type="pct"/>
            <w:vAlign w:val="center"/>
          </w:tcPr>
          <w:p w14:paraId="692AEC3A">
            <w:pPr>
              <w:snapToGrid w:val="0"/>
              <w:jc w:val="left"/>
              <w:rPr>
                <w:rFonts w:ascii="Times New Roman" w:hAnsi="Times New Roman" w:eastAsia="仿宋_GB2312"/>
                <w:szCs w:val="21"/>
              </w:rPr>
            </w:pPr>
            <w:r>
              <w:rPr>
                <w:rFonts w:hint="eastAsia" w:ascii="Times New Roman" w:hAnsi="Times New Roman" w:eastAsia="仿宋_GB2312"/>
                <w:szCs w:val="21"/>
              </w:rPr>
              <w:t>分部加总法（</w:t>
            </w:r>
            <w:r>
              <w:rPr>
                <w:rFonts w:ascii="Times New Roman" w:hAnsi="Times New Roman" w:eastAsia="仿宋_GB2312"/>
                <w:szCs w:val="21"/>
              </w:rPr>
              <w:t>SOTP</w:t>
            </w:r>
            <w:r>
              <w:rPr>
                <w:rFonts w:hint="eastAsia" w:ascii="Times New Roman" w:hAnsi="Times New Roman" w:eastAsia="仿宋_GB2312"/>
                <w:szCs w:val="21"/>
              </w:rPr>
              <w:t>）</w:t>
            </w:r>
          </w:p>
        </w:tc>
        <w:tc>
          <w:tcPr>
            <w:tcW w:w="3849" w:type="pct"/>
            <w:vAlign w:val="center"/>
          </w:tcPr>
          <w:p w14:paraId="7C880028">
            <w:pPr>
              <w:snapToGrid w:val="0"/>
              <w:spacing w:line="320" w:lineRule="exact"/>
              <w:ind w:firstLine="420" w:firstLineChars="200"/>
              <w:rPr>
                <w:rFonts w:ascii="Times New Roman" w:hAnsi="Times New Roman" w:eastAsia="仿宋_GB2312"/>
                <w:szCs w:val="21"/>
              </w:rPr>
            </w:pPr>
            <w:r>
              <w:rPr>
                <w:rFonts w:hint="eastAsia" w:ascii="Times New Roman" w:hAnsi="Times New Roman" w:eastAsia="仿宋_GB2312"/>
                <w:szCs w:val="21"/>
              </w:rPr>
              <w:t>分部加总法，是一种常见的控股集团估值法。</w:t>
            </w:r>
          </w:p>
          <w:p w14:paraId="25499C45">
            <w:pPr>
              <w:snapToGrid w:val="0"/>
              <w:spacing w:line="320" w:lineRule="exact"/>
              <w:ind w:firstLine="420" w:firstLineChars="200"/>
              <w:rPr>
                <w:rFonts w:ascii="Times New Roman" w:hAnsi="Times New Roman" w:eastAsia="仿宋_GB2312"/>
                <w:szCs w:val="21"/>
              </w:rPr>
            </w:pPr>
            <w:r>
              <w:rPr>
                <w:rFonts w:ascii="Times New Roman" w:hAnsi="Times New Roman" w:eastAsia="仿宋_GB2312"/>
                <w:szCs w:val="21"/>
              </w:rPr>
              <w:t>SOTP=</w:t>
            </w:r>
            <w:r>
              <w:rPr>
                <w:rFonts w:hint="eastAsia" w:ascii="Times New Roman" w:hAnsi="Times New Roman" w:eastAsia="仿宋_GB2312"/>
                <w:szCs w:val="21"/>
              </w:rPr>
              <w:t>（子公司</w:t>
            </w:r>
            <w:r>
              <w:rPr>
                <w:rFonts w:ascii="Times New Roman" w:hAnsi="Times New Roman" w:eastAsia="仿宋_GB2312"/>
                <w:szCs w:val="21"/>
              </w:rPr>
              <w:t>A</w:t>
            </w:r>
            <w:r>
              <w:rPr>
                <w:rFonts w:hint="eastAsia" w:ascii="Times New Roman" w:hAnsi="Times New Roman" w:eastAsia="仿宋_GB2312"/>
                <w:szCs w:val="21"/>
              </w:rPr>
              <w:t>市值</w:t>
            </w:r>
            <w:r>
              <w:rPr>
                <w:rFonts w:ascii="Times New Roman" w:hAnsi="Times New Roman" w:eastAsia="仿宋_GB2312"/>
                <w:szCs w:val="21"/>
              </w:rPr>
              <w:t>*</w:t>
            </w:r>
            <w:r>
              <w:rPr>
                <w:rFonts w:hint="eastAsia" w:ascii="Times New Roman" w:hAnsi="Times New Roman" w:eastAsia="仿宋_GB2312"/>
                <w:szCs w:val="21"/>
              </w:rPr>
              <w:t>集团持股比例</w:t>
            </w:r>
            <w:r>
              <w:rPr>
                <w:rFonts w:ascii="Times New Roman" w:hAnsi="Times New Roman" w:eastAsia="仿宋_GB2312"/>
                <w:szCs w:val="21"/>
              </w:rPr>
              <w:t>+</w:t>
            </w:r>
            <w:r>
              <w:rPr>
                <w:rFonts w:hint="eastAsia" w:ascii="Times New Roman" w:hAnsi="Times New Roman" w:eastAsia="仿宋_GB2312"/>
                <w:szCs w:val="21"/>
              </w:rPr>
              <w:t>子公司</w:t>
            </w:r>
            <w:r>
              <w:rPr>
                <w:rFonts w:ascii="Times New Roman" w:hAnsi="Times New Roman" w:eastAsia="仿宋_GB2312"/>
                <w:szCs w:val="21"/>
              </w:rPr>
              <w:t>B</w:t>
            </w:r>
            <w:r>
              <w:rPr>
                <w:rFonts w:hint="eastAsia" w:ascii="Times New Roman" w:hAnsi="Times New Roman" w:eastAsia="仿宋_GB2312"/>
                <w:szCs w:val="21"/>
              </w:rPr>
              <w:t>市值</w:t>
            </w:r>
            <w:r>
              <w:rPr>
                <w:rFonts w:ascii="Times New Roman" w:hAnsi="Times New Roman" w:eastAsia="仿宋_GB2312"/>
                <w:szCs w:val="21"/>
              </w:rPr>
              <w:t>*</w:t>
            </w:r>
            <w:r>
              <w:rPr>
                <w:rFonts w:hint="eastAsia" w:ascii="Times New Roman" w:hAnsi="Times New Roman" w:eastAsia="仿宋_GB2312"/>
                <w:szCs w:val="21"/>
              </w:rPr>
              <w:t>集团持股比例</w:t>
            </w:r>
            <w:r>
              <w:rPr>
                <w:rFonts w:ascii="Times New Roman" w:hAnsi="Times New Roman" w:eastAsia="仿宋_GB2312"/>
                <w:szCs w:val="21"/>
              </w:rPr>
              <w:t>+……+</w:t>
            </w:r>
            <w:r>
              <w:rPr>
                <w:rFonts w:hint="eastAsia" w:ascii="Times New Roman" w:hAnsi="Times New Roman" w:eastAsia="仿宋_GB2312"/>
                <w:szCs w:val="21"/>
              </w:rPr>
              <w:t>集团直接运营业务价值</w:t>
            </w:r>
            <w:r>
              <w:rPr>
                <w:rFonts w:ascii="Times New Roman" w:hAnsi="Times New Roman" w:eastAsia="仿宋_GB2312"/>
                <w:szCs w:val="21"/>
              </w:rPr>
              <w:t>-</w:t>
            </w:r>
            <w:r>
              <w:rPr>
                <w:rFonts w:hint="eastAsia" w:ascii="Times New Roman" w:hAnsi="Times New Roman" w:eastAsia="仿宋_GB2312"/>
                <w:szCs w:val="21"/>
              </w:rPr>
              <w:t>集团本部债务）</w:t>
            </w:r>
            <w:r>
              <w:rPr>
                <w:rFonts w:ascii="Times New Roman" w:hAnsi="Times New Roman" w:eastAsia="仿宋_GB2312"/>
                <w:szCs w:val="21"/>
              </w:rPr>
              <w:t>*</w:t>
            </w:r>
            <w:r>
              <w:rPr>
                <w:rFonts w:hint="eastAsia" w:ascii="Times New Roman" w:hAnsi="Times New Roman" w:eastAsia="仿宋_GB2312"/>
                <w:szCs w:val="21"/>
              </w:rPr>
              <w:t>（</w:t>
            </w:r>
            <w:r>
              <w:rPr>
                <w:rFonts w:ascii="Times New Roman" w:hAnsi="Times New Roman" w:eastAsia="仿宋_GB2312"/>
                <w:szCs w:val="21"/>
              </w:rPr>
              <w:t>1-</w:t>
            </w:r>
            <w:r>
              <w:rPr>
                <w:rFonts w:hint="eastAsia" w:ascii="Times New Roman" w:hAnsi="Times New Roman" w:eastAsia="仿宋_GB2312"/>
                <w:szCs w:val="21"/>
              </w:rPr>
              <w:t>集团折价）</w:t>
            </w:r>
          </w:p>
          <w:p w14:paraId="5EE43FA5">
            <w:pPr>
              <w:snapToGrid w:val="0"/>
              <w:spacing w:line="320" w:lineRule="exact"/>
              <w:ind w:firstLine="420" w:firstLineChars="200"/>
              <w:rPr>
                <w:rFonts w:ascii="Times New Roman" w:hAnsi="Times New Roman" w:eastAsia="仿宋_GB2312"/>
                <w:szCs w:val="21"/>
              </w:rPr>
            </w:pPr>
            <w:r>
              <w:rPr>
                <w:rFonts w:hint="eastAsia" w:ascii="Times New Roman" w:hAnsi="Times New Roman" w:eastAsia="仿宋_GB2312"/>
                <w:szCs w:val="21"/>
              </w:rPr>
              <w:t>集团折价：由于控股集团涉及业务的多样化、股权结构的复杂性等原因，集团控股股东通常难以直接分享到子公司的收益，因此在采用分部加总法时通常需要考虑控股集团的折价。</w:t>
            </w:r>
          </w:p>
        </w:tc>
      </w:tr>
      <w:tr w14:paraId="2B6F9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51" w:type="pct"/>
            <w:vAlign w:val="center"/>
          </w:tcPr>
          <w:p w14:paraId="54B44648">
            <w:pPr>
              <w:snapToGrid w:val="0"/>
              <w:jc w:val="left"/>
              <w:rPr>
                <w:rFonts w:ascii="Times New Roman" w:hAnsi="Times New Roman" w:eastAsia="仿宋_GB2312"/>
                <w:szCs w:val="21"/>
              </w:rPr>
            </w:pPr>
            <w:r>
              <w:rPr>
                <w:rFonts w:hint="eastAsia" w:ascii="Times New Roman" w:hAnsi="Times New Roman" w:eastAsia="仿宋_GB2312"/>
                <w:szCs w:val="21"/>
              </w:rPr>
              <w:t>风险调整现金流折现法（</w:t>
            </w:r>
            <w:r>
              <w:rPr>
                <w:rFonts w:ascii="Times New Roman" w:hAnsi="Times New Roman" w:eastAsia="仿宋_GB2312"/>
                <w:szCs w:val="21"/>
              </w:rPr>
              <w:t>rNPV</w:t>
            </w:r>
            <w:r>
              <w:rPr>
                <w:rFonts w:hint="eastAsia" w:ascii="Times New Roman" w:hAnsi="Times New Roman" w:eastAsia="仿宋_GB2312"/>
                <w:szCs w:val="21"/>
              </w:rPr>
              <w:t>）</w:t>
            </w:r>
          </w:p>
        </w:tc>
        <w:tc>
          <w:tcPr>
            <w:tcW w:w="3849" w:type="pct"/>
            <w:vAlign w:val="center"/>
          </w:tcPr>
          <w:p w14:paraId="45244269">
            <w:pPr>
              <w:snapToGrid w:val="0"/>
              <w:spacing w:line="320" w:lineRule="exact"/>
              <w:ind w:firstLine="420" w:firstLineChars="200"/>
              <w:rPr>
                <w:rFonts w:ascii="Times New Roman" w:hAnsi="Times New Roman" w:eastAsia="仿宋_GB2312"/>
                <w:szCs w:val="21"/>
              </w:rPr>
            </w:pPr>
            <w:r>
              <w:rPr>
                <w:rFonts w:hint="eastAsia" w:ascii="Times New Roman" w:hAnsi="Times New Roman" w:eastAsia="仿宋_GB2312"/>
                <w:szCs w:val="21"/>
              </w:rPr>
              <w:t>风险调整现金流量法是指采用适当的途径，将评估对象未来不确定的现金流量调整为包含风险因素调整的期望现金流量，进而确定评估对象价值的方法。风险调整现金流量法的操作步骤是：</w:t>
            </w:r>
          </w:p>
          <w:p w14:paraId="35D72A8B">
            <w:pPr>
              <w:snapToGrid w:val="0"/>
              <w:spacing w:line="320" w:lineRule="exact"/>
              <w:ind w:firstLine="420" w:firstLineChars="200"/>
              <w:rPr>
                <w:rFonts w:ascii="Times New Roman" w:hAnsi="Times New Roman" w:eastAsia="仿宋_GB2312"/>
                <w:szCs w:val="21"/>
              </w:rPr>
            </w:pPr>
            <w:r>
              <w:rPr>
                <w:rFonts w:hint="eastAsia" w:ascii="Times New Roman" w:hAnsi="Times New Roman" w:eastAsia="仿宋_GB2312"/>
                <w:szCs w:val="21"/>
              </w:rPr>
              <w:t>（</w:t>
            </w:r>
            <w:r>
              <w:rPr>
                <w:rFonts w:ascii="Times New Roman" w:hAnsi="Times New Roman" w:eastAsia="仿宋_GB2312"/>
                <w:szCs w:val="21"/>
              </w:rPr>
              <w:t>1</w:t>
            </w:r>
            <w:r>
              <w:rPr>
                <w:rFonts w:hint="eastAsia" w:ascii="Times New Roman" w:hAnsi="Times New Roman" w:eastAsia="仿宋_GB2312"/>
                <w:szCs w:val="21"/>
              </w:rPr>
              <w:t>）根据评估对象现金流量的标准离差率，借助对照表确定约定系数；</w:t>
            </w:r>
          </w:p>
          <w:p w14:paraId="70543A73">
            <w:pPr>
              <w:snapToGrid w:val="0"/>
              <w:spacing w:line="320" w:lineRule="exact"/>
              <w:ind w:firstLine="420" w:firstLineChars="200"/>
              <w:rPr>
                <w:rFonts w:ascii="Times New Roman" w:hAnsi="Times New Roman" w:eastAsia="仿宋_GB2312"/>
                <w:szCs w:val="21"/>
              </w:rPr>
            </w:pPr>
            <w:r>
              <w:rPr>
                <w:rFonts w:hint="eastAsia" w:ascii="Times New Roman" w:hAnsi="Times New Roman" w:eastAsia="仿宋_GB2312"/>
                <w:szCs w:val="21"/>
              </w:rPr>
              <w:t>（</w:t>
            </w:r>
            <w:r>
              <w:rPr>
                <w:rFonts w:ascii="Times New Roman" w:hAnsi="Times New Roman" w:eastAsia="仿宋_GB2312"/>
                <w:szCs w:val="21"/>
              </w:rPr>
              <w:t>2</w:t>
            </w:r>
            <w:r>
              <w:rPr>
                <w:rFonts w:hint="eastAsia" w:ascii="Times New Roman" w:hAnsi="Times New Roman" w:eastAsia="仿宋_GB2312"/>
                <w:szCs w:val="21"/>
              </w:rPr>
              <w:t>）根据约定系数对评估对象不确定的现金流量进行调整，计算其期望现金流量；</w:t>
            </w:r>
          </w:p>
          <w:p w14:paraId="392C449A">
            <w:pPr>
              <w:snapToGrid w:val="0"/>
              <w:spacing w:line="320" w:lineRule="exact"/>
              <w:ind w:firstLine="420" w:firstLineChars="200"/>
              <w:rPr>
                <w:rFonts w:ascii="Times New Roman" w:hAnsi="Times New Roman" w:eastAsia="仿宋_GB2312"/>
                <w:szCs w:val="21"/>
              </w:rPr>
            </w:pPr>
            <w:r>
              <w:rPr>
                <w:rFonts w:hint="eastAsia" w:ascii="Times New Roman" w:hAnsi="Times New Roman" w:eastAsia="仿宋_GB2312"/>
                <w:szCs w:val="21"/>
              </w:rPr>
              <w:t>（</w:t>
            </w:r>
            <w:r>
              <w:rPr>
                <w:rFonts w:ascii="Times New Roman" w:hAnsi="Times New Roman" w:eastAsia="仿宋_GB2312"/>
                <w:szCs w:val="21"/>
              </w:rPr>
              <w:t>3</w:t>
            </w:r>
            <w:r>
              <w:rPr>
                <w:rFonts w:hint="eastAsia" w:ascii="Times New Roman" w:hAnsi="Times New Roman" w:eastAsia="仿宋_GB2312"/>
                <w:szCs w:val="21"/>
              </w:rPr>
              <w:t>）根据评估对象期望现金流量，利用折现公式，计算评估对象的现金流量现值；</w:t>
            </w:r>
          </w:p>
          <w:p w14:paraId="2D0EEBB6">
            <w:pPr>
              <w:snapToGrid w:val="0"/>
              <w:spacing w:line="320" w:lineRule="exact"/>
              <w:ind w:firstLine="420" w:firstLineChars="200"/>
              <w:rPr>
                <w:rFonts w:ascii="Times New Roman" w:hAnsi="Times New Roman" w:eastAsia="仿宋_GB2312"/>
                <w:szCs w:val="21"/>
              </w:rPr>
            </w:pPr>
            <w:r>
              <w:rPr>
                <w:rFonts w:hint="eastAsia" w:ascii="Times New Roman" w:hAnsi="Times New Roman" w:eastAsia="仿宋_GB2312"/>
                <w:szCs w:val="21"/>
              </w:rPr>
              <w:t>（</w:t>
            </w:r>
            <w:r>
              <w:rPr>
                <w:rFonts w:ascii="Times New Roman" w:hAnsi="Times New Roman" w:eastAsia="仿宋_GB2312"/>
                <w:szCs w:val="21"/>
              </w:rPr>
              <w:t>4</w:t>
            </w:r>
            <w:r>
              <w:rPr>
                <w:rFonts w:hint="eastAsia" w:ascii="Times New Roman" w:hAnsi="Times New Roman" w:eastAsia="仿宋_GB2312"/>
                <w:szCs w:val="21"/>
              </w:rPr>
              <w:t>）结合其他调整分析，得到测算结果。</w:t>
            </w:r>
          </w:p>
        </w:tc>
      </w:tr>
      <w:tr w14:paraId="1C1EE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51" w:type="pct"/>
            <w:vAlign w:val="center"/>
          </w:tcPr>
          <w:p w14:paraId="66526BC1">
            <w:pPr>
              <w:snapToGrid w:val="0"/>
              <w:jc w:val="left"/>
              <w:rPr>
                <w:rFonts w:ascii="Times New Roman" w:hAnsi="Times New Roman" w:eastAsia="仿宋_GB2312"/>
                <w:szCs w:val="21"/>
              </w:rPr>
            </w:pPr>
            <w:r>
              <w:rPr>
                <w:rFonts w:hint="eastAsia" w:ascii="Times New Roman" w:hAnsi="Times New Roman" w:eastAsia="仿宋_GB2312"/>
                <w:szCs w:val="21"/>
              </w:rPr>
              <w:t>估值扩张倍数法（</w:t>
            </w:r>
            <w:r>
              <w:rPr>
                <w:rFonts w:ascii="Times New Roman" w:hAnsi="Times New Roman" w:eastAsia="仿宋_GB2312"/>
                <w:szCs w:val="21"/>
              </w:rPr>
              <w:t>VM</w:t>
            </w:r>
            <w:r>
              <w:rPr>
                <w:rFonts w:hint="eastAsia" w:ascii="Times New Roman" w:hAnsi="Times New Roman" w:eastAsia="仿宋_GB2312"/>
                <w:szCs w:val="21"/>
              </w:rPr>
              <w:t>指数法）</w:t>
            </w:r>
          </w:p>
        </w:tc>
        <w:tc>
          <w:tcPr>
            <w:tcW w:w="3849" w:type="pct"/>
            <w:vAlign w:val="center"/>
          </w:tcPr>
          <w:p w14:paraId="1584733E">
            <w:pPr>
              <w:snapToGrid w:val="0"/>
              <w:spacing w:line="320" w:lineRule="exact"/>
              <w:ind w:firstLine="420" w:firstLineChars="200"/>
              <w:rPr>
                <w:rFonts w:ascii="Times New Roman" w:hAnsi="Times New Roman" w:eastAsia="仿宋_GB2312"/>
                <w:szCs w:val="21"/>
              </w:rPr>
            </w:pPr>
            <w:r>
              <w:rPr>
                <w:rFonts w:hint="eastAsia" w:ascii="Times New Roman" w:hAnsi="Times New Roman" w:eastAsia="仿宋_GB2312"/>
                <w:szCs w:val="21"/>
              </w:rPr>
              <w:t>估值扩张倍数法是指采用被评估单位历次估值扩张倍数进行评估的方法。当企业尚处于概念期或者初创期时，常采用的一种评估方法。</w:t>
            </w:r>
          </w:p>
          <w:p w14:paraId="16446506">
            <w:pPr>
              <w:snapToGrid w:val="0"/>
              <w:spacing w:line="320" w:lineRule="exact"/>
              <w:ind w:firstLine="420" w:firstLineChars="200"/>
              <w:rPr>
                <w:rFonts w:ascii="Times New Roman" w:hAnsi="Times New Roman" w:eastAsia="仿宋_GB2312"/>
                <w:szCs w:val="21"/>
              </w:rPr>
            </w:pPr>
            <w:r>
              <w:rPr>
                <w:rFonts w:ascii="Times New Roman" w:hAnsi="Times New Roman" w:eastAsia="仿宋_GB2312"/>
                <w:szCs w:val="21"/>
              </w:rPr>
              <w:t>VM</w:t>
            </w:r>
            <w:r>
              <w:rPr>
                <w:rFonts w:hint="eastAsia" w:ascii="Times New Roman" w:hAnsi="Times New Roman" w:eastAsia="仿宋_GB2312"/>
                <w:szCs w:val="21"/>
              </w:rPr>
              <w:t>指数</w:t>
            </w:r>
            <w:r>
              <w:rPr>
                <w:rFonts w:ascii="Times New Roman" w:hAnsi="Times New Roman" w:eastAsia="仿宋_GB2312"/>
                <w:szCs w:val="21"/>
              </w:rPr>
              <w:t>=</w:t>
            </w:r>
            <w:r>
              <w:rPr>
                <w:rFonts w:hint="eastAsia" w:ascii="Times New Roman" w:hAnsi="Times New Roman" w:eastAsia="仿宋_GB2312"/>
                <w:szCs w:val="21"/>
              </w:rPr>
              <w:t>本轮投前估值</w:t>
            </w:r>
            <w:r>
              <w:rPr>
                <w:rFonts w:ascii="Times New Roman" w:hAnsi="Times New Roman" w:eastAsia="仿宋_GB2312"/>
                <w:szCs w:val="21"/>
              </w:rPr>
              <w:t>/</w:t>
            </w:r>
            <w:r>
              <w:rPr>
                <w:rFonts w:hint="eastAsia" w:ascii="Times New Roman" w:hAnsi="Times New Roman" w:eastAsia="仿宋_GB2312"/>
                <w:szCs w:val="21"/>
              </w:rPr>
              <w:t>前轮投后估值</w:t>
            </w:r>
            <w:r>
              <w:rPr>
                <w:rFonts w:ascii="Times New Roman" w:hAnsi="Times New Roman" w:eastAsia="仿宋_GB2312"/>
                <w:szCs w:val="21"/>
              </w:rPr>
              <w:t>/</w:t>
            </w:r>
            <w:r>
              <w:rPr>
                <w:rFonts w:hint="eastAsia" w:ascii="Times New Roman" w:hAnsi="Times New Roman" w:eastAsia="仿宋_GB2312"/>
                <w:szCs w:val="21"/>
              </w:rPr>
              <w:t>两轮之间间隔月数</w:t>
            </w:r>
          </w:p>
        </w:tc>
      </w:tr>
      <w:tr w14:paraId="4E4FD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51" w:type="pct"/>
            <w:vAlign w:val="center"/>
          </w:tcPr>
          <w:p w14:paraId="312D21B5">
            <w:pPr>
              <w:snapToGrid w:val="0"/>
              <w:jc w:val="left"/>
              <w:rPr>
                <w:rFonts w:ascii="Times New Roman" w:hAnsi="Times New Roman" w:eastAsia="仿宋_GB2312"/>
                <w:szCs w:val="21"/>
              </w:rPr>
            </w:pPr>
            <w:r>
              <w:rPr>
                <w:rFonts w:hint="eastAsia" w:ascii="Times New Roman" w:hAnsi="Times New Roman" w:eastAsia="仿宋_GB2312"/>
                <w:szCs w:val="21"/>
              </w:rPr>
              <w:t>可转债</w:t>
            </w:r>
          </w:p>
        </w:tc>
        <w:tc>
          <w:tcPr>
            <w:tcW w:w="3849" w:type="pct"/>
            <w:vAlign w:val="center"/>
          </w:tcPr>
          <w:p w14:paraId="1A1C184D">
            <w:pPr>
              <w:snapToGrid w:val="0"/>
              <w:spacing w:line="320" w:lineRule="exact"/>
              <w:ind w:firstLine="420" w:firstLineChars="200"/>
              <w:rPr>
                <w:rFonts w:ascii="Times New Roman" w:hAnsi="Times New Roman" w:eastAsia="仿宋_GB2312"/>
                <w:szCs w:val="21"/>
              </w:rPr>
            </w:pPr>
            <w:r>
              <w:rPr>
                <w:rFonts w:hint="eastAsia" w:ascii="Times New Roman" w:hAnsi="Times New Roman" w:eastAsia="仿宋_GB2312"/>
                <w:szCs w:val="21"/>
              </w:rPr>
              <w:t>是在一定期限内依据一定条件可以转换成公司股票的债券。</w:t>
            </w:r>
          </w:p>
        </w:tc>
      </w:tr>
      <w:tr w14:paraId="1695C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51" w:type="pct"/>
            <w:vAlign w:val="center"/>
          </w:tcPr>
          <w:p w14:paraId="09FB0740">
            <w:pPr>
              <w:snapToGrid w:val="0"/>
              <w:jc w:val="left"/>
              <w:rPr>
                <w:rFonts w:ascii="Times New Roman" w:hAnsi="Times New Roman" w:eastAsia="仿宋_GB2312"/>
                <w:szCs w:val="21"/>
              </w:rPr>
            </w:pPr>
            <w:r>
              <w:rPr>
                <w:rFonts w:hint="eastAsia" w:ascii="Times New Roman" w:hAnsi="Times New Roman" w:eastAsia="仿宋_GB2312"/>
                <w:szCs w:val="21"/>
              </w:rPr>
              <w:t>情景分析法</w:t>
            </w:r>
          </w:p>
        </w:tc>
        <w:tc>
          <w:tcPr>
            <w:tcW w:w="3849" w:type="pct"/>
            <w:vAlign w:val="center"/>
          </w:tcPr>
          <w:p w14:paraId="226DE769">
            <w:pPr>
              <w:widowControl/>
              <w:snapToGrid w:val="0"/>
              <w:spacing w:line="320" w:lineRule="exact"/>
              <w:ind w:firstLine="420" w:firstLineChars="200"/>
              <w:jc w:val="left"/>
              <w:rPr>
                <w:rFonts w:ascii="Times New Roman" w:hAnsi="Times New Roman" w:eastAsia="仿宋_GB2312"/>
                <w:color w:val="000000"/>
                <w:szCs w:val="21"/>
              </w:rPr>
            </w:pPr>
            <w:r>
              <w:rPr>
                <w:rFonts w:hint="eastAsia" w:ascii="Times New Roman" w:hAnsi="Times New Roman" w:eastAsia="仿宋_GB2312"/>
                <w:szCs w:val="21"/>
              </w:rPr>
              <w:t>又称加权概率情景分析法，是假定某种现象或者某种趋势将持续到未来的前提下，对评估对象可能出现的情况或者引起的后果作出预测的方法</w:t>
            </w:r>
            <w:r>
              <w:rPr>
                <w:rFonts w:hint="eastAsia" w:ascii="Times New Roman" w:hAnsi="Times New Roman" w:eastAsia="仿宋_GB2312"/>
                <w:color w:val="000000"/>
                <w:szCs w:val="21"/>
              </w:rPr>
              <w:t>，采用情景分析法进行评估的主要步骤包括：</w:t>
            </w:r>
          </w:p>
          <w:p w14:paraId="45938669">
            <w:pPr>
              <w:widowControl/>
              <w:snapToGrid w:val="0"/>
              <w:spacing w:line="320" w:lineRule="exact"/>
              <w:ind w:firstLine="420" w:firstLineChars="200"/>
              <w:jc w:val="left"/>
              <w:rPr>
                <w:rFonts w:ascii="Times New Roman" w:hAnsi="Times New Roman" w:eastAsia="仿宋_GB2312"/>
                <w:color w:val="000000"/>
                <w:szCs w:val="21"/>
              </w:rPr>
            </w:pPr>
            <w:r>
              <w:rPr>
                <w:rFonts w:hint="eastAsia" w:ascii="Times New Roman" w:hAnsi="Times New Roman" w:eastAsia="仿宋_GB2312"/>
                <w:color w:val="000000"/>
                <w:szCs w:val="21"/>
              </w:rPr>
              <w:t>（</w:t>
            </w:r>
            <w:r>
              <w:rPr>
                <w:rFonts w:ascii="Times New Roman" w:hAnsi="Times New Roman" w:eastAsia="仿宋_GB2312"/>
                <w:color w:val="000000"/>
                <w:szCs w:val="21"/>
              </w:rPr>
              <w:t>1</w:t>
            </w:r>
            <w:r>
              <w:rPr>
                <w:rFonts w:hint="eastAsia" w:ascii="Times New Roman" w:hAnsi="Times New Roman" w:eastAsia="仿宋_GB2312"/>
                <w:color w:val="000000"/>
                <w:szCs w:val="21"/>
              </w:rPr>
              <w:t>）识别影响资产评估的内外部因素，如企业营业收入、毛利率、收入增长率、资本性支出等企业内部参数，以及宏观经济走势、政策法规、技术进步等外部要素。</w:t>
            </w:r>
          </w:p>
          <w:p w14:paraId="79443AF8">
            <w:pPr>
              <w:widowControl/>
              <w:snapToGrid w:val="0"/>
              <w:spacing w:line="320" w:lineRule="exact"/>
              <w:ind w:firstLine="420" w:firstLineChars="200"/>
              <w:jc w:val="left"/>
              <w:rPr>
                <w:rFonts w:ascii="Times New Roman" w:hAnsi="Times New Roman" w:eastAsia="仿宋_GB2312"/>
                <w:color w:val="000000"/>
                <w:szCs w:val="21"/>
              </w:rPr>
            </w:pPr>
            <w:r>
              <w:rPr>
                <w:rFonts w:hint="eastAsia" w:ascii="Times New Roman" w:hAnsi="Times New Roman" w:eastAsia="仿宋_GB2312"/>
                <w:color w:val="000000"/>
                <w:szCs w:val="21"/>
                <w:lang w:bidi="ar"/>
              </w:rPr>
              <w:t>（</w:t>
            </w:r>
            <w:r>
              <w:rPr>
                <w:rFonts w:ascii="Times New Roman" w:hAnsi="Times New Roman" w:eastAsia="仿宋_GB2312"/>
                <w:color w:val="000000"/>
                <w:szCs w:val="21"/>
                <w:lang w:bidi="ar"/>
              </w:rPr>
              <w:t>2</w:t>
            </w:r>
            <w:r>
              <w:rPr>
                <w:rFonts w:hint="eastAsia" w:ascii="Times New Roman" w:hAnsi="Times New Roman" w:eastAsia="仿宋_GB2312"/>
                <w:color w:val="000000"/>
                <w:szCs w:val="21"/>
                <w:lang w:bidi="ar"/>
              </w:rPr>
              <w:t>）将影响资产评估的关键内外部驱动因素按照重要性和不确定性排序，总结形成情景框架，　并依此形成具体的情景矩阵。　</w:t>
            </w:r>
          </w:p>
          <w:p w14:paraId="4F087D22">
            <w:pPr>
              <w:widowControl/>
              <w:snapToGrid w:val="0"/>
              <w:spacing w:line="320" w:lineRule="exact"/>
              <w:ind w:firstLine="420" w:firstLineChars="200"/>
              <w:jc w:val="left"/>
              <w:rPr>
                <w:rFonts w:ascii="Times New Roman" w:hAnsi="Times New Roman" w:eastAsia="仿宋_GB2312"/>
                <w:color w:val="000000"/>
                <w:szCs w:val="21"/>
                <w:lang w:bidi="ar"/>
              </w:rPr>
            </w:pPr>
            <w:r>
              <w:rPr>
                <w:rFonts w:hint="eastAsia" w:ascii="Times New Roman" w:hAnsi="Times New Roman" w:eastAsia="仿宋_GB2312"/>
                <w:color w:val="000000"/>
                <w:szCs w:val="21"/>
                <w:lang w:bidi="ar"/>
              </w:rPr>
              <w:t>（</w:t>
            </w:r>
            <w:r>
              <w:rPr>
                <w:rFonts w:ascii="Times New Roman" w:hAnsi="Times New Roman" w:eastAsia="仿宋_GB2312"/>
                <w:color w:val="000000"/>
                <w:szCs w:val="21"/>
                <w:lang w:bidi="ar"/>
              </w:rPr>
              <w:t>3</w:t>
            </w:r>
            <w:r>
              <w:rPr>
                <w:rFonts w:hint="eastAsia" w:ascii="Times New Roman" w:hAnsi="Times New Roman" w:eastAsia="仿宋_GB2312"/>
                <w:color w:val="000000"/>
                <w:szCs w:val="21"/>
                <w:lang w:bidi="ar"/>
              </w:rPr>
              <w:t>）结合历史信息与当前时点的因素特征采用适当的定性或者定量分析方法，综合测算每种情景可能发生的概率。</w:t>
            </w:r>
          </w:p>
          <w:p w14:paraId="35817263">
            <w:pPr>
              <w:widowControl/>
              <w:snapToGrid w:val="0"/>
              <w:spacing w:line="320" w:lineRule="exact"/>
              <w:ind w:firstLine="420" w:firstLineChars="200"/>
              <w:jc w:val="left"/>
              <w:rPr>
                <w:rFonts w:ascii="Times New Roman" w:hAnsi="Times New Roman" w:eastAsia="仿宋_GB2312"/>
                <w:color w:val="000000"/>
                <w:szCs w:val="21"/>
                <w:lang w:bidi="ar"/>
              </w:rPr>
            </w:pPr>
            <w:r>
              <w:rPr>
                <w:rFonts w:hint="eastAsia" w:ascii="Times New Roman" w:hAnsi="Times New Roman" w:eastAsia="仿宋_GB2312"/>
                <w:color w:val="000000"/>
                <w:szCs w:val="21"/>
                <w:lang w:bidi="ar"/>
              </w:rPr>
              <w:t>（</w:t>
            </w:r>
            <w:r>
              <w:rPr>
                <w:rFonts w:ascii="Times New Roman" w:hAnsi="Times New Roman" w:eastAsia="仿宋_GB2312"/>
                <w:color w:val="000000"/>
                <w:szCs w:val="21"/>
                <w:lang w:bidi="ar"/>
              </w:rPr>
              <w:t>4</w:t>
            </w:r>
            <w:r>
              <w:rPr>
                <w:rFonts w:hint="eastAsia" w:ascii="Times New Roman" w:hAnsi="Times New Roman" w:eastAsia="仿宋_GB2312"/>
                <w:color w:val="000000"/>
                <w:szCs w:val="21"/>
                <w:lang w:bidi="ar"/>
              </w:rPr>
              <w:t>）分析计算在不同情境下的资产评估参数，对不同情境（历史情景或者基础情景，以及未来情景或者新情景）进行评估。</w:t>
            </w:r>
          </w:p>
          <w:p w14:paraId="3410B0CF">
            <w:pPr>
              <w:widowControl/>
              <w:snapToGrid w:val="0"/>
              <w:spacing w:line="320" w:lineRule="exact"/>
              <w:ind w:firstLine="420" w:firstLineChars="200"/>
              <w:jc w:val="left"/>
              <w:rPr>
                <w:rFonts w:ascii="Times New Roman" w:hAnsi="Times New Roman" w:eastAsia="仿宋_GB2312"/>
                <w:szCs w:val="21"/>
              </w:rPr>
            </w:pPr>
            <w:r>
              <w:rPr>
                <w:rFonts w:hint="eastAsia" w:ascii="Times New Roman" w:hAnsi="Times New Roman" w:eastAsia="仿宋_GB2312"/>
                <w:color w:val="000000"/>
                <w:szCs w:val="21"/>
                <w:lang w:bidi="ar"/>
              </w:rPr>
              <w:t>（</w:t>
            </w:r>
            <w:r>
              <w:rPr>
                <w:rFonts w:ascii="Times New Roman" w:hAnsi="Times New Roman" w:eastAsia="仿宋_GB2312"/>
                <w:color w:val="000000"/>
                <w:szCs w:val="21"/>
                <w:lang w:bidi="ar"/>
              </w:rPr>
              <w:t>5</w:t>
            </w:r>
            <w:r>
              <w:rPr>
                <w:rFonts w:hint="eastAsia" w:ascii="Times New Roman" w:hAnsi="Times New Roman" w:eastAsia="仿宋_GB2312"/>
                <w:color w:val="000000"/>
                <w:szCs w:val="21"/>
                <w:lang w:bidi="ar"/>
              </w:rPr>
              <w:t>）最终通过加权平均计算出评估对象价值</w:t>
            </w:r>
            <w:r>
              <w:rPr>
                <w:rFonts w:hint="eastAsia" w:ascii="Times New Roman" w:hAnsi="Times New Roman" w:eastAsia="仿宋_GB2312"/>
                <w:color w:val="000000"/>
                <w:szCs w:val="21"/>
              </w:rPr>
              <w:t>。</w:t>
            </w:r>
          </w:p>
        </w:tc>
      </w:tr>
      <w:tr w14:paraId="08133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51" w:type="pct"/>
            <w:vAlign w:val="center"/>
          </w:tcPr>
          <w:p w14:paraId="48CD0E58">
            <w:pPr>
              <w:snapToGrid w:val="0"/>
              <w:jc w:val="left"/>
              <w:rPr>
                <w:rFonts w:ascii="Times New Roman" w:hAnsi="Times New Roman" w:eastAsia="仿宋_GB2312"/>
                <w:szCs w:val="21"/>
              </w:rPr>
            </w:pPr>
            <w:r>
              <w:rPr>
                <w:rFonts w:hint="eastAsia" w:ascii="Times New Roman" w:hAnsi="Times New Roman" w:eastAsia="仿宋_GB2312"/>
                <w:szCs w:val="21"/>
              </w:rPr>
              <w:t>修正经济增加值模型（</w:t>
            </w:r>
            <w:r>
              <w:rPr>
                <w:rFonts w:ascii="Times New Roman" w:hAnsi="Times New Roman" w:eastAsia="仿宋_GB2312"/>
                <w:szCs w:val="21"/>
              </w:rPr>
              <w:t>REVA</w:t>
            </w:r>
            <w:r>
              <w:rPr>
                <w:rFonts w:hint="eastAsia" w:ascii="Times New Roman" w:hAnsi="Times New Roman" w:eastAsia="仿宋_GB2312"/>
                <w:szCs w:val="21"/>
              </w:rPr>
              <w:t>）</w:t>
            </w:r>
          </w:p>
        </w:tc>
        <w:tc>
          <w:tcPr>
            <w:tcW w:w="3849" w:type="pct"/>
            <w:vAlign w:val="center"/>
          </w:tcPr>
          <w:p w14:paraId="542C9C9B">
            <w:pPr>
              <w:snapToGrid w:val="0"/>
              <w:spacing w:line="320" w:lineRule="exact"/>
              <w:ind w:firstLine="420" w:firstLineChars="200"/>
              <w:rPr>
                <w:rFonts w:ascii="Times New Roman" w:hAnsi="Times New Roman" w:eastAsia="仿宋_GB2312"/>
                <w:szCs w:val="21"/>
              </w:rPr>
            </w:pPr>
            <w:r>
              <w:rPr>
                <w:rFonts w:ascii="Times New Roman" w:hAnsi="Times New Roman" w:eastAsia="仿宋_GB2312"/>
                <w:szCs w:val="21"/>
              </w:rPr>
              <w:t>REVA</w:t>
            </w:r>
            <w:r>
              <w:rPr>
                <w:rFonts w:hint="eastAsia" w:ascii="Times New Roman" w:hAnsi="Times New Roman" w:eastAsia="仿宋_GB2312"/>
                <w:szCs w:val="21"/>
              </w:rPr>
              <w:t>是在</w:t>
            </w:r>
            <w:r>
              <w:rPr>
                <w:rFonts w:ascii="Times New Roman" w:hAnsi="Times New Roman" w:eastAsia="仿宋_GB2312"/>
                <w:szCs w:val="21"/>
              </w:rPr>
              <w:t>EVA</w:t>
            </w:r>
            <w:r>
              <w:rPr>
                <w:rFonts w:hint="eastAsia" w:ascii="Times New Roman" w:hAnsi="Times New Roman" w:eastAsia="仿宋_GB2312"/>
                <w:szCs w:val="21"/>
              </w:rPr>
              <w:t>理论基础上演化而来，其全称为：修正经济增加值。</w:t>
            </w:r>
          </w:p>
          <w:p w14:paraId="709204AA">
            <w:pPr>
              <w:widowControl/>
              <w:snapToGrid w:val="0"/>
              <w:spacing w:line="320" w:lineRule="exact"/>
              <w:ind w:firstLine="420" w:firstLineChars="200"/>
              <w:jc w:val="left"/>
              <w:rPr>
                <w:rFonts w:ascii="Times New Roman" w:hAnsi="Times New Roman" w:eastAsia="仿宋_GB2312"/>
                <w:szCs w:val="21"/>
              </w:rPr>
            </w:pPr>
            <w:r>
              <w:rPr>
                <w:rFonts w:ascii="Times New Roman" w:hAnsi="Times New Roman" w:eastAsia="仿宋_GB2312"/>
                <w:szCs w:val="21"/>
              </w:rPr>
              <w:t>REVA=</w:t>
            </w:r>
            <w:r>
              <w:rPr>
                <w:rFonts w:hint="eastAsia" w:ascii="Times New Roman" w:hAnsi="Times New Roman" w:eastAsia="仿宋_GB2312"/>
                <w:szCs w:val="21"/>
              </w:rPr>
              <w:t>税后净营业利润</w:t>
            </w:r>
            <w:r>
              <w:rPr>
                <w:rFonts w:ascii="Times New Roman" w:hAnsi="Times New Roman" w:eastAsia="仿宋_GB2312"/>
                <w:szCs w:val="21"/>
              </w:rPr>
              <w:t>-</w:t>
            </w:r>
            <w:r>
              <w:rPr>
                <w:rFonts w:hint="eastAsia" w:ascii="Times New Roman" w:hAnsi="Times New Roman" w:eastAsia="仿宋_GB2312"/>
                <w:szCs w:val="21"/>
              </w:rPr>
              <w:t>资本总额的市场价值×加权平均资本成本</w:t>
            </w:r>
          </w:p>
        </w:tc>
      </w:tr>
      <w:tr w14:paraId="6EC0A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51" w:type="pct"/>
            <w:vAlign w:val="center"/>
          </w:tcPr>
          <w:p w14:paraId="0C26B078">
            <w:pPr>
              <w:snapToGrid w:val="0"/>
              <w:jc w:val="left"/>
              <w:rPr>
                <w:rFonts w:ascii="Times New Roman" w:hAnsi="Times New Roman" w:eastAsia="仿宋_GB2312"/>
                <w:szCs w:val="21"/>
              </w:rPr>
            </w:pPr>
            <w:r>
              <w:rPr>
                <w:rFonts w:hint="eastAsia" w:ascii="Times New Roman" w:hAnsi="Times New Roman" w:eastAsia="仿宋_GB2312"/>
                <w:szCs w:val="21"/>
              </w:rPr>
              <w:t>压力测试</w:t>
            </w:r>
          </w:p>
        </w:tc>
        <w:tc>
          <w:tcPr>
            <w:tcW w:w="3849" w:type="pct"/>
            <w:vAlign w:val="center"/>
          </w:tcPr>
          <w:p w14:paraId="1C018388">
            <w:pPr>
              <w:snapToGrid w:val="0"/>
              <w:spacing w:line="320" w:lineRule="exact"/>
              <w:ind w:firstLine="420" w:firstLineChars="200"/>
              <w:rPr>
                <w:rFonts w:ascii="Times New Roman" w:hAnsi="Times New Roman" w:eastAsia="仿宋_GB2312"/>
                <w:szCs w:val="21"/>
              </w:rPr>
            </w:pPr>
            <w:r>
              <w:rPr>
                <w:rFonts w:hint="eastAsia" w:ascii="Times New Roman" w:hAnsi="Times New Roman" w:eastAsia="仿宋_GB2312"/>
                <w:szCs w:val="21"/>
              </w:rPr>
              <w:t>对于资产在极端市场环境变化下的价值表现的测试方式，一般包括敏感性测试与情景测试两类方法：</w:t>
            </w:r>
          </w:p>
          <w:p w14:paraId="5603C119">
            <w:pPr>
              <w:snapToGrid w:val="0"/>
              <w:spacing w:line="320" w:lineRule="exact"/>
              <w:ind w:left="400"/>
              <w:rPr>
                <w:rFonts w:ascii="Times New Roman" w:hAnsi="Times New Roman" w:eastAsia="仿宋_GB2312"/>
                <w:szCs w:val="21"/>
              </w:rPr>
            </w:pPr>
            <w:r>
              <w:rPr>
                <w:rFonts w:ascii="Times New Roman" w:hAnsi="Times New Roman" w:eastAsia="仿宋_GB2312"/>
                <w:szCs w:val="21"/>
              </w:rPr>
              <w:t>1.</w:t>
            </w:r>
            <w:r>
              <w:rPr>
                <w:rFonts w:hint="eastAsia" w:ascii="Times New Roman" w:hAnsi="Times New Roman" w:eastAsia="仿宋_GB2312"/>
                <w:szCs w:val="21"/>
              </w:rPr>
              <w:t>敏感性测试是指</w:t>
            </w:r>
            <w:r>
              <w:rPr>
                <w:rFonts w:hint="eastAsia" w:ascii="Times New Roman" w:hAnsi="Times New Roman" w:eastAsia="仿宋_GB2312"/>
                <w:color w:val="333333"/>
                <w:szCs w:val="21"/>
              </w:rPr>
              <w:t>利用某一特定风险</w:t>
            </w:r>
            <w:r>
              <w:rPr>
                <w:rFonts w:hint="eastAsia" w:ascii="Times New Roman" w:hAnsi="Times New Roman" w:eastAsia="仿宋_GB2312"/>
                <w:szCs w:val="21"/>
              </w:rPr>
              <w:t>因素</w:t>
            </w:r>
            <w:r>
              <w:rPr>
                <w:rFonts w:hint="eastAsia" w:ascii="Times New Roman" w:hAnsi="Times New Roman" w:eastAsia="仿宋_GB2312"/>
                <w:color w:val="333333"/>
                <w:szCs w:val="21"/>
              </w:rPr>
              <w:t>或者一组风险</w:t>
            </w:r>
            <w:r>
              <w:rPr>
                <w:rFonts w:hint="eastAsia" w:ascii="Times New Roman" w:hAnsi="Times New Roman" w:eastAsia="仿宋_GB2312"/>
                <w:szCs w:val="21"/>
              </w:rPr>
              <w:t>因素</w:t>
            </w:r>
            <w:r>
              <w:rPr>
                <w:rFonts w:hint="eastAsia" w:ascii="Times New Roman" w:hAnsi="Times New Roman" w:eastAsia="仿宋_GB2312"/>
                <w:color w:val="333333"/>
                <w:szCs w:val="21"/>
              </w:rPr>
              <w:t>，将</w:t>
            </w:r>
            <w:r>
              <w:rPr>
                <w:rFonts w:hint="eastAsia" w:ascii="Times New Roman" w:hAnsi="Times New Roman" w:eastAsia="仿宋_GB2312"/>
                <w:szCs w:val="21"/>
              </w:rPr>
              <w:t>因素</w:t>
            </w:r>
            <w:r>
              <w:rPr>
                <w:rFonts w:hint="eastAsia" w:ascii="Times New Roman" w:hAnsi="Times New Roman" w:eastAsia="仿宋_GB2312"/>
                <w:color w:val="333333"/>
                <w:szCs w:val="21"/>
              </w:rPr>
              <w:t>在</w:t>
            </w:r>
            <w:r>
              <w:rPr>
                <w:rFonts w:hint="eastAsia" w:ascii="Times New Roman" w:hAnsi="Times New Roman" w:eastAsia="仿宋_GB2312"/>
                <w:szCs w:val="21"/>
              </w:rPr>
              <w:t>特定</w:t>
            </w:r>
            <w:r>
              <w:rPr>
                <w:rFonts w:hint="eastAsia" w:ascii="Times New Roman" w:hAnsi="Times New Roman" w:eastAsia="仿宋_GB2312"/>
                <w:color w:val="333333"/>
                <w:szCs w:val="21"/>
              </w:rPr>
              <w:t>的极端变动的范围内变动，测试其对于</w:t>
            </w:r>
            <w:r>
              <w:rPr>
                <w:rFonts w:hint="eastAsia" w:ascii="Times New Roman" w:hAnsi="Times New Roman" w:eastAsia="仿宋_GB2312"/>
                <w:szCs w:val="21"/>
              </w:rPr>
              <w:t>测算结果</w:t>
            </w:r>
            <w:r>
              <w:rPr>
                <w:rFonts w:hint="eastAsia" w:ascii="Times New Roman" w:hAnsi="Times New Roman" w:eastAsia="仿宋_GB2312"/>
                <w:color w:val="333333"/>
                <w:szCs w:val="21"/>
              </w:rPr>
              <w:t>的影响效果。</w:t>
            </w:r>
          </w:p>
          <w:p w14:paraId="16AC89E1">
            <w:pPr>
              <w:snapToGrid w:val="0"/>
              <w:spacing w:line="320" w:lineRule="exact"/>
              <w:ind w:left="400"/>
              <w:rPr>
                <w:rFonts w:ascii="Times New Roman" w:hAnsi="Times New Roman" w:eastAsia="仿宋_GB2312"/>
                <w:szCs w:val="21"/>
              </w:rPr>
            </w:pPr>
            <w:r>
              <w:rPr>
                <w:rFonts w:ascii="Times New Roman" w:hAnsi="Times New Roman" w:eastAsia="仿宋_GB2312"/>
                <w:szCs w:val="21"/>
              </w:rPr>
              <w:t>2.</w:t>
            </w:r>
            <w:r>
              <w:rPr>
                <w:rFonts w:hint="eastAsia" w:ascii="Times New Roman" w:hAnsi="Times New Roman" w:eastAsia="仿宋_GB2312"/>
                <w:szCs w:val="21"/>
              </w:rPr>
              <w:t>情景测试又分为历史情景测试与假设测试</w:t>
            </w:r>
          </w:p>
          <w:p w14:paraId="3824302A">
            <w:pPr>
              <w:snapToGrid w:val="0"/>
              <w:spacing w:line="320" w:lineRule="exact"/>
              <w:ind w:left="400"/>
              <w:rPr>
                <w:rFonts w:ascii="Times New Roman" w:hAnsi="Times New Roman" w:eastAsia="仿宋_GB2312"/>
                <w:szCs w:val="21"/>
              </w:rPr>
            </w:pPr>
            <w:r>
              <w:rPr>
                <w:rFonts w:hint="eastAsia" w:ascii="Times New Roman" w:hAnsi="Times New Roman" w:eastAsia="仿宋_GB2312"/>
                <w:szCs w:val="21"/>
              </w:rPr>
              <w:t>（</w:t>
            </w:r>
            <w:r>
              <w:rPr>
                <w:rFonts w:ascii="Times New Roman" w:hAnsi="Times New Roman" w:eastAsia="仿宋_GB2312"/>
                <w:szCs w:val="21"/>
              </w:rPr>
              <w:t>1</w:t>
            </w:r>
            <w:r>
              <w:rPr>
                <w:rFonts w:hint="eastAsia" w:ascii="Times New Roman" w:hAnsi="Times New Roman" w:eastAsia="仿宋_GB2312"/>
                <w:szCs w:val="21"/>
              </w:rPr>
              <w:t>）历史情景测试即</w:t>
            </w:r>
            <w:r>
              <w:rPr>
                <w:rFonts w:hint="eastAsia" w:ascii="Times New Roman" w:hAnsi="Times New Roman" w:eastAsia="仿宋_GB2312"/>
                <w:color w:val="333333"/>
                <w:szCs w:val="21"/>
              </w:rPr>
              <w:t>利用某一种过去曾经发生的</w:t>
            </w:r>
            <w:r>
              <w:rPr>
                <w:rFonts w:hint="eastAsia" w:ascii="Times New Roman" w:hAnsi="Times New Roman" w:eastAsia="仿宋_GB2312"/>
                <w:szCs w:val="21"/>
              </w:rPr>
              <w:t>变动情景</w:t>
            </w:r>
            <w:r>
              <w:rPr>
                <w:rFonts w:hint="eastAsia" w:ascii="Times New Roman" w:hAnsi="Times New Roman" w:eastAsia="仿宋_GB2312"/>
                <w:color w:val="333333"/>
                <w:szCs w:val="21"/>
              </w:rPr>
              <w:t>，测试该情景的再次发生对</w:t>
            </w:r>
            <w:r>
              <w:rPr>
                <w:rFonts w:hint="eastAsia" w:ascii="Times New Roman" w:hAnsi="Times New Roman" w:eastAsia="仿宋_GB2312"/>
                <w:szCs w:val="21"/>
              </w:rPr>
              <w:t>测算结果所产生的影响</w:t>
            </w:r>
            <w:r>
              <w:rPr>
                <w:rFonts w:hint="eastAsia" w:ascii="Times New Roman" w:hAnsi="Times New Roman" w:eastAsia="仿宋_GB2312"/>
                <w:color w:val="333333"/>
                <w:szCs w:val="21"/>
              </w:rPr>
              <w:t>。</w:t>
            </w:r>
          </w:p>
          <w:p w14:paraId="6CB12F74">
            <w:pPr>
              <w:snapToGrid w:val="0"/>
              <w:spacing w:line="320" w:lineRule="exact"/>
              <w:ind w:firstLine="420" w:firstLineChars="200"/>
              <w:rPr>
                <w:rFonts w:ascii="Times New Roman" w:hAnsi="Times New Roman" w:eastAsia="仿宋_GB2312"/>
                <w:szCs w:val="21"/>
              </w:rPr>
            </w:pPr>
            <w:r>
              <w:rPr>
                <w:rFonts w:hint="eastAsia" w:ascii="Times New Roman" w:hAnsi="Times New Roman" w:eastAsia="仿宋_GB2312"/>
                <w:szCs w:val="21"/>
              </w:rPr>
              <w:t>（</w:t>
            </w:r>
            <w:r>
              <w:rPr>
                <w:rFonts w:ascii="Times New Roman" w:hAnsi="Times New Roman" w:eastAsia="仿宋_GB2312"/>
                <w:szCs w:val="21"/>
              </w:rPr>
              <w:t>2</w:t>
            </w:r>
            <w:r>
              <w:rPr>
                <w:rFonts w:hint="eastAsia" w:ascii="Times New Roman" w:hAnsi="Times New Roman" w:eastAsia="仿宋_GB2312"/>
                <w:szCs w:val="21"/>
              </w:rPr>
              <w:t>）假设情景测试即在对于每一项风险因素可能产生的极端事件进行模拟假设，测试其对测算结果的影响。</w:t>
            </w:r>
          </w:p>
        </w:tc>
      </w:tr>
      <w:tr w14:paraId="55224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51" w:type="pct"/>
            <w:vAlign w:val="center"/>
          </w:tcPr>
          <w:p w14:paraId="7B819C14">
            <w:pPr>
              <w:snapToGrid w:val="0"/>
              <w:jc w:val="left"/>
              <w:rPr>
                <w:rFonts w:ascii="Times New Roman" w:hAnsi="Times New Roman" w:eastAsia="仿宋_GB2312"/>
                <w:szCs w:val="21"/>
              </w:rPr>
            </w:pPr>
            <w:r>
              <w:rPr>
                <w:rFonts w:hint="eastAsia" w:ascii="Times New Roman" w:hAnsi="Times New Roman" w:eastAsia="仿宋_GB2312"/>
                <w:szCs w:val="21"/>
              </w:rPr>
              <w:t>永续债</w:t>
            </w:r>
          </w:p>
        </w:tc>
        <w:tc>
          <w:tcPr>
            <w:tcW w:w="3849" w:type="pct"/>
            <w:vAlign w:val="center"/>
          </w:tcPr>
          <w:p w14:paraId="0BCECB7A">
            <w:pPr>
              <w:snapToGrid w:val="0"/>
              <w:spacing w:line="320" w:lineRule="exact"/>
              <w:ind w:firstLine="420" w:firstLineChars="200"/>
              <w:rPr>
                <w:rFonts w:ascii="Times New Roman" w:hAnsi="Times New Roman" w:eastAsia="仿宋_GB2312"/>
                <w:szCs w:val="21"/>
              </w:rPr>
            </w:pPr>
            <w:r>
              <w:rPr>
                <w:rFonts w:hint="eastAsia" w:ascii="Times New Roman" w:hAnsi="Times New Roman" w:eastAsia="仿宋_GB2312"/>
                <w:szCs w:val="21"/>
              </w:rPr>
              <w:t>没有到期日的债券，一般由主权国家、大型企业发行，持有人不能要求清偿本金，但是可以按期取得利息。</w:t>
            </w:r>
          </w:p>
        </w:tc>
      </w:tr>
      <w:tr w14:paraId="06CB8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51" w:type="pct"/>
            <w:vAlign w:val="center"/>
          </w:tcPr>
          <w:p w14:paraId="1DE7538E">
            <w:pPr>
              <w:snapToGrid w:val="0"/>
              <w:jc w:val="left"/>
              <w:rPr>
                <w:rFonts w:ascii="Times New Roman" w:hAnsi="Times New Roman" w:eastAsia="仿宋_GB2312"/>
                <w:szCs w:val="21"/>
              </w:rPr>
            </w:pPr>
            <w:r>
              <w:rPr>
                <w:rFonts w:hint="eastAsia" w:ascii="Times New Roman" w:hAnsi="Times New Roman" w:eastAsia="仿宋_GB2312"/>
                <w:szCs w:val="21"/>
              </w:rPr>
              <w:t>优先股</w:t>
            </w:r>
          </w:p>
        </w:tc>
        <w:tc>
          <w:tcPr>
            <w:tcW w:w="3849" w:type="pct"/>
            <w:vAlign w:val="center"/>
          </w:tcPr>
          <w:p w14:paraId="5045A98D">
            <w:pPr>
              <w:snapToGrid w:val="0"/>
              <w:spacing w:line="320" w:lineRule="exact"/>
              <w:ind w:firstLine="420" w:firstLineChars="200"/>
              <w:rPr>
                <w:rFonts w:ascii="Times New Roman" w:hAnsi="Times New Roman" w:eastAsia="仿宋_GB2312"/>
                <w:szCs w:val="21"/>
              </w:rPr>
            </w:pPr>
            <w:r>
              <w:rPr>
                <w:rFonts w:hint="eastAsia" w:ascii="Times New Roman" w:hAnsi="Times New Roman" w:eastAsia="仿宋_GB2312"/>
                <w:szCs w:val="21"/>
              </w:rPr>
              <w:t>在一般规定的普通种类股份之外，另行规定的其他种类股份，其股份持有人优先于普通股股东分配公司利润和剩余财产，但是参与公司决策管理等权利受到限制。</w:t>
            </w:r>
          </w:p>
        </w:tc>
      </w:tr>
      <w:tr w14:paraId="1484C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51" w:type="pct"/>
            <w:vAlign w:val="center"/>
          </w:tcPr>
          <w:p w14:paraId="7E96207E">
            <w:pPr>
              <w:snapToGrid w:val="0"/>
              <w:jc w:val="left"/>
              <w:rPr>
                <w:rFonts w:ascii="Times New Roman" w:hAnsi="Times New Roman" w:eastAsia="仿宋_GB2312"/>
                <w:szCs w:val="21"/>
              </w:rPr>
            </w:pPr>
            <w:r>
              <w:rPr>
                <w:rFonts w:hint="eastAsia" w:ascii="Times New Roman" w:hAnsi="Times New Roman" w:eastAsia="仿宋_GB2312"/>
                <w:szCs w:val="21"/>
              </w:rPr>
              <w:t>预计市值</w:t>
            </w:r>
          </w:p>
        </w:tc>
        <w:tc>
          <w:tcPr>
            <w:tcW w:w="3849" w:type="pct"/>
            <w:vAlign w:val="center"/>
          </w:tcPr>
          <w:p w14:paraId="36336334">
            <w:pPr>
              <w:snapToGrid w:val="0"/>
              <w:spacing w:line="320" w:lineRule="exact"/>
              <w:ind w:firstLine="420" w:firstLineChars="200"/>
              <w:rPr>
                <w:rFonts w:ascii="Times New Roman" w:hAnsi="Times New Roman" w:eastAsia="仿宋_GB2312"/>
                <w:szCs w:val="21"/>
              </w:rPr>
            </w:pPr>
            <w:r>
              <w:rPr>
                <w:rFonts w:hint="eastAsia" w:ascii="Times New Roman" w:hAnsi="Times New Roman" w:eastAsia="仿宋_GB2312"/>
                <w:szCs w:val="21"/>
              </w:rPr>
              <w:t>科创企业股票公开发行后按照总股本乘以发行价格计算出来的发行人股票名义总价值。</w:t>
            </w:r>
          </w:p>
        </w:tc>
      </w:tr>
      <w:tr w14:paraId="2FB02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51" w:type="pct"/>
            <w:vAlign w:val="center"/>
          </w:tcPr>
          <w:p w14:paraId="710B2F94">
            <w:pPr>
              <w:snapToGrid w:val="0"/>
              <w:jc w:val="left"/>
              <w:rPr>
                <w:rFonts w:ascii="Times New Roman" w:hAnsi="Times New Roman" w:eastAsia="仿宋_GB2312"/>
                <w:szCs w:val="21"/>
              </w:rPr>
            </w:pPr>
            <w:r>
              <w:rPr>
                <w:rFonts w:hint="eastAsia" w:ascii="Times New Roman" w:hAnsi="Times New Roman" w:eastAsia="仿宋_GB2312"/>
                <w:szCs w:val="21"/>
              </w:rPr>
              <w:t>周期调整市盈率（</w:t>
            </w:r>
            <w:r>
              <w:rPr>
                <w:rFonts w:ascii="Times New Roman" w:hAnsi="Times New Roman" w:eastAsia="仿宋_GB2312"/>
                <w:szCs w:val="21"/>
              </w:rPr>
              <w:t>CAPE</w:t>
            </w:r>
            <w:r>
              <w:rPr>
                <w:rFonts w:hint="eastAsia" w:ascii="Times New Roman" w:hAnsi="Times New Roman" w:eastAsia="仿宋_GB2312"/>
                <w:szCs w:val="21"/>
              </w:rPr>
              <w:t>）</w:t>
            </w:r>
          </w:p>
        </w:tc>
        <w:tc>
          <w:tcPr>
            <w:tcW w:w="3849" w:type="pct"/>
            <w:vAlign w:val="center"/>
          </w:tcPr>
          <w:p w14:paraId="0DBA7982">
            <w:pPr>
              <w:snapToGrid w:val="0"/>
              <w:spacing w:line="320" w:lineRule="exact"/>
              <w:ind w:firstLine="420" w:firstLineChars="200"/>
              <w:rPr>
                <w:rFonts w:ascii="Times New Roman" w:hAnsi="Times New Roman" w:eastAsia="仿宋_GB2312"/>
                <w:szCs w:val="21"/>
              </w:rPr>
            </w:pPr>
            <w:r>
              <w:rPr>
                <w:rFonts w:hint="eastAsia" w:ascii="Times New Roman" w:hAnsi="Times New Roman" w:eastAsia="仿宋_GB2312"/>
                <w:szCs w:val="21"/>
              </w:rPr>
              <w:t>周期调整市盈率：对于具备明显周期性、价格波动性的资产，在使用市盈率作为价值比率的市场法评估时，资产盈利数据使用历史</w:t>
            </w:r>
            <w:r>
              <w:rPr>
                <w:rFonts w:ascii="Times New Roman" w:hAnsi="Times New Roman" w:eastAsia="仿宋_GB2312"/>
                <w:szCs w:val="21"/>
              </w:rPr>
              <w:t>10</w:t>
            </w:r>
            <w:r>
              <w:rPr>
                <w:rFonts w:hint="eastAsia" w:ascii="Times New Roman" w:hAnsi="Times New Roman" w:eastAsia="仿宋_GB2312"/>
                <w:szCs w:val="21"/>
              </w:rPr>
              <w:t>年平均盈利指标并且剔除通货膨胀影响后计算。</w:t>
            </w:r>
          </w:p>
          <w:p w14:paraId="76DD29BD">
            <w:pPr>
              <w:snapToGrid w:val="0"/>
              <w:jc w:val="center"/>
              <w:rPr>
                <w:rFonts w:ascii="Times New Roman" w:hAnsi="Times New Roman" w:eastAsia="仿宋_GB2312"/>
                <w:szCs w:val="21"/>
              </w:rPr>
            </w:pPr>
            <w:r>
              <w:rPr>
                <w:rFonts w:ascii="Times New Roman" w:hAnsi="Times New Roman" w:eastAsia="仿宋_GB2312"/>
                <w:szCs w:val="21"/>
              </w:rPr>
              <w:pict>
                <v:shape id="_x0000_i1050" o:spt="75" type="#_x0000_t75" style="height:33.75pt;width:99.85pt;" filled="f" o:preferrelative="t" stroked="f" coordsize="21600,21600"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50&quot;/&gt;&lt;w:characterSpacingControl w:val=&quot;CompressPunctuation&quot;/&gt;&lt;w:documentProtection w:enforcement=&quot;off&quot;/&gt;&lt;w:punctuationKerning/&gt;&lt;w:doNotEmbedSystemFonts/&gt;&lt;w:bordersDontSurroundHeader/&gt;&lt;w:bordersDontSurroundFooter/&gt;&lt;w:defaultTabStop w:val=&quot;420&quot;/&gt;&lt;w:drawingGridHorizontalSpacing w:val=&quot;103&quot;/&gt;&lt;w:drawingGridVerticalSpacing w:val=&quot;579&quot;/&gt;&lt;w:displayHorizontalDrawingGridEvery w:val=&quot;0&quot;/&gt;&lt;w:displayVerticalDrawingGridEvery w:val=&quot;1&quot;/&gt;&lt;w:evenAndOddHeaders w:val=&quot;1&quot;/&gt;&lt;w:compat&gt;&lt;w:adjustLineHeightInTable/&gt;&lt;w:ulTrailSpace/&gt;&lt;w:doNotExpandShiftReturn/&gt;&lt;w:balanceSingleByteDoubleByteWidth/&gt;&lt;w:useFELayout/&gt;&lt;w:spaceForUL/&gt;&lt;w:wrapTextWithPunct/&gt;&lt;w:breakWrappedTables/&gt;&lt;w:useAsianBreakRules/&gt;&lt;w:dontGrowAutofit/&gt;&lt;w:useFELayout/&gt;&lt;/w:compat&gt;&lt;/w:docPr&gt;&lt;w:body&gt;&lt;wx:sect&gt;&lt;w:p&gt;&lt;m:oMathPara&gt;&lt;m:oMath&gt;&lt;m:r&gt;&lt;m:rPr&gt;&lt;m:scr m:val=&quot;roman&quot;/&gt;&lt;/m:rPr&gt;&lt;w:rPr&gt;&lt;w:rFonts w:ascii=&quot;Cambria Math&quot; w:h-ansi=&quot;Cambria Math&quot; w:hint=&quot;default&quot;/&gt;&lt;w:sz-cs w:val=&quot;21&quot;/&gt;&lt;/w:rPr&gt;&lt;m:t&gt;CAPE=&lt;/m:t&gt;&lt;/m:r&gt;&lt;m:f&gt;&lt;m:fPr&gt;&lt;m:ctrlPr&gt;&lt;w:rPr&gt;&lt;w:rFonts w:ascii=&quot;Cambria Math&quot; w:h-ansi=&quot;Cambria Math&quot; w:hint=&quot;default&quot;/&gt;&lt;w:i/&gt;&lt;w:sz-cs w:val=&quot;21&quot;/&gt;&lt;/w:rPr&gt;&lt;/m:ctrlPr&gt;&lt;/m:fPr&gt;&lt;m:num&gt;&lt;m:sSub&gt;&lt;m:sSubPr&gt;&lt;m:ctrlPr&gt;&lt;w:rPr&gt;&lt;w:rFonts w:ascii=&quot;Cambria Math&quot; w:h-ansi=&quot;Cambria Math&quot; w:hint=&quot;default&quot;/&gt;&lt;w:i/&gt;&lt;w:sz-cs w:val=&quot;21&quot;/&gt;&lt;/w:rPr&gt;&lt;/m:ctrlPr&gt;&lt;/m:sSubPr&gt;&lt;m:e&gt;&lt;m:r&gt;&lt;m:rPr&gt;&lt;m:scr m:val=&quot;roman&quot;/&gt;&lt;/m:rPr&gt;&lt;w:rPr&gt;&lt;w:rFonts w:ascii=&quot;Cambria Math&quot; w:h-ansi=&quot;Cambria Math&quot; w:hint=&quot;default&quot;/&gt;&lt;w:sz-cs w:val=&quot;21&quot;/&gt;&lt;/w:rPr&gt;&lt;m:t&gt;RP&lt;/m:t&gt;&lt;/m:r&gt;&lt;m:ctrlPr&gt;&lt;w:rPr&gt;&lt;w:rFonts w:ascii=&quot;Cambria Math&quot; w:h-ansi=&quot;Cambria Math&quot; w:hint=&quot;default&quot;/&gt;&lt;w:i/&gt;&lt;w:sz-cs w:val=&quot;21&quot;/&gt;&lt;/w:rPr&gt;&lt;/m:ctrlPr&gt;&lt;/m:e&gt;&lt;m:sub&gt;&lt;m:r&gt;&lt;m:rPr&gt;&lt;m:scr m:val=&quot;roman&quot;/&gt;&lt;/m:rPr&gt;&lt;w:rPr&gt;&lt;w:rFonts w:ascii=&quot;Cambria Math&quot; w:h-ansi=&quot;Cambria Math&quot; w:hint=&quot;default&quot;/&gt;&lt;w:sz-cs w:val=&quot;21&quot;/&gt;&lt;/w:rPr&gt;&lt;m:t&gt;T&lt;/m:t&gt;&lt;/m:r&gt;&lt;m:ctrlPr&gt;&lt;w:rPr&gt;&lt;w:rFonts w:ascii=&quot;Cambria Math&quot; w:h-ansi=&quot;Cambria Math&quot; w:hint=&quot;default&quot;/&gt;&lt;w:i/&gt;&lt;w:sz-cs w:val=&quot;21&quot;/&gt;&lt;/w:rPr&gt;&lt;/m:ctrlPr&gt;&lt;/m:sub&gt;&lt;/m:sSub&gt;&lt;m:ctrlPr&gt;&lt;w:rPr&gt;&lt;w:rFonts w:ascii=&quot;Cambria Math&quot; w:h-ansi=&quot;Cambria Math&quot; w:hint=&quot;default&quot;/&gt;&lt;w:i/&gt;&lt;w:sz-cs w:val=&quot;21&quot;/&gt;&lt;/w:rPr&gt;&lt;/m:ctrlPr&gt;&lt;/m:num&gt;&lt;m:den&gt;&lt;m:f&gt;&lt;m:fPr&gt;&lt;m:ctrlPr&gt;&lt;w:rPr&gt;&lt;w:rFonts w:ascii=&quot;Cambria Math&quot; w:h-ansi=&quot;Cambria Math&quot; w:hint=&quot;default&quot;/&gt;&lt;w:i/&gt;&lt;w:sz-cs w:val=&quot;21&quot;/&gt;&lt;/w:rPr&gt;&lt;/m:ctrlPr&gt;&lt;/m:fPr&gt;&lt;m:num&gt;&lt;m:r&gt;&lt;m:rPr&gt;&lt;m:scr m:val=&quot;roman&quot;/&gt;&lt;/m:rPr&gt;&lt;w:rPr&gt;&lt;w:rFonts w:ascii=&quot;Cambria Math&quot; w:h-ansi=&quot;Cambria Math&quot; w:hint=&quot;default&quot;/&gt;&lt;w:sz-cs w:val=&quot;21&quot;/&gt;&lt;/w:rPr&gt;&lt;m:t&gt;1&lt;/m:t&gt;&lt;/m:r&gt;&lt;m:ctrlPr&gt;&lt;w:rPr&gt;&lt;w:rFonts w:ascii=&quot;Cambria Math&quot; w:h-ansi=&quot;Cambria Math&quot; w:hint=&quot;default&quot;/&gt;&lt;w:i/&gt;&lt;w:sz-cs w:val=&quot;21&quot;/&gt;&lt;/w:rPr&gt;&lt;/m:ctrlPr&gt;&lt;/m:num&gt;&lt;m:den&gt;&lt;m:r&gt;&lt;m:rPr&gt;&lt;m:scr m:val=&quot;roman&quot;/&gt;&lt;/m:rPr&gt;&lt;w:rPr&gt;&lt;w:rFonts w:ascii=&quot;Cambria Math&quot; w:h-ansi=&quot;Cambria Math&quot; w:hint=&quot;default&quot;/&gt;&lt;w:sz-cs w:val=&quot;21&quot;/&gt;&lt;/w:rPr&gt;&lt;m:t&gt;10&lt;/m:t&gt;&lt;/m:r&gt;&lt;m:ctrlPr&gt;&lt;w:rPr&gt;&lt;w:rFonts w:ascii=&quot;Cambria Math&quot; w:h-ansi=&quot;Cambria Math&quot; w:hint=&quot;default&quot;/&gt;&lt;w:i/&gt;&lt;w:sz-cs w:val=&quot;21&quot;/&gt;&lt;/w:rPr&gt;&lt;/m:ctrlPr&gt;&lt;/m:den&gt;&lt;/m:f&gt;&lt;m:nary&gt;&lt;m:naryPr&gt;&lt;m:chr m:val=&quot;鈭?/&gt;&lt;m:limLoc m:val=&quot;subSup&quot;/&gt;&lt;m:ctrlPr&gt;&lt;w:rPr&gt;&lt;w:rFonts w:ascii=&quot;Cambria Math&quot; w:h-ansi=&quot;Cambria Math&quot; w:hint=&quot;default&quot;/&gt;&lt;w:i/&gt;&lt;w:sz-cs w:val=&quot;21&quot;/&gt;&lt;/w:rPr&gt;&lt;/m:ctrlPr&gt;&lt;/m:naryPr&gt;&lt;m:sub&gt;&lt;m:r&gt;&lt;m:rPr&gt;&lt;m:scr m:val=&quot;roman&quot;/&gt;&lt;/m:rPr&gt;&lt;w:rPr&gt;&lt;wyPPPPPP:rFonts w:ascii=&quot;Cambria Math&quot; w:h-ansi=&quot;Cambria Math&quot; w:hint=&quot;default&quot;/&gt;&lt;w:sz-cs w:val=&quot;21&quot;/&gt;&lt;/w:rPr&gt;&lt;m:t&gt;t=1&lt;/m:t&gt;&lt;/m:r&gt;&lt;m:ctrlPr&gt;&lt;w:rPr&gt;&lt;w:rFonts w:ascii=&quot;Cambria Math&quot; w:h-ansi=&quot;Cambria Math&quot; w:hint=&quot;default&quot;/&gt;&lt;w:i/&gt;&lt;w:sz-cs w:val=&quot;21&quot;/&gt;&lt;/w:rPr&gt;&lt;/m:ctrlPr&gt;&lt;/m:sub&gt;&lt;m:sup&gt;&lt;m:r&gt;&lt;m:rPr&gt;&lt;m:scr m:val=&quot;roman&quot;/&gt;&lt;/m:rPr&gt;&lt;w:rPr&gt;&lt;w:rFonts w:ascii=&quot;Cambria Math&quot; w:h-ansi=&quot;Cambria Math&quot; w:hint=&quot;default&quot;/&gt;&lt;w:sz-cs w:val=&quot;21&quot;/&gt;&lt;/w:rPr&gt;&lt;m:t&gt;10&lt;/m:t&gt;&lt;/m:r&gt;&lt;m:ctrlPr&gt;&lt;w:rPr&gt;&lt;w:rFonts w:ascii=&quot;Cambria Math&quot; w:h-ansi=&quot;Cambria Math&quot; w:hint=&quot;default&quot;/&gt;&lt;w:i/&gt;&lt;w:sz-cs w:val=&quot;21&quot;/&gt;&lt;/w:rPr&gt;&lt;/m:ctrlPr&gt;&lt;/m:sup&gt;&lt;m:e&gt;&lt;m:sSub&gt;&lt;m:sSubPr&gt;&lt;m:ctrlPr&gt;&lt;w:rPr&gt;&lt;w:rFonts w:ascii=&quot;Cambria Math&quot; w:h-ansi=&quot;Cambria Math&quot; w:hint=&quot;default&quot;/&gt;&lt;w:i/&gt;&lt;w:sz-cs w:val=&quot;21&quot;/&gt;&lt;/w:rPr&gt;&lt;/m:ctrlPr&gt;&lt;/m:sSubPr&gt;&lt;m:e&gt;&lt;m:r&gt;&lt;m:rPr&gt;&lt;m:scr m:val=&quot;roman&quot;/&gt;&lt;/m:rPr&gt;&lt;w:rPr&gt;&lt;w:rFonts w:ascii=&quot;Cambria Math&quot; w:h-ansi=&quot;Cambria Math&quot; w:hint=&quot;default&quot;/&gt;&lt;w:sz-cs w:val=&quot;21&quot;/&gt;&lt;/w:rPr&gt;&lt;m:t&gt;RE&lt;/m:t&gt;&lt;/m:r&gt;&lt;m:ctrlPr&gt;&lt;w:rPr&gt;&lt;w:rFonts w:ascii=&quot;Cambria Math&quot; w:h-ansi=&quot;Cambria Math&quot; w:hint=&quot;default&quot;/&gt;&lt;w:i/&gt;&lt;w:sz-cs w:val=&quot;21&quot;/&gt;&lt;/w:rPr&gt;&lt;/m:ctrlPr&gt;&lt;/m:e&gt;&lt;m:sub&gt;&lt;m:r&gt;&lt;m:rPr&gt;&lt;m:scr m:val=&quot;roman&quot;/&gt;&lt;/m:rPr&gt;&lt;w:rPr&gt;&lt;w:rFonts w:ascii=&quot;Cambria Math&quot; w:h-ansi=&quot;Cambria Math&quot; w:hint=&quot;default&quot;/&gt;&lt;w:sz-cs w:val=&quot;21&quot;/&gt;&lt;/w:rPr&gt;&lt;m:t&gt;T&lt;/m:t&gt;&lt;/m:r&gt;&lt;m:r&gt;&lt;m:rPr&gt;&lt;m:scr m:val=&quot;roman&quot;/&gt;&lt;/m:rPr&gt;&lt;w:rPr&gt;&lt;w:rFonts w:ascii=&quot;Cambria Math&quot; w:h-ansi=&quot;Cambria Math&quot; w:fareast=&quot;寰蒋闆呴粦&quot; w:hint=&quot;default&quot;/&gt;&lt;w:sz-cs w:val=&quot;21&quot;/&gt;&lt;/w:rPr&gt;&lt;m:t&gt;鈭?/m:t&gt;&lt;/m:r&gt;&lt;m:r&gt;&lt;m:rPr&gt;&lt;m:scr m:val=&quot;roman&quot;/&gt;&lt;/m:rPr&gt;&lt;w:rPr&gt;&lt;w:rFonts w:asc&gt;&lt;m:r&gt;&lt;i&lt;m:r&gt;&lt;mim:r&gt;&lt;m:=:r&gt;&lt;m:r&quot;r&gt;&lt;m:rPr&gt;&lt;m:rPrCambria Math&quot; w:h-ansi=&quot;Cambria Math&quot; w:hint=&quot;default&quot;/&gt;&lt;w:sz-cs w:val=&quot;21&quot;/&gt;&lt;/w:rPr&gt;&lt;m:t&gt;t&lt;/m:t&gt;&lt;/m:r&gt;&lt;m:ctrlPr&gt;&lt;w:rPr&gt;&lt;w:rFonts w:ascii=&quot;Cambria Math&quot; w:h-ansi=&quot;Cambria Math&quot; w:hint=&quot;default&quot;/&gt;&lt;w:i/&gt;&lt;w:sz-cs w:val=&quot;21&quot;/&gt;&lt;/w:rPr&gt;&lt;/m:ctrlPr&gt;&lt;/m:sub&gt;&lt;/m:sSub&gt;&lt;m:ctrlPr&gt;&lt;w:rPr&gt;&lt;w:rFonts w:ascii=&quot;Cambria Math&quot; w:h-ansi=&quot;Cambria Math&quot; w:hint=&quot;default&quot;/&gt;&lt;w:i/&gt;&lt;w:sz-cs w:val=&quot;21&quot;/&gt;&lt;/w:rPr&gt;&lt;/m:ctrlPr&gt;&lt;/m:e&gt;&lt;/m:nary&gt;&lt;m:ctrlPr&gt;&lt;w:rPr&gt;&lt;w:rFonts w:ascii=&quot;Cambria Math&quot; w:h-ansi=&quot;Cambria Math&quot; w:hint=&quot;default&quot;/&gt;&lt;w:i/&gt;&lt;w:sz-cs w:val=&quot;21&quot;/&gt;&lt;/w:rPr&gt;&lt;/m:ctrlPr&gt;&lt;/m:den&gt;&lt;/m:f&gt;&lt;/m:oMath&gt;&lt;/m:oMathPara&gt;&lt;/w:p&gt;&lt;/wx:sect&gt;&lt;/w:body&gt;&lt;/w:wordDocument">
                  <v:path/>
                  <v:fill on="f" focussize="0,0"/>
                  <v:stroke on="f" joinstyle="miter"/>
                  <v:imagedata r:id="rId85" o:title=""/>
                  <o:lock v:ext="edit" aspectratio="f"/>
                  <w10:wrap type="none"/>
                  <w10:anchorlock/>
                </v:shape>
              </w:pict>
            </w:r>
          </w:p>
          <w:p w14:paraId="74C7CA71">
            <w:pPr>
              <w:snapToGrid w:val="0"/>
              <w:spacing w:line="320" w:lineRule="exact"/>
              <w:ind w:firstLine="420" w:firstLineChars="200"/>
              <w:rPr>
                <w:rFonts w:ascii="Times New Roman" w:hAnsi="Times New Roman" w:eastAsia="仿宋_GB2312"/>
                <w:szCs w:val="21"/>
              </w:rPr>
            </w:pPr>
            <w:r>
              <w:rPr>
                <w:rFonts w:hint="eastAsia" w:ascii="Times New Roman" w:hAnsi="Times New Roman" w:eastAsia="仿宋_GB2312"/>
                <w:szCs w:val="21"/>
              </w:rPr>
              <w:t>其中：分子</w:t>
            </w:r>
            <w:r>
              <w:rPr>
                <w:rFonts w:ascii="Times New Roman" w:hAnsi="Times New Roman" w:eastAsia="仿宋_GB2312"/>
                <w:szCs w:val="21"/>
              </w:rPr>
              <w:t>RPT</w:t>
            </w:r>
            <w:r>
              <w:rPr>
                <w:rFonts w:hint="eastAsia" w:ascii="Times New Roman" w:hAnsi="Times New Roman" w:eastAsia="仿宋_GB2312"/>
                <w:szCs w:val="21"/>
              </w:rPr>
              <w:t>为调整后实际股价。分母为前</w:t>
            </w:r>
            <w:r>
              <w:rPr>
                <w:rFonts w:ascii="Times New Roman" w:hAnsi="Times New Roman" w:eastAsia="仿宋_GB2312"/>
                <w:szCs w:val="21"/>
              </w:rPr>
              <w:t>10</w:t>
            </w:r>
            <w:r>
              <w:rPr>
                <w:rFonts w:hint="eastAsia" w:ascii="Times New Roman" w:hAnsi="Times New Roman" w:eastAsia="仿宋_GB2312"/>
                <w:szCs w:val="21"/>
              </w:rPr>
              <w:t>年通胀调整后每股实际收益（</w:t>
            </w:r>
            <w:r>
              <w:rPr>
                <w:rFonts w:ascii="Times New Roman" w:hAnsi="Times New Roman" w:eastAsia="仿宋_GB2312"/>
                <w:szCs w:val="21"/>
              </w:rPr>
              <w:t>Real</w:t>
            </w:r>
            <w:r>
              <w:rPr>
                <w:rFonts w:hint="eastAsia" w:ascii="Times New Roman" w:hAnsi="Times New Roman" w:eastAsia="仿宋_GB2312"/>
                <w:szCs w:val="21"/>
              </w:rPr>
              <w:t>　</w:t>
            </w:r>
            <w:r>
              <w:rPr>
                <w:rFonts w:ascii="Times New Roman" w:hAnsi="Times New Roman" w:eastAsia="仿宋_GB2312"/>
                <w:szCs w:val="21"/>
              </w:rPr>
              <w:t>EPS</w:t>
            </w:r>
            <w:r>
              <w:rPr>
                <w:rFonts w:hint="eastAsia" w:ascii="Times New Roman" w:hAnsi="Times New Roman" w:eastAsia="仿宋_GB2312"/>
                <w:szCs w:val="21"/>
              </w:rPr>
              <w:t>）的平均值。</w:t>
            </w:r>
          </w:p>
        </w:tc>
      </w:tr>
    </w:tbl>
    <w:p w14:paraId="5C073010">
      <w:pPr>
        <w:snapToGrid w:val="0"/>
        <w:spacing w:line="560" w:lineRule="exact"/>
        <w:rPr>
          <w:rFonts w:ascii="仿宋_GB2312" w:hAnsi="Times New Roman" w:eastAsia="仿宋_GB2312"/>
          <w:sz w:val="28"/>
          <w:szCs w:val="28"/>
        </w:rPr>
      </w:pPr>
    </w:p>
    <w:p w14:paraId="41B0F058">
      <w:pPr>
        <w:snapToGrid w:val="0"/>
        <w:spacing w:line="560" w:lineRule="exact"/>
        <w:rPr>
          <w:rFonts w:ascii="仿宋_GB2312" w:hAnsi="Times New Roman" w:eastAsia="仿宋_GB2312"/>
          <w:sz w:val="28"/>
          <w:szCs w:val="28"/>
        </w:rPr>
      </w:pPr>
    </w:p>
    <w:p w14:paraId="7371BCC6">
      <w:pPr>
        <w:snapToGrid w:val="0"/>
        <w:spacing w:line="560" w:lineRule="exact"/>
        <w:rPr>
          <w:rFonts w:ascii="仿宋_GB2312" w:hAnsi="Times New Roman" w:eastAsia="仿宋_GB2312"/>
          <w:sz w:val="28"/>
          <w:szCs w:val="28"/>
        </w:rPr>
      </w:pPr>
    </w:p>
    <w:p w14:paraId="42BF954B">
      <w:pPr>
        <w:snapToGrid w:val="0"/>
        <w:spacing w:line="560" w:lineRule="exact"/>
        <w:rPr>
          <w:rFonts w:ascii="仿宋_GB2312" w:hAnsi="Times New Roman" w:eastAsia="仿宋_GB2312"/>
          <w:sz w:val="28"/>
          <w:szCs w:val="28"/>
        </w:rPr>
      </w:pPr>
    </w:p>
    <w:p w14:paraId="7195AA14">
      <w:pPr>
        <w:snapToGrid w:val="0"/>
        <w:spacing w:line="560" w:lineRule="exact"/>
        <w:rPr>
          <w:rFonts w:ascii="仿宋_GB2312" w:hAnsi="Times New Roman" w:eastAsia="仿宋_GB2312"/>
          <w:sz w:val="28"/>
          <w:szCs w:val="28"/>
        </w:rPr>
      </w:pPr>
    </w:p>
    <w:p w14:paraId="195B6F53">
      <w:pPr>
        <w:widowControl/>
        <w:jc w:val="left"/>
        <w:rPr>
          <w:rFonts w:ascii="仿宋_GB2312" w:hAnsi="Times New Roman" w:eastAsia="仿宋_GB2312"/>
          <w:sz w:val="28"/>
          <w:szCs w:val="28"/>
        </w:rPr>
      </w:pPr>
    </w:p>
    <w:sectPr>
      <w:footerReference r:id="rId31" w:type="default"/>
      <w:pgSz w:w="11906" w:h="16838"/>
      <w:pgMar w:top="1440" w:right="1803" w:bottom="1440" w:left="1803" w:header="851" w:footer="992" w:gutter="0"/>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E4002EFF" w:usb1="C200247B" w:usb2="00000009" w:usb3="00000000" w:csb0="200001FF" w:csb1="00000000"/>
  </w:font>
  <w:font w:name="华文宋体">
    <w:panose1 w:val="02010600040101010101"/>
    <w:charset w:val="86"/>
    <w:family w:val="auto"/>
    <w:pitch w:val="default"/>
    <w:sig w:usb0="00000287" w:usb1="080F0000" w:usb2="00000000" w:usb3="00000000" w:csb0="0004009F" w:csb1="DFD70000"/>
  </w:font>
  <w:font w:name="Helvetica Neue">
    <w:altName w:val="Times New Roman"/>
    <w:panose1 w:val="00000000000000000000"/>
    <w:charset w:val="00"/>
    <w:family w:val="auto"/>
    <w:pitch w:val="default"/>
    <w:sig w:usb0="00000000" w:usb1="00000000" w:usb2="00000010" w:usb3="00000000" w:csb0="00000000" w:csb1="00000000"/>
  </w:font>
  <w:font w:name="Arial Unicode MS">
    <w:altName w:val="宋体"/>
    <w:panose1 w:val="020B0604020202020204"/>
    <w:charset w:val="86"/>
    <w:family w:val="swiss"/>
    <w:pitch w:val="default"/>
    <w:sig w:usb0="00000000" w:usb1="00000000" w:usb2="0000003F" w:usb3="00000000" w:csb0="003F01FF" w:csb1="00000000"/>
  </w:font>
  <w:font w:name="仿宋_GB2312">
    <w:altName w:val="仿宋"/>
    <w:panose1 w:val="02010609030101010101"/>
    <w:charset w:val="86"/>
    <w:family w:val="modern"/>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楷体">
    <w:panose1 w:val="02010609060101010101"/>
    <w:charset w:val="86"/>
    <w:family w:val="modern"/>
    <w:pitch w:val="default"/>
    <w:sig w:usb0="800002BF" w:usb1="38CF7CFA" w:usb2="00000016" w:usb3="00000000" w:csb0="00040001" w:csb1="00000000"/>
  </w:font>
  <w:font w:name="Helvetica">
    <w:altName w:val="Arial"/>
    <w:panose1 w:val="020B0604020202020204"/>
    <w:charset w:val="00"/>
    <w:family w:val="swiss"/>
    <w:pitch w:val="default"/>
    <w:sig w:usb0="00000000" w:usb1="00000000" w:usb2="00000000" w:usb3="00000000" w:csb0="00000001" w:csb1="00000000"/>
  </w:font>
  <w:font w:name="华文仿宋">
    <w:panose1 w:val="02010600040101010101"/>
    <w:charset w:val="86"/>
    <w:family w:val="auto"/>
    <w:pitch w:val="default"/>
    <w:sig w:usb0="00000287" w:usb1="080F0000" w:usb2="00000000" w:usb3="00000000" w:csb0="0004009F" w:csb1="DFD7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BA4E46">
    <w:pPr>
      <w:pStyle w:val="15"/>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AE24F0">
                          <w:pPr>
                            <w:pStyle w:val="1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76AE24F0">
                    <w:pPr>
                      <w:pStyle w:val="1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0C9D2B">
    <w:pPr>
      <w:pStyle w:val="15"/>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4054DD">
    <w:pPr>
      <w:pStyle w:val="15"/>
      <w:jc w:val="both"/>
      <w:rPr>
        <w:rFonts w:ascii="Times New Roman" w:hAnsi="Times New Roman" w:cs="Times New Roman"/>
        <w:sz w:val="24"/>
      </w:rPr>
    </w:pPr>
    <w:r>
      <w:rPr>
        <w:sz w:val="24"/>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40A325">
                          <w:pPr>
                            <w:pStyle w:val="15"/>
                          </w:pPr>
                          <w:r>
                            <w:fldChar w:fldCharType="begin"/>
                          </w:r>
                          <w:r>
                            <w:instrText xml:space="preserve"> PAGE  \* MERGEFORMAT </w:instrText>
                          </w:r>
                          <w:r>
                            <w:fldChar w:fldCharType="separate"/>
                          </w:r>
                          <w:r>
                            <w:t>237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4340A325">
                    <w:pPr>
                      <w:pStyle w:val="15"/>
                    </w:pPr>
                    <w:r>
                      <w:fldChar w:fldCharType="begin"/>
                    </w:r>
                    <w:r>
                      <w:instrText xml:space="preserve"> PAGE  \* MERGEFORMAT </w:instrText>
                    </w:r>
                    <w:r>
                      <w:fldChar w:fldCharType="separate"/>
                    </w:r>
                    <w:r>
                      <w:t>237</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2AE837">
    <w:pPr>
      <w:pStyle w:val="15"/>
      <w:rPr>
        <w:rFonts w:ascii="宋体" w:hAnsi="宋体" w:eastAsia="宋体"/>
        <w:sz w:val="28"/>
        <w:szCs w:val="28"/>
      </w:rPr>
    </w:pPr>
    <w:sdt>
      <w:sdtPr>
        <w:rPr>
          <w:rFonts w:ascii="宋体" w:hAnsi="宋体" w:eastAsia="宋体"/>
          <w:sz w:val="28"/>
          <w:szCs w:val="28"/>
        </w:rPr>
        <w:id w:val="808600731"/>
      </w:sdtPr>
      <w:sdtEndPr>
        <w:rPr>
          <w:rFonts w:ascii="宋体" w:hAnsi="宋体" w:eastAsia="宋体"/>
          <w:sz w:val="28"/>
          <w:szCs w:val="28"/>
        </w:rPr>
      </w:sdtEndPr>
      <w:sdtContent>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16</w:t>
        </w:r>
        <w:r>
          <w:rPr>
            <w:rFonts w:ascii="宋体" w:hAnsi="宋体" w:eastAsia="宋体"/>
            <w:sz w:val="28"/>
            <w:szCs w:val="28"/>
          </w:rPr>
          <w:fldChar w:fldCharType="end"/>
        </w:r>
        <w:r>
          <w:rPr>
            <w:rFonts w:hint="eastAsia" w:ascii="宋体" w:hAnsi="宋体" w:eastAsia="宋体"/>
            <w:sz w:val="28"/>
            <w:szCs w:val="28"/>
          </w:rPr>
          <w:t>　</w:t>
        </w:r>
      </w:sdtContent>
    </w:sdt>
    <w:r>
      <w:rPr>
        <w:rFonts w:hint="eastAsia" w:ascii="宋体" w:hAnsi="宋体" w:eastAsia="宋体"/>
        <w:sz w:val="28"/>
        <w:szCs w:val="28"/>
      </w:rPr>
      <w:t>—</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CCC51C">
    <w:pPr>
      <w:pStyle w:val="15"/>
      <w:jc w:val="both"/>
      <w:rPr>
        <w:rFonts w:ascii="Times New Roman" w:hAnsi="Times New Roman" w:cs="Times New Roman"/>
        <w:sz w:val="24"/>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30E926">
    <w:pPr>
      <w:pStyle w:val="15"/>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4" name="文本框 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958296867"/>
                          </w:sdtPr>
                          <w:sdtContent>
                            <w:p w14:paraId="27553B7F">
                              <w:pPr>
                                <w:pStyle w:val="15"/>
                                <w:jc w:val="center"/>
                              </w:pPr>
                              <w:r>
                                <w:fldChar w:fldCharType="begin"/>
                              </w:r>
                              <w:r>
                                <w:instrText xml:space="preserve">PAGE   \* MERGEFORMAT</w:instrText>
                              </w:r>
                              <w:r>
                                <w:fldChar w:fldCharType="separate"/>
                              </w:r>
                              <w:r>
                                <w:rPr>
                                  <w:sz w:val="28"/>
                                  <w:szCs w:val="28"/>
                                  <w:lang w:val="zh-CN"/>
                                </w:rPr>
                                <w:t>276</w:t>
                              </w:r>
                              <w: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Y2NaItAgAAVwQAAA4AAABkcnMvZTJvRG9jLnhtbK1UzY7TMBC+I/EO&#10;lu80aYFVqZquylZFSCt2pYI4u47TRPKfbLdJeQB4A05cuPNcfQ4+O00XLRz2wMUZe8bf+PtmJvPr&#10;TklyEM43Rhd0PMopEZqbstG7gn76uH4xpcQHpksmjRYFPQpPrxfPn81bOxMTUxtZCkcAov2stQWt&#10;Q7CzLPO8For5kbFCw1kZp1jA1u2y0rEW6Epmkzy/ylrjSusMF97jdNU76RnRPQXQVFXDxcrwvRI6&#10;9KhOSBZAydeN9XSRXltVgoe7qvIiEFlQMA1pRRLY27hmizmb7RyzdcPPT2BPecIjToo1GkkvUCsW&#10;GNm75i8o1XBnvKnCiBuV9USSImAxzh9ps6mZFYkLpPb2Irr/f7D8w+HekaYs6JtXlGimUPHT92+n&#10;H79OP78SnEGg1voZ4jYWkaF7azq0zXDucRh5d5VT8QtGBH7Ie7zIK7pAeLw0nUynOVwcvmED/Ozh&#10;unU+vBNGkWgU1KF+SVZ2uPWhDx1CYjZt1o2UqYZSk7agVy9f5+nCxQNwqZEjkugfG63Qbbszs60p&#10;jyDmTN8b3vJ1g+S3zId75tAMeDDGJdxhqaRBEnO2KKmN+/Kv8xiPGsFLSYvmKqjGLFEi32vUDoBh&#10;MNxgbAdD79WNQbeOMYaWJxMXXJCDWTmjPmOGljEHXExzZCpoGMyb0Dc4ZpCL5TIFodssC7d6Y3mE&#10;juJ5u9wHCJh0jaL0Spy1Qr+lypxnIzb0n/sU9fA/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Y2NaItAgAAVwQAAA4AAAAAAAAAAQAgAAAAHwEAAGRycy9lMm9Eb2MueG1sUEsFBgAAAAAG&#10;AAYAWQEAAL4FAAAAAA==&#10;">
              <v:fill on="f" focussize="0,0"/>
              <v:stroke on="f" weight="0.5pt"/>
              <v:imagedata o:title=""/>
              <o:lock v:ext="edit" aspectratio="f"/>
              <v:textbox inset="0mm,0mm,0mm,0mm" style="mso-fit-shape-to-text:t;">
                <w:txbxContent>
                  <w:sdt>
                    <w:sdtPr>
                      <w:id w:val="958296867"/>
                    </w:sdtPr>
                    <w:sdtContent>
                      <w:p w14:paraId="27553B7F">
                        <w:pPr>
                          <w:pStyle w:val="15"/>
                          <w:jc w:val="center"/>
                        </w:pPr>
                        <w:r>
                          <w:fldChar w:fldCharType="begin"/>
                        </w:r>
                        <w:r>
                          <w:instrText xml:space="preserve">PAGE   \* MERGEFORMAT</w:instrText>
                        </w:r>
                        <w:r>
                          <w:fldChar w:fldCharType="separate"/>
                        </w:r>
                        <w:r>
                          <w:rPr>
                            <w:sz w:val="28"/>
                            <w:szCs w:val="28"/>
                            <w:lang w:val="zh-CN"/>
                          </w:rPr>
                          <w:t>276</w:t>
                        </w:r>
                        <w:r>
                          <w:fldChar w:fldCharType="end"/>
                        </w:r>
                      </w:p>
                    </w:sdtContent>
                  </w:sdt>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A92CB7">
    <w:pPr>
      <w:pStyle w:val="15"/>
      <w:framePr w:wrap="around" w:vAnchor="text" w:hAnchor="margin" w:xAlign="outside" w:y="1"/>
      <w:rPr>
        <w:rStyle w:val="28"/>
      </w:rPr>
    </w:pPr>
    <w:r>
      <w:rPr>
        <w:rStyle w:val="28"/>
      </w:rPr>
      <w:fldChar w:fldCharType="begin"/>
    </w:r>
    <w:r>
      <w:rPr>
        <w:rStyle w:val="28"/>
      </w:rPr>
      <w:instrText xml:space="preserve">PAGE  </w:instrText>
    </w:r>
    <w:r>
      <w:rPr>
        <w:rStyle w:val="28"/>
      </w:rPr>
      <w:fldChar w:fldCharType="end"/>
    </w:r>
  </w:p>
  <w:p w14:paraId="5B6E3E9E">
    <w:pPr>
      <w:pStyle w:val="15"/>
      <w:ind w:right="360"/>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D5A1FB">
    <w:pPr>
      <w:pStyle w:val="15"/>
      <w:jc w:val="both"/>
    </w:pPr>
  </w:p>
  <w:p w14:paraId="10DF9C21">
    <w:pPr>
      <w:pStyle w:val="15"/>
      <w:jc w:val="both"/>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96" name="文本框 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E2A6B0">
                          <w:pPr>
                            <w:pStyle w:val="15"/>
                          </w:pPr>
                          <w:r>
                            <w:fldChar w:fldCharType="begin"/>
                          </w:r>
                          <w:r>
                            <w:instrText xml:space="preserve"> PAGE  \* MERGEFORMAT </w:instrText>
                          </w:r>
                          <w:r>
                            <w:fldChar w:fldCharType="separate"/>
                          </w:r>
                          <w:r>
                            <w:t>491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atkyItAgAAVwQAAA4AAABkcnMvZTJvRG9jLnhtbK1UzY7TMBC+I/EO&#10;lu80aRFVqZ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bdTSjRTqPjlx/fL&#10;z4fLr28EZxCotn6OuJ1FZGjemQZtM5x7HEbeTeFU/IIRgR/ynq/yiiYQHi/NJrNZCheHb9gAP3m8&#10;bp0P74VRJBoZdahfKys7bX3oQoeQmE2bTSVlW0OpSZ3R6es3aXvh6gG41MgRSXSPjVZo9k3PbG/y&#10;M4g50/WGt3xTIfmW+XDPHJoBD8a4hDsshTRIYnqLktK4r/86j/GoEbyU1GiujGrMEiXyg0btABgG&#10;ww3GfjD0Ud0adOsYY2h5a+KCC3IwC2fUF8zQKuaAi2mOTBkNg3kbugbHDHKxWrVB6DbLwlbvLI/Q&#10;UTxvV8cAAVtdoyidEr1W6Le2Mv1sxIb+c99GPf4Pl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atkyItAgAAVwQAAA4AAAAAAAAAAQAgAAAAHwEAAGRycy9lMm9Eb2MueG1sUEsFBgAAAAAG&#10;AAYAWQEAAL4FAAAAAA==&#10;">
              <v:fill on="f" focussize="0,0"/>
              <v:stroke on="f" weight="0.5pt"/>
              <v:imagedata o:title=""/>
              <o:lock v:ext="edit" aspectratio="f"/>
              <v:textbox inset="0mm,0mm,0mm,0mm" style="mso-fit-shape-to-text:t;">
                <w:txbxContent>
                  <w:p w14:paraId="46E2A6B0">
                    <w:pPr>
                      <w:pStyle w:val="15"/>
                    </w:pPr>
                    <w:r>
                      <w:fldChar w:fldCharType="begin"/>
                    </w:r>
                    <w:r>
                      <w:instrText xml:space="preserve"> PAGE  \* MERGEFORMAT </w:instrText>
                    </w:r>
                    <w:r>
                      <w:fldChar w:fldCharType="separate"/>
                    </w:r>
                    <w:r>
                      <w:t>491</w:t>
                    </w:r>
                    <w:r>
                      <w:fldChar w:fldCharType="end"/>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90" name="文本框 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CC5D56E">
                          <w:pPr>
                            <w:pStyle w:val="15"/>
                            <w:jc w:val="both"/>
                          </w:pP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MU1NckBAACbAwAADgAAAGRycy9lMm9Eb2MueG1srVPNjtMwEL4j8Q6W&#10;79RpD6hETVe7qhYhIUBaeADXsRtL/pPHbdIXgDfgxIU7z9XnYOwkXVgue+CSjGcm33zfN87mZrCG&#10;nGQE7V1Dl4uKEumEb7U7NPTL5/tXa0ogcddy451s6FkCvdm+fLHpQy1XvvOmlZEgiIO6Dw3tUgo1&#10;YyA6aTksfJAOi8pHyxMe44G1kfeIbg1bVdVr1vvYhuiFBMDsbizSCTE+B9ArpYXceXG00qURNUrD&#10;E0qCTgeg28JWKSnSR6VAJmIaikpTeeIQjPf5ybYbXh8iD50WEwX+HApPNFmuHQ69Qu144uQY9T9Q&#10;Vovowau0EN6yUUhxBFUsqyfePHQ8yKIFrYZwNR3+H6z4cPoUiW4b+gYtcdzixi/fv11+/Lr8/Eow&#10;hwb1AWrsewjYmYY7P+C1mfOAyax7UNHmNyoiWEes89VeOSQi8kfr1XpdYUlgbT4gPnv8PERIb6W3&#10;JAcNjbi/Yis/vYc0ts4teZrz99qYskPj/kogZs6wzH3kmKM07IdJ0N63Z9TT4+ob6vCmU2LeOXQW&#10;+aU5iHOwn4NjiPrQIbVl4QXh9piQROGWJ4yw02DcWVE33a98Kf48l67Hf2r7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MxTU1yQEAAJsDAAAOAAAAAAAAAAEAIAAAAB4BAABkcnMvZTJvRG9j&#10;LnhtbFBLBQYAAAAABgAGAFkBAABZBQAAAAA=&#10;">
              <v:fill on="f" focussize="0,0"/>
              <v:stroke on="f"/>
              <v:imagedata o:title=""/>
              <o:lock v:ext="edit" aspectratio="f"/>
              <v:textbox inset="0mm,0mm,0mm,0mm" style="mso-fit-shape-to-text:t;">
                <w:txbxContent>
                  <w:p w14:paraId="0CC5D56E">
                    <w:pPr>
                      <w:pStyle w:val="15"/>
                      <w:jc w:val="both"/>
                    </w:pP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83356781"/>
    </w:sdtPr>
    <w:sdtContent>
      <w:p w14:paraId="03897D8E">
        <w:pPr>
          <w:pStyle w:val="15"/>
          <w:jc w:val="center"/>
        </w:pPr>
        <w:r>
          <w:fldChar w:fldCharType="begin"/>
        </w:r>
        <w:r>
          <w:instrText xml:space="preserve">PAGE   \* MERGEFORMAT</w:instrText>
        </w:r>
        <w:r>
          <w:fldChar w:fldCharType="separate"/>
        </w:r>
        <w:r>
          <w:rPr>
            <w:lang w:val="zh-CN"/>
          </w:rPr>
          <w:t>503</w:t>
        </w:r>
        <w:r>
          <w:rPr>
            <w:lang w:val="zh-CN"/>
          </w:rPr>
          <w:fldChar w:fldCharType="end"/>
        </w:r>
      </w:p>
    </w:sdtContent>
  </w:sdt>
  <w:p w14:paraId="579D433E">
    <w:pPr>
      <w:pStyle w:val="15"/>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D87679">
    <w:pPr>
      <w:pStyle w:val="15"/>
      <w:framePr w:wrap="around" w:vAnchor="text" w:hAnchor="margin" w:xAlign="center" w:y="1"/>
      <w:rPr>
        <w:rStyle w:val="28"/>
      </w:rPr>
    </w:pPr>
    <w:r>
      <w:rPr>
        <w:rStyle w:val="28"/>
      </w:rPr>
      <w:fldChar w:fldCharType="begin"/>
    </w:r>
    <w:r>
      <w:rPr>
        <w:rStyle w:val="28"/>
      </w:rPr>
      <w:instrText xml:space="preserve">PAGE  </w:instrText>
    </w:r>
    <w:r>
      <w:rPr>
        <w:rStyle w:val="28"/>
      </w:rPr>
      <w:fldChar w:fldCharType="separate"/>
    </w:r>
    <w:r>
      <w:rPr>
        <w:rStyle w:val="28"/>
      </w:rPr>
      <w:t>8</w:t>
    </w:r>
    <w:r>
      <w:rPr>
        <w:rStyle w:val="28"/>
      </w:rPr>
      <w:fldChar w:fldCharType="end"/>
    </w:r>
  </w:p>
  <w:p w14:paraId="00EC3CE8">
    <w:pPr>
      <w:pStyle w:val="15"/>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6811BC">
    <w:pPr>
      <w:pStyle w:val="15"/>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14A41D">
                          <w:pPr>
                            <w:pStyle w:val="15"/>
                          </w:pPr>
                          <w:r>
                            <w:fldChar w:fldCharType="begin"/>
                          </w:r>
                          <w:r>
                            <w:instrText xml:space="preserve"> PAGE  \* MERGEFORMAT </w:instrText>
                          </w:r>
                          <w:r>
                            <w:fldChar w:fldCharType="separate"/>
                          </w:r>
                          <w:r>
                            <w:t>683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aeTMsAgAAWQQAAA4AAABkcnMvZTJvRG9jLnhtbK1UzY7TMBC+I/EO&#10;lu80aRGrqmq6KlsVIVXsSgVxdh2nieQ/2W6T8gDwBpy4cOe5+hx8dpouWjjsgYsz9oy/8ffNTOa3&#10;nZLkKJxvjC7oeJRTIjQ3ZaP3Bf30cf1qSokPTJdMGi0KehKe3i5evpi3diYmpjayFI4ARPtZawta&#10;h2BnWeZ5LRTzI2OFhrMyTrGArdtnpWMt0JXMJnl+k7XGldYZLrzH6ap30guiew6gqaqGi5XhByV0&#10;6FGdkCyAkq8b6+kivbaqBA/3VeVFILKgYBrSiiSwd3HNFnM22ztm64ZfnsCe84QnnBRrNJJeoVYs&#10;MHJwzV9QquHOeFOFETcq64kkRcBinD/RZlszKxIXSO3tVXT//2D5h+ODI02JTsgnlGimUPLz92/n&#10;H7/OP7+SeAiJWutniNxaxIburekQPpx7HEbmXeVU/IITgR8Cn64Ciy4QHi9NJ9NpDheHb9gAP3u8&#10;bp0P74RRJBoFdahgEpYdNz70oUNIzKbNupEyVVFq0hb05vWbPF24egAuNXJEEv1joxW6XXdhtjPl&#10;CcSc6bvDW75ukHzDfHhgDu2AB2Ngwj2WShokMReLktq4L/86j/GoEryUtGivgmpMEyXyvUb1ABgG&#10;ww3GbjD0Qd0Z9OsYg2h5MnHBBTmYlTPqM6ZoGXPAxTRHpoKGwbwLfYtjCrlYLlMQ+s2ysNFbyyN0&#10;FM/b5SFAwKRrFKVX4qIVOi5V5jIdsaX/3Keoxz/C4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bNp5MywCAABZBAAADgAAAAAAAAABACAAAAAfAQAAZHJzL2Uyb0RvYy54bWxQSwUGAAAAAAYA&#10;BgBZAQAAvQUAAAAA&#10;">
              <v:fill on="f" focussize="0,0"/>
              <v:stroke on="f" weight="0.5pt"/>
              <v:imagedata o:title=""/>
              <o:lock v:ext="edit" aspectratio="f"/>
              <v:textbox inset="0mm,0mm,0mm,0mm" style="mso-fit-shape-to-text:t;">
                <w:txbxContent>
                  <w:p w14:paraId="6414A41D">
                    <w:pPr>
                      <w:pStyle w:val="15"/>
                    </w:pPr>
                    <w:r>
                      <w:fldChar w:fldCharType="begin"/>
                    </w:r>
                    <w:r>
                      <w:instrText xml:space="preserve"> PAGE  \* MERGEFORMAT </w:instrText>
                    </w:r>
                    <w:r>
                      <w:fldChar w:fldCharType="separate"/>
                    </w:r>
                    <w:r>
                      <w:t>683</w:t>
                    </w:r>
                    <w:r>
                      <w:fldChar w:fldCharType="end"/>
                    </w:r>
                  </w:p>
                </w:txbxContent>
              </v:textbox>
            </v:shape>
          </w:pict>
        </mc:Fallback>
      </mc:AlternateContent>
    </w: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8" name="文本框 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BC847D7">
                          <w:pPr>
                            <w:pStyle w:val="15"/>
                            <w:jc w:val="both"/>
                          </w:pP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cerDckBAACbAwAADgAAAGRycy9lMm9Eb2MueG1srVPNjtMwEL4j8Q6W&#10;79RpD6hETVe7qhYhIUBaeADXsRtL/pPHbdIXgDfgxIU7z9XnYOwkXVgue+DijGfG33zfzGRzM1hD&#10;TjKC9q6hy0VFiXTCt9odGvrl8/2rNSWQuGu58U429CyB3mxfvtj0oZYr33nTykgQxEHdh4Z2KYWa&#10;MRCdtBwWPkiHQeWj5Qmv8cDayHtEt4atquo1631sQ/RCAqB3NwbphBifA+iV0kLuvDha6dKIGqXh&#10;CSVBpwPQbWGrlBTpo1IgEzENRaWpnFgE7X0+2XbD60PkodNiosCfQ+GJJsu1w6JXqB1PnByj/gfK&#10;ahE9eJUWwls2CikdQRXL6klvHjoeZNGCrYZwbTr8P1jx4fQpEt029A3O3XGLE798/3b58evy8ytB&#10;HzaoD1Bj3kPAzDTc+QHXZvYDOrPuQUWbv6iIYBzbe762Vw6JiPxovVqvKwwJjM0XxGePz0OE9FZ6&#10;S7LR0IjzK23lp/eQxtQ5JVdz/l4bU2Zo3F8OxMwelrmPHLOVhv0wCdr79ox6ehx9Qx1uOiXmncPO&#10;5i2ZjTgb+9k4hqgPHVJbFl4Qbo8JSRRuucIIOxXGmRV1037lpfjzXrIe/6nt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Jx6sNyQEAAJsDAAAOAAAAAAAAAAEAIAAAAB4BAABkcnMvZTJvRG9j&#10;LnhtbFBLBQYAAAAABgAGAFkBAABZBQAAAAA=&#10;">
              <v:fill on="f" focussize="0,0"/>
              <v:stroke on="f"/>
              <v:imagedata o:title=""/>
              <o:lock v:ext="edit" aspectratio="f"/>
              <v:textbox inset="0mm,0mm,0mm,0mm" style="mso-fit-shape-to-text:t;">
                <w:txbxContent>
                  <w:p w14:paraId="0BC847D7">
                    <w:pPr>
                      <w:pStyle w:val="15"/>
                      <w:jc w:val="both"/>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76901751"/>
    </w:sdtPr>
    <w:sdtContent>
      <w:p w14:paraId="0B64AE5C">
        <w:pPr>
          <w:pStyle w:val="15"/>
          <w:jc w:val="center"/>
        </w:pPr>
        <w:r>
          <w:fldChar w:fldCharType="begin"/>
        </w:r>
        <w:r>
          <w:instrText xml:space="preserve">PAGE   \* MERGEFORMAT</w:instrText>
        </w:r>
        <w:r>
          <w:fldChar w:fldCharType="separate"/>
        </w:r>
        <w:r>
          <w:rPr>
            <w:lang w:val="zh-CN"/>
          </w:rPr>
          <w:t>1</w:t>
        </w:r>
        <w:r>
          <w:fldChar w:fldCharType="end"/>
        </w:r>
      </w:p>
    </w:sdtContent>
  </w:sdt>
  <w:p w14:paraId="2AA2B13F">
    <w:pPr>
      <w:pStyle w:val="1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37657564"/>
    </w:sdtPr>
    <w:sdtContent>
      <w:p w14:paraId="081FA560">
        <w:pPr>
          <w:pStyle w:val="15"/>
          <w:jc w:val="center"/>
        </w:pPr>
        <w:r>
          <w:fldChar w:fldCharType="begin"/>
        </w:r>
        <w:r>
          <w:instrText xml:space="preserve">PAGE   \* MERGEFORMAT</w:instrText>
        </w:r>
        <w:r>
          <w:fldChar w:fldCharType="separate"/>
        </w:r>
        <w:r>
          <w:rPr>
            <w:lang w:val="zh-CN"/>
          </w:rPr>
          <w:t>6</w:t>
        </w:r>
        <w:r>
          <w:fldChar w:fldCharType="end"/>
        </w:r>
      </w:p>
    </w:sdtContent>
  </w:sdt>
  <w:p w14:paraId="7DB44576">
    <w:pPr>
      <w:pStyle w:val="1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2468FC">
    <w:pPr>
      <w:pStyle w:val="15"/>
      <w:jc w:val="center"/>
    </w:pPr>
    <w:r>
      <w:fldChar w:fldCharType="begin"/>
    </w:r>
    <w:r>
      <w:instrText xml:space="preserve"> PAGE   \* MERGEFORMAT </w:instrText>
    </w:r>
    <w:r>
      <w:fldChar w:fldCharType="separate"/>
    </w:r>
    <w:r>
      <w:rPr>
        <w:lang w:val="zh-CN"/>
      </w:rPr>
      <w:t>2</w:t>
    </w:r>
    <w:r>
      <w:fldChar w:fldCharType="end"/>
    </w:r>
  </w:p>
  <w:p w14:paraId="40725764">
    <w:pPr>
      <w:pStyle w:val="1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BA274E">
    <w:pPr>
      <w:pStyle w:val="15"/>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58420" cy="139700"/>
              <wp:effectExtent l="0" t="0" r="0" b="0"/>
              <wp:wrapNone/>
              <wp:docPr id="19" name="Text Box 2"/>
              <wp:cNvGraphicFramePr/>
              <a:graphic xmlns:a="http://schemas.openxmlformats.org/drawingml/2006/main">
                <a:graphicData uri="http://schemas.microsoft.com/office/word/2010/wordprocessingShape">
                  <wps:wsp>
                    <wps:cNvSpPr txBox="1">
                      <a:spLocks noChangeArrowheads="1"/>
                    </wps:cNvSpPr>
                    <wps:spPr bwMode="auto">
                      <a:xfrm>
                        <a:off x="0" y="0"/>
                        <a:ext cx="58420" cy="139700"/>
                      </a:xfrm>
                      <a:prstGeom prst="rect">
                        <a:avLst/>
                      </a:prstGeom>
                      <a:noFill/>
                      <a:ln>
                        <a:noFill/>
                      </a:ln>
                      <a:effectLst/>
                    </wps:spPr>
                    <wps:txbx>
                      <w:txbxContent>
                        <w:p w14:paraId="7A84B448">
                          <w:pPr>
                            <w:pStyle w:val="15"/>
                          </w:pPr>
                          <w:r>
                            <w:rPr>
                              <w:rFonts w:hint="eastAsia"/>
                            </w:rPr>
                            <w:fldChar w:fldCharType="begin"/>
                          </w:r>
                          <w:r>
                            <w:rPr>
                              <w:rFonts w:hint="eastAsia"/>
                            </w:rPr>
                            <w:instrText xml:space="preserve"> PAGE  \* MERGEFORMAT </w:instrText>
                          </w:r>
                          <w:r>
                            <w:rPr>
                              <w:rFonts w:hint="eastAsia"/>
                            </w:rPr>
                            <w:fldChar w:fldCharType="separate"/>
                          </w:r>
                          <w:r>
                            <w:t>166</w:t>
                          </w:r>
                          <w:r>
                            <w:rPr>
                              <w:rFonts w:hint="eastAsia"/>
                            </w:rPr>
                            <w:fldChar w:fldCharType="end"/>
                          </w:r>
                        </w:p>
                      </w:txbxContent>
                    </wps:txbx>
                    <wps:bodyPr rot="0" vert="horz" wrap="none" lIns="0" tIns="0" rIns="0" bIns="0" anchor="t" anchorCtr="0" upright="1">
                      <a:spAutoFit/>
                    </wps:bodyPr>
                  </wps:wsp>
                </a:graphicData>
              </a:graphic>
            </wp:anchor>
          </w:drawing>
        </mc:Choice>
        <mc:Fallback>
          <w:pict>
            <v:shape id="Text Box 2" o:spid="_x0000_s1026" o:spt="202" type="#_x0000_t202" style="position:absolute;left:0pt;margin-top:0pt;height:11pt;width:4.6pt;mso-position-horizontal:center;mso-position-horizontal-relative:margin;mso-wrap-style:none;z-index:251668480;mso-width-relative:page;mso-height-relative:page;" filled="f" stroked="f" coordsize="21600,21600" o:gfxdata="UEsDBAoAAAAAAIdO4kAAAAAAAAAAAAAAAAAEAAAAZHJzL1BLAwQUAAAACACHTuJAy1u5d9AAAAAC&#10;AQAADwAAAGRycy9kb3ducmV2LnhtbE2PMU/DMBCFdyT+g3WV2KjdDFBCnA6VWNgoCInNja9xVPsc&#10;2W6a/HsOFlhOenpP733X7ObgxYQpD5E0bNYKBFIX7UC9ho/3l/stiFwMWeMjoYYFM+za25vG1DZe&#10;6Q2nQ+kFl1CujQZXylhLmTuHweR1HJHYO8UUTGGZemmTuXJ58LJS6kEGMxAvODPi3mF3PlyChsf5&#10;M+KYcY9fp6lLbli2/nXR+m61Uc8gCs7lLww/+IwOLTMd44VsFl4DP1J+L3tPFYijhqpSINtG/kdv&#10;vwFQSwMEFAAAAAgAh07iQJC5DSz+AQAADwQAAA4AAABkcnMvZTJvRG9jLnhtbK1TTW/bMAy9D9h/&#10;EHRf7GRfrRGn6BpkGNB1A9r+AFmWY2GWKFBK7OzXj5LtrGsvPexi0BT5xPf4tL4aTMeOCr0GW/Ll&#10;IudMWQm1tvuSPz7s3l1w5oOwtejAqpKflOdXm7dv1r0r1Apa6GqFjECsL3pX8jYEV2SZl60ywi/A&#10;KUuHDaARgX5xn9UoekI3XbbK809ZD1g7BKm8p+x2POQTIr4GEJpGS7UFeTDKhhEVVScCUfKtdp5v&#10;0rRNo2T40TReBdaVnJiG9KVLKK7iN9usRbFH4VotpxHEa0Z4xskIbenSM9RWBMEOqF9AGS0RPDRh&#10;IcFkI5GkCLFY5s+0uW+FU4kLSe3dWXT//2Dl3fEnMl2TEy45s8LQxh/UENgXGNgqytM7X1DVvaO6&#10;MFCaShNV725B/vLMwk0r7F5dI0LfKlHTeMvYmT1pHXF8BKn671DTNeIQIAENDZqoHanBCJ1Wczqv&#10;Jo4iKfnx4sOKDiSdLN9ffs7T5jJRzL0OffiqwLAYlBxp8QlbHG99iLOIYi6JV1nY6a5Ly+/sPwkq&#10;HDMquWfqjkzi8CONMFTDpEwF9Yk4IYzOondFQQv4m7OeXFVyS4+Is+6bJVWiAecA56CaA2ElNZY8&#10;cDaGN2E06sGh3reEO+t+TcrtdKIVBxtnmPQmnyS2k6ejEZ/+p6q/73jz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MtbuXfQAAAAAgEAAA8AAAAAAAAAAQAgAAAAIgAAAGRycy9kb3ducmV2LnhtbFBL&#10;AQIUABQAAAAIAIdO4kCQuQ0s/gEAAA8EAAAOAAAAAAAAAAEAIAAAAB8BAABkcnMvZTJvRG9jLnht&#10;bFBLBQYAAAAABgAGAFkBAACPBQAAAAA=&#10;">
              <v:fill on="f" focussize="0,0"/>
              <v:stroke on="f"/>
              <v:imagedata o:title=""/>
              <o:lock v:ext="edit" aspectratio="f"/>
              <v:textbox inset="0mm,0mm,0mm,0mm" style="mso-fit-shape-to-text:t;">
                <w:txbxContent>
                  <w:p w14:paraId="7A84B448">
                    <w:pPr>
                      <w:pStyle w:val="15"/>
                    </w:pPr>
                    <w:r>
                      <w:rPr>
                        <w:rFonts w:hint="eastAsia"/>
                      </w:rPr>
                      <w:fldChar w:fldCharType="begin"/>
                    </w:r>
                    <w:r>
                      <w:rPr>
                        <w:rFonts w:hint="eastAsia"/>
                      </w:rPr>
                      <w:instrText xml:space="preserve"> PAGE  \* MERGEFORMAT </w:instrText>
                    </w:r>
                    <w:r>
                      <w:rPr>
                        <w:rFonts w:hint="eastAsia"/>
                      </w:rPr>
                      <w:fldChar w:fldCharType="separate"/>
                    </w:r>
                    <w:r>
                      <w:t>166</w:t>
                    </w:r>
                    <w:r>
                      <w:rPr>
                        <w:rFonts w:hint="eastAsia"/>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74902411"/>
    </w:sdtPr>
    <w:sdtContent>
      <w:p w14:paraId="7C8B2DB1">
        <w:pPr>
          <w:pStyle w:val="15"/>
          <w:jc w:val="center"/>
        </w:pPr>
        <w:r>
          <w:fldChar w:fldCharType="begin"/>
        </w:r>
        <w:r>
          <w:instrText xml:space="preserve">PAGE   \* MERGEFORMAT</w:instrText>
        </w:r>
        <w:r>
          <w:fldChar w:fldCharType="separate"/>
        </w:r>
        <w:r>
          <w:rPr>
            <w:lang w:val="zh-CN"/>
          </w:rPr>
          <w:t>204</w:t>
        </w:r>
        <w:r>
          <w:fldChar w:fldCharType="end"/>
        </w:r>
      </w:p>
    </w:sdtContent>
  </w:sdt>
  <w:p w14:paraId="5F762170">
    <w:pPr>
      <w:pStyle w:val="15"/>
      <w:tabs>
        <w:tab w:val="right" w:pos="8280"/>
        <w:tab w:val="clear" w:pos="8306"/>
      </w:tabs>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A316FA">
    <w:pPr>
      <w:pStyle w:val="15"/>
      <w:jc w:val="center"/>
      <w:rPr>
        <w:rFonts w:ascii="Times New Roman" w:hAnsi="Times New Roman"/>
        <w:sz w:val="21"/>
        <w:szCs w:val="21"/>
      </w:rPr>
    </w:pPr>
    <w:r>
      <w:rPr>
        <w:sz w:val="21"/>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41B57A">
                          <w:pPr>
                            <w:pStyle w:val="15"/>
                            <w:jc w:val="center"/>
                          </w:pPr>
                          <w:r>
                            <w:rPr>
                              <w:rFonts w:hint="eastAsia"/>
                              <w:sz w:val="21"/>
                              <w:szCs w:val="21"/>
                            </w:rPr>
                            <w:t>―</w:t>
                          </w:r>
                          <w:r>
                            <w:rPr>
                              <w:rFonts w:ascii="Times New Roman" w:hAnsi="Times New Roman"/>
                              <w:sz w:val="21"/>
                              <w:szCs w:val="21"/>
                            </w:rPr>
                            <w:fldChar w:fldCharType="begin"/>
                          </w:r>
                          <w:r>
                            <w:rPr>
                              <w:rFonts w:ascii="Times New Roman" w:hAnsi="Times New Roman"/>
                              <w:sz w:val="21"/>
                              <w:szCs w:val="21"/>
                            </w:rPr>
                            <w:instrText xml:space="preserve"> PAGE   \* MERGEFORMAT </w:instrText>
                          </w:r>
                          <w:r>
                            <w:rPr>
                              <w:rFonts w:ascii="Times New Roman" w:hAnsi="Times New Roman"/>
                              <w:sz w:val="21"/>
                              <w:szCs w:val="21"/>
                            </w:rPr>
                            <w:fldChar w:fldCharType="separate"/>
                          </w:r>
                          <w:r>
                            <w:rPr>
                              <w:rFonts w:ascii="Times New Roman" w:hAnsi="Times New Roman"/>
                              <w:sz w:val="21"/>
                              <w:szCs w:val="21"/>
                              <w:lang w:val="zh-CN"/>
                            </w:rPr>
                            <w:t>231</w:t>
                          </w:r>
                          <w:r>
                            <w:rPr>
                              <w:rFonts w:ascii="Times New Roman" w:hAnsi="Times New Roman"/>
                              <w:sz w:val="21"/>
                              <w:szCs w:val="21"/>
                            </w:rPr>
                            <w:fldChar w:fldCharType="end"/>
                          </w:r>
                          <w:r>
                            <w:rPr>
                              <w:rFonts w:hint="eastAsia"/>
                              <w:sz w:val="21"/>
                              <w:szCs w:val="21"/>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XU/0tAgAAVwQAAA4AAABkcnMvZTJvRG9jLnhtbK1UzY7TMBC+I/EO&#10;lu80bVe7qqqmq7JVEVLFrrQgzq7jNJH8J9ttUh4A3oATF+48V5+Dz07SRQuHPXBxxp7xN/6+mcni&#10;tlWSHIXztdE5nYzGlAjNTVHrfU4/fdy8mVHiA9MFk0aLnJ6Ep7fL168WjZ2LqamMLIQjANF+3tic&#10;ViHYeZZ5XgnF/MhYoeEsjVMsYOv2WeFYA3Qls+l4fJM1xhXWGS68x+m6c9Ie0b0E0JRlzcXa8IMS&#10;OnSoTkgWQMlXtfV0mV5bloKH+7L0IhCZUzANaUUS2Lu4ZssFm+8ds1XN+yewlzzhGSfFao2kF6g1&#10;C4wcXP0XlKq5M96UYcSNyjoiSRGwmIyfafNYMSsSF0jt7UV0//9g+YfjgyN1kdOra0o0U6j4+fu3&#10;849f559fCc4gUGP9HHGPFpGhfWtatM1w7nEYebelU/ELRgR+yHu6yCvaQHi8NJvOZmO4OHzDBvjZ&#10;03XrfHgnjCLRyKlD/ZKs7Lj1oQsdQmI2bTa1lKmGUpMmpzdX1+N04eIBuNTIEUl0j41WaHdtz2xn&#10;ihOIOdP1hrd8UyP5lvnwwByaAQ/GuIR7LKU0SGJ6i5LKuC//Oo/xqBG8lDRorpxqzBIl8r1G7QAY&#10;BsMNxm4w9EHdGXTrBGNoeTJxwQU5mKUz6jNmaBVzwMU0R6achsG8C12DYwa5WK1SELrNsrDVj5ZH&#10;6Ciet6tDgIBJ1yhKp0SvFfotVaafjdjQf+5T1NP/YPk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xXU/0tAgAAVwQAAA4AAAAAAAAAAQAgAAAAHwEAAGRycy9lMm9Eb2MueG1sUEsFBgAAAAAG&#10;AAYAWQEAAL4FAAAAAA==&#10;">
              <v:fill on="f" focussize="0,0"/>
              <v:stroke on="f" weight="0.5pt"/>
              <v:imagedata o:title=""/>
              <o:lock v:ext="edit" aspectratio="f"/>
              <v:textbox inset="0mm,0mm,0mm,0mm" style="mso-fit-shape-to-text:t;">
                <w:txbxContent>
                  <w:p w14:paraId="5241B57A">
                    <w:pPr>
                      <w:pStyle w:val="15"/>
                      <w:jc w:val="center"/>
                    </w:pPr>
                    <w:r>
                      <w:rPr>
                        <w:rFonts w:hint="eastAsia"/>
                        <w:sz w:val="21"/>
                        <w:szCs w:val="21"/>
                      </w:rPr>
                      <w:t>―</w:t>
                    </w:r>
                    <w:r>
                      <w:rPr>
                        <w:rFonts w:ascii="Times New Roman" w:hAnsi="Times New Roman"/>
                        <w:sz w:val="21"/>
                        <w:szCs w:val="21"/>
                      </w:rPr>
                      <w:fldChar w:fldCharType="begin"/>
                    </w:r>
                    <w:r>
                      <w:rPr>
                        <w:rFonts w:ascii="Times New Roman" w:hAnsi="Times New Roman"/>
                        <w:sz w:val="21"/>
                        <w:szCs w:val="21"/>
                      </w:rPr>
                      <w:instrText xml:space="preserve"> PAGE   \* MERGEFORMAT </w:instrText>
                    </w:r>
                    <w:r>
                      <w:rPr>
                        <w:rFonts w:ascii="Times New Roman" w:hAnsi="Times New Roman"/>
                        <w:sz w:val="21"/>
                        <w:szCs w:val="21"/>
                      </w:rPr>
                      <w:fldChar w:fldCharType="separate"/>
                    </w:r>
                    <w:r>
                      <w:rPr>
                        <w:rFonts w:ascii="Times New Roman" w:hAnsi="Times New Roman"/>
                        <w:sz w:val="21"/>
                        <w:szCs w:val="21"/>
                        <w:lang w:val="zh-CN"/>
                      </w:rPr>
                      <w:t>231</w:t>
                    </w:r>
                    <w:r>
                      <w:rPr>
                        <w:rFonts w:ascii="Times New Roman" w:hAnsi="Times New Roman"/>
                        <w:sz w:val="21"/>
                        <w:szCs w:val="21"/>
                      </w:rPr>
                      <w:fldChar w:fldCharType="end"/>
                    </w:r>
                    <w:r>
                      <w:rPr>
                        <w:rFonts w:hint="eastAsia"/>
                        <w:sz w:val="21"/>
                        <w:szCs w:val="21"/>
                      </w:rPr>
                      <w:t>―</w:t>
                    </w:r>
                  </w:p>
                </w:txbxContent>
              </v:textbox>
            </v:shape>
          </w:pict>
        </mc:Fallback>
      </mc:AlternateContent>
    </w:r>
  </w:p>
  <w:p w14:paraId="32319C2E">
    <w:pPr>
      <w:pStyle w:val="15"/>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23C539">
    <w:pPr>
      <w:pStyle w:val="15"/>
      <w:jc w:val="center"/>
      <w:rPr>
        <w:rFonts w:ascii="Times New Roman" w:hAnsi="Times New Roman"/>
        <w:sz w:val="21"/>
        <w:szCs w:val="21"/>
      </w:rPr>
    </w:pPr>
    <w:r>
      <w:rPr>
        <w:sz w:val="21"/>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B24B32">
                          <w:pPr>
                            <w:pStyle w:val="15"/>
                            <w:jc w:val="center"/>
                          </w:pPr>
                          <w:r>
                            <w:rPr>
                              <w:rFonts w:hint="eastAsia"/>
                              <w:sz w:val="21"/>
                              <w:szCs w:val="21"/>
                            </w:rPr>
                            <w:t>―</w:t>
                          </w:r>
                          <w:r>
                            <w:rPr>
                              <w:rFonts w:ascii="Times New Roman" w:hAnsi="Times New Roman"/>
                              <w:sz w:val="21"/>
                              <w:szCs w:val="21"/>
                            </w:rPr>
                            <w:fldChar w:fldCharType="begin"/>
                          </w:r>
                          <w:r>
                            <w:rPr>
                              <w:rFonts w:ascii="Times New Roman" w:hAnsi="Times New Roman"/>
                              <w:sz w:val="21"/>
                              <w:szCs w:val="21"/>
                            </w:rPr>
                            <w:instrText xml:space="preserve"> PAGE   \* MERGEFORMAT </w:instrText>
                          </w:r>
                          <w:r>
                            <w:rPr>
                              <w:rFonts w:ascii="Times New Roman" w:hAnsi="Times New Roman"/>
                              <w:sz w:val="21"/>
                              <w:szCs w:val="21"/>
                            </w:rPr>
                            <w:fldChar w:fldCharType="separate"/>
                          </w:r>
                          <w:r>
                            <w:rPr>
                              <w:rFonts w:ascii="Times New Roman" w:hAnsi="Times New Roman"/>
                              <w:sz w:val="21"/>
                              <w:szCs w:val="21"/>
                              <w:lang w:val="zh-CN"/>
                            </w:rPr>
                            <w:t>236</w:t>
                          </w:r>
                          <w:r>
                            <w:rPr>
                              <w:rFonts w:ascii="Times New Roman" w:hAnsi="Times New Roman"/>
                              <w:sz w:val="21"/>
                              <w:szCs w:val="21"/>
                            </w:rPr>
                            <w:fldChar w:fldCharType="end"/>
                          </w:r>
                          <w:r>
                            <w:rPr>
                              <w:rFonts w:hint="eastAsia"/>
                              <w:sz w:val="21"/>
                              <w:szCs w:val="21"/>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Bpj0tAgAAV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SBpj0tAgAAVwQAAA4AAAAAAAAAAQAgAAAAHwEAAGRycy9lMm9Eb2MueG1sUEsFBgAAAAAG&#10;AAYAWQEAAL4FAAAAAA==&#10;">
              <v:fill on="f" focussize="0,0"/>
              <v:stroke on="f" weight="0.5pt"/>
              <v:imagedata o:title=""/>
              <o:lock v:ext="edit" aspectratio="f"/>
              <v:textbox inset="0mm,0mm,0mm,0mm" style="mso-fit-shape-to-text:t;">
                <w:txbxContent>
                  <w:p w14:paraId="03B24B32">
                    <w:pPr>
                      <w:pStyle w:val="15"/>
                      <w:jc w:val="center"/>
                    </w:pPr>
                    <w:r>
                      <w:rPr>
                        <w:rFonts w:hint="eastAsia"/>
                        <w:sz w:val="21"/>
                        <w:szCs w:val="21"/>
                      </w:rPr>
                      <w:t>―</w:t>
                    </w:r>
                    <w:r>
                      <w:rPr>
                        <w:rFonts w:ascii="Times New Roman" w:hAnsi="Times New Roman"/>
                        <w:sz w:val="21"/>
                        <w:szCs w:val="21"/>
                      </w:rPr>
                      <w:fldChar w:fldCharType="begin"/>
                    </w:r>
                    <w:r>
                      <w:rPr>
                        <w:rFonts w:ascii="Times New Roman" w:hAnsi="Times New Roman"/>
                        <w:sz w:val="21"/>
                        <w:szCs w:val="21"/>
                      </w:rPr>
                      <w:instrText xml:space="preserve"> PAGE   \* MERGEFORMAT </w:instrText>
                    </w:r>
                    <w:r>
                      <w:rPr>
                        <w:rFonts w:ascii="Times New Roman" w:hAnsi="Times New Roman"/>
                        <w:sz w:val="21"/>
                        <w:szCs w:val="21"/>
                      </w:rPr>
                      <w:fldChar w:fldCharType="separate"/>
                    </w:r>
                    <w:r>
                      <w:rPr>
                        <w:rFonts w:ascii="Times New Roman" w:hAnsi="Times New Roman"/>
                        <w:sz w:val="21"/>
                        <w:szCs w:val="21"/>
                        <w:lang w:val="zh-CN"/>
                      </w:rPr>
                      <w:t>236</w:t>
                    </w:r>
                    <w:r>
                      <w:rPr>
                        <w:rFonts w:ascii="Times New Roman" w:hAnsi="Times New Roman"/>
                        <w:sz w:val="21"/>
                        <w:szCs w:val="21"/>
                      </w:rPr>
                      <w:fldChar w:fldCharType="end"/>
                    </w:r>
                    <w:r>
                      <w:rPr>
                        <w:rFonts w:hint="eastAsia"/>
                        <w:sz w:val="21"/>
                        <w:szCs w:val="21"/>
                      </w:rPr>
                      <w:t>―</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BE062F">
    <w:pPr>
      <w:pStyle w:val="1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03D7F3">
    <w:pPr>
      <w:pStyle w:val="16"/>
      <w:pBdr>
        <w:bottom w:val="none" w:color="auto" w:sz="0" w:space="0"/>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C106B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C08F84">
    <w:pPr>
      <w:pStyle w:val="16"/>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4F2894">
    <w:pPr>
      <w:pStyle w:val="4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676FF9">
    <w:pPr>
      <w:pStyle w:val="44"/>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DFBDED">
    <w:pPr>
      <w:pStyle w:val="44"/>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09896E">
    <w:pPr>
      <w:pStyle w:val="16"/>
      <w:pBdr>
        <w:bottom w:val="none" w:color="auto" w:sz="0" w:space="0"/>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D5B10A">
    <w:pPr>
      <w:pStyle w:val="16"/>
      <w:pBdr>
        <w:bottom w:val="none" w:color="auto" w:sz="0" w:space="0"/>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D1CD3B">
    <w:pPr>
      <w:pStyle w:val="16"/>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B6EF09">
    <w:pPr>
      <w:pStyle w:val="1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0D70F6B"/>
    <w:multiLevelType w:val="singleLevel"/>
    <w:tmpl w:val="F0D70F6B"/>
    <w:lvl w:ilvl="0" w:tentative="0">
      <w:start w:val="1"/>
      <w:numFmt w:val="chineseCounting"/>
      <w:suff w:val="nothing"/>
      <w:lvlText w:val="（%1）"/>
      <w:lvlJc w:val="left"/>
      <w:rPr>
        <w:rFonts w:hint="eastAsia"/>
      </w:rPr>
    </w:lvl>
  </w:abstractNum>
  <w:abstractNum w:abstractNumId="1">
    <w:nsid w:val="2354A094"/>
    <w:multiLevelType w:val="singleLevel"/>
    <w:tmpl w:val="2354A094"/>
    <w:lvl w:ilvl="0" w:tentative="0">
      <w:start w:val="1"/>
      <w:numFmt w:val="chineseCounting"/>
      <w:suff w:val="nothing"/>
      <w:lvlText w:val="（%1）"/>
      <w:lvlJc w:val="left"/>
      <w:rPr>
        <w:rFonts w:hint="eastAsia"/>
      </w:rPr>
    </w:lvl>
  </w:abstractNum>
  <w:abstractNum w:abstractNumId="2">
    <w:nsid w:val="44996E6E"/>
    <w:multiLevelType w:val="multilevel"/>
    <w:tmpl w:val="44996E6E"/>
    <w:lvl w:ilvl="0" w:tentative="0">
      <w:start w:val="1"/>
      <w:numFmt w:val="bullet"/>
      <w:lvlText w:val=""/>
      <w:lvlJc w:val="left"/>
      <w:pPr>
        <w:ind w:left="420" w:hanging="420"/>
      </w:pPr>
      <w:rPr>
        <w:rFonts w:hint="default" w:ascii="Wingdings" w:hAnsi="Wingdings"/>
        <w:sz w:val="11"/>
        <w:szCs w:val="11"/>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4931A61C"/>
    <w:multiLevelType w:val="singleLevel"/>
    <w:tmpl w:val="4931A61C"/>
    <w:lvl w:ilvl="0" w:tentative="0">
      <w:start w:val="1"/>
      <w:numFmt w:val="chineseCounting"/>
      <w:suff w:val="nothing"/>
      <w:lvlText w:val="（%1）"/>
      <w:lvlJc w:val="left"/>
      <w:rPr>
        <w:rFonts w:hint="eastAsia"/>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hideSpellingErrors/>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3YjRhYWY1OGQ5MTljNTVkNDBlNmE5Zjc4ODI0MmUifQ=="/>
  </w:docVars>
  <w:rsids>
    <w:rsidRoot w:val="45EA2246"/>
    <w:rsid w:val="000B6656"/>
    <w:rsid w:val="00194045"/>
    <w:rsid w:val="001C3D55"/>
    <w:rsid w:val="002B4B1D"/>
    <w:rsid w:val="00333810"/>
    <w:rsid w:val="00394873"/>
    <w:rsid w:val="004B3ED3"/>
    <w:rsid w:val="005104AA"/>
    <w:rsid w:val="00564D6A"/>
    <w:rsid w:val="00675D6C"/>
    <w:rsid w:val="006A04A5"/>
    <w:rsid w:val="006F692F"/>
    <w:rsid w:val="00732115"/>
    <w:rsid w:val="00745497"/>
    <w:rsid w:val="00756CF8"/>
    <w:rsid w:val="007E31A3"/>
    <w:rsid w:val="007F0AB4"/>
    <w:rsid w:val="00802650"/>
    <w:rsid w:val="00815DD9"/>
    <w:rsid w:val="00817156"/>
    <w:rsid w:val="00835B65"/>
    <w:rsid w:val="0087327A"/>
    <w:rsid w:val="00887929"/>
    <w:rsid w:val="00902A59"/>
    <w:rsid w:val="00924BD5"/>
    <w:rsid w:val="009255C4"/>
    <w:rsid w:val="0094120B"/>
    <w:rsid w:val="00980A87"/>
    <w:rsid w:val="009B21D8"/>
    <w:rsid w:val="00A452DF"/>
    <w:rsid w:val="00B15FB8"/>
    <w:rsid w:val="00BF4AB4"/>
    <w:rsid w:val="00BF5408"/>
    <w:rsid w:val="00C7506C"/>
    <w:rsid w:val="00CC26B3"/>
    <w:rsid w:val="00D74271"/>
    <w:rsid w:val="00D97F07"/>
    <w:rsid w:val="00EF6B30"/>
    <w:rsid w:val="00F20135"/>
    <w:rsid w:val="00F659F7"/>
    <w:rsid w:val="00FE0693"/>
    <w:rsid w:val="015F03E0"/>
    <w:rsid w:val="029A5B35"/>
    <w:rsid w:val="03142422"/>
    <w:rsid w:val="036745D8"/>
    <w:rsid w:val="040A35E0"/>
    <w:rsid w:val="057106C2"/>
    <w:rsid w:val="0583473F"/>
    <w:rsid w:val="0BDD5E64"/>
    <w:rsid w:val="0BE35E36"/>
    <w:rsid w:val="0ED17BCF"/>
    <w:rsid w:val="0F097772"/>
    <w:rsid w:val="133956A6"/>
    <w:rsid w:val="16441CA3"/>
    <w:rsid w:val="17660BD2"/>
    <w:rsid w:val="176F6162"/>
    <w:rsid w:val="1D5F5029"/>
    <w:rsid w:val="1D621EBC"/>
    <w:rsid w:val="1DC14A67"/>
    <w:rsid w:val="2180547C"/>
    <w:rsid w:val="227B2A48"/>
    <w:rsid w:val="22B93D93"/>
    <w:rsid w:val="246B26CF"/>
    <w:rsid w:val="27670EA5"/>
    <w:rsid w:val="283F080E"/>
    <w:rsid w:val="28DC6F6C"/>
    <w:rsid w:val="2A0E36C9"/>
    <w:rsid w:val="2E9E0360"/>
    <w:rsid w:val="334A27C6"/>
    <w:rsid w:val="33A50723"/>
    <w:rsid w:val="36B40CD9"/>
    <w:rsid w:val="373B2814"/>
    <w:rsid w:val="3ABD5C25"/>
    <w:rsid w:val="3AE41434"/>
    <w:rsid w:val="3BD570B5"/>
    <w:rsid w:val="3C0F2006"/>
    <w:rsid w:val="3E347888"/>
    <w:rsid w:val="3F8D2BE7"/>
    <w:rsid w:val="41156558"/>
    <w:rsid w:val="42747263"/>
    <w:rsid w:val="434B2D8E"/>
    <w:rsid w:val="45882BA2"/>
    <w:rsid w:val="45EA2246"/>
    <w:rsid w:val="4AE179E9"/>
    <w:rsid w:val="4CA94E2C"/>
    <w:rsid w:val="4D9548CD"/>
    <w:rsid w:val="4FEC51CE"/>
    <w:rsid w:val="53251536"/>
    <w:rsid w:val="53C96F3C"/>
    <w:rsid w:val="54666392"/>
    <w:rsid w:val="54C17FB8"/>
    <w:rsid w:val="564C0629"/>
    <w:rsid w:val="58AB245E"/>
    <w:rsid w:val="5BD102E5"/>
    <w:rsid w:val="5CA16DFA"/>
    <w:rsid w:val="5CBD08E7"/>
    <w:rsid w:val="5DB8391A"/>
    <w:rsid w:val="5E012940"/>
    <w:rsid w:val="5E487EF5"/>
    <w:rsid w:val="620779B0"/>
    <w:rsid w:val="63E55C50"/>
    <w:rsid w:val="666E1B85"/>
    <w:rsid w:val="688B328F"/>
    <w:rsid w:val="688B736C"/>
    <w:rsid w:val="6B357B42"/>
    <w:rsid w:val="6EDB7378"/>
    <w:rsid w:val="6FB57623"/>
    <w:rsid w:val="72401F86"/>
    <w:rsid w:val="74202BC4"/>
    <w:rsid w:val="75333EF8"/>
    <w:rsid w:val="75BC455B"/>
    <w:rsid w:val="7606125B"/>
    <w:rsid w:val="76477DBE"/>
    <w:rsid w:val="79840D72"/>
    <w:rsid w:val="79875280"/>
    <w:rsid w:val="7DF73F78"/>
    <w:rsid w:val="7E3531A9"/>
    <w:rsid w:val="7F251F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qFormat="1"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39" w:semiHidden="0" w:name="toc 4"/>
    <w:lsdException w:unhideWhenUsed="0" w:uiPriority="39" w:semiHidden="0" w:name="toc 5"/>
    <w:lsdException w:unhideWhenUsed="0" w:uiPriority="39" w:semiHidden="0" w:name="toc 6"/>
    <w:lsdException w:unhideWhenUsed="0" w:uiPriority="39" w:semiHidden="0" w:name="toc 7"/>
    <w:lsdException w:unhideWhenUsed="0" w:uiPriority="39" w:semiHidden="0" w:name="toc 8"/>
    <w:lsdException w:unhideWhenUsed="0" w:uiPriority="39" w:semiHidden="0" w:name="toc 9"/>
    <w:lsdException w:qFormat="1" w:uiPriority="0" w:semiHidden="0" w:name="Normal Indent"/>
    <w:lsdException w:qFormat="1" w:uiPriority="99" w:semiHidden="0" w:name="footnote text"/>
    <w:lsdException w:qFormat="1" w:uiPriority="99"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iPriority="99" w:semiHidden="0" w:name="footnote reference"/>
    <w:lsdException w:qFormat="1" w:uiPriority="99" w:semiHidden="0" w:name="annotation reference"/>
    <w:lsdException w:unhideWhenUsed="0" w:uiPriority="0" w:semiHidden="0" w:name="line number"/>
    <w:lsdException w:qFormat="1"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qFormat="1"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39"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spacing w:before="340" w:after="330" w:line="576" w:lineRule="auto"/>
      <w:outlineLvl w:val="0"/>
    </w:pPr>
    <w:rPr>
      <w:b/>
      <w:kern w:val="44"/>
      <w:sz w:val="44"/>
    </w:rPr>
  </w:style>
  <w:style w:type="paragraph" w:styleId="4">
    <w:name w:val="heading 2"/>
    <w:basedOn w:val="1"/>
    <w:next w:val="1"/>
    <w:unhideWhenUsed/>
    <w:qFormat/>
    <w:uiPriority w:val="0"/>
    <w:pPr>
      <w:keepNext/>
      <w:keepLines/>
      <w:spacing w:before="260" w:after="260" w:line="413" w:lineRule="auto"/>
      <w:outlineLvl w:val="1"/>
    </w:pPr>
    <w:rPr>
      <w:rFonts w:ascii="Arial" w:hAnsi="Arial" w:eastAsia="黑体"/>
      <w:b/>
      <w:sz w:val="32"/>
    </w:rPr>
  </w:style>
  <w:style w:type="paragraph" w:styleId="5">
    <w:name w:val="heading 3"/>
    <w:basedOn w:val="1"/>
    <w:next w:val="1"/>
    <w:link w:val="32"/>
    <w:unhideWhenUsed/>
    <w:qFormat/>
    <w:uiPriority w:val="0"/>
    <w:pPr>
      <w:keepNext/>
      <w:keepLines/>
      <w:spacing w:before="260" w:after="260" w:line="413" w:lineRule="auto"/>
      <w:outlineLvl w:val="2"/>
    </w:pPr>
    <w:rPr>
      <w:b/>
      <w:sz w:val="32"/>
    </w:rPr>
  </w:style>
  <w:style w:type="paragraph" w:styleId="6">
    <w:name w:val="heading 4"/>
    <w:basedOn w:val="1"/>
    <w:next w:val="1"/>
    <w:qFormat/>
    <w:uiPriority w:val="9"/>
    <w:pPr>
      <w:keepNext/>
      <w:keepLines/>
      <w:spacing w:before="280" w:after="290" w:line="376" w:lineRule="auto"/>
      <w:outlineLvl w:val="3"/>
    </w:pPr>
    <w:rPr>
      <w:rFonts w:ascii="Cambria" w:hAnsi="Cambria"/>
      <w:b/>
      <w:bCs/>
      <w:sz w:val="28"/>
      <w:szCs w:val="28"/>
      <w:lang w:val="zh-CN"/>
    </w:rPr>
  </w:style>
  <w:style w:type="character" w:default="1" w:styleId="26">
    <w:name w:val="Default Paragraph Font"/>
    <w:semiHidden/>
    <w:unhideWhenUsed/>
    <w:uiPriority w:val="1"/>
  </w:style>
  <w:style w:type="table" w:default="1" w:styleId="24">
    <w:name w:val="Normal Table"/>
    <w:semiHidden/>
    <w:unhideWhenUsed/>
    <w:uiPriority w:val="99"/>
    <w:tblPr>
      <w:tblCellMar>
        <w:top w:w="0" w:type="dxa"/>
        <w:left w:w="108" w:type="dxa"/>
        <w:bottom w:w="0" w:type="dxa"/>
        <w:right w:w="108" w:type="dxa"/>
      </w:tblCellMar>
    </w:tblPr>
  </w:style>
  <w:style w:type="paragraph" w:customStyle="1" w:styleId="2">
    <w:name w:val="Default"/>
    <w:qFormat/>
    <w:uiPriority w:val="0"/>
    <w:pPr>
      <w:widowControl w:val="0"/>
      <w:jc w:val="both"/>
    </w:pPr>
    <w:rPr>
      <w:rFonts w:ascii="仿宋" w:hAnsi="仿宋" w:eastAsia="仿宋" w:cs="仿宋"/>
      <w:color w:val="000000"/>
      <w:sz w:val="24"/>
      <w:szCs w:val="24"/>
      <w:u w:color="000000"/>
      <w:lang w:val="en-US" w:eastAsia="zh-CN" w:bidi="ar-SA"/>
    </w:rPr>
  </w:style>
  <w:style w:type="paragraph" w:styleId="7">
    <w:name w:val="Normal Indent"/>
    <w:basedOn w:val="1"/>
    <w:unhideWhenUsed/>
    <w:qFormat/>
    <w:uiPriority w:val="0"/>
    <w:pPr>
      <w:ind w:firstLine="420" w:firstLineChars="200"/>
    </w:pPr>
  </w:style>
  <w:style w:type="paragraph" w:styleId="8">
    <w:name w:val="caption"/>
    <w:basedOn w:val="1"/>
    <w:next w:val="1"/>
    <w:unhideWhenUsed/>
    <w:qFormat/>
    <w:uiPriority w:val="35"/>
    <w:pPr>
      <w:jc w:val="center"/>
    </w:pPr>
    <w:rPr>
      <w:rFonts w:eastAsia="黑体" w:asciiTheme="majorHAnsi" w:hAnsiTheme="majorHAnsi" w:cstheme="majorBidi"/>
      <w:sz w:val="20"/>
      <w:szCs w:val="20"/>
    </w:rPr>
  </w:style>
  <w:style w:type="paragraph" w:styleId="9">
    <w:name w:val="annotation text"/>
    <w:basedOn w:val="1"/>
    <w:link w:val="57"/>
    <w:unhideWhenUsed/>
    <w:qFormat/>
    <w:uiPriority w:val="99"/>
    <w:pPr>
      <w:jc w:val="left"/>
    </w:pPr>
    <w:rPr>
      <w:rFonts w:ascii="Calibri" w:hAnsi="Calibri" w:eastAsia="宋体" w:cs="Times New Roman"/>
      <w:sz w:val="24"/>
    </w:rPr>
  </w:style>
  <w:style w:type="paragraph" w:styleId="10">
    <w:name w:val="index 6"/>
    <w:basedOn w:val="1"/>
    <w:next w:val="1"/>
    <w:qFormat/>
    <w:uiPriority w:val="0"/>
    <w:pPr>
      <w:ind w:left="2100"/>
    </w:pPr>
  </w:style>
  <w:style w:type="paragraph" w:styleId="11">
    <w:name w:val="Body Text"/>
    <w:basedOn w:val="1"/>
    <w:qFormat/>
    <w:uiPriority w:val="1"/>
    <w:pPr>
      <w:spacing w:line="360" w:lineRule="auto"/>
      <w:ind w:firstLine="200" w:firstLineChars="200"/>
    </w:pPr>
    <w:rPr>
      <w:rFonts w:ascii="宋体" w:eastAsia="宋体"/>
      <w:szCs w:val="32"/>
    </w:rPr>
  </w:style>
  <w:style w:type="paragraph" w:styleId="12">
    <w:name w:val="Body Text Indent"/>
    <w:basedOn w:val="1"/>
    <w:unhideWhenUsed/>
    <w:qFormat/>
    <w:uiPriority w:val="0"/>
    <w:pPr>
      <w:spacing w:after="120"/>
      <w:ind w:left="420" w:leftChars="200"/>
    </w:pPr>
    <w:rPr>
      <w:rFonts w:ascii="Times New Roman" w:hAnsi="Times New Roman" w:eastAsia="宋体"/>
      <w:szCs w:val="20"/>
    </w:rPr>
  </w:style>
  <w:style w:type="paragraph" w:styleId="13">
    <w:name w:val="toc 3"/>
    <w:basedOn w:val="1"/>
    <w:next w:val="1"/>
    <w:qFormat/>
    <w:uiPriority w:val="39"/>
    <w:pPr>
      <w:ind w:left="840" w:leftChars="400"/>
    </w:pPr>
  </w:style>
  <w:style w:type="paragraph" w:styleId="14">
    <w:name w:val="Balloon Text"/>
    <w:basedOn w:val="1"/>
    <w:link w:val="55"/>
    <w:qFormat/>
    <w:uiPriority w:val="99"/>
    <w:rPr>
      <w:sz w:val="18"/>
      <w:szCs w:val="18"/>
    </w:rPr>
  </w:style>
  <w:style w:type="paragraph" w:styleId="15">
    <w:name w:val="footer"/>
    <w:basedOn w:val="1"/>
    <w:link w:val="33"/>
    <w:qFormat/>
    <w:uiPriority w:val="99"/>
    <w:pPr>
      <w:tabs>
        <w:tab w:val="center" w:pos="4153"/>
        <w:tab w:val="right" w:pos="8306"/>
      </w:tabs>
      <w:snapToGrid w:val="0"/>
      <w:jc w:val="left"/>
    </w:pPr>
    <w:rPr>
      <w:sz w:val="18"/>
    </w:rPr>
  </w:style>
  <w:style w:type="paragraph" w:styleId="16">
    <w:name w:val="header"/>
    <w:basedOn w:val="1"/>
    <w:link w:val="60"/>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7">
    <w:name w:val="toc 1"/>
    <w:basedOn w:val="1"/>
    <w:next w:val="1"/>
    <w:qFormat/>
    <w:uiPriority w:val="39"/>
  </w:style>
  <w:style w:type="paragraph" w:styleId="18">
    <w:name w:val="footnote text"/>
    <w:basedOn w:val="1"/>
    <w:link w:val="67"/>
    <w:unhideWhenUsed/>
    <w:qFormat/>
    <w:uiPriority w:val="99"/>
    <w:pPr>
      <w:snapToGrid w:val="0"/>
      <w:jc w:val="left"/>
    </w:pPr>
    <w:rPr>
      <w:sz w:val="18"/>
      <w:szCs w:val="18"/>
      <w:lang w:val="zh-CN"/>
    </w:rPr>
  </w:style>
  <w:style w:type="paragraph" w:styleId="19">
    <w:name w:val="toc 2"/>
    <w:basedOn w:val="1"/>
    <w:next w:val="1"/>
    <w:qFormat/>
    <w:uiPriority w:val="39"/>
    <w:pPr>
      <w:ind w:left="420" w:leftChars="200"/>
    </w:pPr>
  </w:style>
  <w:style w:type="paragraph" w:styleId="20">
    <w:name w:val="HTML Preformatted"/>
    <w:basedOn w:val="1"/>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宋体"/>
      <w:kern w:val="0"/>
    </w:rPr>
  </w:style>
  <w:style w:type="paragraph" w:styleId="21">
    <w:name w:val="Normal (Web)"/>
    <w:basedOn w:val="1"/>
    <w:qFormat/>
    <w:uiPriority w:val="0"/>
    <w:pPr>
      <w:spacing w:beforeAutospacing="1" w:afterAutospacing="1"/>
      <w:jc w:val="left"/>
    </w:pPr>
    <w:rPr>
      <w:rFonts w:cs="Times New Roman"/>
      <w:kern w:val="0"/>
      <w:sz w:val="24"/>
    </w:rPr>
  </w:style>
  <w:style w:type="paragraph" w:styleId="22">
    <w:name w:val="Title"/>
    <w:basedOn w:val="1"/>
    <w:next w:val="1"/>
    <w:qFormat/>
    <w:uiPriority w:val="10"/>
    <w:pPr>
      <w:spacing w:before="240" w:after="240" w:line="360" w:lineRule="auto"/>
      <w:jc w:val="center"/>
      <w:outlineLvl w:val="0"/>
    </w:pPr>
    <w:rPr>
      <w:rFonts w:eastAsia="宋体" w:asciiTheme="majorHAnsi" w:hAnsiTheme="majorHAnsi" w:cstheme="majorBidi"/>
      <w:b/>
      <w:bCs/>
      <w:sz w:val="32"/>
      <w:szCs w:val="32"/>
    </w:rPr>
  </w:style>
  <w:style w:type="paragraph" w:styleId="23">
    <w:name w:val="annotation subject"/>
    <w:basedOn w:val="9"/>
    <w:next w:val="9"/>
    <w:link w:val="62"/>
    <w:unhideWhenUsed/>
    <w:qFormat/>
    <w:uiPriority w:val="99"/>
    <w:rPr>
      <w:b/>
      <w:bCs/>
    </w:rPr>
  </w:style>
  <w:style w:type="table" w:styleId="25">
    <w:name w:val="Table Grid"/>
    <w:basedOn w:val="2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7">
    <w:name w:val="Strong"/>
    <w:basedOn w:val="26"/>
    <w:qFormat/>
    <w:uiPriority w:val="22"/>
    <w:rPr>
      <w:b/>
      <w:bCs/>
    </w:rPr>
  </w:style>
  <w:style w:type="character" w:styleId="28">
    <w:name w:val="page number"/>
    <w:basedOn w:val="26"/>
    <w:unhideWhenUsed/>
    <w:qFormat/>
    <w:uiPriority w:val="0"/>
  </w:style>
  <w:style w:type="character" w:styleId="29">
    <w:name w:val="Hyperlink"/>
    <w:unhideWhenUsed/>
    <w:qFormat/>
    <w:uiPriority w:val="99"/>
    <w:rPr>
      <w:color w:val="0000FF"/>
      <w:u w:val="single"/>
    </w:rPr>
  </w:style>
  <w:style w:type="character" w:styleId="30">
    <w:name w:val="annotation reference"/>
    <w:unhideWhenUsed/>
    <w:qFormat/>
    <w:uiPriority w:val="99"/>
    <w:rPr>
      <w:sz w:val="21"/>
      <w:szCs w:val="21"/>
    </w:rPr>
  </w:style>
  <w:style w:type="character" w:styleId="31">
    <w:name w:val="footnote reference"/>
    <w:unhideWhenUsed/>
    <w:qFormat/>
    <w:uiPriority w:val="99"/>
    <w:rPr>
      <w:vertAlign w:val="superscript"/>
    </w:rPr>
  </w:style>
  <w:style w:type="character" w:customStyle="1" w:styleId="32">
    <w:name w:val="标题 3 Char"/>
    <w:link w:val="5"/>
    <w:qFormat/>
    <w:uiPriority w:val="0"/>
    <w:rPr>
      <w:b/>
      <w:sz w:val="32"/>
    </w:rPr>
  </w:style>
  <w:style w:type="character" w:customStyle="1" w:styleId="33">
    <w:name w:val="页脚 Char"/>
    <w:basedOn w:val="26"/>
    <w:link w:val="15"/>
    <w:qFormat/>
    <w:uiPriority w:val="99"/>
    <w:rPr>
      <w:rFonts w:asciiTheme="minorHAnsi" w:hAnsiTheme="minorHAnsi" w:eastAsiaTheme="minorEastAsia" w:cstheme="minorBidi"/>
      <w:kern w:val="2"/>
      <w:sz w:val="18"/>
      <w:szCs w:val="24"/>
    </w:rPr>
  </w:style>
  <w:style w:type="paragraph" w:customStyle="1" w:styleId="34">
    <w:name w:val="大标题"/>
    <w:basedOn w:val="1"/>
    <w:next w:val="1"/>
    <w:qFormat/>
    <w:uiPriority w:val="0"/>
    <w:pPr>
      <w:keepNext/>
      <w:keepLines/>
      <w:spacing w:before="260" w:after="260" w:line="413" w:lineRule="auto"/>
      <w:jc w:val="center"/>
      <w:outlineLvl w:val="2"/>
    </w:pPr>
    <w:rPr>
      <w:rFonts w:eastAsia="华文宋体"/>
      <w:sz w:val="32"/>
    </w:rPr>
  </w:style>
  <w:style w:type="paragraph" w:customStyle="1" w:styleId="35">
    <w:name w:val="WPSOffice手动目录 1"/>
    <w:qFormat/>
    <w:uiPriority w:val="0"/>
    <w:rPr>
      <w:rFonts w:ascii="Times New Roman" w:hAnsi="Times New Roman" w:eastAsia="宋体" w:cs="Times New Roman"/>
      <w:lang w:val="en-US" w:eastAsia="zh-CN" w:bidi="ar-SA"/>
    </w:rPr>
  </w:style>
  <w:style w:type="paragraph" w:customStyle="1" w:styleId="36">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37">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38">
    <w:name w:val="正文1"/>
    <w:next w:val="10"/>
    <w:qFormat/>
    <w:uiPriority w:val="0"/>
    <w:pPr>
      <w:widowControl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character" w:customStyle="1" w:styleId="39">
    <w:name w:val="apple-converted-space"/>
    <w:basedOn w:val="26"/>
    <w:qFormat/>
    <w:uiPriority w:val="0"/>
  </w:style>
  <w:style w:type="paragraph" w:customStyle="1" w:styleId="40">
    <w:name w:val="列出段落1"/>
    <w:basedOn w:val="1"/>
    <w:qFormat/>
    <w:uiPriority w:val="34"/>
    <w:pPr>
      <w:ind w:firstLine="420" w:firstLineChars="200"/>
    </w:pPr>
    <w:rPr>
      <w:rFonts w:ascii="Calibri" w:hAnsi="Calibri" w:cs="黑体"/>
      <w:szCs w:val="22"/>
    </w:rPr>
  </w:style>
  <w:style w:type="paragraph" w:customStyle="1" w:styleId="41">
    <w:name w:val="Table caption|1"/>
    <w:basedOn w:val="1"/>
    <w:qFormat/>
    <w:uiPriority w:val="0"/>
    <w:pPr>
      <w:spacing w:after="30"/>
      <w:jc w:val="left"/>
    </w:pPr>
    <w:rPr>
      <w:rFonts w:ascii="宋体" w:hAnsi="宋体" w:eastAsia="宋体" w:cs="宋体"/>
      <w:color w:val="4C4E52"/>
      <w:sz w:val="22"/>
      <w:lang w:val="zh-TW" w:eastAsia="zh-TW" w:bidi="zh-TW"/>
    </w:rPr>
  </w:style>
  <w:style w:type="paragraph" w:customStyle="1" w:styleId="42">
    <w:name w:val="Other|1"/>
    <w:basedOn w:val="1"/>
    <w:qFormat/>
    <w:uiPriority w:val="0"/>
    <w:pPr>
      <w:jc w:val="left"/>
    </w:pPr>
    <w:rPr>
      <w:rFonts w:ascii="宋体" w:hAnsi="宋体" w:eastAsia="宋体" w:cs="宋体"/>
      <w:color w:val="4C4E52"/>
      <w:sz w:val="22"/>
      <w:lang w:val="zh-TW" w:eastAsia="zh-TW" w:bidi="zh-TW"/>
    </w:rPr>
  </w:style>
  <w:style w:type="table" w:customStyle="1" w:styleId="43">
    <w:name w:val="Table Normal"/>
    <w:qFormat/>
    <w:uiPriority w:val="0"/>
    <w:tblPr>
      <w:tblCellMar>
        <w:top w:w="0" w:type="dxa"/>
        <w:left w:w="0" w:type="dxa"/>
        <w:bottom w:w="0" w:type="dxa"/>
        <w:right w:w="0" w:type="dxa"/>
      </w:tblCellMar>
    </w:tblPr>
  </w:style>
  <w:style w:type="paragraph" w:customStyle="1" w:styleId="44">
    <w:name w:val="页眉与页脚"/>
    <w:qFormat/>
    <w:uiPriority w:val="0"/>
    <w:pPr>
      <w:tabs>
        <w:tab w:val="right" w:pos="9020"/>
      </w:tabs>
    </w:pPr>
    <w:rPr>
      <w:rFonts w:ascii="Helvetica Neue" w:hAnsi="Helvetica Neue" w:eastAsia="Arial Unicode MS" w:cs="Arial Unicode MS"/>
      <w:color w:val="000000"/>
      <w:sz w:val="24"/>
      <w:szCs w:val="24"/>
      <w:lang w:val="en-US" w:eastAsia="zh-CN" w:bidi="ar-SA"/>
    </w:rPr>
  </w:style>
  <w:style w:type="paragraph" w:styleId="45">
    <w:name w:val="List Paragraph"/>
    <w:basedOn w:val="1"/>
    <w:qFormat/>
    <w:uiPriority w:val="1"/>
    <w:pPr>
      <w:ind w:firstLine="420" w:firstLineChars="200"/>
    </w:pPr>
    <w:rPr>
      <w:rFonts w:ascii="Times New Roman" w:hAnsi="Times New Roman" w:eastAsia="宋体" w:cs="Times New Roman"/>
    </w:rPr>
  </w:style>
  <w:style w:type="character" w:customStyle="1" w:styleId="46">
    <w:name w:val="font31"/>
    <w:basedOn w:val="26"/>
    <w:qFormat/>
    <w:uiPriority w:val="0"/>
    <w:rPr>
      <w:rFonts w:hint="default" w:ascii="仿宋_GB2312" w:eastAsia="仿宋_GB2312" w:cs="仿宋_GB2312"/>
      <w:b/>
      <w:bCs/>
      <w:color w:val="000000"/>
      <w:sz w:val="24"/>
      <w:szCs w:val="24"/>
      <w:u w:val="none"/>
    </w:rPr>
  </w:style>
  <w:style w:type="character" w:customStyle="1" w:styleId="47">
    <w:name w:val="font21"/>
    <w:basedOn w:val="26"/>
    <w:qFormat/>
    <w:uiPriority w:val="0"/>
    <w:rPr>
      <w:rFonts w:hint="default" w:ascii="仿宋_GB2312" w:eastAsia="仿宋_GB2312" w:cs="仿宋_GB2312"/>
      <w:color w:val="000000"/>
      <w:sz w:val="24"/>
      <w:szCs w:val="24"/>
      <w:u w:val="none"/>
    </w:rPr>
  </w:style>
  <w:style w:type="character" w:customStyle="1" w:styleId="48">
    <w:name w:val="font11"/>
    <w:basedOn w:val="26"/>
    <w:qFormat/>
    <w:uiPriority w:val="0"/>
    <w:rPr>
      <w:rFonts w:hint="default" w:ascii="仿宋_GB2312" w:eastAsia="仿宋_GB2312" w:cs="仿宋_GB2312"/>
      <w:color w:val="000000"/>
      <w:sz w:val="24"/>
      <w:szCs w:val="24"/>
      <w:u w:val="none"/>
    </w:rPr>
  </w:style>
  <w:style w:type="character" w:customStyle="1" w:styleId="49">
    <w:name w:val="不明显参考1"/>
    <w:basedOn w:val="26"/>
    <w:qFormat/>
    <w:uiPriority w:val="31"/>
    <w:rPr>
      <w:smallCaps/>
      <w:color w:val="ED7D31" w:themeColor="accent2"/>
      <w:u w:val="single"/>
      <w14:textFill>
        <w14:solidFill>
          <w14:schemeClr w14:val="accent2"/>
        </w14:solidFill>
      </w14:textFill>
    </w:rPr>
  </w:style>
  <w:style w:type="table" w:customStyle="1" w:styleId="50">
    <w:name w:val="Table Normal1"/>
    <w:semiHidden/>
    <w:unhideWhenUsed/>
    <w:qFormat/>
    <w:uiPriority w:val="2"/>
    <w:rPr>
      <w:rFonts w:ascii="Calibri" w:hAnsi="Calibri"/>
    </w:rPr>
    <w:tblPr>
      <w:tblCellMar>
        <w:top w:w="0" w:type="dxa"/>
        <w:left w:w="0" w:type="dxa"/>
        <w:bottom w:w="0" w:type="dxa"/>
        <w:right w:w="0" w:type="dxa"/>
      </w:tblCellMar>
    </w:tblPr>
  </w:style>
  <w:style w:type="paragraph" w:customStyle="1" w:styleId="51">
    <w:name w:val="Table Paragraph"/>
    <w:basedOn w:val="1"/>
    <w:qFormat/>
    <w:uiPriority w:val="1"/>
    <w:pPr>
      <w:autoSpaceDE w:val="0"/>
      <w:autoSpaceDN w:val="0"/>
      <w:spacing w:line="106" w:lineRule="exact"/>
      <w:ind w:left="22"/>
      <w:jc w:val="center"/>
    </w:pPr>
    <w:rPr>
      <w:rFonts w:ascii="宋体" w:hAnsi="宋体" w:eastAsia="宋体" w:cs="宋体"/>
      <w:kern w:val="0"/>
      <w:sz w:val="22"/>
      <w:szCs w:val="22"/>
      <w:lang w:val="zh-CN" w:bidi="zh-CN"/>
    </w:rPr>
  </w:style>
  <w:style w:type="paragraph" w:customStyle="1" w:styleId="52">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paragraph" w:customStyle="1" w:styleId="53">
    <w:name w:val="_Style 21"/>
    <w:basedOn w:val="1"/>
    <w:qFormat/>
    <w:uiPriority w:val="0"/>
    <w:pPr>
      <w:ind w:firstLine="420" w:firstLineChars="200"/>
    </w:pPr>
  </w:style>
  <w:style w:type="paragraph" w:customStyle="1" w:styleId="54">
    <w:name w:val="_Style 20"/>
    <w:basedOn w:val="1"/>
    <w:qFormat/>
    <w:uiPriority w:val="34"/>
    <w:pPr>
      <w:ind w:firstLine="420" w:firstLineChars="200"/>
    </w:pPr>
  </w:style>
  <w:style w:type="character" w:customStyle="1" w:styleId="55">
    <w:name w:val="批注框文本 Char"/>
    <w:basedOn w:val="26"/>
    <w:link w:val="14"/>
    <w:qFormat/>
    <w:uiPriority w:val="0"/>
    <w:rPr>
      <w:rFonts w:asciiTheme="minorHAnsi" w:hAnsiTheme="minorHAnsi" w:eastAsiaTheme="minorEastAsia" w:cstheme="minorBidi"/>
      <w:kern w:val="2"/>
      <w:sz w:val="18"/>
      <w:szCs w:val="18"/>
    </w:rPr>
  </w:style>
  <w:style w:type="character" w:customStyle="1" w:styleId="56">
    <w:name w:val="批注文字 Char"/>
    <w:basedOn w:val="26"/>
    <w:qFormat/>
    <w:uiPriority w:val="0"/>
    <w:rPr>
      <w:rFonts w:asciiTheme="minorHAnsi" w:hAnsiTheme="minorHAnsi" w:eastAsiaTheme="minorEastAsia" w:cstheme="minorBidi"/>
      <w:kern w:val="2"/>
      <w:sz w:val="21"/>
      <w:szCs w:val="24"/>
    </w:rPr>
  </w:style>
  <w:style w:type="character" w:customStyle="1" w:styleId="57">
    <w:name w:val="批注文字 Char1"/>
    <w:link w:val="9"/>
    <w:qFormat/>
    <w:uiPriority w:val="99"/>
    <w:rPr>
      <w:rFonts w:ascii="Calibri" w:hAnsi="Calibri"/>
      <w:kern w:val="2"/>
      <w:sz w:val="24"/>
      <w:szCs w:val="24"/>
    </w:rPr>
  </w:style>
  <w:style w:type="character" w:customStyle="1" w:styleId="58">
    <w:name w:val="批注框文本 字符"/>
    <w:qFormat/>
    <w:uiPriority w:val="99"/>
    <w:rPr>
      <w:rFonts w:ascii="Calibri" w:hAnsi="Calibri" w:eastAsia="宋体" w:cs="Times New Roman"/>
      <w:kern w:val="2"/>
      <w:sz w:val="18"/>
      <w:szCs w:val="18"/>
    </w:rPr>
  </w:style>
  <w:style w:type="character" w:customStyle="1" w:styleId="59">
    <w:name w:val="页脚 字符"/>
    <w:qFormat/>
    <w:uiPriority w:val="99"/>
    <w:rPr>
      <w:rFonts w:ascii="Calibri" w:hAnsi="Calibri" w:eastAsia="宋体" w:cs="Times New Roman"/>
      <w:sz w:val="18"/>
      <w:szCs w:val="18"/>
    </w:rPr>
  </w:style>
  <w:style w:type="character" w:customStyle="1" w:styleId="60">
    <w:name w:val="页眉 Char"/>
    <w:link w:val="16"/>
    <w:qFormat/>
    <w:uiPriority w:val="99"/>
    <w:rPr>
      <w:rFonts w:asciiTheme="minorHAnsi" w:hAnsiTheme="minorHAnsi" w:eastAsiaTheme="minorEastAsia" w:cstheme="minorBidi"/>
      <w:kern w:val="2"/>
      <w:sz w:val="18"/>
      <w:szCs w:val="24"/>
    </w:rPr>
  </w:style>
  <w:style w:type="character" w:customStyle="1" w:styleId="61">
    <w:name w:val="批注主题 Char"/>
    <w:basedOn w:val="56"/>
    <w:qFormat/>
    <w:uiPriority w:val="0"/>
    <w:rPr>
      <w:rFonts w:asciiTheme="minorHAnsi" w:hAnsiTheme="minorHAnsi" w:eastAsiaTheme="minorEastAsia" w:cstheme="minorBidi"/>
      <w:b/>
      <w:bCs/>
      <w:kern w:val="2"/>
      <w:sz w:val="21"/>
      <w:szCs w:val="24"/>
    </w:rPr>
  </w:style>
  <w:style w:type="character" w:customStyle="1" w:styleId="62">
    <w:name w:val="批注主题 Char1"/>
    <w:link w:val="23"/>
    <w:qFormat/>
    <w:uiPriority w:val="99"/>
    <w:rPr>
      <w:rFonts w:ascii="Calibri" w:hAnsi="Calibri"/>
      <w:b/>
      <w:bCs/>
      <w:kern w:val="2"/>
      <w:sz w:val="24"/>
      <w:szCs w:val="24"/>
    </w:rPr>
  </w:style>
  <w:style w:type="paragraph" w:customStyle="1" w:styleId="63">
    <w:name w:val="_Style 62"/>
    <w:basedOn w:val="1"/>
    <w:next w:val="45"/>
    <w:qFormat/>
    <w:uiPriority w:val="34"/>
    <w:pPr>
      <w:snapToGrid w:val="0"/>
      <w:spacing w:line="360" w:lineRule="auto"/>
      <w:ind w:firstLine="420" w:firstLineChars="200"/>
    </w:pPr>
    <w:rPr>
      <w:rFonts w:ascii="Calibri" w:hAnsi="Calibri" w:eastAsia="仿宋_GB2312" w:cs="Times New Roman"/>
      <w:sz w:val="32"/>
      <w:szCs w:val="22"/>
    </w:rPr>
  </w:style>
  <w:style w:type="paragraph" w:customStyle="1" w:styleId="64">
    <w:name w:val="修订1"/>
    <w:semiHidden/>
    <w:qFormat/>
    <w:uiPriority w:val="99"/>
    <w:rPr>
      <w:rFonts w:ascii="Calibri" w:hAnsi="Calibri" w:eastAsia="宋体" w:cs="Times New Roman"/>
      <w:kern w:val="2"/>
      <w:sz w:val="24"/>
      <w:szCs w:val="24"/>
      <w:lang w:val="en-US" w:eastAsia="zh-CN" w:bidi="ar-SA"/>
    </w:rPr>
  </w:style>
  <w:style w:type="paragraph" w:customStyle="1" w:styleId="65">
    <w:name w:val="修订2"/>
    <w:qFormat/>
    <w:uiPriority w:val="99"/>
    <w:rPr>
      <w:rFonts w:ascii="Calibri" w:hAnsi="Calibri" w:eastAsia="宋体" w:cs="Times New Roman"/>
      <w:kern w:val="2"/>
      <w:sz w:val="24"/>
      <w:szCs w:val="24"/>
      <w:lang w:val="en-US" w:eastAsia="zh-CN" w:bidi="ar-SA"/>
    </w:rPr>
  </w:style>
  <w:style w:type="paragraph" w:customStyle="1" w:styleId="66">
    <w:name w:val="修订3"/>
    <w:unhideWhenUsed/>
    <w:qFormat/>
    <w:uiPriority w:val="99"/>
    <w:rPr>
      <w:rFonts w:ascii="Calibri" w:hAnsi="Calibri" w:eastAsia="宋体" w:cs="Times New Roman"/>
      <w:kern w:val="2"/>
      <w:sz w:val="24"/>
      <w:szCs w:val="24"/>
      <w:lang w:val="en-US" w:eastAsia="zh-CN" w:bidi="ar-SA"/>
    </w:rPr>
  </w:style>
  <w:style w:type="character" w:customStyle="1" w:styleId="67">
    <w:name w:val="脚注文本 Char"/>
    <w:link w:val="18"/>
    <w:qFormat/>
    <w:uiPriority w:val="99"/>
    <w:rPr>
      <w:rFonts w:asciiTheme="minorHAnsi" w:hAnsiTheme="minorHAnsi" w:eastAsiaTheme="minorEastAsia" w:cstheme="minorBidi"/>
      <w:kern w:val="2"/>
      <w:sz w:val="18"/>
      <w:szCs w:val="18"/>
      <w:lang w:val="zh-CN"/>
    </w:rPr>
  </w:style>
  <w:style w:type="paragraph" w:styleId="68">
    <w:name w:val="No Spacing"/>
    <w:qFormat/>
    <w:uiPriority w:val="1"/>
    <w:pPr>
      <w:widowControl w:val="0"/>
      <w:jc w:val="both"/>
    </w:pPr>
    <w:rPr>
      <w:rFonts w:ascii="Calibri" w:hAnsi="Calibri" w:eastAsia="宋体" w:cs="Times New Roman"/>
      <w:kern w:val="2"/>
      <w:sz w:val="21"/>
      <w:szCs w:val="22"/>
      <w:lang w:val="en-US" w:eastAsia="zh-CN" w:bidi="ar-SA"/>
    </w:rPr>
  </w:style>
  <w:style w:type="character" w:styleId="69">
    <w:name w:val="Placeholder Text"/>
    <w:semiHidden/>
    <w:qFormat/>
    <w:uiPriority w:val="99"/>
    <w:rPr>
      <w:color w:val="808080"/>
    </w:rPr>
  </w:style>
  <w:style w:type="paragraph" w:customStyle="1" w:styleId="70">
    <w:name w:val="修订21"/>
    <w:semiHidden/>
    <w:qFormat/>
    <w:uiPriority w:val="99"/>
    <w:rPr>
      <w:rFonts w:ascii="Calibri" w:hAnsi="Calibri" w:eastAsia="仿宋_GB2312" w:cs="Times New Roman"/>
      <w:kern w:val="2"/>
      <w:sz w:val="3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8" Type="http://schemas.openxmlformats.org/officeDocument/2006/relationships/fontTable" Target="fontTable.xml"/><Relationship Id="rId87" Type="http://schemas.openxmlformats.org/officeDocument/2006/relationships/numbering" Target="numbering.xml"/><Relationship Id="rId86" Type="http://schemas.openxmlformats.org/officeDocument/2006/relationships/customXml" Target="../customXml/item1.xml"/><Relationship Id="rId85" Type="http://schemas.openxmlformats.org/officeDocument/2006/relationships/image" Target="media/image38.png"/><Relationship Id="rId84" Type="http://schemas.openxmlformats.org/officeDocument/2006/relationships/image" Target="media/image37.png"/><Relationship Id="rId83" Type="http://schemas.openxmlformats.org/officeDocument/2006/relationships/image" Target="media/image36.png"/><Relationship Id="rId82" Type="http://schemas.openxmlformats.org/officeDocument/2006/relationships/image" Target="media/image35.png"/><Relationship Id="rId81" Type="http://schemas.openxmlformats.org/officeDocument/2006/relationships/image" Target="media/image34.png"/><Relationship Id="rId80" Type="http://schemas.openxmlformats.org/officeDocument/2006/relationships/image" Target="media/image33.png"/><Relationship Id="rId8" Type="http://schemas.openxmlformats.org/officeDocument/2006/relationships/footer" Target="footer4.xml"/><Relationship Id="rId79" Type="http://schemas.openxmlformats.org/officeDocument/2006/relationships/image" Target="media/image32.png"/><Relationship Id="rId78" Type="http://schemas.openxmlformats.org/officeDocument/2006/relationships/image" Target="media/image31.png"/><Relationship Id="rId77" Type="http://schemas.openxmlformats.org/officeDocument/2006/relationships/image" Target="media/image30.png"/><Relationship Id="rId76" Type="http://schemas.openxmlformats.org/officeDocument/2006/relationships/image" Target="media/image29.png"/><Relationship Id="rId75" Type="http://schemas.openxmlformats.org/officeDocument/2006/relationships/image" Target="media/image28.png"/><Relationship Id="rId74" Type="http://schemas.openxmlformats.org/officeDocument/2006/relationships/image" Target="media/image27.png"/><Relationship Id="rId73" Type="http://schemas.openxmlformats.org/officeDocument/2006/relationships/image" Target="media/image26.wmf"/><Relationship Id="rId72" Type="http://schemas.openxmlformats.org/officeDocument/2006/relationships/oleObject" Target="embeddings/oleObject15.bin"/><Relationship Id="rId71" Type="http://schemas.openxmlformats.org/officeDocument/2006/relationships/image" Target="media/image25.wmf"/><Relationship Id="rId70" Type="http://schemas.openxmlformats.org/officeDocument/2006/relationships/oleObject" Target="embeddings/oleObject14.bin"/><Relationship Id="rId7" Type="http://schemas.openxmlformats.org/officeDocument/2006/relationships/footer" Target="footer3.xml"/><Relationship Id="rId69" Type="http://schemas.openxmlformats.org/officeDocument/2006/relationships/image" Target="media/image24.wmf"/><Relationship Id="rId68" Type="http://schemas.openxmlformats.org/officeDocument/2006/relationships/oleObject" Target="embeddings/oleObject13.bin"/><Relationship Id="rId67" Type="http://schemas.openxmlformats.org/officeDocument/2006/relationships/image" Target="media/image23.wmf"/><Relationship Id="rId66" Type="http://schemas.openxmlformats.org/officeDocument/2006/relationships/oleObject" Target="embeddings/oleObject12.bin"/><Relationship Id="rId65" Type="http://schemas.openxmlformats.org/officeDocument/2006/relationships/image" Target="media/image22.wmf"/><Relationship Id="rId64" Type="http://schemas.openxmlformats.org/officeDocument/2006/relationships/oleObject" Target="embeddings/oleObject11.bin"/><Relationship Id="rId63" Type="http://schemas.openxmlformats.org/officeDocument/2006/relationships/image" Target="media/image21.wmf"/><Relationship Id="rId62" Type="http://schemas.openxmlformats.org/officeDocument/2006/relationships/oleObject" Target="embeddings/oleObject10.bin"/><Relationship Id="rId61" Type="http://schemas.openxmlformats.org/officeDocument/2006/relationships/image" Target="media/image20.wmf"/><Relationship Id="rId60" Type="http://schemas.openxmlformats.org/officeDocument/2006/relationships/oleObject" Target="embeddings/oleObject9.bin"/><Relationship Id="rId6" Type="http://schemas.openxmlformats.org/officeDocument/2006/relationships/header" Target="header2.xml"/><Relationship Id="rId59" Type="http://schemas.openxmlformats.org/officeDocument/2006/relationships/image" Target="media/image19.png"/><Relationship Id="rId58" Type="http://schemas.openxmlformats.org/officeDocument/2006/relationships/image" Target="media/image18.png"/><Relationship Id="rId57" Type="http://schemas.openxmlformats.org/officeDocument/2006/relationships/image" Target="media/image17.wmf"/><Relationship Id="rId56" Type="http://schemas.openxmlformats.org/officeDocument/2006/relationships/oleObject" Target="embeddings/oleObject8.bin"/><Relationship Id="rId55" Type="http://schemas.openxmlformats.org/officeDocument/2006/relationships/image" Target="media/image16.wmf"/><Relationship Id="rId54" Type="http://schemas.openxmlformats.org/officeDocument/2006/relationships/oleObject" Target="embeddings/oleObject7.bin"/><Relationship Id="rId53" Type="http://schemas.openxmlformats.org/officeDocument/2006/relationships/image" Target="media/image15.wmf"/><Relationship Id="rId52" Type="http://schemas.openxmlformats.org/officeDocument/2006/relationships/oleObject" Target="embeddings/oleObject6.bin"/><Relationship Id="rId51" Type="http://schemas.openxmlformats.org/officeDocument/2006/relationships/image" Target="media/image14.wmf"/><Relationship Id="rId50" Type="http://schemas.openxmlformats.org/officeDocument/2006/relationships/oleObject" Target="embeddings/oleObject5.bin"/><Relationship Id="rId5" Type="http://schemas.openxmlformats.org/officeDocument/2006/relationships/header" Target="header1.xml"/><Relationship Id="rId49" Type="http://schemas.openxmlformats.org/officeDocument/2006/relationships/image" Target="media/image13.wmf"/><Relationship Id="rId48" Type="http://schemas.openxmlformats.org/officeDocument/2006/relationships/oleObject" Target="embeddings/oleObject4.bin"/><Relationship Id="rId47" Type="http://schemas.openxmlformats.org/officeDocument/2006/relationships/image" Target="media/image12.wmf"/><Relationship Id="rId46" Type="http://schemas.openxmlformats.org/officeDocument/2006/relationships/oleObject" Target="embeddings/oleObject3.bin"/><Relationship Id="rId45" Type="http://schemas.openxmlformats.org/officeDocument/2006/relationships/image" Target="media/image11.wmf"/><Relationship Id="rId44" Type="http://schemas.openxmlformats.org/officeDocument/2006/relationships/oleObject" Target="embeddings/oleObject2.bin"/><Relationship Id="rId43" Type="http://schemas.openxmlformats.org/officeDocument/2006/relationships/image" Target="media/image10.wmf"/><Relationship Id="rId42" Type="http://schemas.openxmlformats.org/officeDocument/2006/relationships/oleObject" Target="embeddings/oleObject1.bin"/><Relationship Id="rId41" Type="http://schemas.openxmlformats.org/officeDocument/2006/relationships/image" Target="media/image9.jpeg"/><Relationship Id="rId40" Type="http://schemas.openxmlformats.org/officeDocument/2006/relationships/image" Target="media/image8.jpeg"/><Relationship Id="rId4" Type="http://schemas.openxmlformats.org/officeDocument/2006/relationships/footer" Target="footer2.xml"/><Relationship Id="rId39" Type="http://schemas.openxmlformats.org/officeDocument/2006/relationships/image" Target="media/image7.jpeg"/><Relationship Id="rId38" Type="http://schemas.openxmlformats.org/officeDocument/2006/relationships/image" Target="media/image6.jpeg"/><Relationship Id="rId37" Type="http://schemas.openxmlformats.org/officeDocument/2006/relationships/image" Target="media/image5.jpeg"/><Relationship Id="rId36" Type="http://schemas.openxmlformats.org/officeDocument/2006/relationships/image" Target="media/image4.jpeg"/><Relationship Id="rId35" Type="http://schemas.openxmlformats.org/officeDocument/2006/relationships/image" Target="media/image3.png"/><Relationship Id="rId34" Type="http://schemas.openxmlformats.org/officeDocument/2006/relationships/image" Target="media/image2.GIF"/><Relationship Id="rId33" Type="http://schemas.openxmlformats.org/officeDocument/2006/relationships/image" Target="media/image1.GIF"/><Relationship Id="rId32" Type="http://schemas.openxmlformats.org/officeDocument/2006/relationships/theme" Target="theme/theme1.xml"/><Relationship Id="rId31" Type="http://schemas.openxmlformats.org/officeDocument/2006/relationships/footer" Target="footer19.xml"/><Relationship Id="rId30" Type="http://schemas.openxmlformats.org/officeDocument/2006/relationships/footer" Target="footer18.xml"/><Relationship Id="rId3" Type="http://schemas.openxmlformats.org/officeDocument/2006/relationships/footer" Target="footer1.xml"/><Relationship Id="rId29" Type="http://schemas.openxmlformats.org/officeDocument/2006/relationships/footer" Target="footer17.xml"/><Relationship Id="rId28" Type="http://schemas.openxmlformats.org/officeDocument/2006/relationships/footer" Target="footer16.xml"/><Relationship Id="rId27" Type="http://schemas.openxmlformats.org/officeDocument/2006/relationships/header" Target="header10.xml"/><Relationship Id="rId26" Type="http://schemas.openxmlformats.org/officeDocument/2006/relationships/footer" Target="footer15.xml"/><Relationship Id="rId25" Type="http://schemas.openxmlformats.org/officeDocument/2006/relationships/footer" Target="footer14.xml"/><Relationship Id="rId24" Type="http://schemas.openxmlformats.org/officeDocument/2006/relationships/footer" Target="footer13.xml"/><Relationship Id="rId23" Type="http://schemas.openxmlformats.org/officeDocument/2006/relationships/footer" Target="footer12.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header" Target="header9.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header" Target="header4.xml"/><Relationship Id="rId11" Type="http://schemas.openxmlformats.org/officeDocument/2006/relationships/header" Target="header3.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679</Pages>
  <Words>441975</Words>
  <Characters>456259</Characters>
  <Lines>3431</Lines>
  <Paragraphs>966</Paragraphs>
  <TotalTime>1</TotalTime>
  <ScaleCrop>false</ScaleCrop>
  <LinksUpToDate>false</LinksUpToDate>
  <CharactersWithSpaces>461453</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2022-08-06T03:19:00Z</dcterms:created>
  <dc:creator>罗贝妮</dc:creator>
  <cp:lastModifiedBy>。</cp:lastModifiedBy>
  <cp:lastPrinted>2022-07-06T07:38:00Z</cp:lastPrinted>
  <dcterms:modified xsi:type="dcterms:W3CDTF">2024-08-21T03:14:11Z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2DBA3FBBBDE646CD91C6E61BDCED7026_13</vt:lpwstr>
  </property>
</Properties>
</file>